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5145"/>
        </w:tabs>
        <w:kinsoku/>
        <w:wordWrap/>
        <w:overflowPunct/>
        <w:topLinePunct w:val="0"/>
        <w:autoSpaceDE/>
        <w:autoSpaceDN/>
        <w:bidi w:val="0"/>
        <w:adjustRightInd w:val="0"/>
        <w:snapToGrid/>
        <w:spacing w:line="600" w:lineRule="exact"/>
        <w:ind w:firstLine="0" w:firstLineChars="0"/>
        <w:jc w:val="center"/>
        <w:textAlignment w:val="auto"/>
        <w:rPr>
          <w:rFonts w:hint="eastAsia" w:ascii="方正小标宋简体" w:eastAsia="方正小标宋简体"/>
          <w:bCs/>
          <w:sz w:val="44"/>
          <w:szCs w:val="44"/>
          <w:lang w:eastAsia="zh-CN"/>
        </w:rPr>
      </w:pPr>
      <w:r>
        <w:rPr>
          <w:rFonts w:hint="eastAsia" w:ascii="方正小标宋简体" w:eastAsia="方正小标宋简体"/>
          <w:bCs/>
          <w:sz w:val="44"/>
          <w:szCs w:val="44"/>
          <w:lang w:val="en-US" w:eastAsia="zh-CN"/>
        </w:rPr>
        <w:t>贵阳市住房和城乡建设局</w:t>
      </w:r>
      <w:r>
        <w:rPr>
          <w:rFonts w:hint="eastAsia" w:ascii="方正小标宋简体" w:eastAsia="方正小标宋简体"/>
          <w:bCs/>
          <w:sz w:val="44"/>
          <w:szCs w:val="44"/>
          <w:lang w:eastAsia="zh-CN"/>
        </w:rPr>
        <w:t>关于</w:t>
      </w:r>
      <w:r>
        <w:rPr>
          <w:rFonts w:hint="eastAsia" w:ascii="方正小标宋简体" w:eastAsia="方正小标宋简体"/>
          <w:bCs/>
          <w:sz w:val="44"/>
          <w:szCs w:val="44"/>
          <w:lang w:val="en-US" w:eastAsia="zh-CN"/>
        </w:rPr>
        <w:t>贵阳市2021年</w:t>
      </w:r>
      <w:r>
        <w:rPr>
          <w:rFonts w:hint="eastAsia" w:ascii="方正小标宋简体" w:eastAsia="方正小标宋简体"/>
          <w:bCs/>
          <w:sz w:val="44"/>
          <w:szCs w:val="44"/>
          <w:lang w:eastAsia="zh-CN"/>
        </w:rPr>
        <w:t>疫情常态化防控期间鼓励建筑业企业</w:t>
      </w:r>
    </w:p>
    <w:p>
      <w:pPr>
        <w:keepNext w:val="0"/>
        <w:keepLines w:val="0"/>
        <w:pageBreakBefore w:val="0"/>
        <w:widowControl w:val="0"/>
        <w:tabs>
          <w:tab w:val="left" w:pos="5145"/>
        </w:tabs>
        <w:kinsoku/>
        <w:wordWrap/>
        <w:overflowPunct/>
        <w:topLinePunct w:val="0"/>
        <w:autoSpaceDE/>
        <w:autoSpaceDN/>
        <w:bidi w:val="0"/>
        <w:adjustRightInd w:val="0"/>
        <w:snapToGrid/>
        <w:spacing w:line="600" w:lineRule="exact"/>
        <w:ind w:firstLine="0" w:firstLineChars="0"/>
        <w:jc w:val="center"/>
        <w:textAlignment w:val="auto"/>
        <w:rPr>
          <w:rFonts w:hint="eastAsia" w:ascii="方正小标宋简体" w:eastAsia="方正小标宋简体"/>
          <w:bCs/>
          <w:sz w:val="44"/>
          <w:szCs w:val="44"/>
          <w:lang w:eastAsia="zh-CN"/>
        </w:rPr>
      </w:pPr>
      <w:r>
        <w:rPr>
          <w:rFonts w:hint="eastAsia" w:ascii="方正小标宋简体" w:eastAsia="方正小标宋简体"/>
          <w:bCs/>
          <w:sz w:val="44"/>
          <w:szCs w:val="44"/>
          <w:lang w:eastAsia="zh-CN"/>
        </w:rPr>
        <w:t>达产增效奖补实施细则</w:t>
      </w: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根据《贵阳市人民政府办公厅</w:t>
      </w:r>
      <w:r>
        <w:rPr>
          <w:rFonts w:hint="eastAsia" w:ascii="仿宋_GB2312" w:hAnsi="仿宋_GB2312" w:eastAsia="仿宋_GB2312" w:cs="仿宋_GB2312"/>
          <w:sz w:val="32"/>
          <w:szCs w:val="32"/>
          <w:lang w:val="en-US" w:eastAsia="zh-CN"/>
        </w:rPr>
        <w:t xml:space="preserve"> 贵安新区办公室关于疫情常态化防控期间继续支持企业稳定发展若干措施的通知</w:t>
      </w:r>
      <w:r>
        <w:rPr>
          <w:rFonts w:hint="eastAsia" w:ascii="仿宋_GB2312" w:hAnsi="仿宋_GB2312" w:eastAsia="仿宋_GB2312" w:cs="仿宋_GB2312"/>
          <w:sz w:val="32"/>
          <w:szCs w:val="32"/>
          <w:lang w:eastAsia="zh-CN"/>
        </w:rPr>
        <w:t>》（筑府办函〔2021〕</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lang w:eastAsia="zh-CN"/>
        </w:rPr>
        <w:t>号）文件精神，为统筹做好疫情常态化防控和经济社会发展，扎实做好“六稳”工作</w:t>
      </w:r>
      <w:bookmarkStart w:id="0" w:name="_GoBack"/>
      <w:bookmarkEnd w:id="0"/>
      <w:r>
        <w:rPr>
          <w:rFonts w:hint="eastAsia" w:ascii="仿宋_GB2312" w:hAnsi="仿宋_GB2312" w:eastAsia="仿宋_GB2312" w:cs="仿宋_GB2312"/>
          <w:sz w:val="32"/>
          <w:szCs w:val="32"/>
          <w:lang w:eastAsia="zh-CN"/>
        </w:rPr>
        <w:t>、全面落实“六保”任务，继续支持企业稳定发展，助力“强省会”五年行动，鼓励建筑业企业达产增效，特制定奖补实施细则如下：</w:t>
      </w:r>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val="0"/>
          <w:color w:val="auto"/>
          <w:spacing w:val="0"/>
          <w:sz w:val="32"/>
          <w:szCs w:val="32"/>
          <w:highlight w:val="none"/>
          <w:lang w:eastAsia="zh-CN"/>
        </w:rPr>
      </w:pPr>
      <w:r>
        <w:rPr>
          <w:rFonts w:hint="eastAsia" w:ascii="黑体" w:hAnsi="黑体" w:eastAsia="黑体" w:cs="黑体"/>
          <w:b w:val="0"/>
          <w:bCs w:val="0"/>
          <w:color w:val="auto"/>
          <w:spacing w:val="0"/>
          <w:sz w:val="32"/>
          <w:szCs w:val="32"/>
          <w:highlight w:val="none"/>
          <w:lang w:eastAsia="zh-CN"/>
        </w:rPr>
        <w:t>一、适用范围</w:t>
      </w:r>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bCs w:val="0"/>
          <w:color w:val="auto"/>
          <w:spacing w:val="0"/>
          <w:sz w:val="32"/>
          <w:szCs w:val="32"/>
          <w:highlight w:val="none"/>
          <w:lang w:eastAsia="zh-CN"/>
        </w:rPr>
      </w:pPr>
      <w:r>
        <w:rPr>
          <w:rFonts w:hint="eastAsia" w:ascii="仿宋_GB2312" w:hAnsi="仿宋_GB2312" w:eastAsia="仿宋_GB2312" w:cs="仿宋_GB2312"/>
          <w:b w:val="0"/>
          <w:bCs w:val="0"/>
          <w:color w:val="auto"/>
          <w:spacing w:val="0"/>
          <w:sz w:val="32"/>
          <w:szCs w:val="32"/>
          <w:highlight w:val="none"/>
          <w:lang w:eastAsia="zh-CN"/>
        </w:rPr>
        <w:t>（一）工商注册登记地在贵阳市，且</w:t>
      </w:r>
      <w:r>
        <w:rPr>
          <w:rFonts w:hint="eastAsia" w:ascii="仿宋_GB2312" w:hAnsi="仿宋_GB2312" w:eastAsia="仿宋_GB2312" w:cs="仿宋_GB2312"/>
          <w:sz w:val="32"/>
          <w:szCs w:val="32"/>
        </w:rPr>
        <w:t>取得建筑业资质证书和安全生产许可证的</w:t>
      </w:r>
      <w:r>
        <w:rPr>
          <w:rFonts w:hint="eastAsia" w:ascii="仿宋_GB2312" w:hAnsi="仿宋_GB2312" w:eastAsia="仿宋_GB2312" w:cs="仿宋_GB2312"/>
          <w:sz w:val="32"/>
          <w:szCs w:val="32"/>
          <w:lang w:eastAsia="zh-CN"/>
        </w:rPr>
        <w:t>建筑业</w:t>
      </w:r>
      <w:r>
        <w:rPr>
          <w:rFonts w:hint="eastAsia" w:ascii="仿宋_GB2312" w:hAnsi="仿宋_GB2312" w:eastAsia="仿宋_GB2312" w:cs="仿宋_GB2312"/>
          <w:sz w:val="32"/>
          <w:szCs w:val="32"/>
        </w:rPr>
        <w:t>企业（含省外将注册地迁入我市或在筑成立的独立法人子公司）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spacing w:val="0"/>
          <w:sz w:val="32"/>
          <w:szCs w:val="32"/>
          <w:highlight w:val="none"/>
          <w:lang w:eastAsia="zh-CN"/>
        </w:rPr>
        <w:t>纳入重点企业库的建筑业企业。</w:t>
      </w:r>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bCs w:val="0"/>
          <w:color w:val="auto"/>
          <w:spacing w:val="0"/>
          <w:sz w:val="32"/>
          <w:szCs w:val="32"/>
          <w:highlight w:val="none"/>
          <w:lang w:eastAsia="zh-CN"/>
        </w:rPr>
      </w:pPr>
      <w:r>
        <w:rPr>
          <w:rFonts w:hint="eastAsia" w:ascii="仿宋_GB2312" w:hAnsi="仿宋_GB2312" w:eastAsia="仿宋_GB2312" w:cs="仿宋_GB2312"/>
          <w:b w:val="0"/>
          <w:bCs w:val="0"/>
          <w:color w:val="auto"/>
          <w:spacing w:val="0"/>
          <w:sz w:val="32"/>
          <w:szCs w:val="32"/>
          <w:highlight w:val="none"/>
          <w:lang w:eastAsia="zh-CN"/>
        </w:rPr>
        <w:t>（二）企业发展基础好，财务制度健全，具有独立法人资格，实行独立核算且依法合规经营，认真履行统计工作责任和义务；无安全生产责任事故、拖欠农民工工资等违法违规行为和不良社会信用记录等。</w:t>
      </w:r>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黑体" w:hAnsi="黑体" w:eastAsia="黑体" w:cs="黑体"/>
          <w:b w:val="0"/>
          <w:bCs w:val="0"/>
          <w:color w:val="auto"/>
          <w:spacing w:val="0"/>
          <w:sz w:val="32"/>
          <w:szCs w:val="32"/>
          <w:highlight w:val="none"/>
          <w:lang w:eastAsia="zh-CN"/>
        </w:rPr>
      </w:pPr>
      <w:r>
        <w:rPr>
          <w:rFonts w:hint="eastAsia" w:ascii="黑体" w:hAnsi="黑体" w:eastAsia="黑体" w:cs="黑体"/>
          <w:b w:val="0"/>
          <w:bCs w:val="0"/>
          <w:color w:val="auto"/>
          <w:spacing w:val="0"/>
          <w:sz w:val="32"/>
          <w:szCs w:val="32"/>
          <w:highlight w:val="none"/>
          <w:lang w:eastAsia="zh-CN"/>
        </w:rPr>
        <w:t>二、奖励标准</w:t>
      </w:r>
    </w:p>
    <w:p>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仿宋_GB2312" w:eastAsia="仿宋_GB2312" w:cs="仿宋_GB2312"/>
          <w:b w:val="0"/>
          <w:bCs w:val="0"/>
          <w:color w:val="auto"/>
          <w:spacing w:val="0"/>
          <w:sz w:val="32"/>
          <w:szCs w:val="32"/>
          <w:highlight w:val="none"/>
          <w:lang w:eastAsia="zh-CN"/>
        </w:rPr>
      </w:pPr>
      <w:r>
        <w:rPr>
          <w:rFonts w:hint="eastAsia" w:ascii="仿宋_GB2312" w:hAnsi="仿宋_GB2312" w:eastAsia="仿宋_GB2312" w:cs="仿宋_GB2312"/>
          <w:b w:val="0"/>
          <w:bCs w:val="0"/>
          <w:color w:val="auto"/>
          <w:spacing w:val="0"/>
          <w:sz w:val="32"/>
          <w:szCs w:val="32"/>
          <w:highlight w:val="none"/>
          <w:lang w:eastAsia="zh-CN"/>
        </w:rPr>
        <w:t>对二、三、四季度完成建筑业产值的建筑业企业按以下奖励标准给予奖补：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（一）2020年产值100亿元以上（含100亿元），每季度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产值同比增长30%以上，每户奖补标准</w:t>
      </w:r>
      <w:r>
        <w:rPr>
          <w:rFonts w:hint="eastAsia" w:cs="仿宋_GB2312"/>
          <w:sz w:val="32"/>
          <w:szCs w:val="32"/>
          <w:lang w:val="en-US" w:eastAsia="zh-CN"/>
        </w:rPr>
        <w:t>6</w:t>
      </w:r>
      <w:r>
        <w:rPr>
          <w:rFonts w:hint="eastAsia" w:ascii="仿宋_GB2312" w:hAnsi="仿宋_GB2312" w:eastAsia="仿宋_GB2312" w:cs="仿宋_GB2312"/>
          <w:sz w:val="32"/>
          <w:szCs w:val="32"/>
          <w:lang w:val="en-US" w:eastAsia="zh-CN"/>
        </w:rPr>
        <w:t>0万元；每季度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产值同比增长20%以上，每户奖补标准</w:t>
      </w:r>
      <w:r>
        <w:rPr>
          <w:rFonts w:hint="eastAsia" w:cs="仿宋_GB2312"/>
          <w:sz w:val="32"/>
          <w:szCs w:val="32"/>
          <w:lang w:val="en-US" w:eastAsia="zh-CN"/>
        </w:rPr>
        <w:t>5</w:t>
      </w:r>
      <w:r>
        <w:rPr>
          <w:rFonts w:hint="eastAsia" w:ascii="仿宋_GB2312" w:hAnsi="仿宋_GB2312" w:eastAsia="仿宋_GB2312" w:cs="仿宋_GB2312"/>
          <w:sz w:val="32"/>
          <w:szCs w:val="32"/>
          <w:lang w:val="en-US" w:eastAsia="zh-CN"/>
        </w:rPr>
        <w:t>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（二）2020年产值20亿元（含20亿元）到100亿元，每季度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产值同比增长30%以上，每户奖补标准</w:t>
      </w:r>
      <w:r>
        <w:rPr>
          <w:rFonts w:hint="eastAsia" w:cs="仿宋_GB2312"/>
          <w:sz w:val="32"/>
          <w:szCs w:val="32"/>
          <w:lang w:val="en-US" w:eastAsia="zh-CN"/>
        </w:rPr>
        <w:t>30</w:t>
      </w:r>
      <w:r>
        <w:rPr>
          <w:rFonts w:hint="eastAsia" w:ascii="仿宋_GB2312" w:hAnsi="仿宋_GB2312" w:eastAsia="仿宋_GB2312" w:cs="仿宋_GB2312"/>
          <w:sz w:val="32"/>
          <w:szCs w:val="32"/>
          <w:lang w:val="en-US" w:eastAsia="zh-CN"/>
        </w:rPr>
        <w:t>万元；每季度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产值同比增长20%以上，每户奖补标准</w:t>
      </w:r>
      <w:r>
        <w:rPr>
          <w:rFonts w:hint="eastAsia" w:cs="仿宋_GB2312"/>
          <w:sz w:val="32"/>
          <w:szCs w:val="32"/>
          <w:lang w:val="en-US" w:eastAsia="zh-CN"/>
        </w:rPr>
        <w:t>25</w:t>
      </w:r>
      <w:r>
        <w:rPr>
          <w:rFonts w:hint="eastAsia" w:ascii="仿宋_GB2312" w:hAnsi="仿宋_GB2312" w:eastAsia="仿宋_GB2312" w:cs="仿宋_GB2312"/>
          <w:sz w:val="32"/>
          <w:szCs w:val="32"/>
          <w:lang w:val="en-US" w:eastAsia="zh-CN"/>
        </w:rPr>
        <w:t>万元。</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（三）2020年产值1亿以上（含1亿元）到20亿元以下，每季度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w:t>
      </w:r>
      <w:r>
        <w:rPr>
          <w:rFonts w:hint="eastAsia" w:cs="仿宋_GB2312"/>
          <w:sz w:val="32"/>
          <w:szCs w:val="32"/>
          <w:lang w:val="en-US" w:eastAsia="zh-CN"/>
        </w:rPr>
        <w:t>6</w:t>
      </w:r>
      <w:r>
        <w:rPr>
          <w:rFonts w:hint="eastAsia" w:ascii="仿宋_GB2312" w:hAnsi="仿宋_GB2312" w:eastAsia="仿宋_GB2312" w:cs="仿宋_GB2312"/>
          <w:sz w:val="32"/>
          <w:szCs w:val="32"/>
          <w:lang w:val="en-US" w:eastAsia="zh-CN"/>
        </w:rPr>
        <w:t>0%以上，每户奖补标准</w:t>
      </w:r>
      <w:r>
        <w:rPr>
          <w:rFonts w:hint="eastAsia" w:cs="仿宋_GB2312"/>
          <w:sz w:val="32"/>
          <w:szCs w:val="32"/>
          <w:lang w:val="en-US" w:eastAsia="zh-CN"/>
        </w:rPr>
        <w:t>10</w:t>
      </w:r>
      <w:r>
        <w:rPr>
          <w:rFonts w:hint="eastAsia" w:ascii="仿宋_GB2312" w:hAnsi="仿宋_GB2312" w:eastAsia="仿宋_GB2312" w:cs="仿宋_GB2312"/>
          <w:sz w:val="32"/>
          <w:szCs w:val="32"/>
          <w:lang w:val="en-US" w:eastAsia="zh-CN"/>
        </w:rPr>
        <w:t>万元；每季度</w:t>
      </w:r>
      <w:r>
        <w:rPr>
          <w:rFonts w:hint="eastAsia" w:cs="仿宋_GB2312"/>
          <w:sz w:val="32"/>
          <w:szCs w:val="32"/>
          <w:lang w:val="en-US" w:eastAsia="zh-CN"/>
        </w:rPr>
        <w:t>累计</w:t>
      </w:r>
      <w:r>
        <w:rPr>
          <w:rFonts w:hint="eastAsia" w:ascii="仿宋_GB2312" w:hAnsi="仿宋_GB2312" w:eastAsia="仿宋_GB2312" w:cs="仿宋_GB2312"/>
          <w:sz w:val="32"/>
          <w:szCs w:val="32"/>
          <w:lang w:val="en-US" w:eastAsia="zh-CN"/>
        </w:rPr>
        <w:t>产值同比增长</w:t>
      </w:r>
      <w:r>
        <w:rPr>
          <w:rFonts w:hint="eastAsia" w:cs="仿宋_GB2312"/>
          <w:sz w:val="32"/>
          <w:szCs w:val="32"/>
          <w:lang w:val="en-US" w:eastAsia="zh-CN"/>
        </w:rPr>
        <w:t>4</w:t>
      </w:r>
      <w:r>
        <w:rPr>
          <w:rFonts w:hint="eastAsia" w:ascii="仿宋_GB2312" w:hAnsi="仿宋_GB2312" w:eastAsia="仿宋_GB2312" w:cs="仿宋_GB2312"/>
          <w:sz w:val="32"/>
          <w:szCs w:val="32"/>
          <w:lang w:val="en-US" w:eastAsia="zh-CN"/>
        </w:rPr>
        <w:t>0%以上，每户奖补标准</w:t>
      </w:r>
      <w:r>
        <w:rPr>
          <w:rFonts w:hint="eastAsia" w:cs="仿宋_GB2312"/>
          <w:sz w:val="32"/>
          <w:szCs w:val="32"/>
          <w:lang w:val="en-US" w:eastAsia="zh-CN"/>
        </w:rPr>
        <w:t>5</w:t>
      </w:r>
      <w:r>
        <w:rPr>
          <w:rFonts w:hint="eastAsia" w:ascii="仿宋_GB2312" w:hAnsi="仿宋_GB2312" w:eastAsia="仿宋_GB2312" w:cs="仿宋_GB2312"/>
          <w:sz w:val="32"/>
          <w:szCs w:val="32"/>
          <w:lang w:val="en-US" w:eastAsia="zh-CN"/>
        </w:rPr>
        <w:t>万元。</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2021年新增入库建筑业企业，</w:t>
      </w:r>
      <w:r>
        <w:rPr>
          <w:rFonts w:hint="eastAsia" w:cs="仿宋_GB2312"/>
          <w:b w:val="0"/>
          <w:bCs w:val="0"/>
          <w:sz w:val="32"/>
          <w:szCs w:val="32"/>
          <w:lang w:val="en-US" w:eastAsia="zh-CN"/>
        </w:rPr>
        <w:t>入库</w:t>
      </w:r>
      <w:r>
        <w:rPr>
          <w:rFonts w:hint="eastAsia" w:ascii="仿宋_GB2312" w:hAnsi="仿宋_GB2312" w:eastAsia="仿宋_GB2312" w:cs="仿宋_GB2312"/>
          <w:b w:val="0"/>
          <w:bCs w:val="0"/>
          <w:sz w:val="32"/>
          <w:szCs w:val="32"/>
          <w:lang w:val="en-US" w:eastAsia="zh-CN"/>
        </w:rPr>
        <w:t>当季</w:t>
      </w:r>
      <w:r>
        <w:rPr>
          <w:rFonts w:hint="eastAsia" w:cs="仿宋_GB2312"/>
          <w:b w:val="0"/>
          <w:bCs w:val="0"/>
          <w:sz w:val="32"/>
          <w:szCs w:val="32"/>
          <w:lang w:val="en-US" w:eastAsia="zh-CN"/>
        </w:rPr>
        <w:t>度完成</w:t>
      </w:r>
      <w:r>
        <w:rPr>
          <w:rFonts w:hint="eastAsia" w:ascii="仿宋_GB2312" w:hAnsi="仿宋_GB2312" w:eastAsia="仿宋_GB2312" w:cs="仿宋_GB2312"/>
          <w:b w:val="0"/>
          <w:bCs w:val="0"/>
          <w:sz w:val="32"/>
          <w:szCs w:val="32"/>
          <w:lang w:val="en-US" w:eastAsia="zh-CN"/>
        </w:rPr>
        <w:t>产值达到2500万元以上，每户奖补标准10万元。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w:t>
      </w:r>
      <w:r>
        <w:rPr>
          <w:rFonts w:hint="eastAsia" w:ascii="黑体" w:hAnsi="黑体" w:eastAsia="黑体" w:cs="黑体"/>
          <w:sz w:val="32"/>
          <w:szCs w:val="32"/>
          <w:lang w:eastAsia="zh-CN"/>
        </w:rPr>
        <w:t>奖补</w:t>
      </w:r>
      <w:r>
        <w:rPr>
          <w:rFonts w:hint="eastAsia" w:ascii="黑体" w:hAnsi="黑体" w:eastAsia="黑体" w:cs="黑体"/>
          <w:sz w:val="32"/>
          <w:szCs w:val="32"/>
        </w:rPr>
        <w:t>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2021年</w:t>
      </w:r>
      <w:r>
        <w:rPr>
          <w:rFonts w:hint="eastAsia" w:cs="仿宋_GB2312"/>
          <w:sz w:val="32"/>
          <w:szCs w:val="32"/>
          <w:lang w:val="en-US" w:eastAsia="zh-CN"/>
        </w:rPr>
        <w:t>二、三、四季度建筑业企业完成产值后</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经</w:t>
      </w:r>
      <w:r>
        <w:rPr>
          <w:rFonts w:hint="eastAsia" w:ascii="仿宋_GB2312" w:hAnsi="仿宋_GB2312" w:eastAsia="仿宋_GB2312" w:cs="仿宋_GB2312"/>
          <w:sz w:val="32"/>
          <w:szCs w:val="32"/>
          <w:lang w:eastAsia="zh-CN"/>
        </w:rPr>
        <w:t>有关部门认定</w:t>
      </w:r>
      <w:r>
        <w:rPr>
          <w:rFonts w:hint="eastAsia" w:ascii="仿宋_GB2312" w:hAnsi="仿宋_GB2312" w:eastAsia="仿宋_GB2312" w:cs="仿宋_GB2312"/>
          <w:sz w:val="32"/>
          <w:szCs w:val="32"/>
        </w:rPr>
        <w:t>，对符合条件的建筑业企业，予以资金奖补。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四、资金安排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rPr>
      </w:pPr>
      <w:r>
        <w:rPr>
          <w:rFonts w:hint="eastAsia" w:ascii="仿宋_GB2312" w:hAnsi="仿宋_GB2312" w:eastAsia="仿宋_GB2312" w:cs="仿宋_GB2312"/>
          <w:sz w:val="32"/>
          <w:szCs w:val="32"/>
        </w:rPr>
        <w:t>奖</w:t>
      </w:r>
      <w:r>
        <w:rPr>
          <w:rFonts w:hint="eastAsia" w:ascii="仿宋_GB2312" w:hAnsi="仿宋_GB2312" w:eastAsia="仿宋_GB2312" w:cs="仿宋_GB2312"/>
          <w:sz w:val="32"/>
          <w:szCs w:val="32"/>
          <w:lang w:eastAsia="zh-CN"/>
        </w:rPr>
        <w:t>补</w:t>
      </w:r>
      <w:r>
        <w:rPr>
          <w:rFonts w:hint="eastAsia" w:ascii="仿宋_GB2312" w:hAnsi="仿宋_GB2312" w:eastAsia="仿宋_GB2312" w:cs="仿宋_GB2312"/>
          <w:sz w:val="32"/>
          <w:szCs w:val="32"/>
        </w:rPr>
        <w:t>资金：由市、区</w:t>
      </w:r>
      <w:r>
        <w:rPr>
          <w:rFonts w:hint="eastAsia" w:ascii="仿宋_GB2312" w:hAnsi="仿宋_GB2312" w:eastAsia="仿宋_GB2312" w:cs="仿宋_GB2312"/>
          <w:sz w:val="32"/>
          <w:szCs w:val="32"/>
          <w:lang w:eastAsia="zh-CN"/>
        </w:rPr>
        <w:t>（市、县、开发区）</w:t>
      </w:r>
      <w:r>
        <w:rPr>
          <w:rFonts w:hint="eastAsia" w:ascii="仿宋_GB2312" w:hAnsi="仿宋_GB2312" w:eastAsia="仿宋_GB2312" w:cs="仿宋_GB2312"/>
          <w:sz w:val="32"/>
          <w:szCs w:val="32"/>
        </w:rPr>
        <w:t>两级</w:t>
      </w:r>
      <w:r>
        <w:rPr>
          <w:rFonts w:hint="eastAsia" w:ascii="仿宋_GB2312" w:hAnsi="仿宋_GB2312" w:eastAsia="仿宋_GB2312" w:cs="仿宋_GB2312"/>
          <w:sz w:val="32"/>
          <w:szCs w:val="32"/>
          <w:lang w:eastAsia="zh-CN"/>
        </w:rPr>
        <w:t>财政按</w:t>
      </w:r>
      <w:r>
        <w:rPr>
          <w:rFonts w:hint="eastAsia" w:ascii="仿宋_GB2312" w:hAnsi="仿宋_GB2312" w:eastAsia="仿宋_GB2312" w:cs="仿宋_GB2312"/>
          <w:sz w:val="32"/>
          <w:szCs w:val="32"/>
          <w:lang w:val="en-US" w:eastAsia="zh-CN"/>
        </w:rPr>
        <w:t>5:5承担</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lang w:eastAsia="zh-CN"/>
        </w:rPr>
        <w:t>高新技术产业开发区、综合保税区、经济技术开发区</w:t>
      </w:r>
      <w:r>
        <w:rPr>
          <w:rFonts w:hint="eastAsia" w:ascii="仿宋_GB2312" w:hAnsi="仿宋_GB2312" w:eastAsia="仿宋_GB2312" w:cs="仿宋_GB2312"/>
          <w:sz w:val="32"/>
          <w:szCs w:val="32"/>
          <w:lang w:val="en-US" w:eastAsia="zh-CN"/>
        </w:rPr>
        <w:t>注册的企业除市级承担的50%奖补资金外，另50%奖补资金由企业注册地</w:t>
      </w:r>
      <w:r>
        <w:rPr>
          <w:rFonts w:hint="eastAsia" w:cs="仿宋_GB2312"/>
          <w:sz w:val="32"/>
          <w:szCs w:val="32"/>
          <w:lang w:val="en-US" w:eastAsia="zh-CN"/>
        </w:rPr>
        <w:t>管委会</w:t>
      </w:r>
      <w:r>
        <w:rPr>
          <w:rFonts w:hint="eastAsia" w:ascii="仿宋_GB2312" w:hAnsi="仿宋_GB2312" w:eastAsia="仿宋_GB2312" w:cs="仿宋_GB2312"/>
          <w:sz w:val="32"/>
          <w:szCs w:val="32"/>
          <w:lang w:val="en-US" w:eastAsia="zh-CN"/>
        </w:rPr>
        <w:t>承担</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双龙</w:t>
      </w:r>
      <w:r>
        <w:rPr>
          <w:rFonts w:hint="eastAsia" w:cs="仿宋_GB2312"/>
          <w:color w:val="auto"/>
          <w:sz w:val="32"/>
          <w:szCs w:val="32"/>
          <w:highlight w:val="none"/>
          <w:lang w:val="en-US" w:eastAsia="zh-CN"/>
        </w:rPr>
        <w:t>航空港</w:t>
      </w:r>
      <w:r>
        <w:rPr>
          <w:rFonts w:hint="eastAsia" w:ascii="仿宋_GB2312" w:hAnsi="仿宋_GB2312" w:eastAsia="仿宋_GB2312" w:cs="仿宋_GB2312"/>
          <w:color w:val="auto"/>
          <w:sz w:val="32"/>
          <w:szCs w:val="32"/>
          <w:highlight w:val="none"/>
          <w:lang w:eastAsia="zh-CN"/>
        </w:rPr>
        <w:t>经济区</w:t>
      </w:r>
      <w:r>
        <w:rPr>
          <w:rFonts w:hint="eastAsia" w:cs="仿宋_GB2312"/>
          <w:color w:val="auto"/>
          <w:sz w:val="32"/>
          <w:szCs w:val="32"/>
          <w:highlight w:val="none"/>
          <w:lang w:eastAsia="zh-CN"/>
        </w:rPr>
        <w:t>、</w:t>
      </w:r>
      <w:r>
        <w:rPr>
          <w:rFonts w:hint="eastAsia" w:cs="仿宋_GB2312"/>
          <w:color w:val="auto"/>
          <w:sz w:val="32"/>
          <w:szCs w:val="32"/>
          <w:highlight w:val="none"/>
          <w:lang w:val="en-US" w:eastAsia="zh-CN"/>
        </w:rPr>
        <w:t>贵安新区注册的企业由企业注册地管委会全额承担。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、实施步骤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（一）各区（市、县）</w:t>
      </w:r>
      <w:r>
        <w:rPr>
          <w:rFonts w:hint="eastAsia" w:ascii="仿宋_GB2312" w:hAnsi="仿宋_GB2312" w:eastAsia="仿宋_GB2312" w:cs="仿宋_GB2312"/>
          <w:sz w:val="32"/>
          <w:szCs w:val="32"/>
        </w:rPr>
        <w:t>住建部门</w:t>
      </w:r>
      <w:r>
        <w:rPr>
          <w:rFonts w:hint="eastAsia" w:cs="仿宋_GB2312"/>
          <w:sz w:val="32"/>
          <w:szCs w:val="32"/>
          <w:lang w:val="en-US" w:eastAsia="zh-CN"/>
        </w:rPr>
        <w:t>牵头</w:t>
      </w:r>
      <w:r>
        <w:rPr>
          <w:rFonts w:hint="eastAsia" w:ascii="仿宋_GB2312" w:hAnsi="仿宋_GB2312" w:eastAsia="仿宋_GB2312" w:cs="仿宋_GB2312"/>
          <w:sz w:val="32"/>
          <w:szCs w:val="32"/>
        </w:rPr>
        <w:t>会同</w:t>
      </w:r>
      <w:r>
        <w:rPr>
          <w:rFonts w:hint="eastAsia" w:cs="仿宋_GB2312"/>
          <w:sz w:val="32"/>
          <w:szCs w:val="32"/>
          <w:lang w:val="en-US" w:eastAsia="zh-CN"/>
        </w:rPr>
        <w:t>相关部门</w:t>
      </w:r>
      <w:r>
        <w:rPr>
          <w:rFonts w:hint="eastAsia" w:ascii="仿宋_GB2312" w:hAnsi="仿宋_GB2312" w:eastAsia="仿宋_GB2312" w:cs="仿宋_GB2312"/>
          <w:sz w:val="32"/>
          <w:szCs w:val="32"/>
          <w:lang w:eastAsia="zh-CN"/>
        </w:rPr>
        <w:t>对辖区内</w:t>
      </w:r>
      <w:r>
        <w:rPr>
          <w:rFonts w:hint="eastAsia" w:cs="仿宋_GB2312"/>
          <w:sz w:val="32"/>
          <w:szCs w:val="32"/>
          <w:lang w:val="en-US" w:eastAsia="zh-CN"/>
        </w:rPr>
        <w:t>2021年</w:t>
      </w:r>
      <w:r>
        <w:rPr>
          <w:rFonts w:hint="eastAsia" w:ascii="仿宋_GB2312" w:hAnsi="仿宋_GB2312" w:eastAsia="仿宋_GB2312" w:cs="仿宋_GB2312"/>
          <w:sz w:val="32"/>
          <w:szCs w:val="32"/>
          <w:lang w:eastAsia="zh-CN"/>
        </w:rPr>
        <w:t>建筑业企业核准完成产值达到奖励标准的企业，</w:t>
      </w:r>
      <w:r>
        <w:rPr>
          <w:rFonts w:hint="eastAsia" w:cs="仿宋_GB2312"/>
          <w:sz w:val="32"/>
          <w:szCs w:val="32"/>
          <w:lang w:val="en-US" w:eastAsia="zh-CN"/>
        </w:rPr>
        <w:t>申报核实</w:t>
      </w:r>
      <w:r>
        <w:rPr>
          <w:rFonts w:hint="default"/>
          <w:color w:val="auto"/>
          <w:lang w:val="en-US" w:eastAsia="zh-CN"/>
        </w:rPr>
        <w:t>奖补政策的</w:t>
      </w:r>
      <w:r>
        <w:rPr>
          <w:rFonts w:hint="eastAsia"/>
          <w:color w:val="auto"/>
          <w:lang w:val="en-US" w:eastAsia="zh-CN"/>
        </w:rPr>
        <w:t>企业清单</w:t>
      </w:r>
      <w:r>
        <w:rPr>
          <w:rFonts w:hint="eastAsia" w:ascii="仿宋_GB2312" w:hAnsi="仿宋_GB2312" w:eastAsia="仿宋_GB2312" w:cs="仿宋_GB2312"/>
          <w:sz w:val="32"/>
          <w:szCs w:val="32"/>
          <w:lang w:eastAsia="zh-CN"/>
        </w:rPr>
        <w:t>，报市住建局</w:t>
      </w:r>
      <w:r>
        <w:rPr>
          <w:rFonts w:hint="eastAsia" w:cs="仿宋_GB2312"/>
          <w:sz w:val="32"/>
          <w:szCs w:val="32"/>
          <w:lang w:val="en-US" w:eastAsia="zh-CN"/>
        </w:rPr>
        <w:t>汇总</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（二）属高新技术产业开发区、综合保税区、经济技术开发区辖区内注册的建筑业企业，</w:t>
      </w:r>
      <w:r>
        <w:rPr>
          <w:rFonts w:hint="eastAsia" w:ascii="仿宋_GB2312" w:hAnsi="仿宋_GB2312" w:eastAsia="仿宋_GB2312" w:cs="仿宋_GB2312"/>
          <w:sz w:val="32"/>
          <w:szCs w:val="32"/>
          <w:lang w:val="en-US" w:eastAsia="zh-CN"/>
        </w:rPr>
        <w:t>达到奖补标准的认定，</w:t>
      </w:r>
      <w:r>
        <w:rPr>
          <w:rFonts w:hint="eastAsia" w:ascii="仿宋_GB2312" w:hAnsi="仿宋_GB2312" w:eastAsia="仿宋_GB2312" w:cs="仿宋_GB2312"/>
          <w:sz w:val="32"/>
          <w:szCs w:val="32"/>
          <w:highlight w:val="none"/>
          <w:lang w:val="en-US" w:eastAsia="zh-CN"/>
        </w:rPr>
        <w:t>由建筑业产值报送地区核实</w:t>
      </w:r>
      <w:r>
        <w:rPr>
          <w:rFonts w:hint="eastAsia" w:ascii="仿宋_GB2312" w:hAnsi="仿宋_GB2312" w:eastAsia="仿宋_GB2312" w:cs="仿宋_GB2312"/>
          <w:sz w:val="32"/>
          <w:szCs w:val="32"/>
          <w:lang w:val="en-US" w:eastAsia="zh-CN"/>
        </w:rPr>
        <w:t>；地方匹配资金落实情况由建筑业</w:t>
      </w:r>
      <w:r>
        <w:rPr>
          <w:rFonts w:hint="eastAsia" w:cs="仿宋_GB2312"/>
          <w:sz w:val="32"/>
          <w:szCs w:val="32"/>
          <w:lang w:val="en-US" w:eastAsia="zh-CN"/>
        </w:rPr>
        <w:t>企业</w:t>
      </w:r>
      <w:r>
        <w:rPr>
          <w:rFonts w:hint="eastAsia" w:ascii="仿宋_GB2312" w:hAnsi="仿宋_GB2312" w:eastAsia="仿宋_GB2312" w:cs="仿宋_GB2312"/>
          <w:sz w:val="32"/>
          <w:szCs w:val="32"/>
          <w:lang w:val="en-US" w:eastAsia="zh-CN"/>
        </w:rPr>
        <w:t>注册地的</w:t>
      </w:r>
      <w:r>
        <w:rPr>
          <w:rFonts w:hint="eastAsia" w:cs="仿宋_GB2312"/>
          <w:sz w:val="32"/>
          <w:szCs w:val="32"/>
          <w:lang w:val="en-US" w:eastAsia="zh-CN"/>
        </w:rPr>
        <w:t>管委会</w:t>
      </w:r>
      <w:r>
        <w:rPr>
          <w:rFonts w:hint="eastAsia" w:ascii="仿宋_GB2312" w:hAnsi="仿宋_GB2312" w:eastAsia="仿宋_GB2312" w:cs="仿宋_GB2312"/>
          <w:sz w:val="32"/>
          <w:szCs w:val="32"/>
          <w:lang w:val="en-US" w:eastAsia="zh-CN"/>
        </w:rPr>
        <w:t>审定</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lang w:val="en-US" w:eastAsia="zh-CN"/>
        </w:rPr>
      </w:pPr>
      <w:r>
        <w:rPr>
          <w:rFonts w:hint="eastAsia" w:ascii="仿宋_GB2312" w:hAnsi="仿宋_GB2312" w:eastAsia="仿宋_GB2312" w:cs="仿宋_GB2312"/>
          <w:sz w:val="32"/>
          <w:szCs w:val="32"/>
          <w:lang w:eastAsia="zh-CN"/>
        </w:rPr>
        <w:t>（三）</w:t>
      </w:r>
      <w:r>
        <w:rPr>
          <w:rFonts w:hint="eastAsia"/>
          <w:lang w:val="en-US" w:eastAsia="zh-CN"/>
        </w:rPr>
        <w:t>经市住建局汇总后，对符合奖补标准的申报企业名单在市住建局官网进行公示，为期3天</w:t>
      </w:r>
      <w:r>
        <w:rPr>
          <w:rFonts w:hint="eastAsia"/>
          <w:lang w:eastAsia="zh-CN"/>
        </w:rPr>
        <w:t>。</w:t>
      </w:r>
      <w:r>
        <w:rPr>
          <w:rFonts w:hint="eastAsia"/>
          <w:lang w:val="en-US" w:eastAsia="zh-CN"/>
        </w:rPr>
        <w:t>公示完毕后</w:t>
      </w:r>
      <w:r>
        <w:rPr>
          <w:rFonts w:hint="eastAsia"/>
          <w:color w:val="auto"/>
          <w:lang w:val="en-US" w:eastAsia="zh-CN"/>
        </w:rPr>
        <w:t>市住建局将会同市财政部门联合下达奖补资金计划</w:t>
      </w:r>
      <w:r>
        <w:rPr>
          <w:rFonts w:hint="eastAsia"/>
          <w:lang w:val="en-US" w:eastAsia="zh-CN"/>
        </w:rPr>
        <w:t>，把市级奖补资金按照比例</w:t>
      </w:r>
      <w:r>
        <w:rPr>
          <w:rFonts w:hint="eastAsia" w:cs="仿宋_GB2312"/>
          <w:color w:val="auto"/>
          <w:sz w:val="32"/>
          <w:szCs w:val="32"/>
          <w:lang w:val="en-US" w:eastAsia="zh-CN"/>
        </w:rPr>
        <w:t>给</w:t>
      </w:r>
      <w:r>
        <w:rPr>
          <w:rFonts w:hint="eastAsia" w:ascii="仿宋_GB2312" w:hAnsi="仿宋_GB2312" w:eastAsia="仿宋_GB2312" w:cs="仿宋_GB2312"/>
          <w:color w:val="auto"/>
          <w:sz w:val="32"/>
          <w:szCs w:val="32"/>
          <w:lang w:eastAsia="zh-CN"/>
        </w:rPr>
        <w:t>各区（市、县）财政部门，</w:t>
      </w:r>
      <w:r>
        <w:rPr>
          <w:rFonts w:hint="eastAsia" w:ascii="仿宋_GB2312" w:hAnsi="仿宋_GB2312" w:eastAsia="仿宋_GB2312" w:cs="仿宋_GB2312"/>
          <w:sz w:val="32"/>
          <w:szCs w:val="32"/>
          <w:lang w:eastAsia="zh-CN"/>
        </w:rPr>
        <w:t>由各区（市、县）政府</w:t>
      </w:r>
      <w:r>
        <w:rPr>
          <w:rFonts w:hint="eastAsia" w:cs="仿宋_GB2312"/>
          <w:sz w:val="32"/>
          <w:szCs w:val="32"/>
          <w:lang w:eastAsia="zh-CN"/>
        </w:rPr>
        <w:t>、</w:t>
      </w:r>
      <w:r>
        <w:rPr>
          <w:rFonts w:hint="eastAsia" w:cs="仿宋_GB2312"/>
          <w:sz w:val="32"/>
          <w:szCs w:val="32"/>
          <w:lang w:val="en-US" w:eastAsia="zh-CN"/>
        </w:rPr>
        <w:t>管委会</w:t>
      </w:r>
      <w:r>
        <w:rPr>
          <w:rFonts w:hint="eastAsia" w:ascii="仿宋_GB2312" w:hAnsi="仿宋_GB2312" w:eastAsia="仿宋_GB2312" w:cs="仿宋_GB2312"/>
          <w:sz w:val="32"/>
          <w:szCs w:val="32"/>
          <w:lang w:eastAsia="zh-CN"/>
        </w:rPr>
        <w:t>负责对辖区内符合奖补条件的建筑业企业</w:t>
      </w:r>
      <w:r>
        <w:rPr>
          <w:rFonts w:hint="eastAsia" w:ascii="仿宋_GB2312" w:hAnsi="仿宋_GB2312" w:eastAsia="仿宋_GB2312" w:cs="仿宋_GB2312"/>
          <w:sz w:val="32"/>
          <w:szCs w:val="32"/>
        </w:rPr>
        <w:t>实施奖补兑现</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lang w:val="en-US" w:eastAsia="zh-CN"/>
        </w:rPr>
        <w:t>本实施细则是针对2021年达产增效的建筑业企业进行奖补，各区（市、县、开发区）住建部门按照市级住建部门制定出台的实施细则执行。各区（市、县、开发区）住建部门要加大对企业上报数据的核实力度，企业在申报奖补资金过程中，如存在提供虚假资料、骗取资金或未认真履行统计工作责任和义务等行为，一经查实将取消奖励并纳入征信记录，涉嫌犯罪的，依法追究相关法律责任。</w:t>
      </w:r>
    </w:p>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C7F9B4-B3C6-4558-A3DF-6169C0F995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586761A-77D3-48BB-AB2C-090BD0629883}"/>
  </w:font>
  <w:font w:name="仿宋">
    <w:panose1 w:val="02010609060101010101"/>
    <w:charset w:val="7A"/>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B2B605F6-A35C-4CEA-9CAE-CE2246A31E4B}"/>
  </w:font>
  <w:font w:name="方正小标宋简体">
    <w:panose1 w:val="02000000000000000000"/>
    <w:charset w:val="86"/>
    <w:family w:val="auto"/>
    <w:pitch w:val="default"/>
    <w:sig w:usb0="00000001" w:usb1="080E0000" w:usb2="00000000" w:usb3="00000000" w:csb0="00040000" w:csb1="00000000"/>
    <w:embedRegular r:id="rId4" w:fontKey="{2177F613-1767-43EE-9DA4-F2EEFE8199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A63775"/>
    <w:rsid w:val="085E7995"/>
    <w:rsid w:val="08CA62DC"/>
    <w:rsid w:val="090715AF"/>
    <w:rsid w:val="0F872A91"/>
    <w:rsid w:val="139236C7"/>
    <w:rsid w:val="21A63775"/>
    <w:rsid w:val="34923CF5"/>
    <w:rsid w:val="38983362"/>
    <w:rsid w:val="3B051E71"/>
    <w:rsid w:val="4A9A5B7D"/>
    <w:rsid w:val="654C0857"/>
    <w:rsid w:val="6CBF5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720" w:firstLineChars="200"/>
      <w:jc w:val="both"/>
    </w:pPr>
    <w:rPr>
      <w:rFonts w:ascii="仿宋_GB2312" w:hAnsi="仿宋_GB2312" w:eastAsia="仿宋_GB2312" w:cstheme="minorBidi"/>
      <w:kern w:val="2"/>
      <w:sz w:val="32"/>
      <w:szCs w:val="24"/>
      <w:lang w:val="en-US" w:eastAsia="zh-CN" w:bidi="ar-SA"/>
    </w:rPr>
  </w:style>
  <w:style w:type="paragraph" w:styleId="6">
    <w:name w:val="heading 1"/>
    <w:basedOn w:val="1"/>
    <w:next w:val="1"/>
    <w:link w:val="15"/>
    <w:qFormat/>
    <w:uiPriority w:val="0"/>
    <w:pPr>
      <w:keepNext/>
      <w:keepLines/>
      <w:spacing w:beforeLines="0" w:beforeAutospacing="0" w:afterLines="0" w:afterAutospacing="0" w:line="240" w:lineRule="auto"/>
      <w:ind w:firstLine="883" w:firstLineChars="200"/>
      <w:jc w:val="left"/>
      <w:outlineLvl w:val="0"/>
    </w:pPr>
    <w:rPr>
      <w:rFonts w:ascii="Times New Roman" w:hAnsi="Times New Roman" w:eastAsia="黑体"/>
      <w:b/>
      <w:kern w:val="44"/>
      <w:sz w:val="44"/>
    </w:rPr>
  </w:style>
  <w:style w:type="paragraph" w:styleId="7">
    <w:name w:val="heading 2"/>
    <w:basedOn w:val="1"/>
    <w:next w:val="1"/>
    <w:link w:val="16"/>
    <w:semiHidden/>
    <w:unhideWhenUsed/>
    <w:qFormat/>
    <w:uiPriority w:val="0"/>
    <w:pPr>
      <w:keepNext/>
      <w:keepLines/>
      <w:spacing w:beforeLines="0" w:beforeAutospacing="0" w:afterLines="0" w:afterAutospacing="0" w:line="240" w:lineRule="auto"/>
      <w:outlineLvl w:val="1"/>
    </w:pPr>
    <w:rPr>
      <w:rFonts w:ascii="Arial" w:hAnsi="Arial" w:eastAsia="楷体"/>
    </w:rPr>
  </w:style>
  <w:style w:type="paragraph" w:styleId="8">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firstLineChars="200"/>
    </w:pPr>
  </w:style>
  <w:style w:type="paragraph" w:styleId="3">
    <w:name w:val="Body Text Indent"/>
    <w:basedOn w:val="1"/>
    <w:next w:val="4"/>
    <w:unhideWhenUsed/>
    <w:qFormat/>
    <w:uiPriority w:val="0"/>
    <w:pPr>
      <w:spacing w:after="120"/>
      <w:ind w:left="420" w:leftChars="200"/>
    </w:pPr>
  </w:style>
  <w:style w:type="paragraph" w:styleId="4">
    <w:name w:val="Body Text Indent 2"/>
    <w:basedOn w:val="1"/>
    <w:next w:val="5"/>
    <w:qFormat/>
    <w:uiPriority w:val="0"/>
    <w:pPr>
      <w:ind w:firstLine="630"/>
    </w:pPr>
    <w:rPr>
      <w:b/>
      <w:bCs/>
      <w:sz w:val="32"/>
      <w:szCs w:val="32"/>
    </w:rPr>
  </w:style>
  <w:style w:type="paragraph" w:styleId="5">
    <w:name w:val="Body Text Indent 3"/>
    <w:basedOn w:val="1"/>
    <w:qFormat/>
    <w:uiPriority w:val="0"/>
    <w:pPr>
      <w:spacing w:line="660" w:lineRule="exact"/>
      <w:ind w:right="16" w:firstLine="560" w:firstLineChars="200"/>
    </w:pPr>
    <w:rPr>
      <w:rFonts w:ascii="仿宋_GB2312"/>
      <w:spacing w:val="-20"/>
      <w:szCs w:val="20"/>
    </w:rPr>
  </w:style>
  <w:style w:type="paragraph" w:styleId="9">
    <w:name w:val="Body Text"/>
    <w:basedOn w:val="1"/>
    <w:qFormat/>
    <w:uiPriority w:val="0"/>
    <w:pPr>
      <w:spacing w:afterLines="0" w:afterAutospacing="0" w:line="380" w:lineRule="exact"/>
    </w:pPr>
    <w:rPr>
      <w:rFonts w:ascii="Times New Roman" w:hAnsi="Times New Roman" w:eastAsia="仿宋"/>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5">
    <w:name w:val="标题 1 Char"/>
    <w:link w:val="6"/>
    <w:qFormat/>
    <w:uiPriority w:val="0"/>
    <w:rPr>
      <w:rFonts w:ascii="Times New Roman" w:hAnsi="Times New Roman" w:eastAsia="黑体"/>
      <w:b/>
      <w:kern w:val="44"/>
      <w:sz w:val="44"/>
    </w:rPr>
  </w:style>
  <w:style w:type="character" w:customStyle="1" w:styleId="16">
    <w:name w:val="标题 2 Char"/>
    <w:link w:val="7"/>
    <w:qFormat/>
    <w:uiPriority w:val="0"/>
    <w:rPr>
      <w:rFonts w:ascii="Arial" w:hAnsi="Arial" w:eastAsia="楷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2021-11-12T06:40:00Z</dcterms:created>
  <dc:creator>Cosima</dc:creator>
  <cp:lastModifiedBy>Cosima</cp:lastModifiedBy>
  <cp:lastPrinted>2021-11-12T09:06:55Z</cp:lastPrinted>
  <dcterms:modified xsi:type="dcterms:W3CDTF">2021-11-12T09:07:48Z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9A94338045E344C5BF7CEFF497991619</vt:lpwstr>
  </property>
</Properties>
</file>