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 xmlns:a="http://schemas.openxmlformats.org/drawingml/2006/main" xmlns:wps="http://schemas.microsoft.com/office/word/2010/wordprocessingShape" xmlns:wp="http://schemas.openxmlformats.org/drawingml/2006/wordprocessingDrawing" xmlns:pic="http://schemas.openxmlformats.org/drawingml/2006/picture" xmlns:mc="http://schemas.openxmlformats.org/markup-compatibility/2006" xmlns:wpg="http://schemas.microsoft.com/office/word/2010/wordprocessingGroup" xmlns:wpc="http://schemas.microsoft.com/office/word/2010/wordprocessingCanvas" xmlns:w10="urn:schemas-microsoft-com:office:word" xmlns:w14="http://schemas.microsoft.com/office/word/2010/wordml" xmlns:w15="http://schemas.microsoft.com/office/word/2012/wordml" xmlns:a14="http://schemas.microsoft.com/office/drawing/2010/main" mc:Ignorable="w14 w15">
  <w:body>
    <w:p>
      <w:pPr>
        <w:widowControl/>
        <w:spacing w:before="570" w:after="225"/>
        <w:jc w:val="center"/>
        <w:outlineLvl w:val="0"/>
        <w:rPr>
          <w:rFonts w:ascii="微软雅黑" w:eastAsia="微软雅黑" w:cs="宋体"/>
          <w:b/>
          <w:bCs/>
          <w:color w:val="2D66A5"/>
          <w:kern w:val="36"/>
          <w:sz w:val="40"/>
          <w:szCs w:val="44"/>
        </w:rPr>
      </w:pPr>
      <w:bookmarkStart w:id="0" w:name="_GoBack"/>
      <w:bookmarkEnd w:id="0"/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 xml:space="preserve"> 贵阳市自然资源和规划局关于《贵阳市中心城区控制性详细规划（细则）</w:t>
      </w:r>
      <w:r>
        <w:rPr>
          <w:rFonts w:ascii="微软雅黑" w:eastAsia="微软雅黑" w:cs="宋体"/>
          <w:b/>
          <w:bCs/>
          <w:color w:val="2D66A5"/>
          <w:kern w:val="36"/>
          <w:sz w:val="40"/>
          <w:szCs w:val="44"/>
        </w:rPr>
        <w:t>—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  <w:lang w:eastAsia="zh-CN"/>
        </w:rPr>
        <w:t>乌当组团高新单元 WD-09-01 地块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规划方案》的公示</w:t>
      </w:r>
    </w:p>
    <w:p>
      <w:pPr>
        <w:widowControl/>
        <w:shd w:val="clear" w:color="auto" w:fill="FFFFFF"/>
        <w:wordWrap w:val="0"/>
        <w:spacing w:line="480" w:lineRule="atLeast"/>
        <w:ind w:firstLine="480"/>
        <w:jc w:val="left"/>
        <w:rPr>
          <w:rFonts w:ascii="微软雅黑" w:eastAsia="微软雅黑" w:cs="宋体"/>
          <w:b/>
          <w:bCs/>
          <w:color w:val="333333"/>
          <w:kern w:val="0"/>
          <w:sz w:val="24"/>
          <w:szCs w:val="24"/>
          <w:shd w:val="clear" w:color="auto" w:fill="FFFFFF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依据《贵阳市城市总体规划（2011-2020年）》（2017年修订）、《贵阳市中心城区控制性详细规划（总则）——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eastAsia="zh-CN"/>
        </w:rPr>
        <w:t>乌当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组团》等上位规划，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eastAsia="zh-CN"/>
        </w:rPr>
        <w:t>乌当区人民政府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组织编制完成《贵阳市中心城区控制性详细规划（细则）</w:t>
      </w:r>
      <w:r>
        <w:rPr>
          <w:rFonts w:ascii="微软雅黑" w:eastAsia="微软雅黑" w:cs="宋体"/>
          <w:b/>
          <w:bCs/>
          <w:color w:val="333333"/>
          <w:kern w:val="0"/>
          <w:sz w:val="24"/>
          <w:szCs w:val="24"/>
          <w:shd w:val="clear" w:color="auto" w:fill="FFFFFF"/>
        </w:rPr>
        <w:t>—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eastAsia="zh-CN"/>
        </w:rPr>
        <w:t>乌当组团高新单元 WD-09-01 地块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规划方案》并报我局审查，根据《中华人民共和国城乡规划法》、《贵阳市控制性详细规划管理办法》等相关法律法规和规章要求，现将规划方案主要内容予以公告，广泛征求社会意见。</w:t>
      </w:r>
    </w:p>
    <w:p>
      <w:pPr>
        <w:widowControl/>
        <w:shd w:val="clear" w:color="auto" w:fill="FFFFFF"/>
        <w:wordWrap w:val="0"/>
        <w:spacing w:line="480" w:lineRule="atLeast"/>
        <w:ind w:firstLine="480"/>
        <w:jc w:val="left"/>
        <w:rPr>
          <w:rFonts w:ascii="微软雅黑" w:eastAsia="微软雅黑" w:cs="宋体"/>
          <w:color w:val="333333"/>
          <w:kern w:val="0"/>
          <w:sz w:val="24"/>
          <w:szCs w:val="24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公告时间：自公告之日起10工作日。</w:t>
      </w:r>
    </w:p>
    <w:p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color w:val="333333"/>
          <w:kern w:val="0"/>
          <w:sz w:val="24"/>
          <w:szCs w:val="24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联 系 人：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eastAsia="zh-CN"/>
        </w:rPr>
        <w:t>岳伟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val="en-US" w:eastAsia="zh-CN"/>
        </w:rPr>
        <w:t xml:space="preserve">  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（0851-85829396）</w:t>
      </w:r>
    </w:p>
    <w:p>
      <w:pPr>
        <w:widowControl/>
        <w:shd w:val="clear" w:color="auto" w:fill="FFFFFF"/>
        <w:wordWrap w:val="0"/>
        <w:spacing w:line="480" w:lineRule="atLeast"/>
        <w:ind w:right="600" w:firstLineChars="700" w:firstLine="1680"/>
        <w:jc w:val="left"/>
        <w:rPr>
          <w:rFonts w:ascii="微软雅黑" w:eastAsia="微软雅黑" w:cs="宋体"/>
          <w:b/>
          <w:bCs/>
          <w:color w:val="333333"/>
          <w:kern w:val="0"/>
          <w:sz w:val="24"/>
          <w:szCs w:val="24"/>
          <w:shd w:val="clear" w:color="auto" w:fill="FFFFFF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eastAsia="zh-CN"/>
        </w:rPr>
        <w:t>张杰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val="en-US" w:eastAsia="zh-CN"/>
        </w:rPr>
        <w:t xml:space="preserve">  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（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  <w:lang w:val="en-US" w:eastAsia="zh-CN"/>
        </w:rPr>
        <w:t>15985148325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）</w:t>
      </w:r>
    </w:p>
    <w:p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color w:val="000000"/>
          <w:kern w:val="0"/>
          <w:sz w:val="24"/>
          <w:szCs w:val="24"/>
          <w14:textFill>
            <w14:solidFill>
              <w14:srgbClr w14:val="000000"/>
            </w14:solidFill>
          </w14:textFill>
        </w:rPr>
      </w:pP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  <w14:textFill>
            <w14:solidFill>
              <w14:srgbClr w14:val="000000"/>
            </w14:solidFill>
          </w14:textFill>
        </w:rPr>
        <w:t>传    真：85829384（传真）</w:t>
      </w:r>
    </w:p>
    <w:p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b/>
          <w:bCs/>
          <w:color w:val="000000"/>
          <w:kern w:val="0"/>
          <w:sz w:val="24"/>
          <w:szCs w:val="24"/>
          <w:shd w:val="clear" w:color="auto" w:fill="FFFFFF"/>
          <w14:textFill>
            <w14:solidFill>
              <w14:srgbClr w14:val="000000"/>
            </w14:solidFill>
          </w14:textFill>
        </w:rPr>
      </w:pP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  <w14:textFill>
            <w14:solidFill>
              <w14:srgbClr w14:val="000000"/>
            </w14:solidFill>
          </w14:textFill>
        </w:rPr>
        <w:t>电子邮箱：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  <w14:textFill>
            <w14:solidFill>
              <w14:srgbClr w14:val="000000"/>
            </w14:solidFill>
          </w14:textFill>
          <w:lang w:val="en-US" w:eastAsia="zh-CN"/>
        </w:rPr>
        <w:t>1325442033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  <w14:textFill>
            <w14:solidFill>
              <w14:srgbClr w14:val="000000"/>
            </w14:solidFill>
          </w14:textFill>
        </w:rPr>
        <w:t>@qq.com</w:t>
      </w:r>
    </w:p>
    <w:p>
      <w:pPr>
        <w:spacing w:line="360" w:lineRule="auto"/>
        <w:ind w:leftChars="52" w:left="109" w:firstLineChars="100" w:firstLine="440"/>
        <w:jc w:val="center"/>
        <w:rPr>
          <w:rFonts w:ascii="宋体" w:eastAsia="宋体"/>
          <w:b/>
          <w:sz w:val="44"/>
          <w:szCs w:val="44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 w:val="28"/>
          <w:szCs w:val="28"/>
        </w:rPr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 w:val="28"/>
          <w:szCs w:val="28"/>
        </w:rPr>
      </w:pPr>
      <w:r>
        <w:rPr>
          <w:rFonts w:ascii="宋体" w:eastAsia="宋体" w:hint="eastAsia"/>
          <w:b/>
          <w:bCs/>
          <w:sz w:val="28"/>
          <w:szCs w:val="28"/>
        </w:rPr>
        <w:t>第一章 导则解读</w:t>
      </w: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 xml:space="preserve">第一条 </w:t>
      </w:r>
      <w:r>
        <w:rPr>
          <w:rFonts w:ascii="宋体" w:eastAsia="宋体"/>
          <w:b/>
          <w:bCs/>
          <w:szCs w:val="21"/>
        </w:rPr>
        <w:t xml:space="preserve"> </w:t>
      </w:r>
      <w:r>
        <w:rPr>
          <w:rFonts w:ascii="宋体" w:eastAsia="宋体" w:hint="eastAsia"/>
          <w:b/>
          <w:bCs/>
          <w:szCs w:val="21"/>
        </w:rPr>
        <w:t>地块边界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  <w:r>
        <w:rPr>
          <w:rFonts w:ascii="宋体" w:eastAsia="宋体" w:hint="eastAsia"/>
          <w:szCs w:val="21"/>
        </w:rPr>
        <w:t>规划边界西至新添大道，南至马东路，东至市政支路。规划总用地面积</w:t>
      </w:r>
      <w:r>
        <w:rPr>
          <w:rFonts w:ascii="宋体" w:eastAsia="宋体"/>
          <w:szCs w:val="21"/>
        </w:rPr>
        <w:t>19.64</w:t>
      </w:r>
      <w:r>
        <w:rPr>
          <w:rFonts w:ascii="宋体" w:eastAsia="宋体" w:hint="eastAsia"/>
          <w:szCs w:val="21"/>
        </w:rPr>
        <w:t>公顷。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第二条 道路交通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道路体系为：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主干道：新添大道、马东路；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  <w:r>
        <w:rPr>
          <w:rFonts w:ascii="宋体" w:eastAsia="宋体" w:hint="eastAsia"/>
          <w:szCs w:val="21"/>
        </w:rPr>
        <w:t>支路：规划支路。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第三条 规划</w:t>
      </w:r>
      <w:r>
        <w:rPr>
          <w:rFonts w:ascii="宋体" w:eastAsia="宋体"/>
          <w:b/>
          <w:bCs/>
          <w:szCs w:val="21"/>
        </w:rPr>
        <w:t>重要设施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根据高新单元导则，地块规划重要设施如下：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公共服务设施：</w:t>
      </w:r>
      <w:r>
        <w:rPr>
          <w:rFonts w:ascii="宋体" w:eastAsia="宋体"/>
          <w:szCs w:val="21"/>
        </w:rPr>
        <w:t>3</w:t>
      </w:r>
      <w:r>
        <w:rPr>
          <w:rFonts w:ascii="宋体" w:eastAsia="宋体" w:hint="eastAsia"/>
          <w:szCs w:val="21"/>
        </w:rPr>
        <w:t>所幼儿园、居委会、文化活动站、物业服务用房；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  <w:r>
        <w:rPr>
          <w:rFonts w:ascii="宋体" w:eastAsia="宋体" w:hint="eastAsia"/>
          <w:szCs w:val="21"/>
        </w:rPr>
        <w:t>公用设施：</w:t>
      </w:r>
      <w:r>
        <w:rPr>
          <w:rFonts w:ascii="宋体" w:eastAsia="宋体"/>
          <w:szCs w:val="21"/>
        </w:rPr>
        <w:t>1</w:t>
      </w:r>
      <w:r>
        <w:rPr>
          <w:rFonts w:ascii="宋体" w:eastAsia="宋体" w:hint="eastAsia"/>
          <w:szCs w:val="21"/>
        </w:rPr>
        <w:t>处生活垃圾收集点</w:t>
      </w:r>
      <w:r>
        <w:rPr>
          <w:rFonts w:ascii="宋体" w:eastAsia="宋体"/>
          <w:szCs w:val="21"/>
        </w:rPr>
        <w:t>、</w:t>
      </w:r>
      <w:r>
        <w:rPr>
          <w:rFonts w:ascii="宋体" w:eastAsia="宋体" w:hint="eastAsia"/>
          <w:szCs w:val="21"/>
        </w:rPr>
        <w:t>1处再生资源回收点。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第四条 空间管制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1、城市绿线规划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地块城市绿线包括：</w:t>
      </w:r>
    </w:p>
    <w:p>
      <w:pPr>
        <w:snapToGrid w:val="0"/>
        <w:spacing w:line="360" w:lineRule="auto"/>
        <w:ind w:left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新添大道、马东路防护绿地：用地面积共</w:t>
      </w:r>
      <w:r>
        <w:rPr>
          <w:rFonts w:ascii="宋体" w:eastAsia="宋体"/>
          <w:szCs w:val="21"/>
        </w:rPr>
        <w:t>0.91</w:t>
      </w:r>
      <w:r>
        <w:rPr>
          <w:rFonts w:ascii="宋体" w:eastAsia="宋体" w:hint="eastAsia"/>
          <w:szCs w:val="21"/>
        </w:rPr>
        <w:t>公顷，以实线控制。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2、城市黄线控制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地块城市黄线包括：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高压电力线路走廊： 1</w:t>
      </w:r>
      <w:r>
        <w:rPr>
          <w:rFonts w:ascii="宋体" w:eastAsia="宋体"/>
          <w:szCs w:val="21"/>
        </w:rPr>
        <w:t>10</w:t>
      </w:r>
      <w:r>
        <w:rPr>
          <w:rFonts w:ascii="宋体" w:eastAsia="宋体" w:hint="eastAsia"/>
          <w:szCs w:val="21"/>
        </w:rPr>
        <w:t>KV高压线路两侧各控制1</w:t>
      </w:r>
      <w:r>
        <w:rPr>
          <w:rFonts w:ascii="宋体" w:eastAsia="宋体"/>
          <w:szCs w:val="21"/>
        </w:rPr>
        <w:t>2.5</w:t>
      </w:r>
      <w:r>
        <w:rPr>
          <w:rFonts w:ascii="宋体" w:eastAsia="宋体" w:hint="eastAsia"/>
          <w:szCs w:val="21"/>
        </w:rPr>
        <w:t>米防护带。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 w:hint="eastAsia"/>
          <w:szCs w:val="21"/>
        </w:rPr>
      </w:pPr>
      <w:r>
        <w:rPr>
          <w:rFonts w:ascii="宋体" w:eastAsia="宋体" w:hint="eastAsia"/>
          <w:szCs w:val="21"/>
        </w:rPr>
        <w:t>环境设施用地：1处生活垃圾分拣站</w:t>
      </w:r>
      <w:r>
        <w:rPr>
          <w:rFonts w:ascii="宋体" w:eastAsia="宋体"/>
          <w:szCs w:val="21"/>
        </w:rPr>
        <w:t>、1</w:t>
      </w:r>
      <w:r>
        <w:rPr>
          <w:rFonts w:ascii="宋体" w:eastAsia="宋体" w:hint="eastAsia"/>
          <w:szCs w:val="21"/>
        </w:rPr>
        <w:t>处再生资源回收点。</w:t>
      </w:r>
    </w:p>
    <w:p>
      <w:pPr>
        <w:snapToGrid w:val="0"/>
        <w:spacing w:line="360" w:lineRule="auto"/>
        <w:contextualSpacing/>
        <w:rPr>
          <w:rFonts w:ascii="宋体" w:eastAsia="宋体" w:hint="eastAsia"/>
          <w:szCs w:val="21"/>
        </w:rPr>
      </w:pPr>
    </w:p>
    <w:p>
      <w:pPr>
        <w:snapToGrid w:val="0"/>
        <w:spacing w:line="360" w:lineRule="auto"/>
        <w:contextualSpacing/>
        <w:rPr>
          <w:rFonts w:ascii="宋体" w:eastAsia="宋体" w:hint="eastAsia"/>
          <w:b/>
          <w:bCs/>
          <w:szCs w:val="21"/>
        </w:rPr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</w:t>
      </w:r>
      <w:r>
        <w:rPr>
          <w:rFonts w:ascii="宋体" w:eastAsia="宋体" w:hint="eastAsia"/>
          <w:b/>
          <w:bCs/>
          <w:szCs w:val="21"/>
          <w:lang w:eastAsia="zh-CN"/>
        </w:rPr>
        <w:t>五</w:t>
      </w:r>
      <w:r>
        <w:rPr>
          <w:rFonts w:ascii="宋体" w:eastAsia="宋体" w:hint="eastAsia"/>
          <w:b/>
          <w:bCs/>
          <w:szCs w:val="21"/>
        </w:rPr>
        <w:t>条 地块</w:t>
      </w:r>
      <w:r>
        <w:rPr>
          <w:rFonts w:ascii="宋体" w:eastAsia="宋体"/>
          <w:b/>
          <w:bCs/>
          <w:szCs w:val="21"/>
        </w:rPr>
        <w:t>容量</w:t>
      </w:r>
    </w:p>
    <w:p>
      <w:pPr>
        <w:snapToGrid w:val="0"/>
        <w:spacing w:line="360" w:lineRule="auto"/>
        <w:ind w:firstLineChars="200" w:firstLine="420"/>
        <w:contextualSpacing/>
        <w:jc w:val="left"/>
        <w:rPr>
          <w:rFonts w:ascii="宋体" w:eastAsia="宋体" w:hint="eastAsia"/>
          <w:szCs w:val="21"/>
        </w:rPr>
      </w:pPr>
      <w:r>
        <w:rPr>
          <w:rFonts w:ascii="宋体" w:eastAsia="宋体" w:hint="eastAsia"/>
          <w:szCs w:val="21"/>
        </w:rPr>
        <w:t>地块用地面积</w:t>
      </w:r>
      <w:r>
        <w:rPr>
          <w:rFonts w:ascii="宋体" w:eastAsia="宋体"/>
          <w:szCs w:val="21"/>
        </w:rPr>
        <w:t>19.64</w:t>
      </w:r>
      <w:r>
        <w:rPr>
          <w:rFonts w:ascii="宋体" w:eastAsia="宋体" w:hint="eastAsia"/>
          <w:szCs w:val="21"/>
        </w:rPr>
        <w:t>公顷，建设容量控制在</w:t>
      </w:r>
      <w:r>
        <w:rPr>
          <w:rFonts w:ascii="宋体" w:eastAsia="宋体"/>
          <w:szCs w:val="21"/>
        </w:rPr>
        <w:t>22</w:t>
      </w:r>
      <w:r>
        <w:rPr>
          <w:rFonts w:ascii="宋体" w:eastAsia="宋体" w:hint="eastAsia"/>
          <w:szCs w:val="21"/>
        </w:rPr>
        <w:t>万㎡，综合容积率为</w:t>
      </w:r>
      <w:r>
        <w:rPr>
          <w:rFonts w:ascii="宋体" w:eastAsia="宋体"/>
          <w:szCs w:val="21"/>
        </w:rPr>
        <w:t>1.62</w:t>
      </w:r>
      <w:r>
        <w:rPr>
          <w:rFonts w:ascii="宋体" w:eastAsia="宋体" w:hint="eastAsia"/>
          <w:szCs w:val="21"/>
        </w:rPr>
        <w:t>，规划人口</w:t>
      </w:r>
      <w:r>
        <w:rPr>
          <w:rFonts w:ascii="宋体" w:eastAsia="宋体"/>
          <w:szCs w:val="21"/>
        </w:rPr>
        <w:t>0.14</w:t>
      </w:r>
      <w:r>
        <w:rPr>
          <w:rFonts w:ascii="宋体" w:eastAsia="宋体" w:hint="eastAsia"/>
          <w:szCs w:val="21"/>
        </w:rPr>
        <w:t>人。</w:t>
      </w:r>
    </w:p>
    <w:p>
      <w:pPr>
        <w:snapToGrid w:val="0"/>
        <w:spacing w:line="360" w:lineRule="auto"/>
        <w:ind w:firstLineChars="200" w:firstLine="420"/>
        <w:contextualSpacing/>
        <w:jc w:val="left"/>
        <w:rPr>
          <w:rFonts w:ascii="宋体" w:eastAsia="宋体" w:hint="eastAsia"/>
          <w:szCs w:val="21"/>
        </w:rPr>
      </w:pPr>
    </w:p>
    <w:p>
      <w:pPr>
        <w:snapToGrid w:val="0"/>
        <w:spacing w:line="360" w:lineRule="auto"/>
        <w:ind w:firstLineChars="200" w:firstLine="420"/>
        <w:contextualSpacing/>
        <w:jc w:val="left"/>
        <w:rPr>
          <w:rFonts w:ascii="宋体" w:eastAsia="宋体" w:hint="eastAsia"/>
          <w:szCs w:val="21"/>
          <w:lang w:eastAsia="zh-CN"/>
        </w:rPr>
      </w:pPr>
    </w:p>
    <w:p>
      <w:pPr>
        <w:snapToGrid w:val="0"/>
        <w:spacing w:line="360" w:lineRule="auto"/>
        <w:ind w:firstLineChars="200" w:firstLine="420"/>
        <w:contextualSpacing/>
        <w:jc w:val="left"/>
        <w:rPr>
          <w:rFonts w:ascii="宋体" w:eastAsia="宋体" w:hint="eastAsia"/>
          <w:szCs w:val="21"/>
          <w:lang w:eastAsia="zh-CN"/>
        </w:rPr>
      </w:pPr>
    </w:p>
    <w:tbl>
      <w:tblPr>
        <w:tblpPr w:leftFromText="180" w:rightFromText="180" w:vertAnchor="text" w:horzAnchor="page" w:tblpX="6454" w:tblpY="93"/>
        <w:tblW w:w="3117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top w:w="0" w:type="dxa"/>
          <w:left w:w="0" w:type="dxa"/>
          <w:bottom w:w="0" w:type="dxa"/>
          <w:right w:w="0" w:type="dxa"/>
        </w:tblCellMar>
      </w:tblPr>
      <w:tblGrid>
        <w:gridCol w:w="733"/>
        <w:gridCol w:w="733"/>
        <w:gridCol w:w="736"/>
        <w:gridCol w:w="732"/>
        <w:gridCol w:w="736"/>
        <w:gridCol w:w="732"/>
        <w:gridCol w:w="762"/>
      </w:tblGrid>
      <w:tr>
        <w:trPr>
          <w:trHeight w:val="1100"/>
        </w:trPr>
        <w:tc>
          <w:tcPr>
            <w:tcW w:w="5000" w:type="pct"/>
            <w:gridSpan w:val="7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4F81BD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ind w:firstLineChars="200" w:firstLine="400"/>
              <w:contextualSpacing/>
              <w:jc w:val="center"/>
              <w:rPr>
                <w:rFonts w:ascii="微软雅黑" w:eastAsia="微软雅黑"/>
                <w:sz w:val="18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20"/>
                <w:szCs w:val="21"/>
              </w:rPr>
              <w:t>地块容量控制指标一览表</w:t>
            </w:r>
          </w:p>
        </w:tc>
      </w:tr>
      <w:tr>
        <w:trPr>
          <w:trHeight w:val="621"/>
        </w:trPr>
        <w:tc>
          <w:tcPr>
            <w:tcW w:w="710" w:type="pct"/>
            <w:vMerge w:val="restart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地块编号</w:t>
            </w:r>
          </w:p>
        </w:tc>
        <w:tc>
          <w:tcPr>
            <w:tcW w:w="710" w:type="pct"/>
            <w:vMerge w:val="restart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b/>
                <w:bCs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总用地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面积（ha）</w:t>
            </w:r>
          </w:p>
        </w:tc>
        <w:tc>
          <w:tcPr>
            <w:tcW w:w="3578" w:type="pct"/>
            <w:gridSpan w:val="5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规划指标</w:t>
            </w:r>
          </w:p>
        </w:tc>
      </w:tr>
      <w:tr>
        <w:trPr>
          <w:trHeight w:val="1374"/>
        </w:trPr>
        <w:tc>
          <w:tcPr>
            <w:tcW w:w="710" w:type="pct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/>
        </w:tc>
        <w:tc>
          <w:tcPr>
            <w:tcW w:w="710" w:type="pct"/>
            <w:vMerge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vAlign w:val="center"/>
          </w:tcPr>
          <w:p/>
        </w:tc>
        <w:tc>
          <w:tcPr>
            <w:tcW w:w="712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建设用地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（公顷）</w:t>
            </w:r>
          </w:p>
        </w:tc>
        <w:tc>
          <w:tcPr>
            <w:tcW w:w="70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建设容量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（万</w:t>
            </w:r>
            <w:r>
              <w:rPr>
                <w:rFonts w:ascii="Batang" w:eastAsia="Batang" w:cs="Batang" w:hAnsi="Batang" w:hint="eastAsia"/>
                <w:b/>
                <w:bCs/>
                <w:sz w:val="16"/>
                <w:szCs w:val="18"/>
              </w:rPr>
              <w:t>㎡</w:t>
            </w:r>
            <w:r>
              <w:rPr>
                <w:rFonts w:ascii="微软雅黑" w:eastAsia="微软雅黑" w:cs="微软雅黑" w:hint="eastAsia"/>
                <w:b/>
                <w:bCs/>
                <w:sz w:val="16"/>
                <w:szCs w:val="18"/>
              </w:rPr>
              <w:t>）</w:t>
            </w:r>
          </w:p>
        </w:tc>
        <w:tc>
          <w:tcPr>
            <w:tcW w:w="712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人口规模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（人）</w:t>
            </w:r>
          </w:p>
        </w:tc>
        <w:tc>
          <w:tcPr>
            <w:tcW w:w="709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b/>
                <w:bCs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综合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容积率</w:t>
            </w:r>
          </w:p>
        </w:tc>
        <w:tc>
          <w:tcPr>
            <w:tcW w:w="734" w:type="pct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0D8E8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建筑高度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rFonts w:ascii="微软雅黑" w:eastAsia="微软雅黑"/>
                <w:sz w:val="16"/>
                <w:szCs w:val="18"/>
              </w:rPr>
            </w:pPr>
            <w:r>
              <w:rPr>
                <w:rFonts w:ascii="微软雅黑" w:eastAsia="微软雅黑" w:hint="eastAsia"/>
                <w:b/>
                <w:bCs/>
                <w:sz w:val="16"/>
                <w:szCs w:val="18"/>
              </w:rPr>
              <w:t>（米）</w:t>
            </w:r>
          </w:p>
        </w:tc>
      </w:tr>
      <w:tr>
        <w:trPr>
          <w:trHeight w:val="1236"/>
        </w:trPr>
        <w:tc>
          <w:tcPr>
            <w:tcW w:w="710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 w:hint="eastAsia"/>
                <w:bCs/>
                <w:kern w:val="2"/>
                <w:sz w:val="18"/>
                <w:szCs w:val="18"/>
              </w:rPr>
              <w:t>WD-</w:t>
            </w: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09</w:t>
            </w:r>
            <w:r>
              <w:rPr>
                <w:rFonts w:ascii="微软雅黑" w:eastAsia="微软雅黑" w:cs="Times New Roman" w:hint="eastAsia"/>
                <w:bCs/>
                <w:kern w:val="2"/>
                <w:sz w:val="18"/>
                <w:szCs w:val="18"/>
              </w:rPr>
              <w:t>-0</w:t>
            </w: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</w:t>
            </w:r>
          </w:p>
        </w:tc>
        <w:tc>
          <w:tcPr>
            <w:tcW w:w="710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19.64</w:t>
            </w:r>
          </w:p>
        </w:tc>
        <w:tc>
          <w:tcPr>
            <w:tcW w:w="712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13.56</w:t>
            </w:r>
          </w:p>
        </w:tc>
        <w:tc>
          <w:tcPr>
            <w:tcW w:w="709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22</w:t>
            </w:r>
          </w:p>
        </w:tc>
        <w:tc>
          <w:tcPr>
            <w:tcW w:w="712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1400</w:t>
            </w:r>
          </w:p>
        </w:tc>
        <w:tc>
          <w:tcPr>
            <w:tcW w:w="709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1.62</w:t>
            </w:r>
          </w:p>
        </w:tc>
        <w:tc>
          <w:tcPr>
            <w:tcW w:w="734" w:type="pct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9EDF4"/>
            <w:tcMar>
              <w:top w:w="13" w:type="dxa"/>
              <w:left w:w="13" w:type="dxa"/>
              <w:right w:w="13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80</w:t>
            </w:r>
          </w:p>
        </w:tc>
      </w:tr>
    </w:tbl>
    <w:p>
      <w:pPr>
        <w:snapToGrid w:val="0"/>
        <w:spacing w:line="360" w:lineRule="auto"/>
        <w:contextualSpacing/>
        <w:rPr>
          <w:rFonts w:ascii="宋体" w:eastAsia="宋体"/>
          <w:szCs w:val="21"/>
        </w:rPr>
      </w:pPr>
      <w:r>
        <w:drawing>
          <wp:anchor distT="0" distB="0" distL="114300" distR="114300" simplePos="0" relativeHeight="16" behindDoc="0" locked="0" layoutInCell="1" hidden="0" allowOverlap="1">
            <wp:simplePos x="0" y="0"/>
            <wp:positionH relativeFrom="margin">
              <wp:posOffset>-280670</wp:posOffset>
            </wp:positionH>
            <wp:positionV relativeFrom="paragraph">
              <wp:posOffset>50800</wp:posOffset>
            </wp:positionV>
            <wp:extent cx="3215639" cy="2881630"/>
            <wp:effectExtent l="0" t="0" r="0" b="0"/>
            <wp:wrapTight wrapText="bothSides">
              <wp:wrapPolygon>
                <wp:start x="-34" y="-23"/>
                <wp:lineTo x="-34" y="21537"/>
                <wp:lineTo x="21591" y="21537"/>
                <wp:lineTo x="21591" y="-23"/>
                <wp:lineTo x="-34" y="-23"/>
              </wp:wrapPolygon>
            </wp:wrapTight>
            <wp:docPr id="1" name="图片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" name="图片 2 3"/>
                    <pic:cNvPicPr/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15639" cy="2881630"/>
                    </a:xfrm>
                    <a:prstGeom prst="rect"/>
                    <a:noFill/>
                    <a:ln w="9525" cmpd="sng" cap="flat">
                      <a:noFill/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 w:val="28"/>
          <w:szCs w:val="28"/>
        </w:rPr>
      </w:pPr>
      <w:r>
        <w:rPr>
          <w:rFonts w:ascii="宋体" w:eastAsia="宋体" w:hint="eastAsia"/>
          <w:b/>
          <w:bCs/>
          <w:sz w:val="28"/>
          <w:szCs w:val="28"/>
        </w:rPr>
        <w:t>第二章 规划细则</w:t>
      </w: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第六条 土地使用规划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szCs w:val="21"/>
        </w:rPr>
        <w:t>地块总用地面积为</w:t>
      </w:r>
      <w:r>
        <w:rPr>
          <w:rFonts w:ascii="宋体" w:eastAsia="宋体"/>
          <w:szCs w:val="21"/>
        </w:rPr>
        <w:t>19.64</w:t>
      </w:r>
      <w:r>
        <w:rPr>
          <w:rFonts w:ascii="宋体" w:eastAsia="宋体" w:hint="eastAsia"/>
          <w:szCs w:val="21"/>
        </w:rPr>
        <w:t>公顷，建设用地面积</w:t>
      </w:r>
      <w:r>
        <w:rPr>
          <w:rFonts w:ascii="宋体" w:eastAsia="宋体"/>
          <w:szCs w:val="21"/>
        </w:rPr>
        <w:t>13.56</w:t>
      </w:r>
      <w:r>
        <w:rPr>
          <w:rFonts w:ascii="宋体" w:eastAsia="宋体" w:hint="eastAsia"/>
          <w:szCs w:val="21"/>
        </w:rPr>
        <w:t>公顷。</w:t>
      </w:r>
      <w:r>
        <w:rPr>
          <w:rFonts w:ascii="宋体" w:eastAsia="宋体"/>
          <w:b/>
          <w:bCs/>
          <w:szCs w:val="21"/>
        </w:rPr>
        <w:drawing>
          <wp:inline distT="0" distB="0" distL="0" distR="0">
            <wp:extent cx="4944745" cy="4782185"/>
            <wp:effectExtent l="0" t="0" r="12" b="41"/>
            <wp:docPr id="4" name="图片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图片 7 6"/>
                    <pic:cNvPicPr/>
                  </pic:nvPicPr>
                  <pic:blipFill>
                    <a:blip r:embed="rId3"/>
                    <a:srcRect t="18990" b="11319" l="1403" r="476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4745" cy="4782185"/>
                    </a:xfrm>
                    <a:prstGeom prst="rect"/>
                    <a:noFill/>
                    <a:ln w="9525" cmpd="sng" cap="flat">
                      <a:noFill/>
                      <a:prstDash val="solid"/>
                      <a:round/>
                    </a:ln>
                  </pic:spPr>
                </pic:pic>
              </a:graphicData>
            </a:graphic>
          </wp:inline>
        </w:drawing>
      </w: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第七条 开发控制</w:t>
      </w:r>
    </w:p>
    <w:p>
      <w:pPr>
        <w:snapToGrid w:val="0"/>
        <w:spacing w:line="360" w:lineRule="auto"/>
        <w:ind w:firstLineChars="200" w:firstLine="420"/>
        <w:contextualSpacing/>
        <w:rPr>
          <w:rFonts w:ascii="宋体" w:eastAsia="宋体"/>
          <w:szCs w:val="21"/>
        </w:rPr>
      </w:pPr>
      <w:r>
        <w:rPr>
          <w:rFonts w:ascii="宋体" w:eastAsia="宋体" w:hint="eastAsia"/>
          <w:szCs w:val="21"/>
        </w:rPr>
        <w:t>规划总建筑量</w:t>
      </w:r>
      <w:r>
        <w:rPr>
          <w:rFonts w:ascii="宋体" w:eastAsia="宋体"/>
          <w:szCs w:val="21"/>
        </w:rPr>
        <w:t>22</w:t>
      </w:r>
      <w:r>
        <w:rPr>
          <w:rFonts w:ascii="宋体" w:eastAsia="宋体" w:hint="eastAsia"/>
          <w:szCs w:val="21"/>
        </w:rPr>
        <w:t>万平方米，其中居住建筑总量</w:t>
      </w:r>
      <w:r>
        <w:rPr>
          <w:rFonts w:ascii="宋体" w:eastAsia="宋体"/>
          <w:szCs w:val="21"/>
        </w:rPr>
        <w:t>6.15</w:t>
      </w:r>
      <w:r>
        <w:rPr>
          <w:rFonts w:ascii="宋体" w:eastAsia="宋体" w:hint="eastAsia"/>
          <w:szCs w:val="21"/>
        </w:rPr>
        <w:t>万平方米（含兼容建筑及配套设施），居住人口</w:t>
      </w:r>
      <w:r>
        <w:rPr>
          <w:rFonts w:ascii="宋体" w:eastAsia="宋体"/>
          <w:szCs w:val="21"/>
        </w:rPr>
        <w:t>1400</w:t>
      </w:r>
      <w:r>
        <w:rPr>
          <w:rFonts w:ascii="宋体" w:eastAsia="宋体" w:hint="eastAsia"/>
          <w:szCs w:val="21"/>
        </w:rPr>
        <w:t>人。</w:t>
      </w:r>
    </w:p>
    <w:tbl>
      <w:tblPr>
        <w:jc w:val="center"/>
        <w:tblW w:w="4489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top w:w="0" w:type="dxa"/>
          <w:left w:w="0" w:type="dxa"/>
          <w:bottom w:w="0" w:type="dxa"/>
          <w:right w:w="0" w:type="dxa"/>
        </w:tblCellMar>
      </w:tblPr>
      <w:tblGrid>
        <w:gridCol w:w="2116"/>
        <w:gridCol w:w="1135"/>
        <w:gridCol w:w="992"/>
        <w:gridCol w:w="1134"/>
        <w:gridCol w:w="1134"/>
        <w:gridCol w:w="928"/>
      </w:tblGrid>
      <w:tr>
        <w:trPr>
          <w:trHeight w:val="480"/>
        </w:trPr>
        <w:tc>
          <w:tcPr>
            <w:tcW w:w="14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地块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编号</w:t>
            </w:r>
          </w:p>
        </w:tc>
        <w:tc>
          <w:tcPr>
            <w:tcW w:w="763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用地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面积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（公顷）</w:t>
            </w:r>
          </w:p>
        </w:tc>
        <w:tc>
          <w:tcPr>
            <w:tcW w:w="66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建设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用地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面积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（公顷）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总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建筑量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3"/>
                <w:szCs w:val="15"/>
              </w:rPr>
              <w:t>（万平方米）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b/>
                <w:bCs/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居住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建筑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总量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3"/>
                <w:szCs w:val="15"/>
              </w:rPr>
              <w:t>（万平方米）</w:t>
            </w:r>
          </w:p>
        </w:tc>
        <w:tc>
          <w:tcPr>
            <w:tcW w:w="62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居住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5"/>
                <w:szCs w:val="16"/>
              </w:rPr>
              <w:t>人口</w:t>
            </w:r>
          </w:p>
          <w:p>
            <w:pPr>
              <w:snapToGrid w:val="0"/>
              <w:spacing w:line="360" w:lineRule="auto"/>
              <w:contextualSpacing/>
              <w:jc w:val="center"/>
              <w:rPr>
                <w:sz w:val="15"/>
                <w:szCs w:val="16"/>
              </w:rPr>
            </w:pPr>
            <w:r>
              <w:rPr>
                <w:rFonts w:hint="eastAsia"/>
                <w:b/>
                <w:bCs/>
                <w:sz w:val="13"/>
                <w:szCs w:val="15"/>
              </w:rPr>
              <w:t>（人）</w:t>
            </w:r>
          </w:p>
        </w:tc>
      </w:tr>
      <w:tr>
        <w:trPr>
          <w:trHeight w:val="1261"/>
        </w:trPr>
        <w:tc>
          <w:tcPr>
            <w:tcW w:w="14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  <w:tc>
          <w:tcPr>
            <w:tcW w:w="76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  <w:tc>
          <w:tcPr>
            <w:tcW w:w="66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  <w:tc>
          <w:tcPr>
            <w:tcW w:w="6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/>
        </w:tc>
      </w:tr>
      <w:tr>
        <w:trPr>
          <w:trHeight w:val="435"/>
        </w:trPr>
        <w:tc>
          <w:tcPr>
            <w:tcW w:w="14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snapToGrid w:val="0"/>
              <w:spacing w:line="360" w:lineRule="auto"/>
              <w:contextualSpacing/>
              <w:jc w:val="center"/>
            </w:pPr>
            <w:r>
              <w:rPr>
                <w:rFonts w:hint="eastAsia"/>
              </w:rPr>
              <w:t>WD-</w:t>
            </w:r>
            <w:r>
              <w:t>09</w:t>
            </w:r>
            <w:r>
              <w:rPr>
                <w:rFonts w:hint="eastAsia"/>
              </w:rPr>
              <w:t>-0</w:t>
            </w:r>
            <w:r>
              <w:t>1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19.64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13.56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22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6.15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>
            <w:pPr>
              <w:pStyle w:val="18"/>
              <w:spacing w:before="0" w:beforeAutospacing="0" w:after="0" w:afterAutospacing="0"/>
              <w:jc w:val="center"/>
              <w:textAlignment w:val="center"/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</w:pPr>
            <w:r>
              <w:rPr>
                <w:rFonts w:ascii="微软雅黑" w:eastAsia="微软雅黑" w:cs="Times New Roman"/>
                <w:bCs/>
                <w:kern w:val="2"/>
                <w:sz w:val="18"/>
                <w:szCs w:val="18"/>
              </w:rPr>
              <w:t>1400</w:t>
            </w:r>
          </w:p>
        </w:tc>
      </w:tr>
    </w:tbl>
    <w:p>
      <w:pPr>
        <w:snapToGrid w:val="0"/>
        <w:spacing w:line="360" w:lineRule="auto"/>
        <w:contextualSpacing/>
      </w:pPr>
    </w:p>
    <w:p>
      <w:pPr>
        <w:snapToGrid w:val="0"/>
        <w:spacing w:line="360" w:lineRule="auto"/>
        <w:contextualSpacing/>
        <w:rPr>
          <w:rFonts w:ascii="宋体" w:eastAsia="宋体"/>
          <w:b/>
          <w:bCs/>
          <w:szCs w:val="21"/>
        </w:rPr>
      </w:pPr>
      <w:r>
        <w:rPr>
          <w:rFonts w:ascii="宋体" w:eastAsia="宋体" w:hint="eastAsia"/>
          <w:b/>
          <w:bCs/>
          <w:szCs w:val="21"/>
        </w:rPr>
        <w:t>第八条 地块细则</w:t>
      </w:r>
    </w:p>
    <w:p>
      <w:pPr>
        <w:ind w:firstLineChars="200" w:firstLine="420"/>
        <w:rPr>
          <w:rFonts w:ascii="宋体" w:eastAsia="宋体"/>
          <w:szCs w:val="21"/>
        </w:rPr>
      </w:pPr>
      <w:r>
        <w:drawing>
          <wp:anchor distT="0" distB="0" distL="114300" distR="114300" simplePos="0" relativeHeight="18" behindDoc="0" locked="0" layoutInCell="1" hidden="0" allowOverlap="1">
            <wp:simplePos x="0" y="0"/>
            <wp:positionH relativeFrom="margin">
              <wp:align>center</wp:align>
            </wp:positionH>
            <wp:positionV relativeFrom="paragraph">
              <wp:posOffset>280034</wp:posOffset>
            </wp:positionV>
            <wp:extent cx="7209790" cy="5100955"/>
            <wp:effectExtent l="0" t="0" r="0" b="0"/>
            <wp:wrapTight wrapText="bothSides">
              <wp:wrapPolygon>
                <wp:start x="-11" y="-18"/>
                <wp:lineTo x="-11" y="21560"/>
                <wp:lineTo x="21590" y="21560"/>
                <wp:lineTo x="21590" y="-18"/>
                <wp:lineTo x="-11" y="-18"/>
              </wp:wrapPolygon>
            </wp:wrapTight>
            <wp:docPr id="7" name="图片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" name="图片 4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209790" cy="5100955"/>
                    </a:xfrm>
                    <a:prstGeom prst="rect"/>
                    <a:noFill/>
                    <a:ln w="9525" cmpd="sng" cap="flat">
                      <a:noFill/>
                      <a:prstDash val="solid"/>
                      <a:round/>
                    </a:ln>
                  </pic:spPr>
                </pic:pic>
              </a:graphicData>
            </a:graphic>
          </wp:anchor>
        </w:drawing>
      </w:r>
      <w:r>
        <w:rPr>
          <w:rFonts w:ascii="宋体" w:eastAsia="宋体" w:hint="eastAsia"/>
          <w:szCs w:val="21"/>
        </w:rPr>
        <w:t>本次地块</w:t>
      </w:r>
      <w:r>
        <w:rPr>
          <w:rFonts w:ascii="宋体" w:eastAsia="宋体"/>
          <w:szCs w:val="21"/>
        </w:rPr>
        <w:t>细则图则</w:t>
      </w:r>
      <w:r>
        <w:rPr>
          <w:rFonts w:ascii="宋体" w:eastAsia="宋体" w:hint="eastAsia"/>
          <w:szCs w:val="21"/>
        </w:rPr>
        <w:t>如下：</w:t>
      </w:r>
    </w:p>
    <w:sectPr>
      <w:pgSz w:w="11906" w:h="16838"/>
      <w:pgMar w:top="1440" w:right="1800" w:bottom="1440" w:left="1800" w:header="851" w:footer="992" w:gutter="0"/>
      <w:docGrid w:type="lines" w:linePitch="312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宋体">
    <w:panose1 w:val="02010600030101010101"/>
    <w:charset w:val="86"/>
    <w:family w:val="auto"/>
    <w:pitch w:val="variable"/>
    <w:sig w:usb0="00000003" w:usb1="288F0000" w:usb2="00000006" w:usb3="00000000" w:csb0="00040001" w:csb1="00000000"/>
  </w:font>
  <w:font w:name="Batang">
    <w:altName w:val="宋体"/>
    <w:panose1 w:val="02030600000101010101"/>
    <w:charset w:val="81"/>
    <w:family w:val="roman"/>
    <w:pitch w:val="variable"/>
    <w:sig w:usb0="B00002AF" w:usb1="69D77CFB" w:usb2="00000030" w:usb3="00000000" w:csb0="4008009F" w:csb1="DFD70000"/>
  </w:font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2000019F" w:csb1="00000000"/>
  </w:font>
  <w:font w:name="Luxi Sans">
    <w:altName w:val="Arial"/>
    <w:panose1 w:val="00000000000000000000"/>
    <w:charset w:val="00"/>
    <w:family w:val="auto"/>
    <w:pitch w:val="variable"/>
    <w:sig w:usb0="00000000" w:usb1="00000000" w:usb2="00000000" w:usb3="00000000" w:csb0="00000000" w:csb1="00000000"/>
  </w:font>
  <w:font w:name="黑体">
    <w:panose1 w:val="02010609060101010101"/>
    <w:charset w:val="86"/>
    <w:family w:val="auto"/>
    <w:pitch w:val="variable"/>
    <w:sig w:usb0="800002BF" w:usb1="38CF7CFA" w:usb2="00000016" w:usb3="00000000" w:csb0="00040001" w:csb1="00000000"/>
  </w:font>
</w:fonts>
</file>

<file path=word/settings.xml><?xml version="1.0" encoding="utf-8"?>
<w:settings xmlns:w="http://schemas.openxmlformats.org/wordprocessingml/2006/main" xmlns:o="urn:schemas-microsoft-com:office:office" xmlns:r="http://schemas.openxmlformats.org/officeDocument/2006/relationships" xmlns:m="http://schemas.openxmlformats.org/officeDocument/2006/math" xmlns:v="urn:schemas-microsoft-com:vml">
  <w:zoom w:percent="70"/>
  <w:bordersDoNotSurroundHeader w:val="0"/>
  <w:bordersDoNotSurroundFooter w:val="0"/>
  <w:trackRevisions/>
  <w:documentProtection w:edit="readOnly" w:enforcement="0"/>
  <w:defaultTabStop w:val="420"/>
  <w:drawingGridHorizontalSpacing w:val="105"/>
  <w:drawingGridVerticalSpacing w:val="156"/>
  <w:displayHorizontalDrawingGridEvery w:val="1"/>
  <w:displayVerticalDrawingGridEvery w:val="1"/>
  <w:noPunctuationKerning/>
  <w:characterSpacingControl w:val="compressPunctuation"/>
  <w:compat>
    <w:spaceForUL/>
    <w:balanceSingleByteDoubleByteWidth/>
    <w:ulTrailSpace/>
    <w:doNotExpandShiftReturn/>
    <w:adjustLineHeightInTable/>
    <w:doNotUseIndentAsNumberingTabStop/>
    <w:useAltKinsokuLineBreakRules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r="http://schemas.openxmlformats.org/officeDocument/2006/relationships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style w:type="paragraph" w:default="1" w:styleId="0">
    <w:name w:val="Normal"/>
    <w:pPr>
      <w:widowControl w:val="0"/>
      <w:jc w:val="both"/>
    </w:pPr>
    <w:rPr>
      <w:rFonts w:ascii="Calibri" w:eastAsia="宋体" w:cs="Times New Roman" w:hAnsi="Calibri"/>
      <w:kern w:val="2"/>
      <w:sz w:val="21"/>
      <w:szCs w:val="22"/>
      <w:lang w:val="en-US" w:eastAsia="zh-CN" w:bidi="ar-SA"/>
    </w:rPr>
  </w:style>
  <w:style w:type="paragraph" w:styleId="1">
    <w:name w:val="heading 1"/>
    <w:basedOn w:val="0"/>
    <w:next w:val="0"/>
    <w:pPr>
      <w:keepNext/>
      <w:keepLines/>
      <w:widowControl w:val="0"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0"/>
    <w:next w:val="0"/>
    <w:pPr>
      <w:keepNext/>
      <w:keepLines/>
      <w:widowControl w:val="0"/>
      <w:spacing w:before="260" w:after="260" w:line="415" w:lineRule="auto"/>
      <w:outlineLvl w:val="1"/>
    </w:pPr>
    <w:rPr>
      <w:rFonts w:ascii="Luxi Sans" w:eastAsia="黑体" w:hAnsi="Luxi Sans"/>
      <w:b/>
      <w:sz w:val="32"/>
    </w:rPr>
  </w:style>
  <w:style w:type="paragraph" w:styleId="3">
    <w:name w:val="heading 3"/>
    <w:basedOn w:val="0"/>
    <w:next w:val="0"/>
    <w:pPr>
      <w:keepNext/>
      <w:keepLines/>
      <w:widowControl w:val="0"/>
      <w:spacing w:before="260" w:after="260" w:line="415" w:lineRule="auto"/>
      <w:outlineLvl w:val="2"/>
    </w:pPr>
    <w:rPr>
      <w:b/>
      <w:sz w:val="32"/>
    </w:rPr>
  </w:style>
  <w:style w:type="character" w:default="1" w:styleId="10">
    <w:name w:val="Default Paragraph Font"/>
  </w:style>
  <w:style w:type="paragraph" w:styleId="15">
    <w:name w:val="Balloon Text"/>
    <w:basedOn w:val="0"/>
    <w:rPr>
      <w:sz w:val="18"/>
      <w:szCs w:val="18"/>
    </w:rPr>
  </w:style>
  <w:style w:type="paragraph" w:styleId="16">
    <w:name w:val="footer"/>
    <w:basedOn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7">
    <w:name w:val="header"/>
    <w:basedOn w:val="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8">
    <w:name w:val="Normal (Web)"/>
    <w:basedOn w:val="0"/>
    <w:pPr>
      <w:widowControl/>
      <w:spacing w:before="100" w:beforeAutospacing="1" w:after="100" w:afterAutospacing="1"/>
      <w:jc w:val="left"/>
    </w:pPr>
    <w:rPr>
      <w:rFonts w:ascii="宋体" w:cs="宋体"/>
      <w:kern w:val="0"/>
      <w:sz w:val="24"/>
      <w:szCs w:val="24"/>
    </w:rPr>
  </w:style>
  <w:style w:type="paragraph" w:styleId="19">
    <w:name w:val="List Paragraph"/>
    <w:basedOn w:val="0"/>
    <w:pPr>
      <w:ind w:firstLineChars="200" w:firstLine="200"/>
    </w:pPr>
  </w:style>
  <w:style w:type="paragraph" w:styleId="20">
    <w:name w:val="toc 1"/>
    <w:basedOn w:val="0"/>
    <w:autoRedefine/>
    <w:next w:val="0"/>
  </w:style>
  <w:style w:type="paragraph" w:styleId="21">
    <w:name w:val="toc 2"/>
    <w:basedOn w:val="0"/>
    <w:autoRedefine/>
    <w:next w:val="0"/>
    <w:pPr>
      <w:ind w:left="420"/>
    </w:pPr>
  </w:style>
  <w:style w:type="paragraph" w:styleId="22">
    <w:name w:val="toc 3"/>
    <w:basedOn w:val="0"/>
    <w:autoRedefine/>
    <w:next w:val="0"/>
    <w:pPr>
      <w:ind w:left="840"/>
    </w:pPr>
  </w:style>
  <w:style w:type="paragraph" w:styleId="23">
    <w:name w:val="toc 4"/>
    <w:basedOn w:val="0"/>
    <w:autoRedefine/>
    <w:next w:val="0"/>
    <w:pPr>
      <w:ind w:left="1260"/>
    </w:pPr>
  </w:style>
  <w:style w:type="paragraph" w:styleId="24">
    <w:name w:val="toc 5"/>
    <w:basedOn w:val="0"/>
    <w:autoRedefine/>
    <w:next w:val="0"/>
    <w:pPr>
      <w:ind w:left="1680"/>
    </w:p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image" Target="media/2.jpeg"/><Relationship Id="rId3" Type="http://schemas.openxmlformats.org/officeDocument/2006/relationships/image" Target="media/5.jpeg"/><Relationship Id="rId4" Type="http://schemas.openxmlformats.org/officeDocument/2006/relationships/image" Target="media/8.jpeg"/><Relationship Id="rId5" Type="http://schemas.openxmlformats.org/officeDocument/2006/relationships/styles" Target="styles.xml"/><Relationship Id="rId6" Type="http://schemas.openxmlformats.org/officeDocument/2006/relationships/fontTable" Target="fontTable.xml"/></Relationships>
</file>

<file path=docProps/app.xml><?xml version="1.0" encoding="utf-8"?>
<Properties xmlns="http://schemas.openxmlformats.org/officeDocument/2006/extended-properties">
  <Template>Normal.eit</Template>
  <TotalTime>8</TotalTime>
  <Application>Yozo_Office27021597764231179</Application>
  <Pages>4</Pages>
  <Words>839</Words>
  <Characters>1000</Characters>
  <Lines>111</Lines>
  <Paragraphs>82</Paragraphs>
  <CharactersWithSpaces>1027</CharactersWithSpaces>
  <Company>Microsoft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:creator>Microsoft</dc:creator>
  <cp:lastModifiedBy>朱翎绮</cp:lastModifiedBy>
  <cp:revision>94</cp:revision>
  <cp:lastPrinted>2021-07-07T04:33:00Z</cp:lastPrinted>
  <dcterms:created xsi:type="dcterms:W3CDTF">2020-05-27T08:47:00Z</dcterms:created>
  <dcterms:modified xsi:type="dcterms:W3CDTF">2022-01-17T03:25:34Z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KSOProductBuildVer">
    <vt:lpwstr>2052-11.1.0.9208</vt:lpwstr>
  </property>
  <property fmtid="{D5CDD505-2E9C-101B-9397-08002B2CF9AE}" pid="3" name="ICV">
    <vt:lpwstr>F764B4EAC8754750BB0CC4F223408822</vt:lpwstr>
  </property>
</Properties>
</file>