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t>《贵阳市中心城区控制性详细规划（细则）--乌当组团云锦单元WD-08-01地块》</w:t>
      </w:r>
    </w:p>
    <w:p>
      <w:pPr>
        <w:spacing w:line="360" w:lineRule="auto"/>
        <w:ind w:left="109" w:leftChars="52" w:firstLine="442" w:firstLineChars="100"/>
        <w:jc w:val="center"/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t>公示内容</w:t>
      </w:r>
    </w:p>
    <w:p>
      <w:pPr>
        <w:spacing w:line="360" w:lineRule="auto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snapToGrid w:val="0"/>
        <w:spacing w:line="288" w:lineRule="auto"/>
        <w:contextualSpacing/>
        <w:rPr>
          <w:rFonts w:asciiTheme="minorEastAsia" w:hAnsiTheme="minorEastAsia" w:eastAsiaTheme="minorEastAsia"/>
          <w:b/>
          <w:bCs/>
          <w:szCs w:val="21"/>
        </w:rPr>
      </w:pPr>
      <w:r>
        <w:rPr>
          <w:rFonts w:hint="eastAsia" w:asciiTheme="minorEastAsia" w:hAnsiTheme="minorEastAsia" w:eastAsiaTheme="minorEastAsia"/>
          <w:b/>
          <w:bCs/>
          <w:szCs w:val="21"/>
        </w:rPr>
        <w:t xml:space="preserve">第一条 </w:t>
      </w:r>
      <w:r>
        <w:rPr>
          <w:rFonts w:asciiTheme="minorEastAsia" w:hAnsiTheme="minorEastAsia" w:eastAsiaTheme="minorEastAsia"/>
          <w:b/>
          <w:bCs/>
          <w:szCs w:val="21"/>
        </w:rPr>
        <w:t xml:space="preserve"> </w:t>
      </w:r>
      <w:r>
        <w:rPr>
          <w:rFonts w:hint="eastAsia" w:asciiTheme="minorEastAsia" w:hAnsiTheme="minorEastAsia" w:eastAsiaTheme="minorEastAsia"/>
          <w:b/>
          <w:bCs/>
          <w:szCs w:val="21"/>
        </w:rPr>
        <w:t>地块边界</w:t>
      </w:r>
    </w:p>
    <w:p>
      <w:pPr>
        <w:snapToGrid w:val="0"/>
        <w:spacing w:line="288" w:lineRule="auto"/>
        <w:ind w:firstLine="420" w:firstLineChars="200"/>
        <w:contextualSpacing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 xml:space="preserve">  WD-08-01地块东临已建贵州联科装备制药科技地块、南接沪昆铁路、西至高新北路、北至规划路。地块总用地面积10.33公顷。</w:t>
      </w:r>
    </w:p>
    <w:p>
      <w:pPr>
        <w:snapToGrid w:val="0"/>
        <w:spacing w:line="288" w:lineRule="auto"/>
        <w:ind w:firstLine="420" w:firstLineChars="200"/>
        <w:contextualSpacing/>
        <w:rPr>
          <w:rFonts w:hint="eastAsia" w:asciiTheme="minorEastAsia" w:hAnsiTheme="minorEastAsia" w:eastAsiaTheme="minorEastAsia"/>
          <w:szCs w:val="21"/>
        </w:rPr>
      </w:pPr>
    </w:p>
    <w:p>
      <w:pPr>
        <w:snapToGrid w:val="0"/>
        <w:spacing w:line="288" w:lineRule="auto"/>
        <w:contextualSpacing/>
        <w:rPr>
          <w:rFonts w:asciiTheme="minorEastAsia" w:hAnsiTheme="minorEastAsia" w:eastAsiaTheme="minorEastAsia"/>
          <w:b/>
          <w:bCs/>
          <w:szCs w:val="21"/>
        </w:rPr>
      </w:pPr>
      <w:r>
        <w:rPr>
          <w:rFonts w:hint="eastAsia" w:asciiTheme="minorEastAsia" w:hAnsiTheme="minorEastAsia" w:eastAsiaTheme="minorEastAsia"/>
          <w:b/>
          <w:bCs/>
          <w:szCs w:val="21"/>
        </w:rPr>
        <w:t>第二条 道路交通</w:t>
      </w:r>
    </w:p>
    <w:p>
      <w:pPr>
        <w:snapToGrid w:val="0"/>
        <w:spacing w:line="288" w:lineRule="auto"/>
        <w:ind w:firstLine="420" w:firstLineChars="200"/>
        <w:contextualSpacing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道路体系为：</w:t>
      </w:r>
    </w:p>
    <w:p>
      <w:pPr>
        <w:snapToGrid w:val="0"/>
        <w:spacing w:line="288" w:lineRule="auto"/>
        <w:ind w:firstLine="420" w:firstLineChars="200"/>
        <w:contextualSpacing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快速路：主要为马东路；</w:t>
      </w:r>
    </w:p>
    <w:p>
      <w:pPr>
        <w:snapToGrid w:val="0"/>
        <w:spacing w:line="288" w:lineRule="auto"/>
        <w:ind w:firstLine="420" w:firstLineChars="200"/>
        <w:contextualSpacing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主干道：主要为高新北路。</w:t>
      </w:r>
    </w:p>
    <w:p>
      <w:pPr>
        <w:snapToGrid w:val="0"/>
        <w:spacing w:line="288" w:lineRule="auto"/>
        <w:ind w:firstLine="420" w:firstLineChars="200"/>
        <w:contextualSpacing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支路：主要为规划支路。</w:t>
      </w:r>
    </w:p>
    <w:p>
      <w:pPr>
        <w:snapToGrid w:val="0"/>
        <w:spacing w:line="288" w:lineRule="auto"/>
        <w:ind w:firstLine="420" w:firstLineChars="200"/>
        <w:contextualSpacing/>
        <w:rPr>
          <w:rFonts w:hint="eastAsia" w:asciiTheme="minorEastAsia" w:hAnsiTheme="minorEastAsia" w:eastAsiaTheme="minorEastAsia"/>
          <w:szCs w:val="21"/>
        </w:rPr>
      </w:pPr>
    </w:p>
    <w:p>
      <w:pPr>
        <w:snapToGrid w:val="0"/>
        <w:spacing w:line="360" w:lineRule="auto"/>
        <w:contextualSpacing/>
        <w:rPr>
          <w:rFonts w:asciiTheme="minorEastAsia" w:hAnsiTheme="minorEastAsia" w:eastAsiaTheme="minorEastAsia"/>
          <w:b/>
          <w:bCs/>
          <w:szCs w:val="21"/>
        </w:rPr>
      </w:pPr>
      <w:r>
        <w:rPr>
          <w:rFonts w:hint="eastAsia" w:asciiTheme="minorEastAsia" w:hAnsiTheme="minorEastAsia" w:eastAsiaTheme="minorEastAsia"/>
          <w:b/>
          <w:bCs/>
          <w:szCs w:val="21"/>
        </w:rPr>
        <w:t>第三条 地块开发控制</w:t>
      </w:r>
    </w:p>
    <w:p>
      <w:pPr>
        <w:snapToGrid w:val="0"/>
        <w:spacing w:line="360" w:lineRule="auto"/>
        <w:ind w:firstLine="420" w:firstLineChars="200"/>
        <w:contextualSpacing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规划总建筑量</w:t>
      </w:r>
      <w:r>
        <w:rPr>
          <w:rFonts w:asciiTheme="minorEastAsia" w:hAnsiTheme="minorEastAsia" w:eastAsiaTheme="minorEastAsia"/>
          <w:szCs w:val="21"/>
        </w:rPr>
        <w:t>14.56</w:t>
      </w:r>
      <w:r>
        <w:rPr>
          <w:rFonts w:hint="eastAsia" w:asciiTheme="minorEastAsia" w:hAnsiTheme="minorEastAsia" w:eastAsiaTheme="minorEastAsia"/>
          <w:szCs w:val="21"/>
        </w:rPr>
        <w:t>万平方米。其中工业建筑总量</w:t>
      </w:r>
      <w:r>
        <w:rPr>
          <w:rFonts w:asciiTheme="minorEastAsia" w:hAnsiTheme="minorEastAsia" w:eastAsiaTheme="minorEastAsia"/>
          <w:szCs w:val="21"/>
        </w:rPr>
        <w:t>14.52</w:t>
      </w:r>
      <w:r>
        <w:rPr>
          <w:rFonts w:hint="eastAsia" w:asciiTheme="minorEastAsia" w:hAnsiTheme="minorEastAsia" w:eastAsiaTheme="minorEastAsia"/>
          <w:szCs w:val="21"/>
        </w:rPr>
        <w:t>万平方米（含兼容建筑及配套设施），居住人口0人。</w:t>
      </w:r>
    </w:p>
    <w:tbl>
      <w:tblPr>
        <w:tblStyle w:val="6"/>
        <w:tblW w:w="4489" w:type="pct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74"/>
        <w:gridCol w:w="1221"/>
        <w:gridCol w:w="1071"/>
        <w:gridCol w:w="911"/>
        <w:gridCol w:w="1107"/>
        <w:gridCol w:w="103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1538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地块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编号</w:t>
            </w:r>
          </w:p>
        </w:tc>
        <w:tc>
          <w:tcPr>
            <w:tcW w:w="791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用地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面积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（公顷）</w:t>
            </w:r>
          </w:p>
        </w:tc>
        <w:tc>
          <w:tcPr>
            <w:tcW w:w="694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建设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用地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面积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（公顷）</w:t>
            </w:r>
          </w:p>
        </w:tc>
        <w:tc>
          <w:tcPr>
            <w:tcW w:w="590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总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建筑量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3"/>
                <w:szCs w:val="15"/>
              </w:rPr>
              <w:t>（万平方米）</w:t>
            </w:r>
          </w:p>
        </w:tc>
        <w:tc>
          <w:tcPr>
            <w:tcW w:w="717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工业建筑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总量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3"/>
                <w:szCs w:val="15"/>
              </w:rPr>
              <w:t>（万平方米）</w:t>
            </w:r>
          </w:p>
        </w:tc>
        <w:tc>
          <w:tcPr>
            <w:tcW w:w="668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居住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人口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3"/>
                <w:szCs w:val="15"/>
              </w:rPr>
              <w:t>（人）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  <w:jc w:val="center"/>
        </w:trPr>
        <w:tc>
          <w:tcPr>
            <w:tcW w:w="153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line="360" w:lineRule="auto"/>
              <w:contextualSpacing/>
            </w:pPr>
          </w:p>
        </w:tc>
        <w:tc>
          <w:tcPr>
            <w:tcW w:w="791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line="360" w:lineRule="auto"/>
              <w:contextualSpacing/>
            </w:pPr>
          </w:p>
        </w:tc>
        <w:tc>
          <w:tcPr>
            <w:tcW w:w="694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line="360" w:lineRule="auto"/>
              <w:contextualSpacing/>
            </w:pPr>
          </w:p>
        </w:tc>
        <w:tc>
          <w:tcPr>
            <w:tcW w:w="590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line="360" w:lineRule="auto"/>
              <w:contextualSpacing/>
            </w:pPr>
          </w:p>
        </w:tc>
        <w:tc>
          <w:tcPr>
            <w:tcW w:w="717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line="360" w:lineRule="auto"/>
              <w:contextualSpacing/>
            </w:pPr>
          </w:p>
        </w:tc>
        <w:tc>
          <w:tcPr>
            <w:tcW w:w="66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line="360" w:lineRule="auto"/>
              <w:contextualSpacing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  <w:jc w:val="center"/>
        </w:trPr>
        <w:tc>
          <w:tcPr>
            <w:tcW w:w="15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</w:pPr>
            <w:r>
              <w:rPr>
                <w:rFonts w:hint="eastAsia"/>
              </w:rPr>
              <w:t>WD-08-01</w:t>
            </w:r>
          </w:p>
        </w:tc>
        <w:tc>
          <w:tcPr>
            <w:tcW w:w="79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</w:pPr>
            <w:r>
              <w:t>10.33</w:t>
            </w:r>
          </w:p>
        </w:tc>
        <w:tc>
          <w:tcPr>
            <w:tcW w:w="6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</w:pPr>
            <w:r>
              <w:t>8.59</w:t>
            </w:r>
          </w:p>
        </w:tc>
        <w:tc>
          <w:tcPr>
            <w:tcW w:w="59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</w:pPr>
            <w:r>
              <w:t>14.56</w:t>
            </w:r>
          </w:p>
        </w:tc>
        <w:tc>
          <w:tcPr>
            <w:tcW w:w="71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</w:pPr>
            <w:r>
              <w:t>14.52</w:t>
            </w:r>
          </w:p>
        </w:tc>
        <w:tc>
          <w:tcPr>
            <w:tcW w:w="66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</w:pPr>
            <w:r>
              <w:rPr>
                <w:rFonts w:hint="eastAsia"/>
              </w:rPr>
              <w:t>0</w:t>
            </w:r>
          </w:p>
        </w:tc>
      </w:tr>
    </w:tbl>
    <w:p>
      <w:pPr>
        <w:snapToGrid w:val="0"/>
        <w:spacing w:line="360" w:lineRule="auto"/>
        <w:contextualSpacing/>
        <w:rPr>
          <w:rFonts w:asciiTheme="minorEastAsia" w:hAnsiTheme="minorEastAsia" w:eastAsiaTheme="minorEastAsia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asciiTheme="minorEastAsia" w:hAnsiTheme="minorEastAsia" w:eastAsiaTheme="minorEastAsia"/>
          <w:b/>
          <w:bCs/>
          <w:szCs w:val="21"/>
        </w:rPr>
      </w:pPr>
      <w:r>
        <w:rPr>
          <w:rFonts w:hint="eastAsia" w:asciiTheme="minorEastAsia" w:hAnsiTheme="minorEastAsia" w:eastAsiaTheme="minorEastAsia"/>
          <w:b/>
          <w:bCs/>
          <w:szCs w:val="21"/>
        </w:rPr>
        <w:t>第四条 开发控制</w:t>
      </w:r>
    </w:p>
    <w:p>
      <w:pPr>
        <w:snapToGrid w:val="0"/>
        <w:spacing w:line="360" w:lineRule="auto"/>
        <w:ind w:firstLine="420" w:firstLineChars="200"/>
        <w:contextualSpacing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规划地块总用地面积为</w:t>
      </w:r>
      <w:r>
        <w:rPr>
          <w:rFonts w:asciiTheme="minorEastAsia" w:hAnsiTheme="minorEastAsia" w:eastAsiaTheme="minorEastAsia"/>
          <w:szCs w:val="21"/>
        </w:rPr>
        <w:t>10.33</w:t>
      </w:r>
      <w:r>
        <w:rPr>
          <w:rFonts w:hint="eastAsia" w:asciiTheme="minorEastAsia" w:hAnsiTheme="minorEastAsia" w:eastAsiaTheme="minorEastAsia"/>
          <w:szCs w:val="21"/>
        </w:rPr>
        <w:t>公顷，建设用地面积</w:t>
      </w:r>
      <w:r>
        <w:rPr>
          <w:rFonts w:asciiTheme="minorEastAsia" w:hAnsiTheme="minorEastAsia" w:eastAsiaTheme="minorEastAsia"/>
          <w:szCs w:val="21"/>
        </w:rPr>
        <w:t>8.59</w:t>
      </w:r>
      <w:r>
        <w:rPr>
          <w:rFonts w:hint="eastAsia" w:asciiTheme="minorEastAsia" w:hAnsiTheme="minorEastAsia" w:eastAsiaTheme="minorEastAsia"/>
          <w:szCs w:val="21"/>
        </w:rPr>
        <w:t>公顷。</w:t>
      </w:r>
    </w:p>
    <w:p>
      <w:pPr>
        <w:snapToGrid w:val="0"/>
        <w:spacing w:line="360" w:lineRule="auto"/>
        <w:contextualSpacing/>
        <w:rPr>
          <w:rFonts w:asciiTheme="minorEastAsia" w:hAnsiTheme="minorEastAsia" w:eastAsiaTheme="minorEastAsia"/>
          <w:b/>
          <w:bCs/>
          <w:szCs w:val="21"/>
        </w:rPr>
      </w:pPr>
      <w:r>
        <w:rPr>
          <w:rFonts w:asciiTheme="minorEastAsia" w:hAnsiTheme="minorEastAsia" w:eastAsiaTheme="minorEastAsia"/>
          <w:b/>
          <w:bCs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1278255</wp:posOffset>
            </wp:positionH>
            <wp:positionV relativeFrom="paragraph">
              <wp:posOffset>13335</wp:posOffset>
            </wp:positionV>
            <wp:extent cx="2326005" cy="2439670"/>
            <wp:effectExtent l="0" t="0" r="0" b="0"/>
            <wp:wrapNone/>
            <wp:docPr id="2" name="图片 2" descr="C:\Users\Administrator\Desktop\新建文件夹 (8)\图则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新建文件夹 (8)\图则 - 副本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665" cy="244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spacing w:line="360" w:lineRule="auto"/>
        <w:contextualSpacing/>
        <w:rPr>
          <w:rFonts w:asciiTheme="minorEastAsia" w:hAnsiTheme="minorEastAsia" w:eastAsiaTheme="minorEastAsia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asciiTheme="minorEastAsia" w:hAnsiTheme="minorEastAsia" w:eastAsiaTheme="minorEastAsia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asciiTheme="minorEastAsia" w:hAnsiTheme="minorEastAsia" w:eastAsiaTheme="minorEastAsia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asciiTheme="minorEastAsia" w:hAnsiTheme="minorEastAsia" w:eastAsiaTheme="minorEastAsia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asciiTheme="minorEastAsia" w:hAnsiTheme="minorEastAsia" w:eastAsiaTheme="minorEastAsia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asciiTheme="minorEastAsia" w:hAnsiTheme="minorEastAsia" w:eastAsiaTheme="minorEastAsia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asciiTheme="minorEastAsia" w:hAnsiTheme="minorEastAsia" w:eastAsiaTheme="minorEastAsia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hint="eastAsia" w:asciiTheme="minorEastAsia" w:hAnsiTheme="minorEastAsia" w:eastAsiaTheme="minorEastAsia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asciiTheme="minorEastAsia" w:hAnsiTheme="minorEastAsia" w:eastAsiaTheme="minorEastAsia"/>
          <w:b/>
          <w:bCs/>
          <w:szCs w:val="21"/>
        </w:rPr>
      </w:pPr>
      <w:r>
        <w:rPr>
          <w:rFonts w:hint="eastAsia" w:asciiTheme="minorEastAsia" w:hAnsiTheme="minorEastAsia" w:eastAsiaTheme="minorEastAsia"/>
          <w:b/>
          <w:bCs/>
          <w:szCs w:val="21"/>
        </w:rPr>
        <w:t>第</w:t>
      </w:r>
      <w:r>
        <w:rPr>
          <w:rFonts w:hint="eastAsia" w:asciiTheme="minorEastAsia" w:hAnsiTheme="minorEastAsia" w:eastAsiaTheme="minorEastAsia"/>
          <w:b/>
          <w:bCs/>
          <w:szCs w:val="21"/>
          <w:lang w:val="en-US" w:eastAsia="zh-CN"/>
        </w:rPr>
        <w:t>五</w:t>
      </w:r>
      <w:r>
        <w:rPr>
          <w:rFonts w:hint="eastAsia" w:asciiTheme="minorEastAsia" w:hAnsiTheme="minorEastAsia" w:eastAsiaTheme="minorEastAsia"/>
          <w:b/>
          <w:bCs/>
          <w:szCs w:val="21"/>
        </w:rPr>
        <w:t>条 地块细则</w:t>
      </w:r>
      <w:bookmarkStart w:id="0" w:name="_GoBack"/>
      <w:bookmarkEnd w:id="0"/>
    </w:p>
    <w:p>
      <w:pPr>
        <w:ind w:firstLine="420" w:firstLineChars="200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本次地块</w:t>
      </w:r>
      <w:r>
        <w:rPr>
          <w:rFonts w:asciiTheme="minorEastAsia" w:hAnsiTheme="minorEastAsia" w:eastAsiaTheme="minorEastAsia"/>
          <w:szCs w:val="21"/>
        </w:rPr>
        <w:t>细则图则</w:t>
      </w:r>
      <w:r>
        <w:rPr>
          <w:rFonts w:hint="eastAsia" w:asciiTheme="minorEastAsia" w:hAnsiTheme="minorEastAsia" w:eastAsiaTheme="minorEastAsia"/>
          <w:szCs w:val="21"/>
        </w:rPr>
        <w:t>如下：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-1068705</wp:posOffset>
            </wp:positionH>
            <wp:positionV relativeFrom="paragraph">
              <wp:posOffset>132080</wp:posOffset>
            </wp:positionV>
            <wp:extent cx="7346950" cy="5196205"/>
            <wp:effectExtent l="0" t="0" r="6350" b="4445"/>
            <wp:wrapNone/>
            <wp:docPr id="1" name="图片 1" descr="ece822265d22fb13492ae037ebe9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ce822265d22fb13492ae037ebe9e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6950" cy="519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szCs w:val="21"/>
        </w:rPr>
        <w:t xml:space="preserve">   </w:t>
      </w:r>
    </w:p>
    <w:p>
      <w:pPr>
        <w:rPr>
          <w:rFonts w:asciiTheme="minorEastAsia" w:hAnsiTheme="minorEastAsia" w:eastAsiaTheme="minorEastAsia"/>
          <w:szCs w:val="21"/>
        </w:rPr>
      </w:pPr>
    </w:p>
    <w:p>
      <w:pPr>
        <w:rPr>
          <w:rFonts w:asciiTheme="minorEastAsia" w:hAnsiTheme="minorEastAsia" w:eastAsiaTheme="minorEastAsia"/>
          <w:szCs w:val="21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2322F"/>
    <w:rsid w:val="0003577A"/>
    <w:rsid w:val="00051571"/>
    <w:rsid w:val="00060854"/>
    <w:rsid w:val="000626E1"/>
    <w:rsid w:val="00067E52"/>
    <w:rsid w:val="00084FC3"/>
    <w:rsid w:val="000A6C9B"/>
    <w:rsid w:val="000B2805"/>
    <w:rsid w:val="000D7294"/>
    <w:rsid w:val="000E413F"/>
    <w:rsid w:val="00101C65"/>
    <w:rsid w:val="00123328"/>
    <w:rsid w:val="00126DDE"/>
    <w:rsid w:val="00172A27"/>
    <w:rsid w:val="001776C3"/>
    <w:rsid w:val="001801E9"/>
    <w:rsid w:val="00180D6A"/>
    <w:rsid w:val="001821F7"/>
    <w:rsid w:val="00196207"/>
    <w:rsid w:val="001A2EE4"/>
    <w:rsid w:val="001C3671"/>
    <w:rsid w:val="001C59E4"/>
    <w:rsid w:val="001D39CF"/>
    <w:rsid w:val="001E5B61"/>
    <w:rsid w:val="00203E97"/>
    <w:rsid w:val="0022568D"/>
    <w:rsid w:val="0023423A"/>
    <w:rsid w:val="002562A5"/>
    <w:rsid w:val="00281B37"/>
    <w:rsid w:val="002B07AA"/>
    <w:rsid w:val="002C0BFA"/>
    <w:rsid w:val="002C1568"/>
    <w:rsid w:val="00325A7E"/>
    <w:rsid w:val="003347F8"/>
    <w:rsid w:val="0036265E"/>
    <w:rsid w:val="003649D1"/>
    <w:rsid w:val="003730A7"/>
    <w:rsid w:val="00376ECD"/>
    <w:rsid w:val="003A7917"/>
    <w:rsid w:val="003F157D"/>
    <w:rsid w:val="00413699"/>
    <w:rsid w:val="004149B1"/>
    <w:rsid w:val="00421787"/>
    <w:rsid w:val="0043616F"/>
    <w:rsid w:val="004424B7"/>
    <w:rsid w:val="00455AD4"/>
    <w:rsid w:val="00466064"/>
    <w:rsid w:val="0049185B"/>
    <w:rsid w:val="004A6BCF"/>
    <w:rsid w:val="004C0EF5"/>
    <w:rsid w:val="004C0F7B"/>
    <w:rsid w:val="004C5515"/>
    <w:rsid w:val="00514A15"/>
    <w:rsid w:val="00590F5D"/>
    <w:rsid w:val="00591014"/>
    <w:rsid w:val="00591FF3"/>
    <w:rsid w:val="005A16BE"/>
    <w:rsid w:val="005A5B32"/>
    <w:rsid w:val="005C082C"/>
    <w:rsid w:val="005D1878"/>
    <w:rsid w:val="005D347B"/>
    <w:rsid w:val="00620DA5"/>
    <w:rsid w:val="00623B86"/>
    <w:rsid w:val="00666583"/>
    <w:rsid w:val="0066673A"/>
    <w:rsid w:val="00696D6A"/>
    <w:rsid w:val="006A4BC9"/>
    <w:rsid w:val="006C6202"/>
    <w:rsid w:val="006F5433"/>
    <w:rsid w:val="007615B9"/>
    <w:rsid w:val="00761B94"/>
    <w:rsid w:val="00781A21"/>
    <w:rsid w:val="00786035"/>
    <w:rsid w:val="007B1063"/>
    <w:rsid w:val="007E7F9F"/>
    <w:rsid w:val="00805EE4"/>
    <w:rsid w:val="00825321"/>
    <w:rsid w:val="00831AE1"/>
    <w:rsid w:val="00835464"/>
    <w:rsid w:val="0083580D"/>
    <w:rsid w:val="008618E0"/>
    <w:rsid w:val="00954933"/>
    <w:rsid w:val="009723D0"/>
    <w:rsid w:val="00975AC9"/>
    <w:rsid w:val="009A7346"/>
    <w:rsid w:val="009E0594"/>
    <w:rsid w:val="009E0F54"/>
    <w:rsid w:val="00A04EFC"/>
    <w:rsid w:val="00A16210"/>
    <w:rsid w:val="00A45E45"/>
    <w:rsid w:val="00A46319"/>
    <w:rsid w:val="00A55AEC"/>
    <w:rsid w:val="00AA27CC"/>
    <w:rsid w:val="00AB73CD"/>
    <w:rsid w:val="00AC2496"/>
    <w:rsid w:val="00AE6AFB"/>
    <w:rsid w:val="00B0153D"/>
    <w:rsid w:val="00B16A68"/>
    <w:rsid w:val="00B33B77"/>
    <w:rsid w:val="00B63498"/>
    <w:rsid w:val="00B74B90"/>
    <w:rsid w:val="00BA3D32"/>
    <w:rsid w:val="00BB5428"/>
    <w:rsid w:val="00BB7894"/>
    <w:rsid w:val="00BD1535"/>
    <w:rsid w:val="00BD2F3C"/>
    <w:rsid w:val="00BF4A91"/>
    <w:rsid w:val="00C07C5F"/>
    <w:rsid w:val="00C10171"/>
    <w:rsid w:val="00C4092B"/>
    <w:rsid w:val="00C417A8"/>
    <w:rsid w:val="00C71A4B"/>
    <w:rsid w:val="00C776A8"/>
    <w:rsid w:val="00C90E01"/>
    <w:rsid w:val="00C947BD"/>
    <w:rsid w:val="00C97F1B"/>
    <w:rsid w:val="00CA01B3"/>
    <w:rsid w:val="00CA62F5"/>
    <w:rsid w:val="00CA7A2F"/>
    <w:rsid w:val="00CB623C"/>
    <w:rsid w:val="00CC515D"/>
    <w:rsid w:val="00CD7B98"/>
    <w:rsid w:val="00CE589A"/>
    <w:rsid w:val="00CF2136"/>
    <w:rsid w:val="00D07170"/>
    <w:rsid w:val="00D46929"/>
    <w:rsid w:val="00D65648"/>
    <w:rsid w:val="00D6619E"/>
    <w:rsid w:val="00DA5083"/>
    <w:rsid w:val="00DD68A1"/>
    <w:rsid w:val="00E02C39"/>
    <w:rsid w:val="00E34EBC"/>
    <w:rsid w:val="00E41012"/>
    <w:rsid w:val="00E46361"/>
    <w:rsid w:val="00E54C36"/>
    <w:rsid w:val="00ED2993"/>
    <w:rsid w:val="00EF0FE6"/>
    <w:rsid w:val="00EF7D7C"/>
    <w:rsid w:val="00F13176"/>
    <w:rsid w:val="00F26D36"/>
    <w:rsid w:val="00F552BD"/>
    <w:rsid w:val="00F56195"/>
    <w:rsid w:val="00F56305"/>
    <w:rsid w:val="00F74236"/>
    <w:rsid w:val="00FA166C"/>
    <w:rsid w:val="00FE58D2"/>
    <w:rsid w:val="00FF1943"/>
    <w:rsid w:val="03142561"/>
    <w:rsid w:val="03EC7957"/>
    <w:rsid w:val="04C0078D"/>
    <w:rsid w:val="09761CEB"/>
    <w:rsid w:val="0B2412F5"/>
    <w:rsid w:val="10D128C4"/>
    <w:rsid w:val="142A1464"/>
    <w:rsid w:val="16737481"/>
    <w:rsid w:val="1A377479"/>
    <w:rsid w:val="1E3E1C9D"/>
    <w:rsid w:val="1F290BFE"/>
    <w:rsid w:val="21E97D33"/>
    <w:rsid w:val="281834E9"/>
    <w:rsid w:val="286A1B57"/>
    <w:rsid w:val="342B4738"/>
    <w:rsid w:val="355B222F"/>
    <w:rsid w:val="3D007033"/>
    <w:rsid w:val="47477DCE"/>
    <w:rsid w:val="482731D6"/>
    <w:rsid w:val="5FF24323"/>
    <w:rsid w:val="60C76CF2"/>
    <w:rsid w:val="65EF539B"/>
    <w:rsid w:val="6A5414C1"/>
    <w:rsid w:val="77FE07C4"/>
    <w:rsid w:val="7A7E59A0"/>
    <w:rsid w:val="7BAC4E3C"/>
    <w:rsid w:val="7D43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字符"/>
    <w:basedOn w:val="7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F99024-5AA6-4385-B00B-19EDCA16346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64</Words>
  <Characters>371</Characters>
  <Lines>3</Lines>
  <Paragraphs>1</Paragraphs>
  <TotalTime>2</TotalTime>
  <ScaleCrop>false</ScaleCrop>
  <LinksUpToDate>false</LinksUpToDate>
  <CharactersWithSpaces>434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2022-03-14T01:47:00Z</dcterms:created>
  <dc:creator>Microsoft</dc:creator>
  <cp:lastModifiedBy>莽莽</cp:lastModifiedBy>
  <cp:lastPrinted>2020-05-28T03:11:00Z</cp:lastPrinted>
  <dcterms:modified xsi:type="dcterms:W3CDTF">2022-03-14T06:10:17Z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  <property fmtid="{D5CDD505-2E9C-101B-9397-08002B2CF9AE}" pid="3" name="ICV">
    <vt:lpwstr>2F68148E5662405E8544C1F5B876FE31</vt:lpwstr>
  </property>
</Properties>
</file>