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pPr>
        <w:widowControl/>
        <w:spacing w:before="570" w:after="225"/>
        <w:jc w:val="center"/>
        <w:outlineLvl w:val="0"/>
        <w:rPr>
          <w:rFonts w:ascii="微软雅黑" w:eastAsia="微软雅黑" w:cs="宋体"/>
          <w:b/>
          <w:bCs/>
          <w:color w:val="2D66A5"/>
          <w:kern w:val="36"/>
          <w:sz w:val="40"/>
          <w:szCs w:val="44"/>
        </w:rPr>
      </w:pPr>
      <w:bookmarkStart w:id="0" w:name="_GoBack"/>
      <w:bookmarkEnd w:id="0"/>
      <w:r>
        <w:rPr>
          <w:rFonts w:ascii="微软雅黑" w:eastAsia="微软雅黑" w:cs="宋体" w:hint="eastAsia"/>
          <w:b/>
          <w:bCs/>
          <w:color w:val="2D66A5"/>
          <w:kern w:val="36"/>
          <w:sz w:val="40"/>
          <w:szCs w:val="44"/>
        </w:rPr>
        <w:t xml:space="preserve"> 贵阳市自然资源和规划局关于《贵阳市中心城区控制性详细规划（细则）</w:t>
      </w:r>
      <w:r>
        <w:rPr>
          <w:rFonts w:ascii="微软雅黑" w:eastAsia="微软雅黑" w:cs="宋体"/>
          <w:b/>
          <w:bCs/>
          <w:color w:val="2D66A5"/>
          <w:kern w:val="36"/>
          <w:sz w:val="40"/>
          <w:szCs w:val="44"/>
        </w:rPr>
        <w:t>—</w:t>
      </w:r>
      <w:r>
        <w:rPr>
          <w:rFonts w:ascii="微软雅黑" w:eastAsia="微软雅黑" w:cs="宋体" w:hint="eastAsia"/>
          <w:b/>
          <w:bCs/>
          <w:color w:val="2D66A5"/>
          <w:kern w:val="36"/>
          <w:sz w:val="40"/>
          <w:szCs w:val="44"/>
          <w:lang w:eastAsia="zh-CN"/>
        </w:rPr>
        <w:t>乌当</w:t>
      </w:r>
      <w:r>
        <w:rPr>
          <w:rFonts w:ascii="微软雅黑" w:eastAsia="微软雅黑" w:cs="宋体" w:hint="eastAsia"/>
          <w:b/>
          <w:bCs/>
          <w:color w:val="2D66A5"/>
          <w:kern w:val="36"/>
          <w:sz w:val="40"/>
          <w:szCs w:val="44"/>
        </w:rPr>
        <w:t>组团</w:t>
      </w:r>
      <w:r>
        <w:rPr>
          <w:rFonts w:ascii="微软雅黑" w:eastAsia="微软雅黑" w:cs="宋体" w:hint="eastAsia"/>
          <w:b/>
          <w:bCs/>
          <w:color w:val="2D66A5"/>
          <w:kern w:val="36"/>
          <w:sz w:val="40"/>
          <w:szCs w:val="44"/>
          <w:lang w:eastAsia="zh-CN"/>
        </w:rPr>
        <w:t>新天</w:t>
      </w:r>
      <w:r>
        <w:rPr>
          <w:rFonts w:ascii="微软雅黑" w:eastAsia="微软雅黑" w:cs="宋体" w:hint="eastAsia"/>
          <w:b/>
          <w:bCs/>
          <w:color w:val="2D66A5"/>
          <w:kern w:val="36"/>
          <w:sz w:val="40"/>
          <w:szCs w:val="44"/>
        </w:rPr>
        <w:t>单元</w:t>
      </w:r>
      <w:r>
        <w:rPr>
          <w:rFonts w:ascii="微软雅黑" w:eastAsia="微软雅黑" w:cs="宋体" w:hint="eastAsia"/>
          <w:b/>
          <w:bCs/>
          <w:color w:val="2D66A5"/>
          <w:kern w:val="36"/>
          <w:sz w:val="40"/>
          <w:szCs w:val="44"/>
          <w:lang w:val="en-US" w:eastAsia="zh-CN"/>
        </w:rPr>
        <w:t>WD</w:t>
      </w:r>
      <w:r>
        <w:rPr>
          <w:rFonts w:ascii="微软雅黑" w:eastAsia="微软雅黑" w:cs="宋体" w:hint="eastAsia"/>
          <w:b/>
          <w:bCs/>
          <w:color w:val="2D66A5"/>
          <w:kern w:val="36"/>
          <w:sz w:val="40"/>
          <w:szCs w:val="44"/>
        </w:rPr>
        <w:t>-</w:t>
      </w:r>
      <w:r>
        <w:rPr>
          <w:rFonts w:ascii="微软雅黑" w:eastAsia="微软雅黑" w:cs="宋体" w:hint="eastAsia"/>
          <w:b/>
          <w:bCs/>
          <w:color w:val="2D66A5"/>
          <w:kern w:val="36"/>
          <w:sz w:val="40"/>
          <w:szCs w:val="44"/>
          <w:lang w:val="en-US" w:eastAsia="zh-CN"/>
        </w:rPr>
        <w:t>10</w:t>
      </w:r>
      <w:r>
        <w:rPr>
          <w:rFonts w:ascii="微软雅黑" w:eastAsia="微软雅黑" w:cs="宋体" w:hint="eastAsia"/>
          <w:b/>
          <w:bCs/>
          <w:color w:val="2D66A5"/>
          <w:kern w:val="36"/>
          <w:sz w:val="40"/>
          <w:szCs w:val="44"/>
        </w:rPr>
        <w:t>-0</w:t>
      </w:r>
      <w:r>
        <w:rPr>
          <w:rFonts w:ascii="微软雅黑" w:eastAsia="微软雅黑" w:cs="宋体" w:hint="eastAsia"/>
          <w:b/>
          <w:bCs/>
          <w:color w:val="2D66A5"/>
          <w:kern w:val="36"/>
          <w:sz w:val="40"/>
          <w:szCs w:val="44"/>
          <w:lang w:val="en-US" w:eastAsia="zh-CN"/>
        </w:rPr>
        <w:t>8-04</w:t>
      </w:r>
      <w:r>
        <w:rPr>
          <w:rFonts w:ascii="微软雅黑" w:eastAsia="微软雅黑" w:cs="宋体" w:hint="eastAsia"/>
          <w:b/>
          <w:bCs/>
          <w:color w:val="2D66A5"/>
          <w:kern w:val="36"/>
          <w:sz w:val="40"/>
          <w:szCs w:val="44"/>
        </w:rPr>
        <w:t>地块规划方案》的公示</w:t>
      </w:r>
    </w:p>
    <w:p>
      <w:pPr>
        <w:snapToGrid w:val="0"/>
        <w:spacing w:line="360" w:lineRule="auto"/>
        <w:ind w:firstLineChars="200" w:firstLine="480"/>
        <w:contextualSpacing/>
        <w:rPr>
          <w:rFonts w:ascii="微软雅黑" w:eastAsia="微软雅黑" w:cs="微软雅黑" w:hint="eastAsia"/>
          <w:b/>
          <w:bCs/>
          <w:sz w:val="24"/>
          <w:szCs w:val="24"/>
        </w:rPr>
      </w:pPr>
      <w:r>
        <w:rPr>
          <w:rFonts w:ascii="微软雅黑" w:eastAsia="微软雅黑" w:cs="微软雅黑" w:hint="eastAsia"/>
          <w:b/>
          <w:bCs/>
          <w:sz w:val="24"/>
          <w:szCs w:val="24"/>
        </w:rPr>
        <w:t>按照《城市控制性详细规划编制审批办法》（住建部7号令）、《关于加强建设用地容积率管理和监督检查的通知》（建规【2008】227号）、《建设用地容积率管理办法》</w:t>
      </w:r>
      <w:r>
        <w:rPr>
          <w:rFonts w:ascii="微软雅黑" w:eastAsia="微软雅黑" w:cs="微软雅黑" w:hint="eastAsia"/>
          <w:b/>
          <w:bCs/>
          <w:sz w:val="24"/>
          <w:szCs w:val="24"/>
          <w:lang w:eastAsia="zh-CN"/>
        </w:rPr>
        <w:t>（建规</w:t>
      </w:r>
      <w:r>
        <w:rPr>
          <w:rFonts w:ascii="微软雅黑" w:eastAsia="微软雅黑" w:cs="微软雅黑" w:hint="eastAsia"/>
          <w:b/>
          <w:bCs/>
          <w:sz w:val="24"/>
          <w:szCs w:val="24"/>
          <w:lang w:val="en-US" w:eastAsia="zh-CN"/>
        </w:rPr>
        <w:t>{2012}22号</w:t>
      </w:r>
      <w:r>
        <w:rPr>
          <w:rFonts w:ascii="微软雅黑" w:eastAsia="微软雅黑" w:cs="微软雅黑" w:hint="eastAsia"/>
          <w:b/>
          <w:bCs/>
          <w:sz w:val="24"/>
          <w:szCs w:val="24"/>
          <w:lang w:eastAsia="zh-CN"/>
        </w:rPr>
        <w:t>）、《贵阳市控制性详细规划管理办法》（市政府令</w:t>
      </w:r>
      <w:r>
        <w:rPr>
          <w:rFonts w:ascii="微软雅黑" w:eastAsia="微软雅黑" w:cs="微软雅黑" w:hint="eastAsia"/>
          <w:b/>
          <w:bCs/>
          <w:sz w:val="24"/>
          <w:szCs w:val="24"/>
          <w:lang w:val="en-US" w:eastAsia="zh-CN"/>
        </w:rPr>
        <w:t>2016年第42号</w:t>
      </w:r>
      <w:r>
        <w:rPr>
          <w:rFonts w:ascii="微软雅黑" w:eastAsia="微软雅黑" w:cs="微软雅黑" w:hint="eastAsia"/>
          <w:b/>
          <w:bCs/>
          <w:sz w:val="24"/>
          <w:szCs w:val="24"/>
          <w:lang w:eastAsia="zh-CN"/>
        </w:rPr>
        <w:t>）、《控制性详细规划局部调整审批程序暂行规定》（</w:t>
      </w:r>
      <w:r>
        <w:rPr>
          <w:rFonts w:ascii="微软雅黑" w:eastAsia="微软雅黑" w:cs="微软雅黑" w:hint="eastAsia"/>
          <w:b/>
          <w:bCs/>
          <w:sz w:val="24"/>
          <w:szCs w:val="24"/>
          <w:lang w:val="en-US" w:eastAsia="zh-CN"/>
        </w:rPr>
        <w:t>2017年修订</w:t>
      </w:r>
      <w:r>
        <w:rPr>
          <w:rFonts w:ascii="微软雅黑" w:eastAsia="微软雅黑" w:cs="微软雅黑" w:hint="eastAsia"/>
          <w:b/>
          <w:bCs/>
          <w:sz w:val="24"/>
          <w:szCs w:val="24"/>
          <w:lang w:eastAsia="zh-CN"/>
        </w:rPr>
        <w:t>）</w:t>
      </w:r>
      <w:r>
        <w:rPr>
          <w:rFonts w:ascii="微软雅黑" w:eastAsia="微软雅黑" w:cs="微软雅黑" w:hint="eastAsia"/>
          <w:b/>
          <w:bCs/>
          <w:sz w:val="24"/>
          <w:szCs w:val="24"/>
        </w:rPr>
        <w:t>等</w:t>
      </w:r>
      <w:r>
        <w:rPr>
          <w:rFonts w:ascii="微软雅黑" w:eastAsia="微软雅黑" w:cs="微软雅黑" w:hint="eastAsia"/>
          <w:b/>
          <w:bCs/>
          <w:sz w:val="24"/>
          <w:szCs w:val="24"/>
          <w:lang w:eastAsia="zh-CN"/>
        </w:rPr>
        <w:t>相关要求</w:t>
      </w:r>
      <w:r>
        <w:rPr>
          <w:rFonts w:ascii="微软雅黑" w:eastAsia="微软雅黑" w:cs="微软雅黑" w:hint="eastAsia"/>
          <w:b/>
          <w:bCs/>
          <w:sz w:val="24"/>
          <w:szCs w:val="24"/>
        </w:rPr>
        <w:t>要求，我局按程序对《中心城区控制性详细规划（乌当组团）--WD-10-08—04地块》细则优化调整情况进行公示，广泛征求社会意见。</w:t>
      </w:r>
    </w:p>
    <w:p>
      <w:pPr>
        <w:widowControl/>
        <w:shd w:val="clear" w:color="auto" w:fill="FFFFFF"/>
        <w:wordWrap w:val="0"/>
        <w:spacing w:line="480" w:lineRule="atLeast"/>
        <w:ind w:firstLine="480"/>
        <w:jc w:val="left"/>
        <w:rPr>
          <w:rFonts w:ascii="微软雅黑" w:eastAsia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</w:rPr>
        <w:t>公告时间：自公告之日起10工作日。</w:t>
      </w:r>
    </w:p>
    <w:p>
      <w:pPr>
        <w:widowControl/>
        <w:shd w:val="clear" w:color="auto" w:fill="FFFFFF"/>
        <w:wordWrap w:val="0"/>
        <w:spacing w:line="480" w:lineRule="atLeast"/>
        <w:ind w:right="600" w:firstLine="480"/>
        <w:jc w:val="left"/>
        <w:rPr>
          <w:rFonts w:ascii="微软雅黑" w:eastAsia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</w:rPr>
        <w:t>联 系 人：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  <w:lang w:eastAsia="zh-CN"/>
        </w:rPr>
        <w:t>岳伟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</w:rPr>
        <w:t>（0851-85829396）</w:t>
      </w:r>
    </w:p>
    <w:p>
      <w:pPr>
        <w:widowControl/>
        <w:shd w:val="clear" w:color="auto" w:fill="FFFFFF"/>
        <w:wordWrap w:val="0"/>
        <w:spacing w:line="480" w:lineRule="atLeast"/>
        <w:ind w:right="600" w:firstLineChars="700" w:firstLine="1680"/>
        <w:jc w:val="left"/>
        <w:rPr>
          <w:rFonts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</w:rPr>
      </w:pP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  <w:lang w:eastAsia="zh-CN"/>
        </w:rPr>
        <w:t>苏文龙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</w:rPr>
        <w:t>（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  <w:lang w:val="en-US" w:eastAsia="zh-CN"/>
        </w:rPr>
        <w:t>17785158841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</w:rPr>
        <w:t>）</w:t>
      </w:r>
    </w:p>
    <w:p>
      <w:pPr>
        <w:widowControl/>
        <w:shd w:val="clear" w:color="auto" w:fill="FFFFFF"/>
        <w:wordWrap w:val="0"/>
        <w:spacing w:line="480" w:lineRule="atLeast"/>
        <w:ind w:right="600" w:firstLine="480"/>
        <w:jc w:val="left"/>
        <w:rPr>
          <w:rFonts w:ascii="微软雅黑" w:eastAsia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cs="宋体" w:hint="eastAsia"/>
          <w:b/>
          <w:bCs/>
          <w:color w:val="000000"/>
          <w:kern w:val="0"/>
          <w:sz w:val="24"/>
          <w:szCs w:val="24"/>
          <w:shd w:val="clear" w:color="auto" w:fill="FFFFFF"/>
        </w:rPr>
        <w:t>传    真：85829384（传真）</w:t>
      </w:r>
    </w:p>
    <w:p>
      <w:pPr>
        <w:widowControl/>
        <w:shd w:val="clear" w:color="auto" w:fill="FFFFFF"/>
        <w:wordWrap w:val="0"/>
        <w:spacing w:line="480" w:lineRule="atLeast"/>
        <w:ind w:right="600" w:firstLine="480"/>
        <w:jc w:val="left"/>
        <w:rPr>
          <w:rFonts w:ascii="微软雅黑" w:eastAsia="微软雅黑" w:cs="宋体" w:hint="eastAsia"/>
          <w:b/>
          <w:bCs/>
          <w:color w:val="000000"/>
          <w:kern w:val="0"/>
          <w:sz w:val="24"/>
          <w:szCs w:val="24"/>
          <w:shd w:val="clear" w:color="auto" w:fill="FFFFFF"/>
        </w:rPr>
      </w:pPr>
      <w:r>
        <w:rPr>
          <w:rFonts w:ascii="微软雅黑" w:eastAsia="微软雅黑" w:cs="宋体" w:hint="eastAsia"/>
          <w:b/>
          <w:bCs/>
          <w:color w:val="000000"/>
          <w:kern w:val="0"/>
          <w:sz w:val="24"/>
          <w:szCs w:val="24"/>
          <w:shd w:val="clear" w:color="auto" w:fill="FFFFFF"/>
        </w:rPr>
        <w:t>电子邮箱：</w:t>
      </w:r>
      <w:r>
        <w:rPr>
          <w:rStyle w:val="19"/>
          <w:rFonts w:ascii="微软雅黑" w:eastAsia="微软雅黑" w:cs="宋体" w:hint="eastAsia"/>
          <w:b/>
          <w:bCs/>
          <w:color w:val="000000"/>
          <w:kern w:val="0"/>
          <w:sz w:val="24"/>
          <w:szCs w:val="24"/>
          <w:shd w:val="clear" w:color="auto" w:fill="FFFFFF"/>
          <w:lang w:val="en-US" w:eastAsia="zh-CN"/>
        </w:rPr>
        <w:fldChar w:fldCharType="begin"/>
      </w:r>
      <w:r>
        <w:instrText>HYPERLINK "mailto:1325442033@qq.com"</w:instrText>
      </w:r>
      <w:r>
        <w:rPr>
          <w:rStyle w:val="19"/>
          <w:rFonts w:ascii="微软雅黑" w:eastAsia="微软雅黑" w:cs="宋体" w:hint="eastAsia"/>
          <w:b/>
          <w:bCs/>
          <w:color w:val="000000"/>
          <w:kern w:val="0"/>
          <w:sz w:val="24"/>
          <w:szCs w:val="24"/>
          <w:shd w:val="clear" w:color="auto" w:fill="FFFFFF"/>
          <w:lang w:val="en-US" w:eastAsia="zh-CN"/>
        </w:rPr>
        <w:fldChar w:fldCharType="separate"/>
      </w:r>
      <w:r>
        <w:rPr>
          <w:rStyle w:val="19"/>
          <w:rFonts w:ascii="微软雅黑" w:eastAsia="微软雅黑" w:cs="宋体" w:hint="eastAsia"/>
          <w:b/>
          <w:bCs/>
          <w:color w:val="000000"/>
          <w:kern w:val="0"/>
          <w:sz w:val="24"/>
          <w:szCs w:val="24"/>
          <w:shd w:val="clear" w:color="auto" w:fill="FFFFFF"/>
          <w:lang w:val="en-US" w:eastAsia="zh-CN"/>
        </w:rPr>
        <w:t>1325442033</w:t>
      </w:r>
      <w:r>
        <w:rPr>
          <w:rStyle w:val="19"/>
          <w:rFonts w:ascii="微软雅黑" w:eastAsia="微软雅黑" w:cs="宋体" w:hint="eastAsia"/>
          <w:b/>
          <w:bCs/>
          <w:color w:val="000000"/>
          <w:kern w:val="0"/>
          <w:sz w:val="24"/>
          <w:szCs w:val="24"/>
          <w:shd w:val="clear" w:color="auto" w:fill="FFFFFF"/>
        </w:rPr>
        <w:t>@qq.com</w:t>
      </w:r>
      <w:r>
        <w:rPr>
          <w:rStyle w:val="19"/>
          <w:rFonts w:ascii="微软雅黑" w:eastAsia="微软雅黑" w:cs="宋体" w:hint="eastAsia"/>
          <w:b/>
          <w:bCs/>
          <w:color w:val="000000"/>
          <w:kern w:val="0"/>
          <w:sz w:val="24"/>
          <w:szCs w:val="24"/>
          <w:shd w:val="clear" w:color="auto" w:fill="FFFFFF"/>
          <w:lang w:val="en-US" w:eastAsia="zh-CN"/>
        </w:rPr>
        <w:fldChar w:fldCharType="end"/>
      </w:r>
    </w:p>
    <w:p>
      <w:pPr>
        <w:spacing w:line="360" w:lineRule="auto"/>
        <w:jc w:val="both"/>
        <w:rPr>
          <w:rFonts w:ascii="宋体" w:eastAsia="宋体"/>
          <w:b/>
          <w:sz w:val="44"/>
          <w:szCs w:val="44"/>
        </w:rPr>
      </w:pPr>
    </w:p>
    <w:p>
      <w:pPr>
        <w:spacing w:line="360" w:lineRule="auto"/>
        <w:ind w:leftChars="52" w:left="109" w:firstLineChars="100" w:firstLine="440"/>
        <w:jc w:val="center"/>
        <w:rPr>
          <w:rFonts w:ascii="宋体" w:eastAsia="宋体"/>
          <w:b/>
          <w:sz w:val="44"/>
          <w:szCs w:val="44"/>
        </w:rPr>
      </w:pPr>
    </w:p>
    <w:p>
      <w:pPr>
        <w:spacing w:line="360" w:lineRule="auto"/>
        <w:jc w:val="both"/>
        <w:rPr>
          <w:rFonts w:ascii="宋体" w:eastAsia="宋体"/>
          <w:b/>
          <w:sz w:val="44"/>
          <w:szCs w:val="44"/>
        </w:rPr>
      </w:pPr>
    </w:p>
    <w:p>
      <w:pPr>
        <w:spacing w:line="360" w:lineRule="auto"/>
        <w:jc w:val="both"/>
        <w:rPr>
          <w:rFonts w:ascii="宋体" w:eastAsia="宋体"/>
          <w:b/>
          <w:sz w:val="44"/>
          <w:szCs w:val="44"/>
        </w:rPr>
      </w:pPr>
    </w:p>
    <w:p>
      <w:pPr>
        <w:spacing w:line="360" w:lineRule="auto"/>
        <w:ind w:leftChars="52" w:left="109" w:firstLineChars="100" w:firstLine="440"/>
        <w:jc w:val="center"/>
        <w:rPr>
          <w:rFonts w:ascii="宋体" w:eastAsia="宋体"/>
          <w:b/>
          <w:sz w:val="44"/>
          <w:szCs w:val="44"/>
        </w:rPr>
      </w:pPr>
    </w:p>
    <w:p>
      <w:pPr>
        <w:snapToGrid w:val="0"/>
        <w:spacing w:line="360" w:lineRule="auto"/>
        <w:ind w:firstLineChars="200" w:firstLine="480"/>
        <w:contextualSpacing/>
        <w:rPr>
          <w:rFonts w:ascii="宋体" w:eastAsia="宋体"/>
          <w:sz w:val="24"/>
          <w:szCs w:val="24"/>
        </w:rPr>
      </w:pPr>
      <w:r>
        <w:rPr>
          <w:rFonts w:ascii="宋体" w:eastAsia="宋体" w:hint="eastAsia"/>
          <w:sz w:val="24"/>
          <w:szCs w:val="24"/>
        </w:rPr>
        <w:t>按照《城市控制性详细规划编制审批办法》（住建部7号令）、《关于加强建设用地容积率管理和监督检查的通知》（建规【2008】227号）、《建设用地容积率管理办法》等要求，我局按程序对《中心城区控制性详细规划（乌当组团）--WD-10-08—04地块》细则优化调整情况进行公示，广泛征求社会意见。</w:t>
      </w:r>
    </w:p>
    <w:p>
      <w:pPr>
        <w:snapToGrid w:val="0"/>
        <w:spacing w:line="360" w:lineRule="auto"/>
        <w:ind w:firstLineChars="200" w:firstLine="480"/>
        <w:contextualSpacing/>
        <w:rPr>
          <w:rFonts w:ascii="宋体" w:eastAsia="宋体"/>
          <w:b/>
          <w:bCs/>
          <w:sz w:val="24"/>
          <w:szCs w:val="24"/>
        </w:rPr>
      </w:pPr>
      <w:r>
        <w:rPr>
          <w:rFonts w:ascii="宋体" w:eastAsia="宋体" w:hint="eastAsia"/>
          <w:b/>
          <w:bCs/>
          <w:sz w:val="24"/>
          <w:szCs w:val="24"/>
        </w:rPr>
        <w:t>一、规划范围</w:t>
      </w:r>
    </w:p>
    <w:p>
      <w:pPr>
        <w:snapToGrid w:val="0"/>
        <w:spacing w:line="360" w:lineRule="auto"/>
        <w:ind w:firstLineChars="200" w:firstLine="480"/>
        <w:contextualSpacing/>
        <w:rPr>
          <w:rFonts w:ascii="宋体" w:eastAsia="宋体"/>
          <w:sz w:val="24"/>
          <w:szCs w:val="24"/>
        </w:rPr>
      </w:pPr>
      <w:r>
        <w:rPr>
          <w:rFonts w:ascii="宋体" w:eastAsia="宋体" w:hint="eastAsia"/>
          <w:sz w:val="24"/>
          <w:szCs w:val="24"/>
        </w:rPr>
        <w:t>项目地块位于乌当组团新天单元东侧，西临主干路高新路（40m），南邻南明河，规划净用地总面积1.53公顷 。</w:t>
      </w:r>
    </w:p>
    <w:p>
      <w:pPr>
        <w:snapToGrid w:val="0"/>
        <w:spacing w:line="360" w:lineRule="auto"/>
        <w:ind w:firstLineChars="200" w:firstLine="480"/>
        <w:contextualSpacing/>
        <w:rPr>
          <w:rFonts w:ascii="宋体" w:eastAsia="宋体"/>
          <w:b/>
          <w:sz w:val="24"/>
          <w:szCs w:val="24"/>
        </w:rPr>
      </w:pPr>
      <w:r>
        <w:rPr>
          <w:rFonts w:ascii="宋体" w:eastAsia="宋体" w:hint="eastAsia"/>
          <w:b/>
          <w:sz w:val="24"/>
          <w:szCs w:val="24"/>
        </w:rPr>
        <w:t>二、地块指标</w:t>
      </w:r>
    </w:p>
    <w:p>
      <w:pPr>
        <w:snapToGrid w:val="0"/>
        <w:spacing w:line="360" w:lineRule="auto"/>
        <w:ind w:firstLineChars="200" w:firstLine="480"/>
        <w:contextualSpacing/>
        <w:rPr>
          <w:rFonts w:ascii="宋体" w:eastAsia="宋体"/>
          <w:sz w:val="24"/>
          <w:szCs w:val="24"/>
        </w:rPr>
      </w:pPr>
      <w:r>
        <w:rPr>
          <w:rFonts w:ascii="宋体" w:eastAsia="宋体" w:hint="eastAsia"/>
          <w:sz w:val="24"/>
          <w:szCs w:val="24"/>
        </w:rPr>
        <w:t>WD-10-08-04地块用地性质为科研用地，净用地总面积1.53公顷，容积率2.4，建筑密度≤30</w:t>
      </w:r>
      <w:r>
        <w:rPr>
          <w:rFonts w:ascii="宋体" w:eastAsia="宋体"/>
          <w:sz w:val="24"/>
          <w:szCs w:val="24"/>
        </w:rPr>
        <w:t>%</w:t>
      </w:r>
      <w:r>
        <w:rPr>
          <w:rFonts w:ascii="宋体" w:eastAsia="宋体" w:hint="eastAsia"/>
          <w:sz w:val="24"/>
          <w:szCs w:val="24"/>
        </w:rPr>
        <w:t>，绿地率≥35</w:t>
      </w:r>
      <w:r>
        <w:rPr>
          <w:rFonts w:ascii="宋体" w:eastAsia="宋体"/>
          <w:sz w:val="24"/>
          <w:szCs w:val="24"/>
        </w:rPr>
        <w:t>%</w:t>
      </w:r>
      <w:r>
        <w:rPr>
          <w:rFonts w:ascii="宋体" w:eastAsia="宋体" w:hint="eastAsia"/>
          <w:sz w:val="24"/>
          <w:szCs w:val="24"/>
        </w:rPr>
        <w:t>，建筑限高为100米。</w:t>
      </w:r>
    </w:p>
    <w:p>
      <w:pPr>
        <w:ind w:firstLineChars="200" w:firstLine="480"/>
        <w:rPr>
          <w:rFonts w:ascii="宋体" w:eastAsia="宋体"/>
          <w:b/>
          <w:sz w:val="24"/>
          <w:szCs w:val="24"/>
        </w:rPr>
      </w:pPr>
      <w:r>
        <w:rPr>
          <w:b/>
          <w:sz w:val="24"/>
          <w:szCs w:val="24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margin">
              <wp:posOffset>-934085</wp:posOffset>
            </wp:positionH>
            <wp:positionV relativeFrom="paragraph">
              <wp:posOffset>320675</wp:posOffset>
            </wp:positionV>
            <wp:extent cx="7091680" cy="4323080"/>
            <wp:effectExtent l="0" t="0" r="0" b="0"/>
            <wp:wrapNone/>
            <wp:docPr id="1" name="图片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2 3"/>
                    <pic:cNvPicPr/>
                  </pic:nvPicPr>
                  <pic:blipFill>
                    <a:blip r:embed="rId2"/>
                    <a:srcRect t="6077" b="60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91680" cy="432308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int="eastAsia"/>
          <w:b/>
          <w:sz w:val="24"/>
          <w:szCs w:val="24"/>
        </w:rPr>
        <w:t>三、地块</w:t>
      </w:r>
      <w:r>
        <w:rPr>
          <w:rFonts w:ascii="宋体" w:eastAsia="宋体"/>
          <w:b/>
          <w:sz w:val="24"/>
          <w:szCs w:val="24"/>
        </w:rPr>
        <w:t>细则图则</w:t>
      </w:r>
    </w:p>
    <w:p/>
    <w:p/>
    <w:p>
      <w:pPr>
        <w:rPr>
          <w:rFonts w:ascii="宋体" w:eastAsia="宋体"/>
          <w:szCs w:val="21"/>
        </w:rPr>
      </w:pPr>
      <w:r>
        <w:rPr>
          <w:rFonts w:ascii="宋体" w:eastAsia="宋体" w:hint="eastAsia"/>
          <w:szCs w:val="21"/>
        </w:rPr>
        <w:t xml:space="preserve">   </w:t>
      </w:r>
    </w:p>
    <w:p>
      <w:pPr>
        <w:rPr>
          <w:rFonts w:ascii="宋体" w:eastAsia="宋体"/>
          <w:szCs w:val="21"/>
        </w:rPr>
      </w:pPr>
    </w:p>
    <w:p>
      <w:pPr>
        <w:rPr>
          <w:rFonts w:ascii="宋体" w:eastAsia="宋体"/>
          <w:szCs w:val="21"/>
        </w:rPr>
      </w:pPr>
    </w:p>
    <w:p/>
    <w:sectPr>
      <w:pgSz w:w="11906" w:h="16838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微软雅黑">
    <w:panose1 w:val="020B0503020204020204"/>
    <w:charset w:val="86"/>
    <w:family w:val="auto"/>
    <w:pitch w:val="variable"/>
    <w:sig w:usb0="80000287" w:usb1="280F3C52" w:usb2="00000016" w:usb3="00000000" w:csb0="0004001F" w:csb1="00000000"/>
  </w:font>
  <w:font w:name="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2000019F" w:csb1="00000000"/>
  </w:font>
  <w:font w:name="Luxi Sans">
    <w:altName w:val="Arial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70"/>
  <w:bordersDoNotSurroundHeader/>
  <w:bordersDoNotSurroundFooter/>
  <w:trackRevisions/>
  <w:documentProtection w:edit="readOnly" w:enforcement="0"/>
  <w:defaultTabStop w:val="420"/>
  <w:drawingGridHorizontalSpacing w:val="105"/>
  <w:drawingGridVerticalSpacing w:val="156"/>
  <w:displayHorizontalDrawingGridEvery w:val="0"/>
  <w:displayVerticalDrawingGridEvery w:val="1"/>
  <w:noPunctuationKerning/>
  <w:characterSpacingControl w:val="compressPunctuation"/>
  <w:compat>
    <w:spaceForUL/>
    <w:balanceSingleByteDoubleByteWidth/>
    <w:ulTrailSpace/>
    <w:doNotExpandShiftReturn/>
    <w:adjustLineHeightInTable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Times New Roman" w:hAnsi="Calibri"/>
      <w:kern w:val="2"/>
      <w:sz w:val="21"/>
      <w:szCs w:val="22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widowControl w:val="0"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0"/>
    <w:next w:val="0"/>
    <w:pPr>
      <w:keepNext/>
      <w:keepLines/>
      <w:widowControl w:val="0"/>
      <w:spacing w:before="260" w:after="260" w:line="415" w:lineRule="auto"/>
      <w:outlineLvl w:val="1"/>
    </w:pPr>
    <w:rPr>
      <w:rFonts w:ascii="Luxi Sans" w:eastAsia="黑体" w:hAnsi="Luxi Sans"/>
      <w:b/>
      <w:sz w:val="32"/>
    </w:rPr>
  </w:style>
  <w:style w:type="paragraph" w:styleId="3">
    <w:name w:val="heading 3"/>
    <w:basedOn w:val="0"/>
    <w:next w:val="0"/>
    <w:pPr>
      <w:keepNext/>
      <w:keepLines/>
      <w:widowControl w:val="0"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styleId="15">
    <w:name w:val="Balloon Text"/>
    <w:basedOn w:val="0"/>
    <w:rPr>
      <w:sz w:val="18"/>
      <w:szCs w:val="18"/>
    </w:rPr>
  </w:style>
  <w:style w:type="paragraph" w:styleId="16">
    <w:name w:val="footer"/>
    <w:basedOn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Normal (Web)"/>
    <w:basedOn w:val="0"/>
    <w:pPr>
      <w:widowControl/>
      <w:spacing w:before="100" w:beforeAutospacing="1" w:after="100" w:afterAutospacing="1"/>
      <w:jc w:val="left"/>
    </w:pPr>
    <w:rPr>
      <w:rFonts w:ascii="宋体" w:cs="宋体"/>
      <w:kern w:val="0"/>
      <w:sz w:val="24"/>
      <w:szCs w:val="24"/>
    </w:rPr>
  </w:style>
  <w:style w:type="character" w:styleId="19">
    <w:name w:val="Hyperlink"/>
    <w:basedOn w:val="10"/>
    <w:rPr>
      <w:color w:val="0000FF"/>
      <w:u w:val="single"/>
    </w:rPr>
  </w:style>
  <w:style w:type="paragraph" w:styleId="20">
    <w:name w:val="List Paragraph"/>
    <w:basedOn w:val="0"/>
    <w:pPr>
      <w:ind w:firstLineChars="200" w:firstLine="200"/>
    </w:pPr>
  </w:style>
  <w:style w:type="paragraph" w:styleId="21">
    <w:name w:val="toc 1"/>
    <w:basedOn w:val="0"/>
    <w:autoRedefine/>
    <w:next w:val="0"/>
  </w:style>
  <w:style w:type="paragraph" w:styleId="22">
    <w:name w:val="toc 2"/>
    <w:basedOn w:val="0"/>
    <w:autoRedefine/>
    <w:next w:val="0"/>
    <w:pPr>
      <w:ind w:left="420"/>
    </w:pPr>
  </w:style>
  <w:style w:type="paragraph" w:styleId="23">
    <w:name w:val="toc 3"/>
    <w:basedOn w:val="0"/>
    <w:autoRedefine/>
    <w:next w:val="0"/>
    <w:pPr>
      <w:ind w:left="840"/>
    </w:pPr>
  </w:style>
  <w:style w:type="paragraph" w:styleId="24">
    <w:name w:val="toc 4"/>
    <w:basedOn w:val="0"/>
    <w:autoRedefine/>
    <w:next w:val="0"/>
    <w:pPr>
      <w:ind w:left="1260"/>
    </w:pPr>
  </w:style>
  <w:style w:type="paragraph" w:styleId="25">
    <w:name w:val="toc 5"/>
    <w:basedOn w:val="0"/>
    <w:autoRedefine/>
    <w:next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eg"/><Relationship Id="rId3" Type="http://schemas.openxmlformats.org/officeDocument/2006/relationships/styles" Target="styles.xml"/><Relationship Id="rId4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5</TotalTime>
  <Application>Yozo_Office27021597764231179</Application>
  <Pages>2</Pages>
  <Words>538</Words>
  <Characters>665</Characters>
  <Lines>36</Lines>
  <Paragraphs>13</Paragraphs>
  <CharactersWithSpaces>678</CharactersWithSpace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Microsoft</dc:creator>
  <cp:lastModifiedBy>朱翎绮</cp:lastModifiedBy>
  <cp:revision>8</cp:revision>
  <cp:lastPrinted>2021-07-07T02:02:00Z</cp:lastPrinted>
  <dcterms:created xsi:type="dcterms:W3CDTF">2022-03-29T08:04:00Z</dcterms:created>
  <dcterms:modified xsi:type="dcterms:W3CDTF">2022-04-12T06:10:19Z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2052-11.1.0.9208</vt:lpwstr>
  </property>
  <property fmtid="{D5CDD505-2E9C-101B-9397-08002B2CF9AE}" pid="3" name="ICV">
    <vt:lpwstr>F764B4EAC8754750BB0CC4F223408822</vt:lpwstr>
  </property>
</Properties>
</file>