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o="urn:schemas-microsoft-com:office:office" xmlns:r="http://schemas.openxmlformats.org/officeDocument/2006/relationships" xmlns:m="http://schemas.openxmlformats.org/officeDocument/2006/math" xmlns:v="urn:schemas-microsoft-com:vml" xmlns:a="http://schemas.openxmlformats.org/drawingml/2006/main" xmlns:wps="http://schemas.microsoft.com/office/word/2010/wordprocessingShape" xmlns:wp="http://schemas.openxmlformats.org/drawingml/2006/wordprocessingDrawing" xmlns:pic="http://schemas.openxmlformats.org/drawingml/2006/picture" xmlns:mc="http://schemas.openxmlformats.org/markup-compatibility/2006" xmlns:wpg="http://schemas.microsoft.com/office/word/2010/wordprocessingGroup" xmlns:wpc="http://schemas.microsoft.com/office/word/2010/wordprocessingCanvas" xmlns:w10="urn:schemas-microsoft-com:office:word" xmlns:w14="http://schemas.microsoft.com/office/word/2010/wordml" xmlns:w15="http://schemas.microsoft.com/office/word/2012/wordml" xmlns:a14="http://schemas.microsoft.com/office/drawing/2010/main" mc:Ignorable="w14 w15">
  <w:body>
    <w:p>
      <w:pPr>
        <w:pStyle w:val="2"/>
        <w:bidi w:val="0"/>
        <w:spacing w:line="240" w:lineRule="auto"/>
        <w:jc w:val="center"/>
        <w:rPr>
          <w:rFonts w:ascii="仿宋" w:eastAsia="仿宋" w:cs="仿宋" w:hint="eastAsia"/>
          <w:sz w:val="24"/>
          <w:szCs w:val="21"/>
        </w:rPr>
      </w:pPr>
      <w:bookmarkStart w:id="0" w:name="_GoBack"/>
      <w:bookmarkEnd w:id="0"/>
      <w:r>
        <w:rPr>
          <w:rFonts w:ascii="仿宋" w:eastAsia="仿宋" w:cs="仿宋" w:hint="eastAsia"/>
          <w:sz w:val="24"/>
          <w:szCs w:val="21"/>
        </w:rPr>
        <w:t>贵阳市自然资源和规划局关于《贵阳市中心城区控制性详细规划——观山组团》</w:t>
      </w:r>
      <w:r>
        <w:rPr>
          <w:rFonts w:ascii="仿宋" w:eastAsia="仿宋" w:cs="仿宋" w:hint="eastAsia"/>
          <w:b/>
          <w:kern w:val="2"/>
          <w:sz w:val="24"/>
          <w:szCs w:val="21"/>
          <w:lang w:val="en-US" w:eastAsia="zh-CN" w:bidi="ar-SA"/>
        </w:rPr>
        <w:t>站前单元GS-11-02-39、40、41地块细则优化调整方案</w:t>
      </w:r>
      <w:r>
        <w:rPr>
          <w:rFonts w:ascii="仿宋" w:eastAsia="仿宋" w:cs="仿宋" w:hint="eastAsia"/>
          <w:sz w:val="24"/>
          <w:szCs w:val="21"/>
        </w:rPr>
        <w:t>的公示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Chars="200" w:firstLine="420"/>
        <w:textAlignment w:val="auto"/>
        <w:rPr>
          <w:rFonts w:ascii="仿宋" w:eastAsia="仿宋" w:cs="仿宋" w:hint="eastAsia"/>
        </w:rPr>
      </w:pPr>
      <w:r>
        <w:rPr>
          <w:rFonts w:ascii="仿宋" w:eastAsia="仿宋" w:cs="仿宋" w:hint="eastAsia"/>
        </w:rPr>
        <w:t>依据《贵阳市城市总体规划（2011-2020 年）》（2017 年修订）、《贵阳市控制性详细规划管理办法》（市政府令2016年第42号）</w:t>
      </w:r>
      <w:r>
        <w:rPr>
          <w:rFonts w:ascii="仿宋" w:eastAsia="仿宋" w:cs="仿宋" w:hint="eastAsia"/>
          <w:lang w:eastAsia="zh-CN"/>
        </w:rPr>
        <w:t>、</w:t>
      </w:r>
      <w:r>
        <w:rPr>
          <w:rFonts w:ascii="仿宋" w:eastAsia="仿宋" w:cs="仿宋" w:hint="eastAsia"/>
        </w:rPr>
        <w:t>《贵阳市中心城区控制性详细规划（总则）——观山组团》等上位规划，观山湖区人民政府组织编制完成《贵阳市中心城区控制性详细规划——观山组团》</w:t>
      </w:r>
      <w:r>
        <w:rPr>
          <w:rFonts w:ascii="仿宋" w:eastAsia="仿宋" w:cs="仿宋" w:hint="eastAsia"/>
          <w:lang w:val="en-US" w:eastAsia="zh-CN"/>
        </w:rPr>
        <w:t>站前单元GS-11-02-39、40、41地块细则优化调整方案</w:t>
      </w:r>
      <w:r>
        <w:rPr>
          <w:rFonts w:ascii="仿宋" w:eastAsia="仿宋" w:cs="仿宋" w:hint="eastAsia"/>
        </w:rPr>
        <w:t>并报我局审查，根据《中华人民共和国城乡规划法》、《贵阳市控制性详细规划管理办法》等相关法律法规和规章要求，现将规划方案主要内容予以公告，广泛征求社会意见。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Chars="200" w:firstLine="420"/>
        <w:textAlignment w:val="auto"/>
        <w:rPr>
          <w:rFonts w:ascii="仿宋" w:eastAsia="仿宋" w:cs="仿宋" w:hint="eastAsia"/>
          <w:lang w:eastAsia="zh-CN"/>
        </w:rPr>
      </w:pPr>
      <w:r>
        <w:rPr>
          <w:rFonts w:ascii="仿宋" w:eastAsia="仿宋" w:cs="仿宋" w:hint="eastAsia"/>
          <w:lang w:eastAsia="zh-CN"/>
        </w:rPr>
        <w:t>一、规划范围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Chars="200" w:firstLine="420"/>
        <w:textAlignment w:val="auto"/>
        <w:rPr>
          <w:rFonts w:ascii="仿宋" w:eastAsia="仿宋" w:cs="仿宋" w:hint="eastAsia"/>
          <w:lang w:val="en-US" w:eastAsia="zh-CN"/>
        </w:rPr>
      </w:pPr>
      <w:r>
        <w:rPr>
          <w:rFonts w:ascii="仿宋" w:eastAsia="仿宋" w:cs="仿宋" w:hint="eastAsia"/>
          <w:lang w:val="en-US" w:eastAsia="zh-CN"/>
        </w:rPr>
        <w:t>站前单元GS-11-02-39、40、41地块位于观山组团站前单元西南侧，同城大道与黔灵山路交叉口东北侧，总净用地规模16.1公顷。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firstLineChars="200" w:firstLine="420"/>
        <w:textAlignment w:val="auto"/>
        <w:rPr>
          <w:rFonts w:ascii="仿宋" w:eastAsia="仿宋" w:cs="仿宋" w:hint="eastAsia"/>
          <w:lang w:val="en-US" w:eastAsia="zh-CN"/>
        </w:rPr>
      </w:pPr>
      <w:r>
        <w:rPr>
          <w:rFonts w:ascii="仿宋" w:eastAsia="仿宋" w:cs="仿宋" w:hint="eastAsia"/>
          <w:lang w:val="en-US" w:eastAsia="zh-CN"/>
        </w:rPr>
        <w:t>本次优化调整内容及理由</w:t>
      </w:r>
    </w:p>
    <w:p>
      <w:pPr>
        <w:pStyle w:val="15"/>
        <w:keepNext w:val="0"/>
        <w:keepLines w:val="0"/>
        <w:widowControl/>
        <w:suppressLineNumbers w:val="0"/>
        <w:kinsoku/>
        <w:wordWrap/>
        <w:overflowPunct/>
        <w:bidi w:val="0"/>
        <w:spacing w:before="0" w:beforeAutospacing="0" w:after="0" w:afterAutospacing="0" w:line="240" w:lineRule="auto"/>
        <w:ind w:left="0" w:firstLine="576"/>
        <w:jc w:val="left"/>
        <w:rPr>
          <w:rFonts w:ascii="仿宋" w:eastAsia="仿宋" w:cs="仿宋" w:hint="eastAsia"/>
          <w:kern w:val="2"/>
          <w:sz w:val="21"/>
          <w:szCs w:val="24"/>
          <w:lang w:val="en-US" w:eastAsia="zh-CN" w:bidi="ar-SA"/>
        </w:rPr>
      </w:pPr>
      <w:r>
        <w:rPr>
          <w:rFonts w:ascii="仿宋" w:eastAsia="仿宋" w:cs="仿宋" w:hint="eastAsia"/>
          <w:kern w:val="2"/>
          <w:sz w:val="21"/>
          <w:szCs w:val="24"/>
          <w:lang w:val="en-US" w:eastAsia="zh-CN" w:bidi="ar-SA"/>
        </w:rPr>
        <w:t>1.建筑容量及开发强度调整：为提高城市空间环境品质，缓解基础设施承载压力，进一步降低地块总建筑面积及开发强度，地块范围内总建筑面积由67.55万平方米调整为34.56万平方米，综合容积率由4.2调整为2.1。</w:t>
      </w:r>
    </w:p>
    <w:p>
      <w:pPr>
        <w:pStyle w:val="15"/>
        <w:keepNext w:val="0"/>
        <w:keepLines w:val="0"/>
        <w:widowControl/>
        <w:suppressLineNumbers w:val="0"/>
        <w:kinsoku/>
        <w:wordWrap/>
        <w:overflowPunct/>
        <w:bidi w:val="0"/>
        <w:spacing w:before="0" w:beforeAutospacing="0" w:after="0" w:afterAutospacing="0" w:line="240" w:lineRule="auto"/>
        <w:ind w:left="0" w:firstLine="576"/>
        <w:jc w:val="left"/>
        <w:rPr>
          <w:rFonts w:ascii="仿宋" w:eastAsia="仿宋" w:cs="仿宋" w:hint="eastAsia"/>
          <w:kern w:val="2"/>
          <w:sz w:val="21"/>
          <w:szCs w:val="24"/>
          <w:lang w:val="en-US" w:eastAsia="zh-CN" w:bidi="ar-SA"/>
        </w:rPr>
      </w:pPr>
      <w:r>
        <w:rPr>
          <w:rFonts w:ascii="仿宋" w:eastAsia="仿宋" w:cs="仿宋" w:hint="eastAsia"/>
          <w:kern w:val="2"/>
          <w:sz w:val="21"/>
          <w:szCs w:val="24"/>
          <w:lang w:val="en-US" w:eastAsia="zh-CN" w:bidi="ar-SA"/>
        </w:rPr>
        <w:t>2. 商住比调整：为推动产城融合发展，创建混合街区，促进职住平衡，提高居住品质，在保持住宅建筑总量及规划总人口不变的前提下，进一步降低住宅用地容积率，并适当提高居住比例。优化调整后，居住用地容积率由3.1调整为2.5，地块范围内商住比由54：46调整为1：9。</w:t>
      </w:r>
    </w:p>
    <w:p>
      <w:pPr>
        <w:pStyle w:val="15"/>
        <w:keepNext w:val="0"/>
        <w:keepLines w:val="0"/>
        <w:widowControl/>
        <w:suppressLineNumbers w:val="0"/>
        <w:kinsoku/>
        <w:wordWrap/>
        <w:overflowPunct/>
        <w:bidi w:val="0"/>
        <w:spacing w:before="0" w:beforeAutospacing="0" w:after="0" w:afterAutospacing="0" w:line="240" w:lineRule="auto"/>
        <w:ind w:left="0" w:firstLine="576"/>
        <w:jc w:val="left"/>
        <w:rPr>
          <w:rFonts w:ascii="仿宋" w:eastAsia="仿宋" w:cs="仿宋" w:hint="eastAsia"/>
          <w:kern w:val="2"/>
          <w:sz w:val="21"/>
          <w:szCs w:val="24"/>
          <w:lang w:val="en-US" w:eastAsia="zh-CN" w:bidi="ar-SA"/>
        </w:rPr>
      </w:pPr>
      <w:r>
        <w:rPr>
          <w:rFonts w:ascii="仿宋" w:eastAsia="仿宋" w:cs="仿宋" w:hint="eastAsia"/>
          <w:kern w:val="2"/>
          <w:sz w:val="21"/>
          <w:szCs w:val="24"/>
          <w:lang w:val="en-US" w:eastAsia="zh-CN" w:bidi="ar-SA"/>
        </w:rPr>
        <w:t>3.教育布局优化：为完善基础教育设施建设，提高公共服务水平，进一步优化中小学布局。优化调整后，地块范围内新增九年制学校一所（18班小学、9班初中），在满足地块自身教育需求以及符合服务半径的基础上，同时为周边地块开发预留学位余量。</w:t>
      </w:r>
    </w:p>
    <w:p>
      <w:pPr>
        <w:pStyle w:val="15"/>
        <w:keepNext w:val="0"/>
        <w:keepLines w:val="0"/>
        <w:widowControl/>
        <w:suppressLineNumbers w:val="0"/>
        <w:kinsoku/>
        <w:wordWrap/>
        <w:overflowPunct/>
        <w:bidi w:val="0"/>
        <w:spacing w:before="0" w:beforeAutospacing="0" w:after="0" w:afterAutospacing="0" w:line="240" w:lineRule="auto"/>
        <w:ind w:left="0" w:firstLine="576"/>
        <w:jc w:val="left"/>
        <w:rPr>
          <w:rFonts w:ascii="仿宋" w:eastAsia="仿宋" w:cs="仿宋" w:hint="eastAsia"/>
          <w:lang w:val="en-US" w:eastAsia="zh-CN"/>
        </w:rPr>
      </w:pPr>
      <w:r>
        <w:rPr>
          <w:rFonts w:ascii="仿宋" w:eastAsia="仿宋" w:cs="仿宋" w:hint="eastAsia"/>
          <w:kern w:val="2"/>
          <w:sz w:val="21"/>
          <w:szCs w:val="24"/>
          <w:lang w:val="en-US" w:eastAsia="zh-CN" w:bidi="ar-SA"/>
        </w:rPr>
        <w:t>4. 生活圈设施优化：结合“一圈两场三改建设”，优化调整十五分钟生活圈设施布局。地块范围内新增社区级公园1处，总面积0.36公顷，并结合中型多功能运动场地、地下停车场等设施共同建设，进一步提高土地利用效率。其余公共服务、市政等各项设施只涉及位置调整，配套数量及规模均与原规划保持一致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Chars="200" w:firstLine="420"/>
        <w:textAlignment w:val="auto"/>
        <w:rPr>
          <w:rFonts w:ascii="仿宋" w:eastAsia="仿宋" w:cs="仿宋" w:hint="eastAsia"/>
          <w:kern w:val="2"/>
          <w:sz w:val="21"/>
          <w:szCs w:val="24"/>
          <w:lang w:val="en-US" w:eastAsia="zh-CN" w:bidi="ar-SA"/>
        </w:rPr>
      </w:pPr>
      <w:r>
        <w:rPr>
          <w:rFonts w:ascii="仿宋" w:eastAsia="仿宋" w:cs="仿宋" w:hint="eastAsia"/>
          <w:lang w:eastAsia="zh-CN"/>
        </w:rPr>
        <w:t>三、</w:t>
      </w:r>
      <w:r>
        <w:rPr>
          <w:rFonts w:ascii="仿宋" w:eastAsia="仿宋" w:cs="仿宋" w:hint="eastAsia"/>
          <w:kern w:val="2"/>
          <w:sz w:val="21"/>
          <w:szCs w:val="24"/>
          <w:lang w:val="en-US" w:eastAsia="zh-CN" w:bidi="ar-SA"/>
        </w:rPr>
        <w:t>优化调整后地块规划情况</w:t>
      </w:r>
    </w:p>
    <w:p>
      <w:pPr>
        <w:pStyle w:val="15"/>
        <w:keepNext w:val="0"/>
        <w:keepLines w:val="0"/>
        <w:widowControl/>
        <w:suppressLineNumbers w:val="0"/>
        <w:kinsoku/>
        <w:wordWrap/>
        <w:overflowPunct/>
        <w:bidi w:val="0"/>
        <w:spacing w:before="0" w:beforeAutospacing="0" w:after="0" w:afterAutospacing="0" w:line="240" w:lineRule="auto"/>
        <w:ind w:left="0" w:firstLine="576"/>
        <w:jc w:val="left"/>
        <w:rPr>
          <w:rFonts w:ascii="仿宋" w:eastAsia="仿宋" w:cs="仿宋" w:hint="eastAsia"/>
          <w:kern w:val="2"/>
          <w:sz w:val="21"/>
          <w:szCs w:val="24"/>
          <w:lang w:val="en-US" w:eastAsia="zh-CN" w:bidi="ar-SA"/>
        </w:rPr>
      </w:pPr>
      <w:r>
        <w:rPr>
          <w:rFonts w:ascii="仿宋" w:eastAsia="仿宋" w:cs="仿宋" w:hint="eastAsia"/>
          <w:kern w:val="2"/>
          <w:sz w:val="21"/>
          <w:szCs w:val="24"/>
          <w:lang w:val="en-US" w:eastAsia="zh-CN" w:bidi="ar-SA"/>
        </w:rPr>
        <w:t>GS-11-02-39地块规划指标为：用地性质为中小学用地（18班小学，9班初中），用地面积2.83公顷，容积率≤0.8，建筑密度≤30%，绿地率≥35%，建筑限高≤24米；</w:t>
      </w:r>
    </w:p>
    <w:p>
      <w:pPr>
        <w:pStyle w:val="15"/>
        <w:keepNext w:val="0"/>
        <w:keepLines w:val="0"/>
        <w:widowControl/>
        <w:suppressLineNumbers w:val="0"/>
        <w:kinsoku/>
        <w:wordWrap/>
        <w:overflowPunct/>
        <w:bidi w:val="0"/>
        <w:spacing w:before="0" w:beforeAutospacing="0" w:after="0" w:afterAutospacing="0" w:line="240" w:lineRule="auto"/>
        <w:ind w:left="0" w:firstLine="576"/>
        <w:jc w:val="left"/>
        <w:rPr>
          <w:rFonts w:ascii="仿宋" w:eastAsia="仿宋" w:cs="仿宋" w:hint="eastAsia"/>
          <w:kern w:val="2"/>
          <w:sz w:val="21"/>
          <w:szCs w:val="24"/>
          <w:lang w:val="en-US" w:eastAsia="zh-CN" w:bidi="ar-SA"/>
        </w:rPr>
      </w:pPr>
      <w:r>
        <w:rPr>
          <w:rFonts w:ascii="仿宋" w:eastAsia="仿宋" w:cs="仿宋" w:hint="eastAsia"/>
          <w:kern w:val="2"/>
          <w:sz w:val="21"/>
          <w:szCs w:val="24"/>
          <w:lang w:val="en-US" w:eastAsia="zh-CN" w:bidi="ar-SA"/>
        </w:rPr>
        <w:t>GS-11-02-40地块规划指标为：用地性质为公园绿地，用地面积0.36公顷，绿地率≥75%，建筑限高≤12米。配套设施要求详见图则；</w:t>
      </w:r>
    </w:p>
    <w:p>
      <w:pPr>
        <w:pStyle w:val="15"/>
        <w:keepNext w:val="0"/>
        <w:keepLines w:val="0"/>
        <w:widowControl/>
        <w:suppressLineNumbers w:val="0"/>
        <w:kinsoku/>
        <w:wordWrap/>
        <w:overflowPunct/>
        <w:bidi w:val="0"/>
        <w:spacing w:before="0" w:beforeAutospacing="0" w:after="0" w:afterAutospacing="0" w:line="240" w:lineRule="auto"/>
        <w:ind w:left="0" w:firstLine="576"/>
        <w:jc w:val="left"/>
        <w:rPr>
          <w:rFonts w:ascii="仿宋" w:eastAsia="仿宋" w:cs="仿宋" w:hint="eastAsia"/>
          <w:kern w:val="2"/>
          <w:sz w:val="21"/>
          <w:szCs w:val="24"/>
          <w:lang w:val="en-US" w:eastAsia="zh-CN" w:bidi="ar-SA"/>
        </w:rPr>
      </w:pPr>
      <w:r>
        <w:rPr>
          <w:rFonts w:ascii="仿宋" w:eastAsia="仿宋" w:cs="仿宋" w:hint="eastAsia"/>
          <w:kern w:val="2"/>
          <w:sz w:val="21"/>
          <w:szCs w:val="24"/>
          <w:lang w:val="en-US" w:eastAsia="zh-CN" w:bidi="ar-SA"/>
        </w:rPr>
        <w:t>GS-11-02-41地块规划指标为：用地性质为居住用地，兼容商业建筑比例10%，用地面积12.92公顷，容积率≤2.5，建筑密度≤24%，绿地率≥35%，建筑限高需满足显山露水、高低错落、疏密有致的要求，以审定方案为准。配套设施要求详见图则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Chars="200" w:firstLine="420"/>
        <w:textAlignment w:val="auto"/>
        <w:rPr>
          <w:rFonts w:ascii="仿宋" w:eastAsia="仿宋" w:cs="仿宋" w:hint="eastAsia"/>
          <w:lang w:eastAsia="zh-CN"/>
        </w:rPr>
      </w:pPr>
      <w:r>
        <w:rPr>
          <w:rFonts w:ascii="仿宋" w:eastAsia="仿宋" w:cs="仿宋" w:hint="eastAsia"/>
          <w:lang w:val="en-US" w:eastAsia="zh-CN"/>
        </w:rPr>
        <w:t>四</w:t>
      </w:r>
      <w:r>
        <w:rPr>
          <w:rFonts w:ascii="仿宋" w:eastAsia="仿宋" w:cs="仿宋" w:hint="eastAsia"/>
          <w:lang w:eastAsia="zh-CN"/>
        </w:rPr>
        <w:t>、本次公示规划内容附站</w:t>
      </w:r>
      <w:r>
        <w:rPr>
          <w:rFonts w:ascii="仿宋" w:eastAsia="仿宋" w:cs="仿宋" w:hint="eastAsia"/>
          <w:kern w:val="2"/>
          <w:sz w:val="21"/>
          <w:szCs w:val="24"/>
          <w:lang w:val="en-US" w:eastAsia="zh-CN" w:bidi="ar-SA"/>
        </w:rPr>
        <w:t>前单元GS-11-02-39、40、41地块图则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Chars="200" w:firstLine="420"/>
        <w:jc w:val="right"/>
        <w:textAlignment w:val="auto"/>
        <w:rPr>
          <w:rFonts w:ascii="仿宋" w:eastAsia="仿宋" w:cs="仿宋" w:hint="eastAsia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Chars="200" w:firstLine="420"/>
        <w:jc w:val="right"/>
        <w:textAlignment w:val="auto"/>
        <w:rPr>
          <w:rFonts w:ascii="仿宋" w:eastAsia="仿宋" w:cs="仿宋" w:hint="eastAsia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ascii="仿宋" w:eastAsia="仿宋" w:cs="仿宋" w:hint="eastAsia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Chars="200" w:firstLine="420"/>
        <w:jc w:val="right"/>
        <w:textAlignment w:val="auto"/>
        <w:rPr>
          <w:rFonts w:ascii="仿宋" w:eastAsia="仿宋" w:cs="仿宋" w:hint="eastAsia"/>
          <w:lang w:eastAsia="zh-CN"/>
        </w:rPr>
      </w:pPr>
      <w:r>
        <w:rPr>
          <w:rFonts w:ascii="仿宋" w:eastAsia="仿宋" w:cs="仿宋" w:hint="eastAsia"/>
          <w:lang w:eastAsia="zh-CN"/>
        </w:rPr>
        <w:t>公告时间：自公示之日起10 工作日。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Chars="200" w:firstLine="420"/>
        <w:jc w:val="right"/>
        <w:textAlignment w:val="auto"/>
        <w:rPr>
          <w:rFonts w:ascii="仿宋" w:eastAsia="仿宋" w:cs="仿宋" w:hint="eastAsia"/>
          <w:lang w:eastAsia="zh-CN"/>
        </w:rPr>
      </w:pPr>
      <w:r>
        <w:rPr>
          <w:rFonts w:ascii="仿宋" w:eastAsia="仿宋" w:cs="仿宋" w:hint="eastAsia"/>
          <w:lang w:eastAsia="zh-CN"/>
        </w:rPr>
        <w:t>联系人：李松林（0851-85829396）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Chars="200" w:firstLine="420"/>
        <w:jc w:val="right"/>
        <w:textAlignment w:val="auto"/>
        <w:rPr>
          <w:rFonts w:ascii="仿宋" w:eastAsia="仿宋" w:cs="仿宋" w:hint="eastAsia"/>
          <w:lang w:eastAsia="zh-CN"/>
        </w:rPr>
      </w:pPr>
      <w:r>
        <w:rPr>
          <w:rFonts w:ascii="仿宋" w:eastAsia="仿宋" w:cs="仿宋" w:hint="eastAsia"/>
          <w:lang w:eastAsia="zh-CN"/>
        </w:rPr>
        <w:t>传真：85829384（传真）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Chars="200" w:firstLine="420"/>
        <w:jc w:val="right"/>
        <w:textAlignment w:val="auto"/>
        <w:rPr>
          <w:rFonts w:ascii="仿宋" w:eastAsia="仿宋" w:cs="仿宋" w:hint="eastAsia"/>
          <w:lang w:eastAsia="zh-CN"/>
        </w:rPr>
      </w:pPr>
      <w:r>
        <w:rPr>
          <w:rFonts w:ascii="仿宋" w:eastAsia="仿宋" w:cs="仿宋" w:hint="eastAsia"/>
          <w:lang w:eastAsia="zh-CN"/>
        </w:rPr>
        <w:t>电子邮箱：251973814@qq.com</w:t>
      </w:r>
    </w:p>
    <w:p>
      <w:pPr>
        <w:rPr>
          <w:rFonts w:eastAsia="宋体" w:hint="eastAsia"/>
          <w:lang w:eastAsia="zh-CN"/>
        </w:rPr>
      </w:pPr>
      <w:r>
        <w:rPr>
          <w:rFonts w:eastAsia="宋体" w:hint="eastAsia"/>
          <w:lang w:eastAsia="zh-CN"/>
        </w:rPr>
        <w:drawing>
          <wp:anchor distT="0" distB="0" distL="114935" distR="114935" simplePos="0" relativeHeight="12" behindDoc="0" locked="0" layoutInCell="1" hidden="0" allowOverlap="1">
            <wp:simplePos x="0" y="0"/>
            <wp:positionH relativeFrom="column">
              <wp:posOffset>-817880</wp:posOffset>
            </wp:positionH>
            <wp:positionV relativeFrom="paragraph">
              <wp:posOffset>154940</wp:posOffset>
            </wp:positionV>
            <wp:extent cx="7172960" cy="3835400"/>
            <wp:effectExtent l="0" t="0" r="0" b="0"/>
            <wp:wrapTopAndBottom/>
            <wp:docPr id="1" name="图片 1" descr="GS-11-02-40,40地块指标（最新调整）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" name="图片 1 3"/>
                    <pic:cNvPicPr/>
                  </pic:nvPicPr>
                  <pic:blipFill>
                    <a:blip r:embed="rId2"/>
                    <a:srcRect t="12370" b="119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172960" cy="3835400"/>
                    </a:xfrm>
                    <a:prstGeom prst="rect"/>
                    <a:noFill/>
                    <a:ln w="9525" cmpd="sng" cap="flat">
                      <a:noFill/>
                      <a:prstDash val="solid"/>
                      <a:miter/>
                    </a:ln>
                  </pic:spPr>
                </pic:pic>
              </a:graphicData>
            </a:graphic>
          </wp:anchor>
        </w:drawing>
      </w:r>
    </w:p>
    <w:p>
      <w:pPr>
        <w:rPr>
          <w:rFonts w:eastAsia="宋体" w:hint="eastAsia"/>
          <w:lang w:eastAsia="zh-CN"/>
        </w:rPr>
      </w:pPr>
    </w:p>
    <w:sectPr>
      <w:pgSz w:w="11906" w:h="16838"/>
      <w:pgMar w:top="1440" w:right="1800" w:bottom="1440" w:left="1800" w:header="851" w:footer="992" w:gutter="0"/>
      <w:docGrid w:type="lines" w:linePitch="312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仿宋">
    <w:panose1 w:val="02010609060101010101"/>
    <w:charset w:val="86"/>
    <w:family w:val="auto"/>
    <w:pitch w:val="variable"/>
    <w:sig w:usb0="800002BF" w:usb1="38CF7CFA" w:usb2="00000016" w:usb3="00000000" w:csb0="00040001" w:csb1="00000000"/>
  </w:font>
  <w:font w:name="宋体">
    <w:panose1 w:val="02010600030101010101"/>
    <w:charset w:val="86"/>
    <w:family w:val="auto"/>
    <w:pitch w:val="variable"/>
    <w:sig w:usb0="00000003" w:usb1="288F0000" w:usb2="00000006" w:usb3="00000000" w:csb0="00040001" w:csb1="00000000"/>
  </w:font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2000019F" w:csb1="00000000"/>
  </w:font>
  <w:font w:name="Arial">
    <w:panose1 w:val="020B0604020202020204"/>
    <w:charset w:val="01"/>
    <w:family w:val="swiss"/>
    <w:pitch w:val="variable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variable"/>
    <w:sig w:usb0="800002BF" w:usb1="38CF7CFA" w:usb2="00000016" w:usb3="00000000" w:csb0="00040001" w:csb1="00000000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m="http://schemas.openxmlformats.org/officeDocument/2006/math" xmlns:v="urn:schemas-microsoft-com:vml" xmlns:mc="http://schemas.openxmlformats.org/markup-compatibility/2006" xmlns:w14="http://schemas.microsoft.com/office/word/2010/wordml">
  <w:abstractNum w:abstractNumId="0">
    <w:nsid w:val="12D2A093"/>
    <w:multiLevelType w:val="singleLevel"/>
    <w:tmpl w:val="12D2A093"/>
    <w:lvl w:ilvl="0">
      <w:start w:val="2"/>
      <w:numFmt w:val="chineseCounting"/>
      <w:lvlRestart w:val="0"/>
      <w:suff w:val="nothing"/>
      <w:lvlText w:val="%1、"/>
      <w:legacy w:legacy="1" w:legacySpace="0" w:legacyIndent="0"/>
      <w:lvlJc w:val="left"/>
      <w:pPr>
        <w:ind w:left="0" w:hanging="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w="http://schemas.openxmlformats.org/wordprocessingml/2006/main" xmlns:o="urn:schemas-microsoft-com:office:office" xmlns:r="http://schemas.openxmlformats.org/officeDocument/2006/relationships" xmlns:m="http://schemas.openxmlformats.org/officeDocument/2006/math" xmlns:v="urn:schemas-microsoft-com:vml">
  <w:zoom w:percent="120"/>
  <w:bordersDoNotSurroundHeader w:val="0"/>
  <w:bordersDoNotSurroundFooter w:val="0"/>
  <w:trackRevisions/>
  <w:documentProtection w:edit="readOnly" w:enforcement="0"/>
  <w:defaultTabStop w:val="420"/>
  <w:drawingGridHorizontalSpacing w:val="105"/>
  <w:drawingGridVerticalSpacing w:val="156"/>
  <w:displayHorizontalDrawingGridEvery w:val="1"/>
  <w:displayVerticalDrawingGridEvery w:val="1"/>
  <w:noPunctuationKerning/>
  <w:characterSpacingControl w:val="compressPunctuation"/>
  <w:compat>
    <w:spaceForUL/>
    <w:balanceSingleByteDoubleByteWidth/>
    <w:ulTrailSpace/>
    <w:doNotExpandShiftReturn/>
    <w:adjustLineHeightInTable/>
    <w:doNotUseIndentAsNumberingTabStop/>
    <w:compatSetting w:name="compatibilityMode" w:uri="http://schemas.microsoft.com/office/word" w:val="14"/>
  </w:compat>
</w:settings>
</file>

<file path=word/styles.xml><?xml version="1.0" encoding="utf-8"?>
<w:styles xmlns:w="http://schemas.openxmlformats.org/wordprocessingml/2006/main" xmlns:r="http://schemas.openxmlformats.org/officeDocument/2006/relationships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style w:type="paragraph" w:default="1" w:styleId="0">
    <w:name w:val="Normal"/>
    <w:pPr>
      <w:widowControl w:val="0"/>
      <w:jc w:val="both"/>
    </w:pPr>
    <w:rPr>
      <w:rFonts w:ascii="Calibri" w:eastAsia="宋体" w:cs="Arial" w:hAnsi="Calibri"/>
      <w:kern w:val="2"/>
      <w:sz w:val="21"/>
      <w:szCs w:val="24"/>
      <w:lang w:val="en-US" w:eastAsia="zh-CN" w:bidi="ar-SA"/>
    </w:rPr>
  </w:style>
  <w:style w:type="paragraph" w:styleId="1">
    <w:name w:val="heading 1"/>
    <w:basedOn w:val="0"/>
    <w:next w:val="0"/>
    <w:pPr>
      <w:keepNext/>
      <w:keepLines/>
      <w:widowControl w:val="0"/>
      <w:spacing w:before="340" w:beforeAutospacing="0" w:after="330" w:afterAutospacing="0" w:line="576" w:lineRule="auto"/>
      <w:outlineLvl w:val="0"/>
    </w:pPr>
    <w:rPr>
      <w:b/>
      <w:kern w:val="44"/>
      <w:sz w:val="44"/>
    </w:rPr>
  </w:style>
  <w:style w:type="paragraph" w:styleId="2">
    <w:name w:val="heading 2"/>
    <w:basedOn w:val="0"/>
    <w:next w:val="0"/>
    <w:pPr>
      <w:keepNext/>
      <w:keepLines/>
      <w:widowControl w:val="0"/>
      <w:spacing w:before="260" w:beforeAutospacing="0" w:after="260" w:afterAutospacing="0" w:line="413" w:lineRule="auto"/>
      <w:outlineLvl w:val="1"/>
    </w:pPr>
    <w:rPr>
      <w:rFonts w:ascii="Arial" w:eastAsia="黑体" w:hAnsi="Arial"/>
      <w:b/>
      <w:sz w:val="32"/>
    </w:rPr>
  </w:style>
  <w:style w:type="paragraph" w:styleId="3">
    <w:name w:val="heading 3"/>
    <w:basedOn w:val="0"/>
    <w:next w:val="0"/>
    <w:pPr>
      <w:keepNext/>
      <w:keepLines/>
      <w:spacing w:before="260" w:after="260" w:line="415" w:lineRule="auto"/>
      <w:outlineLvl w:val="2"/>
    </w:pPr>
    <w:rPr>
      <w:b/>
      <w:sz w:val="32"/>
    </w:rPr>
  </w:style>
  <w:style w:type="character" w:default="1" w:styleId="10">
    <w:name w:val="Default Paragraph Font"/>
  </w:style>
  <w:style w:type="paragraph" w:styleId="15">
    <w:name w:val="Normal (Web)"/>
    <w:basedOn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/>
    </w:rPr>
  </w:style>
  <w:style w:type="paragraph" w:styleId="21">
    <w:name w:val="toc 1"/>
    <w:basedOn w:val="0"/>
    <w:autoRedefine/>
    <w:next w:val="0"/>
  </w:style>
  <w:style w:type="paragraph" w:styleId="22">
    <w:name w:val="toc 2"/>
    <w:basedOn w:val="0"/>
    <w:autoRedefine/>
    <w:next w:val="0"/>
    <w:pPr>
      <w:ind w:left="420"/>
    </w:pPr>
  </w:style>
  <w:style w:type="paragraph" w:styleId="23">
    <w:name w:val="toc 3"/>
    <w:basedOn w:val="0"/>
    <w:autoRedefine/>
    <w:next w:val="0"/>
    <w:pPr>
      <w:ind w:left="840"/>
    </w:pPr>
  </w:style>
  <w:style w:type="paragraph" w:styleId="24">
    <w:name w:val="toc 4"/>
    <w:basedOn w:val="0"/>
    <w:autoRedefine/>
    <w:next w:val="0"/>
    <w:pPr>
      <w:ind w:left="1260"/>
    </w:pPr>
  </w:style>
  <w:style w:type="paragraph" w:styleId="25">
    <w:name w:val="toc 5"/>
    <w:basedOn w:val="0"/>
    <w:autoRedefine/>
    <w:next w:val="0"/>
    <w:pPr>
      <w:ind w:left="1680"/>
    </w:pPr>
  </w:style>
  <w:style w:type="paragraph" w:styleId="33">
    <w:name w:val="header"/>
    <w:basedOn w:val="0"/>
    <w:pPr>
      <w:pBdr>
        <w:bottom w:val="single" w:sz="6" w:space="1" w:color="auto"/>
      </w:pBdr>
      <w:tabs>
        <w:tab w:val="center" w:pos="4153"/>
        <w:tab w:val="right" w:pos="8307"/>
      </w:tabs>
      <w:snapToGrid w:val="0"/>
      <w:jc w:val="center"/>
    </w:pPr>
    <w:rPr>
      <w:sz w:val="18"/>
    </w:rPr>
  </w:style>
  <w:style w:type="paragraph" w:styleId="34">
    <w:name w:val="footer"/>
    <w:basedOn w:val="0"/>
    <w:pPr>
      <w:tabs>
        <w:tab w:val="center" w:pos="4153"/>
        <w:tab w:val="right" w:pos="8307"/>
      </w:tabs>
      <w:snapToGrid w:val="0"/>
      <w:jc w:val="left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image" Target="media/2.jpeg"/><Relationship Id="rId3" Type="http://schemas.openxmlformats.org/officeDocument/2006/relationships/styles" Target="styles.xml"/><Relationship Id="rId4" Type="http://schemas.openxmlformats.org/officeDocument/2006/relationships/numbering" Target="numbering.xml"/><Relationship Id="rId5" Type="http://schemas.openxmlformats.org/officeDocument/2006/relationships/fontTable" Target="fontTable.xml"/></Relationships>
</file>

<file path=docProps/app.xml><?xml version="1.0" encoding="utf-8"?>
<Properties xmlns="http://schemas.openxmlformats.org/officeDocument/2006/extended-properties">
  <Template>Normal.eit</Template>
  <TotalTime>1</TotalTime>
  <Application>Yozo_Office27021597764231179</Application>
  <Pages>2</Pages>
  <Words>1093</Words>
  <Characters>1285</Characters>
  <Lines>43</Lines>
  <Paragraphs>18</Paragraphs>
  <CharactersWithSpaces>1290</CharactersWithSpac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:creator>追赶</dc:creator>
  <cp:lastModifiedBy>root</cp:lastModifiedBy>
  <cp:revision>1</cp:revision>
  <dcterms:created xsi:type="dcterms:W3CDTF">2021-06-01T05:49:00Z</dcterms:created>
  <dcterms:modified xsi:type="dcterms:W3CDTF">2022-05-12T01:58:10Z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>
  <property fmtid="{D5CDD505-2E9C-101B-9397-08002B2CF9AE}" pid="2" name="KSOProductBuildVer">
    <vt:lpwstr>2052-11.1.0.11411</vt:lpwstr>
  </property>
  <property fmtid="{D5CDD505-2E9C-101B-9397-08002B2CF9AE}" pid="3" name="ICV">
    <vt:lpwstr>87066878A67F4DEABFDCB152A4FBC456</vt:lpwstr>
  </property>
</Properties>
</file>