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5798E" w:rsidRDefault="007C1000">
      <w:pPr>
        <w:widowControl/>
        <w:spacing w:before="570" w:after="225"/>
        <w:jc w:val="center"/>
        <w:outlineLvl w:val="0"/>
        <w:rPr>
          <w:rFonts w:ascii="微软雅黑" w:eastAsia="微软雅黑" w:cs="宋体"/>
          <w:b/>
          <w:bCs/>
          <w:color w:val="2D66A5"/>
          <w:kern w:val="36"/>
          <w:sz w:val="40"/>
          <w:szCs w:val="44"/>
        </w:rPr>
      </w:pP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贵阳市自然资源和规划局关于《贵阳市中心城区控制性详细规划（细则）</w:t>
      </w:r>
      <w:r>
        <w:rPr>
          <w:rFonts w:ascii="微软雅黑" w:eastAsia="微软雅黑" w:cs="宋体"/>
          <w:b/>
          <w:bCs/>
          <w:color w:val="2D66A5"/>
          <w:kern w:val="36"/>
          <w:sz w:val="40"/>
          <w:szCs w:val="44"/>
        </w:rPr>
        <w:t>—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乌当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组团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培席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单元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WD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-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05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-0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4</w:t>
      </w:r>
      <w:r>
        <w:rPr>
          <w:rFonts w:ascii="微软雅黑" w:eastAsia="微软雅黑" w:cs="宋体" w:hint="eastAsia"/>
          <w:b/>
          <w:bCs/>
          <w:color w:val="2D66A5"/>
          <w:kern w:val="36"/>
          <w:sz w:val="40"/>
          <w:szCs w:val="44"/>
        </w:rPr>
        <w:t>地块规划方案》的公示</w:t>
      </w:r>
      <w:bookmarkStart w:id="0" w:name="_GoBack"/>
      <w:bookmarkEnd w:id="0"/>
    </w:p>
    <w:p w:rsidR="00F5798E" w:rsidRDefault="007C1000">
      <w:pPr>
        <w:widowControl/>
        <w:shd w:val="clear" w:color="auto" w:fill="FFFFFF"/>
        <w:wordWrap w:val="0"/>
        <w:spacing w:line="480" w:lineRule="atLeast"/>
        <w:ind w:firstLine="480"/>
        <w:jc w:val="left"/>
        <w:rPr>
          <w:rFonts w:ascii="微软雅黑" w:eastAsia="微软雅黑" w:cs="宋体"/>
          <w:b/>
          <w:bCs/>
          <w:color w:val="333333"/>
          <w:kern w:val="0"/>
          <w:sz w:val="24"/>
          <w:szCs w:val="24"/>
          <w:shd w:val="clear" w:color="auto" w:fill="FFFFFF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依据《贵阳市城市总体规划（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2011-2020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年）》（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2017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年修订）、《贵阳市中心城区控制性详细规划（总则）——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乌当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组团》等上位规划，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乌当区人民政府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组织编制完成《贵阳市中心城区控制性详细规划（细则）—乌当组团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培席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单元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WD-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05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-0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4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地块规划方案》并报我局审查，根据《中华人民共和国城乡规划法》、《贵阳市控制性详细规划管理办法》等相关法律法规和规章要求，现将规划方案主要内容予以公告，广泛征求社会意见。</w:t>
      </w:r>
    </w:p>
    <w:p w:rsidR="00F5798E" w:rsidRDefault="007C1000">
      <w:pPr>
        <w:widowControl/>
        <w:shd w:val="clear" w:color="auto" w:fill="FFFFFF"/>
        <w:wordWrap w:val="0"/>
        <w:spacing w:line="480" w:lineRule="atLeast"/>
        <w:ind w:firstLine="480"/>
        <w:jc w:val="left"/>
        <w:rPr>
          <w:rFonts w:ascii="微软雅黑" w:eastAsia="微软雅黑" w:cs="宋体"/>
          <w:color w:val="333333"/>
          <w:kern w:val="0"/>
          <w:sz w:val="24"/>
          <w:szCs w:val="24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公告时间：自公告之日起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10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工作日。</w:t>
      </w:r>
    </w:p>
    <w:p w:rsidR="00F5798E" w:rsidRDefault="007C1000">
      <w:pPr>
        <w:widowControl/>
        <w:shd w:val="clear" w:color="auto" w:fill="FFFFFF"/>
        <w:wordWrap w:val="0"/>
        <w:spacing w:line="480" w:lineRule="atLeast"/>
        <w:ind w:right="600" w:firstLine="480"/>
        <w:jc w:val="left"/>
        <w:rPr>
          <w:rFonts w:ascii="微软雅黑" w:eastAsia="微软雅黑" w:cs="宋体"/>
          <w:color w:val="333333"/>
          <w:kern w:val="0"/>
          <w:sz w:val="24"/>
          <w:szCs w:val="24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联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 xml:space="preserve"> 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系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 xml:space="preserve"> 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人：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岳伟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 xml:space="preserve">  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（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0851-85829396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）</w:t>
      </w:r>
    </w:p>
    <w:p w:rsidR="00F5798E" w:rsidRDefault="007C1000">
      <w:pPr>
        <w:widowControl/>
        <w:shd w:val="clear" w:color="auto" w:fill="FFFFFF"/>
        <w:wordWrap w:val="0"/>
        <w:spacing w:line="480" w:lineRule="atLeast"/>
        <w:ind w:right="600" w:firstLineChars="700" w:firstLine="1680"/>
        <w:jc w:val="left"/>
        <w:rPr>
          <w:rFonts w:ascii="微软雅黑" w:eastAsia="微软雅黑" w:cs="宋体"/>
          <w:b/>
          <w:bCs/>
          <w:color w:val="333333"/>
          <w:kern w:val="0"/>
          <w:sz w:val="24"/>
          <w:szCs w:val="24"/>
          <w:shd w:val="clear" w:color="auto" w:fill="FFFFFF"/>
        </w:rPr>
      </w:pP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朱兰芝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（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13984099693</w:t>
      </w:r>
      <w:r>
        <w:rPr>
          <w:rFonts w:ascii="微软雅黑" w:eastAsia="微软雅黑" w:cs="宋体" w:hint="eastAsia"/>
          <w:b/>
          <w:bCs/>
          <w:color w:val="333333"/>
          <w:kern w:val="0"/>
          <w:sz w:val="24"/>
          <w:szCs w:val="24"/>
          <w:shd w:val="clear" w:color="auto" w:fill="FFFFFF"/>
        </w:rPr>
        <w:t>）</w:t>
      </w:r>
    </w:p>
    <w:p w:rsidR="00F5798E" w:rsidRDefault="007C1000">
      <w:pPr>
        <w:widowControl/>
        <w:shd w:val="clear" w:color="auto" w:fill="FFFFFF"/>
        <w:wordWrap w:val="0"/>
        <w:spacing w:line="480" w:lineRule="atLeast"/>
        <w:ind w:right="600" w:firstLine="480"/>
        <w:jc w:val="left"/>
        <w:rPr>
          <w:rFonts w:ascii="微软雅黑" w:eastAsia="微软雅黑" w:cs="宋体"/>
          <w:color w:val="000000"/>
          <w:kern w:val="0"/>
          <w:sz w:val="24"/>
          <w:szCs w:val="24"/>
        </w:rPr>
      </w:pP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</w:rPr>
        <w:t>传</w:t>
      </w: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</w:rPr>
        <w:t>   </w:t>
      </w: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</w:rPr>
        <w:t xml:space="preserve"> </w:t>
      </w: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</w:rPr>
        <w:t>真：</w:t>
      </w: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</w:rPr>
        <w:t>85829384</w:t>
      </w: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</w:rPr>
        <w:t>（传真）</w:t>
      </w:r>
    </w:p>
    <w:p w:rsidR="00F5798E" w:rsidRDefault="007C1000">
      <w:pPr>
        <w:widowControl/>
        <w:shd w:val="clear" w:color="auto" w:fill="FFFFFF"/>
        <w:wordWrap w:val="0"/>
        <w:spacing w:line="480" w:lineRule="atLeast"/>
        <w:ind w:right="600" w:firstLine="480"/>
        <w:jc w:val="left"/>
        <w:rPr>
          <w:rFonts w:ascii="微软雅黑" w:eastAsia="微软雅黑" w:cs="宋体"/>
          <w:b/>
          <w:bCs/>
          <w:color w:val="000000"/>
          <w:kern w:val="0"/>
          <w:sz w:val="24"/>
          <w:szCs w:val="24"/>
          <w:shd w:val="clear" w:color="auto" w:fill="FFFFFF"/>
        </w:rPr>
      </w:pPr>
      <w:r>
        <w:rPr>
          <w:rFonts w:ascii="微软雅黑" w:eastAsia="微软雅黑" w:cs="宋体" w:hint="eastAsia"/>
          <w:b/>
          <w:bCs/>
          <w:color w:val="000000"/>
          <w:kern w:val="0"/>
          <w:sz w:val="24"/>
          <w:szCs w:val="24"/>
          <w:shd w:val="clear" w:color="auto" w:fill="FFFFFF"/>
        </w:rPr>
        <w:t>电子邮箱：</w:t>
      </w:r>
      <w:hyperlink r:id="rId6" w:history="1">
        <w:r>
          <w:rPr>
            <w:rStyle w:val="a7"/>
            <w:rFonts w:ascii="微软雅黑" w:eastAsia="微软雅黑" w:cs="宋体" w:hint="eastAsia"/>
            <w:b/>
            <w:bCs/>
            <w:color w:val="000000"/>
            <w:kern w:val="0"/>
            <w:sz w:val="24"/>
            <w:szCs w:val="24"/>
            <w:shd w:val="clear" w:color="auto" w:fill="FFFFFF"/>
          </w:rPr>
          <w:t>1325442033</w:t>
        </w:r>
        <w:r>
          <w:rPr>
            <w:rStyle w:val="a7"/>
            <w:rFonts w:ascii="微软雅黑" w:eastAsia="微软雅黑" w:cs="宋体" w:hint="eastAsia"/>
            <w:b/>
            <w:bCs/>
            <w:color w:val="000000"/>
            <w:kern w:val="0"/>
            <w:sz w:val="24"/>
            <w:szCs w:val="24"/>
            <w:shd w:val="clear" w:color="auto" w:fill="FFFFFF"/>
          </w:rPr>
          <w:t>@qq.com</w:t>
        </w:r>
      </w:hyperlink>
    </w:p>
    <w:p w:rsidR="00F5798E" w:rsidRDefault="00F5798E" w:rsidP="0050761F">
      <w:pPr>
        <w:spacing w:line="360" w:lineRule="auto"/>
        <w:ind w:leftChars="52" w:left="109" w:firstLineChars="100" w:firstLine="442"/>
        <w:jc w:val="center"/>
        <w:rPr>
          <w:rFonts w:ascii="宋体"/>
          <w:b/>
          <w:sz w:val="44"/>
          <w:szCs w:val="44"/>
        </w:rPr>
      </w:pPr>
    </w:p>
    <w:p w:rsidR="00F5798E" w:rsidRDefault="00F5798E" w:rsidP="0050761F">
      <w:pPr>
        <w:spacing w:line="360" w:lineRule="auto"/>
        <w:ind w:leftChars="52" w:left="109" w:firstLineChars="100" w:firstLine="442"/>
        <w:jc w:val="center"/>
        <w:rPr>
          <w:rFonts w:ascii="宋体"/>
          <w:b/>
          <w:sz w:val="44"/>
          <w:szCs w:val="44"/>
        </w:rPr>
      </w:pPr>
    </w:p>
    <w:p w:rsidR="00F5798E" w:rsidRDefault="00F5798E" w:rsidP="0050761F">
      <w:pPr>
        <w:spacing w:line="360" w:lineRule="auto"/>
        <w:ind w:leftChars="52" w:left="109" w:firstLineChars="100" w:firstLine="442"/>
        <w:jc w:val="center"/>
        <w:rPr>
          <w:rFonts w:ascii="宋体"/>
          <w:b/>
          <w:sz w:val="44"/>
          <w:szCs w:val="44"/>
        </w:rPr>
      </w:pPr>
    </w:p>
    <w:p w:rsidR="00F5798E" w:rsidRDefault="00F5798E" w:rsidP="0050761F">
      <w:pPr>
        <w:spacing w:line="360" w:lineRule="auto"/>
        <w:ind w:leftChars="52" w:left="109" w:firstLineChars="100" w:firstLine="442"/>
        <w:jc w:val="center"/>
        <w:rPr>
          <w:rFonts w:ascii="宋体"/>
          <w:b/>
          <w:sz w:val="44"/>
          <w:szCs w:val="44"/>
        </w:rPr>
      </w:pPr>
    </w:p>
    <w:p w:rsidR="00F5798E" w:rsidRDefault="00F5798E" w:rsidP="0050761F">
      <w:pPr>
        <w:spacing w:line="360" w:lineRule="auto"/>
        <w:ind w:leftChars="52" w:left="109" w:firstLineChars="100" w:firstLine="442"/>
        <w:jc w:val="center"/>
        <w:rPr>
          <w:rFonts w:ascii="宋体"/>
          <w:b/>
          <w:sz w:val="44"/>
          <w:szCs w:val="44"/>
        </w:rPr>
      </w:pPr>
    </w:p>
    <w:p w:rsidR="00F5798E" w:rsidRDefault="00F5798E" w:rsidP="0050761F">
      <w:pPr>
        <w:spacing w:line="360" w:lineRule="auto"/>
        <w:ind w:leftChars="52" w:left="109" w:firstLineChars="100" w:firstLine="442"/>
        <w:jc w:val="center"/>
        <w:rPr>
          <w:rFonts w:ascii="宋体"/>
          <w:b/>
          <w:sz w:val="44"/>
          <w:szCs w:val="44"/>
        </w:rPr>
      </w:pP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 w:val="28"/>
          <w:szCs w:val="28"/>
        </w:rPr>
      </w:pPr>
      <w:r>
        <w:rPr>
          <w:rFonts w:ascii="宋体" w:hint="eastAsia"/>
          <w:b/>
          <w:bCs/>
          <w:sz w:val="28"/>
          <w:szCs w:val="28"/>
        </w:rPr>
        <w:t>第一章</w:t>
      </w:r>
      <w:r>
        <w:rPr>
          <w:rFonts w:ascii="宋体" w:hint="eastAsia"/>
          <w:b/>
          <w:bCs/>
          <w:sz w:val="28"/>
          <w:szCs w:val="28"/>
        </w:rPr>
        <w:t xml:space="preserve"> </w:t>
      </w:r>
      <w:r>
        <w:rPr>
          <w:rFonts w:ascii="宋体" w:hint="eastAsia"/>
          <w:b/>
          <w:bCs/>
          <w:sz w:val="28"/>
          <w:szCs w:val="28"/>
        </w:rPr>
        <w:t>导则解读</w:t>
      </w: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第一条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地块边界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规划边界东以航天路，南至航天路，西接环城高速公路，北与火石坡食品工业园相接，规划总用地面积</w:t>
      </w:r>
      <w:r>
        <w:rPr>
          <w:rFonts w:ascii="宋体" w:hint="eastAsia"/>
          <w:szCs w:val="21"/>
        </w:rPr>
        <w:t>558.90</w:t>
      </w:r>
      <w:r>
        <w:rPr>
          <w:rFonts w:ascii="宋体" w:hint="eastAsia"/>
          <w:szCs w:val="21"/>
        </w:rPr>
        <w:t>公顷。</w:t>
      </w: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第二条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道路交通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道路体系为：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快速路：包括东二环、贵阳绕城高速；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主干道：包括北京东路、航天路；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次干道：包括培席路、龙培路；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支路：主要包括风情路等规划支路、弹性支路。</w:t>
      </w: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第三条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规划</w:t>
      </w:r>
      <w:r>
        <w:rPr>
          <w:rFonts w:ascii="宋体"/>
          <w:b/>
          <w:bCs/>
          <w:szCs w:val="21"/>
        </w:rPr>
        <w:t>重要设施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根据培席单元导则，地块规划重要设施如下：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公共服务设施：培席小学中学、培席社区服务中心、培席社区派出所、培席社区文化活动中心、乌当区文化体育中心、培席社区养老院、生鲜超市</w:t>
      </w:r>
      <w:r>
        <w:rPr>
          <w:rFonts w:ascii="宋体" w:hint="eastAsia"/>
          <w:szCs w:val="21"/>
        </w:rPr>
        <w:t>2</w:t>
      </w:r>
      <w:r>
        <w:rPr>
          <w:rFonts w:ascii="宋体" w:hint="eastAsia"/>
          <w:szCs w:val="21"/>
        </w:rPr>
        <w:t>处、中型多功能运动场地</w:t>
      </w:r>
      <w:r>
        <w:rPr>
          <w:rFonts w:ascii="宋体" w:hint="eastAsia"/>
          <w:szCs w:val="21"/>
        </w:rPr>
        <w:t>2</w:t>
      </w:r>
      <w:r>
        <w:rPr>
          <w:rFonts w:ascii="宋体" w:hint="eastAsia"/>
          <w:szCs w:val="21"/>
        </w:rPr>
        <w:t>处、社区卫</w:t>
      </w:r>
      <w:r>
        <w:rPr>
          <w:rFonts w:ascii="宋体" w:hint="eastAsia"/>
          <w:szCs w:val="21"/>
        </w:rPr>
        <w:t>生服务中心等；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公用设施：</w:t>
      </w:r>
      <w:r>
        <w:rPr>
          <w:rFonts w:ascii="宋体" w:hint="eastAsia"/>
          <w:szCs w:val="21"/>
        </w:rPr>
        <w:t>2</w:t>
      </w:r>
      <w:r>
        <w:rPr>
          <w:rFonts w:ascii="宋体"/>
          <w:szCs w:val="21"/>
        </w:rPr>
        <w:t>20KV</w:t>
      </w:r>
      <w:r>
        <w:rPr>
          <w:rFonts w:ascii="宋体" w:hint="eastAsia"/>
          <w:szCs w:val="21"/>
        </w:rPr>
        <w:t>乌当变、</w:t>
      </w:r>
      <w:r>
        <w:rPr>
          <w:rFonts w:ascii="宋体" w:hint="eastAsia"/>
          <w:szCs w:val="21"/>
        </w:rPr>
        <w:t>1</w:t>
      </w:r>
      <w:r>
        <w:rPr>
          <w:rFonts w:ascii="宋体"/>
          <w:szCs w:val="21"/>
        </w:rPr>
        <w:t>10KV</w:t>
      </w:r>
      <w:r>
        <w:rPr>
          <w:rFonts w:ascii="宋体" w:hint="eastAsia"/>
          <w:szCs w:val="21"/>
        </w:rPr>
        <w:t>培席变、奶牛场污水处理厂、培席转运站、开闭所、邮政端局、汇聚机房等。</w:t>
      </w: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第四条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空间管制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1</w:t>
      </w:r>
      <w:r>
        <w:rPr>
          <w:rFonts w:ascii="宋体" w:hint="eastAsia"/>
          <w:szCs w:val="21"/>
        </w:rPr>
        <w:t>、城市绿线规划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地块城市绿线包括：</w:t>
      </w:r>
    </w:p>
    <w:p w:rsidR="00F5798E" w:rsidRDefault="007C1000">
      <w:pPr>
        <w:numPr>
          <w:ilvl w:val="0"/>
          <w:numId w:val="1"/>
        </w:num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东二环东侧及航天路北侧防护绿地：用地面积共</w:t>
      </w:r>
      <w:r>
        <w:rPr>
          <w:rFonts w:ascii="宋体"/>
          <w:szCs w:val="21"/>
        </w:rPr>
        <w:t>4.86</w:t>
      </w:r>
      <w:r>
        <w:rPr>
          <w:rFonts w:ascii="宋体" w:hint="eastAsia"/>
          <w:szCs w:val="21"/>
        </w:rPr>
        <w:t>公顷，以实线控制；</w:t>
      </w:r>
    </w:p>
    <w:p w:rsidR="00F5798E" w:rsidRDefault="007C1000">
      <w:pPr>
        <w:numPr>
          <w:ilvl w:val="0"/>
          <w:numId w:val="1"/>
        </w:num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公共绿地：培席公园及社区级公园绿地，用地面积共</w:t>
      </w:r>
      <w:r>
        <w:rPr>
          <w:rFonts w:ascii="宋体"/>
          <w:szCs w:val="21"/>
        </w:rPr>
        <w:t>9.46</w:t>
      </w:r>
      <w:r>
        <w:rPr>
          <w:rFonts w:ascii="宋体" w:hint="eastAsia"/>
          <w:szCs w:val="21"/>
        </w:rPr>
        <w:t>公顷，以实线控制。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2</w:t>
      </w:r>
      <w:r>
        <w:rPr>
          <w:rFonts w:ascii="宋体" w:hint="eastAsia"/>
          <w:szCs w:val="21"/>
        </w:rPr>
        <w:t>、城市黄线控制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地块城市黄线包括：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220KV</w:t>
      </w:r>
      <w:r>
        <w:rPr>
          <w:rFonts w:ascii="宋体" w:hint="eastAsia"/>
          <w:szCs w:val="21"/>
        </w:rPr>
        <w:t>乌当变、</w:t>
      </w:r>
      <w:r>
        <w:rPr>
          <w:rFonts w:ascii="宋体" w:hint="eastAsia"/>
          <w:szCs w:val="21"/>
        </w:rPr>
        <w:t>110KV</w:t>
      </w:r>
      <w:r>
        <w:rPr>
          <w:rFonts w:ascii="宋体" w:hint="eastAsia"/>
          <w:szCs w:val="21"/>
        </w:rPr>
        <w:t>培席变、奶牛场污水处理厂、培席转运站。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3</w:t>
      </w:r>
      <w:r>
        <w:rPr>
          <w:rFonts w:ascii="宋体" w:hint="eastAsia"/>
          <w:szCs w:val="21"/>
        </w:rPr>
        <w:t>、城市蓝线控制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地块城市蓝线包括：河道两侧各</w:t>
      </w:r>
      <w:r>
        <w:rPr>
          <w:rFonts w:ascii="宋体" w:hint="eastAsia"/>
          <w:szCs w:val="21"/>
        </w:rPr>
        <w:t>7</w:t>
      </w:r>
      <w:r>
        <w:rPr>
          <w:rFonts w:ascii="宋体" w:hint="eastAsia"/>
          <w:szCs w:val="21"/>
        </w:rPr>
        <w:t>米保护线。</w:t>
      </w: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第五条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地块</w:t>
      </w:r>
      <w:r>
        <w:rPr>
          <w:rFonts w:ascii="宋体"/>
          <w:b/>
          <w:bCs/>
          <w:szCs w:val="21"/>
        </w:rPr>
        <w:t>容量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jc w:val="left"/>
        <w:rPr>
          <w:rFonts w:ascii="宋体"/>
          <w:szCs w:val="21"/>
        </w:rPr>
      </w:pPr>
      <w:r>
        <w:rPr>
          <w:rFonts w:ascii="宋体" w:hint="eastAsia"/>
          <w:szCs w:val="21"/>
        </w:rPr>
        <w:t>地块</w:t>
      </w:r>
      <w:r>
        <w:rPr>
          <w:rFonts w:ascii="宋体" w:hint="eastAsia"/>
          <w:szCs w:val="21"/>
        </w:rPr>
        <w:t>用地面积</w:t>
      </w:r>
      <w:r>
        <w:rPr>
          <w:rFonts w:ascii="宋体"/>
          <w:szCs w:val="21"/>
        </w:rPr>
        <w:t>57.22</w:t>
      </w:r>
      <w:r>
        <w:rPr>
          <w:rFonts w:ascii="宋体" w:hint="eastAsia"/>
          <w:szCs w:val="21"/>
        </w:rPr>
        <w:t>公顷，建设容量控制在</w:t>
      </w:r>
      <w:r>
        <w:rPr>
          <w:rFonts w:ascii="宋体"/>
          <w:szCs w:val="21"/>
        </w:rPr>
        <w:t>28.60</w:t>
      </w:r>
      <w:r>
        <w:rPr>
          <w:rFonts w:ascii="宋体" w:hint="eastAsia"/>
          <w:szCs w:val="21"/>
        </w:rPr>
        <w:t>万㎡，综合容积率为</w:t>
      </w:r>
      <w:r>
        <w:rPr>
          <w:rFonts w:ascii="宋体"/>
          <w:szCs w:val="21"/>
        </w:rPr>
        <w:t>0.9</w:t>
      </w:r>
      <w:r>
        <w:rPr>
          <w:rFonts w:ascii="宋体" w:hint="eastAsia"/>
          <w:szCs w:val="21"/>
        </w:rPr>
        <w:t>，规划人口</w:t>
      </w:r>
      <w:r>
        <w:rPr>
          <w:rFonts w:ascii="宋体"/>
          <w:szCs w:val="21"/>
        </w:rPr>
        <w:t>4000</w:t>
      </w:r>
      <w:r>
        <w:rPr>
          <w:rFonts w:ascii="宋体" w:hint="eastAsia"/>
          <w:szCs w:val="21"/>
        </w:rPr>
        <w:t>人。</w:t>
      </w:r>
    </w:p>
    <w:p w:rsidR="00F5798E" w:rsidRDefault="007C1000">
      <w:pPr>
        <w:snapToGrid w:val="0"/>
        <w:spacing w:line="360" w:lineRule="auto"/>
        <w:contextualSpacing/>
        <w:jc w:val="center"/>
        <w:rPr>
          <w:rFonts w:ascii="宋体"/>
          <w:szCs w:val="21"/>
        </w:rPr>
      </w:pPr>
      <w:r>
        <w:rPr>
          <w:rFonts w:ascii="宋体"/>
          <w:noProof/>
          <w:szCs w:val="21"/>
        </w:rPr>
        <w:drawing>
          <wp:inline distT="0" distB="0" distL="0" distR="0" wp14:anchorId="5916596E" wp14:editId="4971B6C0">
            <wp:extent cx="2800985" cy="3576319"/>
            <wp:effectExtent l="0" t="0" r="11" b="22"/>
            <wp:docPr id="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0 3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800985" cy="3576319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136"/>
        <w:tblW w:w="5378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FFFF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278"/>
        <w:gridCol w:w="1278"/>
        <w:gridCol w:w="1276"/>
        <w:gridCol w:w="1271"/>
        <w:gridCol w:w="1276"/>
        <w:gridCol w:w="1271"/>
        <w:gridCol w:w="1312"/>
      </w:tblGrid>
      <w:tr w:rsidR="00F5798E">
        <w:trPr>
          <w:trHeight w:val="570"/>
        </w:trPr>
        <w:tc>
          <w:tcPr>
            <w:tcW w:w="5000" w:type="pct"/>
            <w:gridSpan w:val="7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 w:rsidP="0050761F">
            <w:pPr>
              <w:snapToGrid w:val="0"/>
              <w:spacing w:line="360" w:lineRule="auto"/>
              <w:ind w:firstLineChars="200" w:firstLine="321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地块容量控制指标一览表</w:t>
            </w:r>
          </w:p>
        </w:tc>
      </w:tr>
      <w:tr w:rsidR="00F5798E">
        <w:trPr>
          <w:trHeight w:val="322"/>
        </w:trPr>
        <w:tc>
          <w:tcPr>
            <w:tcW w:w="713" w:type="pct"/>
            <w:vMerge w:val="restar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地块编号</w:t>
            </w:r>
          </w:p>
        </w:tc>
        <w:tc>
          <w:tcPr>
            <w:tcW w:w="713" w:type="pct"/>
            <w:vMerge w:val="restar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b/>
                <w:bCs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总用地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面积（</w:t>
            </w:r>
            <w:r>
              <w:rPr>
                <w:rFonts w:ascii="宋体" w:hint="eastAsia"/>
                <w:b/>
                <w:bCs/>
                <w:sz w:val="16"/>
                <w:szCs w:val="18"/>
              </w:rPr>
              <w:t>ha</w:t>
            </w:r>
            <w:r>
              <w:rPr>
                <w:rFonts w:ascii="宋体" w:hint="eastAsia"/>
                <w:b/>
                <w:bCs/>
                <w:sz w:val="16"/>
                <w:szCs w:val="18"/>
              </w:rPr>
              <w:t>）</w:t>
            </w:r>
          </w:p>
        </w:tc>
        <w:tc>
          <w:tcPr>
            <w:tcW w:w="3573" w:type="pct"/>
            <w:gridSpan w:val="5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规划指标</w:t>
            </w:r>
          </w:p>
        </w:tc>
      </w:tr>
      <w:tr w:rsidR="00F5798E">
        <w:trPr>
          <w:trHeight w:val="712"/>
        </w:trPr>
        <w:tc>
          <w:tcPr>
            <w:tcW w:w="713" w:type="pct"/>
            <w:vMerge/>
            <w:shd w:val="clear" w:color="auto" w:fill="FFFFFF"/>
            <w:vAlign w:val="center"/>
          </w:tcPr>
          <w:p w:rsidR="00F5798E" w:rsidRDefault="00F5798E"/>
        </w:tc>
        <w:tc>
          <w:tcPr>
            <w:tcW w:w="713" w:type="pct"/>
            <w:vMerge/>
            <w:shd w:val="clear" w:color="auto" w:fill="FFFFFF"/>
            <w:vAlign w:val="center"/>
          </w:tcPr>
          <w:p w:rsidR="00F5798E" w:rsidRDefault="00F5798E"/>
        </w:tc>
        <w:tc>
          <w:tcPr>
            <w:tcW w:w="712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建设用地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（公顷）</w:t>
            </w:r>
          </w:p>
        </w:tc>
        <w:tc>
          <w:tcPr>
            <w:tcW w:w="709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建设容量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（万</w:t>
            </w:r>
            <w:r>
              <w:rPr>
                <w:rFonts w:ascii="宋体" w:cs="Batang" w:hint="eastAsia"/>
                <w:b/>
                <w:bCs/>
                <w:sz w:val="16"/>
                <w:szCs w:val="18"/>
              </w:rPr>
              <w:t>㎡</w:t>
            </w:r>
            <w:r>
              <w:rPr>
                <w:rFonts w:ascii="宋体" w:cs="微软雅黑" w:hint="eastAsia"/>
                <w:b/>
                <w:bCs/>
                <w:sz w:val="16"/>
                <w:szCs w:val="18"/>
              </w:rPr>
              <w:t>）</w:t>
            </w:r>
          </w:p>
        </w:tc>
        <w:tc>
          <w:tcPr>
            <w:tcW w:w="712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人口规模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（人）</w:t>
            </w:r>
          </w:p>
        </w:tc>
        <w:tc>
          <w:tcPr>
            <w:tcW w:w="709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b/>
                <w:bCs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综合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容积率</w:t>
            </w:r>
          </w:p>
        </w:tc>
        <w:tc>
          <w:tcPr>
            <w:tcW w:w="727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建筑高度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18"/>
              </w:rPr>
            </w:pPr>
            <w:r>
              <w:rPr>
                <w:rFonts w:ascii="宋体" w:hint="eastAsia"/>
                <w:b/>
                <w:bCs/>
                <w:sz w:val="16"/>
                <w:szCs w:val="18"/>
              </w:rPr>
              <w:t>（米）</w:t>
            </w:r>
          </w:p>
        </w:tc>
      </w:tr>
      <w:tr w:rsidR="00F5798E">
        <w:trPr>
          <w:trHeight w:val="918"/>
        </w:trPr>
        <w:tc>
          <w:tcPr>
            <w:tcW w:w="713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18"/>
              </w:rPr>
            </w:pPr>
            <w:r>
              <w:rPr>
                <w:rFonts w:cs="Arial" w:hint="eastAsia"/>
                <w:bCs/>
                <w:kern w:val="24"/>
                <w:sz w:val="16"/>
                <w:szCs w:val="18"/>
              </w:rPr>
              <w:t>WD-05-04</w:t>
            </w:r>
          </w:p>
        </w:tc>
        <w:tc>
          <w:tcPr>
            <w:tcW w:w="713" w:type="pct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18"/>
              </w:rPr>
            </w:pPr>
            <w:r>
              <w:rPr>
                <w:rFonts w:cs="Arial" w:hint="eastAsia"/>
                <w:bCs/>
                <w:kern w:val="24"/>
                <w:sz w:val="16"/>
                <w:szCs w:val="18"/>
              </w:rPr>
              <w:t>57.22</w:t>
            </w:r>
          </w:p>
        </w:tc>
        <w:tc>
          <w:tcPr>
            <w:tcW w:w="712" w:type="pct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18"/>
              </w:rPr>
            </w:pPr>
            <w:r>
              <w:rPr>
                <w:rFonts w:cs="Arial" w:hint="eastAsia"/>
                <w:bCs/>
                <w:kern w:val="24"/>
                <w:sz w:val="16"/>
                <w:szCs w:val="18"/>
              </w:rPr>
              <w:t>32.62</w:t>
            </w:r>
          </w:p>
        </w:tc>
        <w:tc>
          <w:tcPr>
            <w:tcW w:w="709" w:type="pct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18"/>
              </w:rPr>
            </w:pPr>
            <w:r>
              <w:rPr>
                <w:rFonts w:cs="Arial" w:hint="eastAsia"/>
                <w:bCs/>
                <w:kern w:val="24"/>
                <w:sz w:val="16"/>
                <w:szCs w:val="18"/>
              </w:rPr>
              <w:t xml:space="preserve">28.60 </w:t>
            </w:r>
          </w:p>
        </w:tc>
        <w:tc>
          <w:tcPr>
            <w:tcW w:w="712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18"/>
              </w:rPr>
            </w:pPr>
            <w:r>
              <w:rPr>
                <w:rFonts w:cs="Arial" w:hint="eastAsia"/>
                <w:bCs/>
                <w:kern w:val="24"/>
                <w:sz w:val="16"/>
                <w:szCs w:val="18"/>
              </w:rPr>
              <w:t>4000</w:t>
            </w:r>
          </w:p>
        </w:tc>
        <w:tc>
          <w:tcPr>
            <w:tcW w:w="709" w:type="pct"/>
            <w:shd w:val="clear" w:color="auto" w:fill="FFFFFF"/>
            <w:tcMar>
              <w:top w:w="15" w:type="dxa"/>
              <w:left w:w="15" w:type="dxa"/>
              <w:right w:w="15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18"/>
              </w:rPr>
            </w:pPr>
            <w:r>
              <w:rPr>
                <w:rFonts w:cs="Arial" w:hint="eastAsia"/>
                <w:bCs/>
                <w:kern w:val="24"/>
                <w:sz w:val="16"/>
                <w:szCs w:val="18"/>
              </w:rPr>
              <w:t xml:space="preserve">0.9 </w:t>
            </w:r>
          </w:p>
        </w:tc>
        <w:tc>
          <w:tcPr>
            <w:tcW w:w="727" w:type="pct"/>
            <w:shd w:val="clear" w:color="auto" w:fill="FFFFFF"/>
            <w:tcMar>
              <w:top w:w="13" w:type="dxa"/>
              <w:left w:w="13" w:type="dxa"/>
              <w:right w:w="13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18"/>
              </w:rPr>
            </w:pPr>
            <w:r>
              <w:rPr>
                <w:rFonts w:cs="Arial" w:hint="eastAsia"/>
                <w:bCs/>
                <w:kern w:val="24"/>
                <w:sz w:val="16"/>
                <w:szCs w:val="18"/>
              </w:rPr>
              <w:t>100</w:t>
            </w:r>
          </w:p>
        </w:tc>
      </w:tr>
    </w:tbl>
    <w:p w:rsidR="00F5798E" w:rsidRDefault="00F5798E">
      <w:pPr>
        <w:snapToGrid w:val="0"/>
        <w:spacing w:line="360" w:lineRule="auto"/>
        <w:contextualSpacing/>
        <w:rPr>
          <w:rFonts w:ascii="宋体"/>
          <w:szCs w:val="21"/>
        </w:rPr>
      </w:pPr>
    </w:p>
    <w:p w:rsidR="00F5798E" w:rsidRDefault="00F5798E">
      <w:pPr>
        <w:snapToGrid w:val="0"/>
        <w:spacing w:line="360" w:lineRule="auto"/>
        <w:contextualSpacing/>
        <w:rPr>
          <w:rFonts w:ascii="宋体"/>
          <w:szCs w:val="21"/>
        </w:rPr>
      </w:pP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 w:val="28"/>
          <w:szCs w:val="28"/>
        </w:rPr>
      </w:pPr>
      <w:r>
        <w:rPr>
          <w:rFonts w:ascii="宋体" w:hint="eastAsia"/>
          <w:b/>
          <w:bCs/>
          <w:sz w:val="28"/>
          <w:szCs w:val="28"/>
        </w:rPr>
        <w:t>第二章</w:t>
      </w:r>
      <w:r>
        <w:rPr>
          <w:rFonts w:ascii="宋体" w:hint="eastAsia"/>
          <w:b/>
          <w:bCs/>
          <w:sz w:val="28"/>
          <w:szCs w:val="28"/>
        </w:rPr>
        <w:t xml:space="preserve"> </w:t>
      </w:r>
      <w:r>
        <w:rPr>
          <w:rFonts w:ascii="宋体" w:hint="eastAsia"/>
          <w:b/>
          <w:bCs/>
          <w:sz w:val="28"/>
          <w:szCs w:val="28"/>
        </w:rPr>
        <w:t>规划细则</w:t>
      </w: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第六条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土地使用规划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b/>
          <w:szCs w:val="21"/>
        </w:rPr>
      </w:pPr>
      <w:r>
        <w:rPr>
          <w:rFonts w:ascii="宋体" w:hint="eastAsia"/>
          <w:szCs w:val="21"/>
        </w:rPr>
        <w:t>地块总用地面积为</w:t>
      </w:r>
      <w:r>
        <w:rPr>
          <w:rFonts w:ascii="宋体"/>
          <w:szCs w:val="21"/>
        </w:rPr>
        <w:t>57.22</w:t>
      </w:r>
      <w:r>
        <w:rPr>
          <w:rFonts w:ascii="宋体" w:hint="eastAsia"/>
          <w:szCs w:val="21"/>
        </w:rPr>
        <w:t>公顷，建设用地面积</w:t>
      </w:r>
      <w:r>
        <w:rPr>
          <w:rFonts w:ascii="宋体"/>
          <w:szCs w:val="21"/>
        </w:rPr>
        <w:t>32.62</w:t>
      </w:r>
      <w:r>
        <w:rPr>
          <w:rFonts w:ascii="宋体" w:hint="eastAsia"/>
          <w:szCs w:val="21"/>
        </w:rPr>
        <w:t>公顷。</w:t>
      </w:r>
    </w:p>
    <w:p w:rsidR="00F5798E" w:rsidRDefault="007C1000">
      <w:pPr>
        <w:snapToGrid w:val="0"/>
        <w:spacing w:line="360" w:lineRule="auto"/>
        <w:contextualSpacing/>
        <w:jc w:val="center"/>
        <w:rPr>
          <w:rFonts w:ascii="宋体"/>
          <w:b/>
          <w:bCs/>
          <w:szCs w:val="21"/>
        </w:rPr>
      </w:pPr>
      <w:r>
        <w:rPr>
          <w:rFonts w:ascii="宋体"/>
          <w:b/>
          <w:bCs/>
          <w:noProof/>
          <w:szCs w:val="21"/>
        </w:rPr>
        <w:drawing>
          <wp:inline distT="0" distB="0" distL="0" distR="0">
            <wp:extent cx="5193030" cy="5445125"/>
            <wp:effectExtent l="0" t="0" r="16" b="44"/>
            <wp:docPr id="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14 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193030" cy="5445125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F5798E" w:rsidRDefault="00F5798E">
      <w:pPr>
        <w:snapToGrid w:val="0"/>
        <w:spacing w:line="360" w:lineRule="auto"/>
        <w:contextualSpacing/>
        <w:jc w:val="center"/>
        <w:rPr>
          <w:rFonts w:ascii="宋体"/>
          <w:b/>
          <w:bCs/>
          <w:szCs w:val="21"/>
        </w:rPr>
      </w:pP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第七条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开发控制</w:t>
      </w:r>
    </w:p>
    <w:p w:rsidR="00F5798E" w:rsidRDefault="007C1000">
      <w:pPr>
        <w:snapToGrid w:val="0"/>
        <w:spacing w:line="360" w:lineRule="auto"/>
        <w:ind w:firstLineChars="200" w:firstLine="420"/>
        <w:contextualSpacing/>
        <w:rPr>
          <w:rFonts w:ascii="宋体"/>
          <w:szCs w:val="21"/>
        </w:rPr>
      </w:pPr>
      <w:r>
        <w:rPr>
          <w:rFonts w:ascii="宋体" w:hint="eastAsia"/>
          <w:szCs w:val="21"/>
        </w:rPr>
        <w:t>规划总建筑量</w:t>
      </w:r>
      <w:r>
        <w:rPr>
          <w:rFonts w:ascii="宋体"/>
          <w:szCs w:val="21"/>
        </w:rPr>
        <w:t>28.60</w:t>
      </w:r>
      <w:r>
        <w:rPr>
          <w:rFonts w:ascii="宋体" w:hint="eastAsia"/>
          <w:szCs w:val="21"/>
        </w:rPr>
        <w:t>万平方米。其中居住建筑总量</w:t>
      </w:r>
      <w:r>
        <w:rPr>
          <w:rFonts w:ascii="宋体"/>
          <w:szCs w:val="21"/>
        </w:rPr>
        <w:t>20.71</w:t>
      </w:r>
      <w:r>
        <w:rPr>
          <w:rFonts w:ascii="宋体" w:hint="eastAsia"/>
          <w:szCs w:val="21"/>
        </w:rPr>
        <w:t>万平方米（含兼容建筑及配套设施），居住人口</w:t>
      </w:r>
      <w:r>
        <w:rPr>
          <w:rFonts w:ascii="宋体"/>
          <w:szCs w:val="21"/>
        </w:rPr>
        <w:t>4000</w:t>
      </w:r>
      <w:r>
        <w:rPr>
          <w:rFonts w:ascii="宋体" w:hint="eastAsia"/>
          <w:szCs w:val="21"/>
        </w:rPr>
        <w:t>人。</w:t>
      </w:r>
    </w:p>
    <w:tbl>
      <w:tblPr>
        <w:tblW w:w="4489" w:type="pct"/>
        <w:jc w:val="center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95"/>
        <w:gridCol w:w="1177"/>
        <w:gridCol w:w="1029"/>
        <w:gridCol w:w="1176"/>
        <w:gridCol w:w="1176"/>
        <w:gridCol w:w="963"/>
      </w:tblGrid>
      <w:tr w:rsidR="00F5798E">
        <w:trPr>
          <w:trHeight w:val="540"/>
          <w:jc w:val="center"/>
        </w:trPr>
        <w:tc>
          <w:tcPr>
            <w:tcW w:w="142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地块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编号</w:t>
            </w:r>
          </w:p>
        </w:tc>
        <w:tc>
          <w:tcPr>
            <w:tcW w:w="763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用地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面积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（公顷）</w:t>
            </w:r>
          </w:p>
        </w:tc>
        <w:tc>
          <w:tcPr>
            <w:tcW w:w="667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建设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用地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面积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（公顷）</w:t>
            </w:r>
          </w:p>
        </w:tc>
        <w:tc>
          <w:tcPr>
            <w:tcW w:w="76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总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建筑量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（万平方米）</w:t>
            </w:r>
          </w:p>
        </w:tc>
        <w:tc>
          <w:tcPr>
            <w:tcW w:w="762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b/>
                <w:bCs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居住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建筑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总量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（万平方米）</w:t>
            </w:r>
          </w:p>
        </w:tc>
        <w:tc>
          <w:tcPr>
            <w:tcW w:w="624" w:type="pct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居住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人口</w:t>
            </w:r>
          </w:p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 w:hint="eastAsia"/>
                <w:b/>
                <w:bCs/>
                <w:sz w:val="16"/>
                <w:szCs w:val="21"/>
              </w:rPr>
              <w:t>（人）</w:t>
            </w:r>
          </w:p>
        </w:tc>
      </w:tr>
      <w:tr w:rsidR="00F5798E">
        <w:trPr>
          <w:trHeight w:val="1261"/>
          <w:jc w:val="center"/>
        </w:trPr>
        <w:tc>
          <w:tcPr>
            <w:tcW w:w="142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798E" w:rsidRDefault="00F5798E"/>
        </w:tc>
        <w:tc>
          <w:tcPr>
            <w:tcW w:w="763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798E" w:rsidRDefault="00F5798E"/>
        </w:tc>
        <w:tc>
          <w:tcPr>
            <w:tcW w:w="667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798E" w:rsidRDefault="00F5798E"/>
        </w:tc>
        <w:tc>
          <w:tcPr>
            <w:tcW w:w="76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798E" w:rsidRDefault="00F5798E"/>
        </w:tc>
        <w:tc>
          <w:tcPr>
            <w:tcW w:w="762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798E" w:rsidRDefault="00F5798E"/>
        </w:tc>
        <w:tc>
          <w:tcPr>
            <w:tcW w:w="624" w:type="pct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vAlign w:val="center"/>
          </w:tcPr>
          <w:p w:rsidR="00F5798E" w:rsidRDefault="00F5798E"/>
        </w:tc>
      </w:tr>
      <w:tr w:rsidR="00F5798E">
        <w:trPr>
          <w:trHeight w:val="435"/>
          <w:jc w:val="center"/>
        </w:trPr>
        <w:tc>
          <w:tcPr>
            <w:tcW w:w="142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21"/>
              </w:rPr>
            </w:pPr>
            <w:r>
              <w:rPr>
                <w:rFonts w:cs="Arial" w:hint="eastAsia"/>
                <w:bCs/>
                <w:kern w:val="24"/>
                <w:sz w:val="16"/>
                <w:szCs w:val="21"/>
              </w:rPr>
              <w:t>WD-05-04</w:t>
            </w:r>
          </w:p>
        </w:tc>
        <w:tc>
          <w:tcPr>
            <w:tcW w:w="763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21"/>
              </w:rPr>
            </w:pPr>
            <w:r>
              <w:rPr>
                <w:rFonts w:cs="Arial" w:hint="eastAsia"/>
                <w:bCs/>
                <w:kern w:val="24"/>
                <w:sz w:val="16"/>
                <w:szCs w:val="21"/>
              </w:rPr>
              <w:t>57.22</w:t>
            </w:r>
          </w:p>
        </w:tc>
        <w:tc>
          <w:tcPr>
            <w:tcW w:w="667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21"/>
              </w:rPr>
            </w:pPr>
            <w:r>
              <w:rPr>
                <w:rFonts w:cs="Arial" w:hint="eastAsia"/>
                <w:bCs/>
                <w:kern w:val="24"/>
                <w:sz w:val="16"/>
                <w:szCs w:val="21"/>
              </w:rPr>
              <w:t>32.62</w:t>
            </w:r>
          </w:p>
        </w:tc>
        <w:tc>
          <w:tcPr>
            <w:tcW w:w="7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pStyle w:val="a6"/>
              <w:spacing w:before="0" w:beforeAutospacing="0" w:after="0" w:afterAutospacing="0"/>
              <w:jc w:val="center"/>
              <w:textAlignment w:val="center"/>
              <w:rPr>
                <w:rFonts w:cs="Arial"/>
                <w:sz w:val="16"/>
                <w:szCs w:val="21"/>
              </w:rPr>
            </w:pPr>
            <w:r>
              <w:rPr>
                <w:rFonts w:cs="Arial" w:hint="eastAsia"/>
                <w:bCs/>
                <w:kern w:val="24"/>
                <w:sz w:val="16"/>
                <w:szCs w:val="21"/>
              </w:rPr>
              <w:t xml:space="preserve">28.60 </w:t>
            </w:r>
          </w:p>
        </w:tc>
        <w:tc>
          <w:tcPr>
            <w:tcW w:w="762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/>
                <w:sz w:val="16"/>
                <w:szCs w:val="21"/>
              </w:rPr>
              <w:t>20.71</w:t>
            </w:r>
          </w:p>
        </w:tc>
        <w:tc>
          <w:tcPr>
            <w:tcW w:w="624" w:type="pc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72" w:type="dxa"/>
              <w:left w:w="144" w:type="dxa"/>
              <w:bottom w:w="72" w:type="dxa"/>
              <w:right w:w="144" w:type="dxa"/>
            </w:tcMar>
            <w:vAlign w:val="center"/>
          </w:tcPr>
          <w:p w:rsidR="00F5798E" w:rsidRDefault="007C1000">
            <w:pPr>
              <w:snapToGrid w:val="0"/>
              <w:spacing w:line="360" w:lineRule="auto"/>
              <w:contextualSpacing/>
              <w:jc w:val="center"/>
              <w:rPr>
                <w:rFonts w:ascii="宋体"/>
                <w:sz w:val="16"/>
                <w:szCs w:val="21"/>
              </w:rPr>
            </w:pPr>
            <w:r>
              <w:rPr>
                <w:rFonts w:ascii="宋体"/>
                <w:sz w:val="16"/>
                <w:szCs w:val="21"/>
              </w:rPr>
              <w:t>4000</w:t>
            </w:r>
          </w:p>
        </w:tc>
      </w:tr>
    </w:tbl>
    <w:p w:rsidR="00F5798E" w:rsidRDefault="00F5798E">
      <w:pPr>
        <w:snapToGrid w:val="0"/>
        <w:spacing w:line="360" w:lineRule="auto"/>
        <w:contextualSpacing/>
        <w:rPr>
          <w:rFonts w:ascii="宋体"/>
        </w:rPr>
      </w:pPr>
    </w:p>
    <w:p w:rsidR="00F5798E" w:rsidRDefault="00F5798E">
      <w:pPr>
        <w:snapToGrid w:val="0"/>
        <w:spacing w:line="360" w:lineRule="auto"/>
        <w:contextualSpacing/>
        <w:rPr>
          <w:rFonts w:ascii="宋体"/>
        </w:rPr>
      </w:pPr>
    </w:p>
    <w:p w:rsidR="00F5798E" w:rsidRDefault="007C1000">
      <w:pPr>
        <w:snapToGrid w:val="0"/>
        <w:spacing w:line="360" w:lineRule="auto"/>
        <w:contextualSpacing/>
        <w:rPr>
          <w:rFonts w:ascii="宋体"/>
          <w:b/>
          <w:bCs/>
          <w:szCs w:val="21"/>
        </w:rPr>
      </w:pPr>
      <w:r>
        <w:rPr>
          <w:rFonts w:ascii="宋体" w:hint="eastAsia"/>
          <w:b/>
          <w:bCs/>
          <w:szCs w:val="21"/>
        </w:rPr>
        <w:t>第八条</w:t>
      </w:r>
      <w:r>
        <w:rPr>
          <w:rFonts w:ascii="宋体" w:hint="eastAsia"/>
          <w:b/>
          <w:bCs/>
          <w:szCs w:val="21"/>
        </w:rPr>
        <w:t xml:space="preserve"> </w:t>
      </w:r>
      <w:r>
        <w:rPr>
          <w:rFonts w:ascii="宋体" w:hint="eastAsia"/>
          <w:b/>
          <w:bCs/>
          <w:szCs w:val="21"/>
        </w:rPr>
        <w:t>地块细则</w:t>
      </w:r>
    </w:p>
    <w:p w:rsidR="00F5798E" w:rsidRDefault="007C1000">
      <w:pPr>
        <w:ind w:firstLineChars="200" w:firstLine="420"/>
        <w:rPr>
          <w:rFonts w:ascii="宋体"/>
          <w:szCs w:val="21"/>
        </w:rPr>
      </w:pPr>
      <w:r>
        <w:rPr>
          <w:rFonts w:ascii="宋体" w:hint="eastAsia"/>
          <w:szCs w:val="21"/>
        </w:rPr>
        <w:t>本次地块</w:t>
      </w:r>
      <w:r>
        <w:rPr>
          <w:rFonts w:ascii="宋体"/>
          <w:szCs w:val="21"/>
        </w:rPr>
        <w:t>细则图则</w:t>
      </w:r>
      <w:r>
        <w:rPr>
          <w:rFonts w:ascii="宋体" w:hint="eastAsia"/>
          <w:szCs w:val="21"/>
        </w:rPr>
        <w:t>如下：</w:t>
      </w:r>
    </w:p>
    <w:p w:rsidR="00F5798E" w:rsidRDefault="007C1000">
      <w:pPr>
        <w:rPr>
          <w:rFonts w:ascii="宋体"/>
        </w:rPr>
      </w:pPr>
      <w:r>
        <w:rPr>
          <w:rFonts w:ascii="宋体"/>
          <w:noProof/>
        </w:rPr>
        <w:drawing>
          <wp:inline distT="0" distB="0" distL="0" distR="0">
            <wp:extent cx="6070600" cy="4293234"/>
            <wp:effectExtent l="0" t="0" r="29" b="1"/>
            <wp:docPr id="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15 9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070600" cy="4293234"/>
                    </a:xfrm>
                    <a:prstGeom prst="rect">
                      <a:avLst/>
                    </a:prstGeom>
                    <a:noFill/>
                    <a:ln w="9525" cap="flat" cmpd="sng">
                      <a:noFill/>
                      <a:prstDash val="solid"/>
                      <a:miter/>
                    </a:ln>
                  </pic:spPr>
                </pic:pic>
              </a:graphicData>
            </a:graphic>
          </wp:inline>
        </w:drawing>
      </w:r>
    </w:p>
    <w:p w:rsidR="00F5798E" w:rsidRDefault="00F5798E">
      <w:pPr>
        <w:rPr>
          <w:rFonts w:ascii="宋体"/>
        </w:rPr>
      </w:pPr>
    </w:p>
    <w:p w:rsidR="00F5798E" w:rsidRDefault="007C1000">
      <w:pPr>
        <w:rPr>
          <w:rFonts w:ascii="宋体"/>
        </w:rPr>
      </w:pPr>
      <w:r>
        <w:rPr>
          <w:rFonts w:ascii="宋体" w:hint="eastAsia"/>
          <w:szCs w:val="21"/>
        </w:rPr>
        <w:t xml:space="preserve"> </w:t>
      </w:r>
    </w:p>
    <w:sectPr w:rsidR="00F5798E">
      <w:pgSz w:w="11906" w:h="16838"/>
      <w:pgMar w:top="1440" w:right="1800" w:bottom="1440" w:left="1800" w:header="851" w:footer="992" w:gutter="0"/>
      <w:cols w:space="720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Luxi Sans">
    <w:altName w:val="Arial"/>
    <w:charset w:val="00"/>
    <w:family w:val="auto"/>
    <w:pitch w:val="variable"/>
  </w:font>
  <w:font w:name="黑体">
    <w:altName w:val="SimHei"/>
    <w:panose1 w:val="02010609060101010101"/>
    <w:charset w:val="86"/>
    <w:family w:val="modern"/>
    <w:notTrueType/>
    <w:pitch w:val="fixed"/>
    <w:sig w:usb0="00000001" w:usb1="080E0000" w:usb2="00000010" w:usb3="00000000" w:csb0="00040000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878CCE2"/>
    <w:multiLevelType w:val="singleLevel"/>
    <w:tmpl w:val="7878CCE2"/>
    <w:lvl w:ilvl="0">
      <w:start w:val="1"/>
      <w:numFmt w:val="decimal"/>
      <w:lvlRestart w:val="0"/>
      <w:suff w:val="nothing"/>
      <w:lvlText w:val="（%1）"/>
      <w:legacy w:legacy="1" w:legacySpace="0" w:legacyIndent="0"/>
      <w:lvlJc w:val="left"/>
      <w:pPr>
        <w:ind w:left="0" w:firstLine="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bordersDoNotSurroundHeader/>
  <w:bordersDoNotSurroundFooter/>
  <w:trackRevisions/>
  <w:documentProtection w:edit="readOnly" w:enforcement="0"/>
  <w:defaultTabStop w:val="420"/>
  <w:drawingGridHorizontalSpacing w:val="105"/>
  <w:drawingGridVerticalSpacing w:val="156"/>
  <w:displayHorizontalDrawingGridEvery w:val="0"/>
  <w:noPunctuationKerning/>
  <w:characterSpacingControl w:val="compressPunctuation"/>
  <w:savePreviewPicture/>
  <w:compat>
    <w:spaceForUL/>
    <w:balanceSingleByteDoubleByteWidth/>
    <w:ulTrailSpace/>
    <w:doNotExpandShiftReturn/>
    <w:adjustLineHeightInTable/>
    <w:useFELayout/>
    <w:compatSetting w:name="compatibilityMode" w:uri="http://schemas.microsoft.com/office/word" w:val="14"/>
  </w:compat>
  <w:rsids>
    <w:rsidRoot w:val="00F5798E"/>
    <w:rsid w:val="0050761F"/>
    <w:rsid w:val="007C1000"/>
    <w:rsid w:val="00F579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pPr>
      <w:keepNext/>
      <w:keepLines/>
      <w:spacing w:before="340" w:after="330" w:line="578" w:lineRule="auto"/>
      <w:outlineLvl w:val="0"/>
    </w:pPr>
    <w:rPr>
      <w:b/>
      <w:bCs/>
      <w:kern w:val="44"/>
      <w:sz w:val="44"/>
    </w:rPr>
  </w:style>
  <w:style w:type="paragraph" w:styleId="2">
    <w:name w:val="heading 2"/>
    <w:basedOn w:val="a"/>
    <w:next w:val="a"/>
    <w:pPr>
      <w:keepNext/>
      <w:keepLines/>
      <w:spacing w:before="260" w:after="260" w:line="415" w:lineRule="auto"/>
      <w:outlineLvl w:val="1"/>
    </w:pPr>
    <w:rPr>
      <w:rFonts w:ascii="Luxi Sans" w:eastAsia="黑体" w:hAnsi="Luxi Sans"/>
      <w:b/>
      <w:sz w:val="32"/>
    </w:rPr>
  </w:style>
  <w:style w:type="paragraph" w:styleId="3">
    <w:name w:val="heading 3"/>
    <w:basedOn w:val="a"/>
    <w:next w:val="a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rPr>
      <w:sz w:val="18"/>
      <w:szCs w:val="18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pPr>
      <w:widowControl/>
      <w:spacing w:before="100" w:beforeAutospacing="1" w:after="100" w:afterAutospacing="1"/>
      <w:jc w:val="left"/>
    </w:pPr>
    <w:rPr>
      <w:rFonts w:ascii="宋体" w:cs="宋体"/>
      <w:kern w:val="0"/>
      <w:sz w:val="24"/>
      <w:szCs w:val="24"/>
    </w:rPr>
  </w:style>
  <w:style w:type="character" w:styleId="a7">
    <w:name w:val="Hyperlink"/>
    <w:basedOn w:val="a0"/>
    <w:rPr>
      <w:color w:val="0000FF"/>
      <w:u w:val="single"/>
    </w:rPr>
  </w:style>
  <w:style w:type="paragraph" w:styleId="a8">
    <w:name w:val="List Paragraph"/>
    <w:basedOn w:val="a"/>
    <w:pPr>
      <w:ind w:firstLineChars="200" w:firstLine="200"/>
    </w:pPr>
  </w:style>
  <w:style w:type="paragraph" w:styleId="10">
    <w:name w:val="toc 1"/>
    <w:basedOn w:val="a"/>
    <w:next w:val="a"/>
    <w:autoRedefine/>
  </w:style>
  <w:style w:type="paragraph" w:styleId="20">
    <w:name w:val="toc 2"/>
    <w:basedOn w:val="a"/>
    <w:next w:val="a"/>
    <w:autoRedefine/>
    <w:pPr>
      <w:ind w:left="420"/>
    </w:pPr>
  </w:style>
  <w:style w:type="paragraph" w:styleId="30">
    <w:name w:val="toc 3"/>
    <w:basedOn w:val="a"/>
    <w:next w:val="a"/>
    <w:autoRedefine/>
    <w:pPr>
      <w:ind w:left="840"/>
    </w:pPr>
  </w:style>
  <w:style w:type="paragraph" w:styleId="4">
    <w:name w:val="toc 4"/>
    <w:basedOn w:val="a"/>
    <w:next w:val="a"/>
    <w:autoRedefine/>
    <w:pPr>
      <w:ind w:left="1260"/>
    </w:pPr>
  </w:style>
  <w:style w:type="paragraph" w:styleId="5">
    <w:name w:val="toc 5"/>
    <w:basedOn w:val="a"/>
    <w:next w:val="a"/>
    <w:autoRedefine/>
    <w:pPr>
      <w:ind w:left="16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pPr>
      <w:widowControl w:val="0"/>
      <w:jc w:val="both"/>
    </w:pPr>
    <w:rPr>
      <w:rFonts w:ascii="Calibri" w:hAnsi="Calibri"/>
      <w:kern w:val="2"/>
      <w:sz w:val="21"/>
      <w:szCs w:val="22"/>
    </w:rPr>
  </w:style>
  <w:style w:type="paragraph" w:styleId="1">
    <w:name w:val="heading 1"/>
    <w:basedOn w:val="a"/>
    <w:next w:val="a"/>
    <w:pPr>
      <w:keepNext/>
      <w:keepLines/>
      <w:spacing w:before="340" w:after="330" w:line="578" w:lineRule="auto"/>
      <w:outlineLvl w:val="0"/>
    </w:pPr>
    <w:rPr>
      <w:b/>
      <w:bCs/>
      <w:kern w:val="44"/>
      <w:sz w:val="44"/>
    </w:rPr>
  </w:style>
  <w:style w:type="paragraph" w:styleId="2">
    <w:name w:val="heading 2"/>
    <w:basedOn w:val="a"/>
    <w:next w:val="a"/>
    <w:pPr>
      <w:keepNext/>
      <w:keepLines/>
      <w:spacing w:before="260" w:after="260" w:line="415" w:lineRule="auto"/>
      <w:outlineLvl w:val="1"/>
    </w:pPr>
    <w:rPr>
      <w:rFonts w:ascii="Luxi Sans" w:eastAsia="黑体" w:hAnsi="Luxi Sans"/>
      <w:b/>
      <w:sz w:val="32"/>
    </w:rPr>
  </w:style>
  <w:style w:type="paragraph" w:styleId="3">
    <w:name w:val="heading 3"/>
    <w:basedOn w:val="a"/>
    <w:next w:val="a"/>
    <w:pPr>
      <w:keepNext/>
      <w:keepLines/>
      <w:spacing w:before="260" w:after="260" w:line="415" w:lineRule="auto"/>
      <w:outlineLvl w:val="2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rPr>
      <w:sz w:val="18"/>
      <w:szCs w:val="18"/>
    </w:rPr>
  </w:style>
  <w:style w:type="paragraph" w:styleId="a4">
    <w:name w:val="footer"/>
    <w:basedOn w:val="a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a5">
    <w:name w:val="header"/>
    <w:basedOn w:val="a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6">
    <w:name w:val="Normal (Web)"/>
    <w:basedOn w:val="a"/>
    <w:pPr>
      <w:widowControl/>
      <w:spacing w:before="100" w:beforeAutospacing="1" w:after="100" w:afterAutospacing="1"/>
      <w:jc w:val="left"/>
    </w:pPr>
    <w:rPr>
      <w:rFonts w:ascii="宋体" w:cs="宋体"/>
      <w:kern w:val="0"/>
      <w:sz w:val="24"/>
      <w:szCs w:val="24"/>
    </w:rPr>
  </w:style>
  <w:style w:type="character" w:styleId="a7">
    <w:name w:val="Hyperlink"/>
    <w:basedOn w:val="a0"/>
    <w:rPr>
      <w:color w:val="0000FF"/>
      <w:u w:val="single"/>
    </w:rPr>
  </w:style>
  <w:style w:type="paragraph" w:styleId="a8">
    <w:name w:val="List Paragraph"/>
    <w:basedOn w:val="a"/>
    <w:pPr>
      <w:ind w:firstLineChars="200" w:firstLine="200"/>
    </w:pPr>
  </w:style>
  <w:style w:type="paragraph" w:styleId="10">
    <w:name w:val="toc 1"/>
    <w:basedOn w:val="a"/>
    <w:next w:val="a"/>
    <w:autoRedefine/>
  </w:style>
  <w:style w:type="paragraph" w:styleId="20">
    <w:name w:val="toc 2"/>
    <w:basedOn w:val="a"/>
    <w:next w:val="a"/>
    <w:autoRedefine/>
    <w:pPr>
      <w:ind w:left="420"/>
    </w:pPr>
  </w:style>
  <w:style w:type="paragraph" w:styleId="30">
    <w:name w:val="toc 3"/>
    <w:basedOn w:val="a"/>
    <w:next w:val="a"/>
    <w:autoRedefine/>
    <w:pPr>
      <w:ind w:left="840"/>
    </w:pPr>
  </w:style>
  <w:style w:type="paragraph" w:styleId="4">
    <w:name w:val="toc 4"/>
    <w:basedOn w:val="a"/>
    <w:next w:val="a"/>
    <w:autoRedefine/>
    <w:pPr>
      <w:ind w:left="1260"/>
    </w:pPr>
  </w:style>
  <w:style w:type="paragraph" w:styleId="5">
    <w:name w:val="toc 5"/>
    <w:basedOn w:val="a"/>
    <w:next w:val="a"/>
    <w:autoRedefine/>
    <w:pPr>
      <w:ind w:left="16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mailto:1325442033@qq.com" TargetMode="Externa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53</TotalTime>
  <Pages>1</Pages>
  <Words>206</Words>
  <Characters>1179</Characters>
  <Application>Microsoft Office Word</Application>
  <DocSecurity>0</DocSecurity>
  <Lines>9</Lines>
  <Paragraphs>2</Paragraphs>
  <ScaleCrop>false</ScaleCrop>
  <Company>Microsoft</Company>
  <LinksUpToDate>false</LinksUpToDate>
  <CharactersWithSpaces>1383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Microsoft</dc:creator>
  <cp:lastModifiedBy>顾俊源</cp:lastModifiedBy>
  <cp:revision>84</cp:revision>
  <cp:lastPrinted>2021-07-07T02:02:00Z</cp:lastPrinted>
  <dcterms:created xsi:type="dcterms:W3CDTF">2020-05-27T08:47:00Z</dcterms:created>
  <dcterms:modified xsi:type="dcterms:W3CDTF">2022-05-17T08:49:00Z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2052-11.1.0.9208</vt:lpwstr>
  </property>
  <property fmtid="{D5CDD505-2E9C-101B-9397-08002B2CF9AE}" pid="3" name="ICV">
    <vt:lpwstr>F764B4EAC8754750BB0CC4F223408822</vt:lpwstr>
  </property>
</Properties>
</file>