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before="570" w:after="225"/>
        <w:jc w:val="left"/>
        <w:outlineLvl w:val="0"/>
        <w:rPr>
          <w:rFonts w:ascii="微软雅黑" w:eastAsia="微软雅黑" w:cs="宋体"/>
          <w:b/>
          <w:bCs/>
          <w:color w:val="2D66A5"/>
          <w:kern w:val="36"/>
          <w:sz w:val="40"/>
          <w:szCs w:val="44"/>
        </w:rPr>
      </w:pPr>
      <w:r>
        <w:rPr>
          <w:rFonts w:ascii="微软雅黑" w:eastAsia="微软雅黑" w:cs="宋体" w:hint="eastAsia"/>
          <w:b/>
          <w:bCs/>
          <w:color w:val="2D66A5"/>
          <w:kern w:val="36"/>
          <w:sz w:val="40"/>
          <w:szCs w:val="44"/>
        </w:rPr>
        <w:t>贵阳市自然资源和规划局关于《贵阳市中心城区控制性详细规划（细则）</w:t>
      </w:r>
      <w:r>
        <w:rPr>
          <w:rFonts w:ascii="微软雅黑" w:eastAsia="微软雅黑" w:cs="宋体"/>
          <w:b/>
          <w:bCs/>
          <w:color w:val="2D66A5"/>
          <w:kern w:val="36"/>
          <w:sz w:val="40"/>
          <w:szCs w:val="44"/>
        </w:rPr>
        <w:t>—</w:t>
      </w:r>
      <w:r>
        <w:rPr>
          <w:rFonts w:ascii="微软雅黑" w:eastAsia="微软雅黑" w:cs="宋体" w:hint="eastAsia"/>
          <w:b/>
          <w:bCs/>
          <w:color w:val="2D66A5"/>
          <w:kern w:val="36"/>
          <w:sz w:val="40"/>
          <w:szCs w:val="44"/>
          <w:lang w:eastAsia="zh-CN"/>
        </w:rPr>
        <w:t>乌当</w:t>
      </w:r>
      <w:r>
        <w:rPr>
          <w:rFonts w:ascii="微软雅黑" w:eastAsia="微软雅黑" w:cs="宋体" w:hint="eastAsia"/>
          <w:b/>
          <w:bCs/>
          <w:color w:val="2D66A5"/>
          <w:kern w:val="36"/>
          <w:sz w:val="40"/>
          <w:szCs w:val="44"/>
        </w:rPr>
        <w:t>组团</w:t>
      </w:r>
      <w:r>
        <w:rPr>
          <w:rFonts w:ascii="微软雅黑" w:eastAsia="微软雅黑" w:cs="宋体" w:hint="eastAsia"/>
          <w:b/>
          <w:bCs/>
          <w:color w:val="2D66A5"/>
          <w:kern w:val="36"/>
          <w:sz w:val="40"/>
          <w:szCs w:val="44"/>
          <w:lang w:eastAsia="zh-CN"/>
        </w:rPr>
        <w:t>阿栗</w:t>
      </w:r>
      <w:r>
        <w:rPr>
          <w:rFonts w:ascii="微软雅黑" w:eastAsia="微软雅黑" w:cs="宋体" w:hint="eastAsia"/>
          <w:b/>
          <w:bCs/>
          <w:color w:val="2D66A5"/>
          <w:kern w:val="36"/>
          <w:sz w:val="40"/>
          <w:szCs w:val="44"/>
        </w:rPr>
        <w:t>单元</w:t>
      </w:r>
      <w:r>
        <w:rPr>
          <w:rFonts w:ascii="微软雅黑" w:eastAsia="微软雅黑" w:cs="宋体" w:hint="eastAsia"/>
          <w:b/>
          <w:bCs/>
          <w:color w:val="2D66A5"/>
          <w:kern w:val="36"/>
          <w:sz w:val="40"/>
          <w:szCs w:val="44"/>
          <w:lang w:val="en-US" w:eastAsia="zh-CN"/>
        </w:rPr>
        <w:t>WD</w:t>
      </w:r>
      <w:r>
        <w:rPr>
          <w:rFonts w:ascii="微软雅黑" w:eastAsia="微软雅黑" w:cs="宋体" w:hint="eastAsia"/>
          <w:b/>
          <w:bCs/>
          <w:color w:val="2D66A5"/>
          <w:kern w:val="36"/>
          <w:sz w:val="40"/>
          <w:szCs w:val="44"/>
        </w:rPr>
        <w:t>-</w:t>
      </w:r>
      <w:r>
        <w:rPr>
          <w:rFonts w:ascii="微软雅黑" w:eastAsia="微软雅黑" w:cs="宋体" w:hint="eastAsia"/>
          <w:b/>
          <w:bCs/>
          <w:color w:val="2D66A5"/>
          <w:kern w:val="36"/>
          <w:sz w:val="40"/>
          <w:szCs w:val="44"/>
          <w:lang w:val="en-US" w:eastAsia="zh-CN"/>
        </w:rPr>
        <w:t>13</w:t>
      </w:r>
      <w:r>
        <w:rPr>
          <w:rFonts w:ascii="微软雅黑" w:eastAsia="微软雅黑" w:cs="宋体" w:hint="eastAsia"/>
          <w:b/>
          <w:bCs/>
          <w:color w:val="2D66A5"/>
          <w:kern w:val="36"/>
          <w:sz w:val="40"/>
          <w:szCs w:val="44"/>
        </w:rPr>
        <w:t>-0</w:t>
      </w:r>
      <w:r>
        <w:rPr>
          <w:rFonts w:ascii="微软雅黑" w:eastAsia="微软雅黑" w:cs="宋体" w:hint="eastAsia"/>
          <w:b/>
          <w:bCs/>
          <w:color w:val="2D66A5"/>
          <w:kern w:val="36"/>
          <w:sz w:val="40"/>
          <w:szCs w:val="44"/>
          <w:lang w:val="en-US" w:eastAsia="zh-CN"/>
        </w:rPr>
        <w:t>5</w:t>
      </w:r>
      <w:r>
        <w:rPr>
          <w:rFonts w:ascii="微软雅黑" w:eastAsia="微软雅黑" w:cs="宋体" w:hint="eastAsia"/>
          <w:b/>
          <w:bCs/>
          <w:color w:val="2D66A5"/>
          <w:kern w:val="36"/>
          <w:sz w:val="40"/>
          <w:szCs w:val="44"/>
        </w:rPr>
        <w:t>地块规划方案》的公示</w:t>
      </w:r>
    </w:p>
    <w:p>
      <w:pPr>
        <w:widowControl/>
        <w:shd w:val="clear" w:color="auto" w:fill="FFFFFF"/>
        <w:wordWrap/>
        <w:autoSpaceDE w:val="0"/>
        <w:autoSpaceDN w:val="0"/>
        <w:spacing w:line="480" w:lineRule="atLeast"/>
        <w:ind w:firstLine="480"/>
        <w:jc w:val="center"/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480"/>
        <w:jc w:val="center"/>
        <w:textAlignment w:val="auto"/>
        <w:rPr>
          <w:rFonts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依据《贵阳市城市总体规划（2011-2020年）》（2017年修订）、《贵阳市中心城区控制性详细规划（总则）——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乌当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组团》等上位规划，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乌当区人民政府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组织编制完成《贵阳市中心城区控制性详细规划（细则）—乌当组团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阿栗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单元WD-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13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-0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地块规划方案》并报我局审查，根据《中华人民共和国城乡规划法》、《贵阳市控制性详细规划管理办法》等相关法律法规和规章要求，现将规划方案主要内容予以公告，广泛征求社会意见。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480"/>
        <w:jc w:val="center"/>
        <w:textAlignment w:val="auto"/>
        <w:rPr>
          <w:rFonts w:asci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公告时间：自公告之日起10工作日。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600" w:firstLine="480"/>
        <w:jc w:val="center"/>
        <w:textAlignment w:val="auto"/>
        <w:rPr>
          <w:rFonts w:asci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联 系 人：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岳伟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（0851-85829396）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600" w:firstLineChars="2000" w:firstLine="4800"/>
        <w:jc w:val="both"/>
        <w:textAlignment w:val="auto"/>
        <w:rPr>
          <w:rFonts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 xml:space="preserve">苏文龙  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（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17785158841</w:t>
      </w:r>
      <w:r>
        <w:rPr>
          <w:rFonts w:ascii="微软雅黑" w:eastAsia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600" w:firstLine="480"/>
        <w:jc w:val="center"/>
        <w:textAlignment w:val="auto"/>
        <w:rPr>
          <w:rFonts w:asci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传    真：85829384（传真）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600" w:firstLine="480"/>
        <w:jc w:val="center"/>
        <w:textAlignment w:val="auto"/>
        <w:rPr>
          <w:rFonts w:ascii="微软雅黑" w:eastAsia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电子邮箱：</w:t>
      </w:r>
      <w:r>
        <w:rPr>
          <w:rStyle w:val="16"/>
          <w:rFonts w:ascii="微软雅黑" w:eastAsia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begin"/>
      </w:r>
      <w:r>
        <w:instrText>HYPERLINK "mailto:1325442033@qq.com"</w:instrText>
      </w:r>
      <w:r>
        <w:rPr>
          <w:rStyle w:val="16"/>
          <w:rFonts w:ascii="微软雅黑" w:eastAsia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separate"/>
      </w:r>
      <w:r>
        <w:rPr>
          <w:rStyle w:val="16"/>
          <w:rFonts w:ascii="微软雅黑" w:eastAsia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1325442033</w:t>
      </w:r>
      <w:r>
        <w:rPr>
          <w:rStyle w:val="16"/>
          <w:rFonts w:ascii="微软雅黑" w:eastAsia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@qq.com</w:t>
      </w:r>
      <w:r>
        <w:rPr>
          <w:rStyle w:val="16"/>
          <w:rFonts w:ascii="微软雅黑" w:eastAsia="微软雅黑" w:cs="宋体" w:hint="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end"/>
      </w: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15"/>
        <w:ind w:left="0"/>
        <w:rPr>
          <w:rFonts w:ascii="Microsoft JhengHei" w:hAnsi="Microsoft JhengHei"/>
          <w:b/>
          <w:sz w:val="25"/>
        </w:rPr>
      </w:pPr>
    </w:p>
    <w:p>
      <w:pPr>
        <w:pStyle w:val="2"/>
      </w:pPr>
      <w:r>
        <w:t>第一章 导则解读</w:t>
      </w:r>
    </w:p>
    <w:p>
      <w:pPr>
        <w:pStyle w:val="3"/>
        <w:tabs>
          <w:tab w:val="left" w:pos="2508"/>
        </w:tabs>
        <w:spacing w:before="55"/>
      </w:pPr>
      <w:r>
        <w:t>第一条</w:t>
        <w:tab/>
      </w:r>
      <w:r>
        <w:rPr>
          <w:spacing w:val="-5"/>
        </w:rPr>
        <w:t>地</w:t>
      </w:r>
      <w:r>
        <w:t>块边界</w:t>
      </w:r>
    </w:p>
    <w:p>
      <w:pPr>
        <w:pStyle w:val="15"/>
        <w:spacing w:before="91" w:line="302" w:lineRule="auto"/>
        <w:ind w:left="1660" w:right="2455" w:firstLine="419"/>
        <w:rPr>
          <w:rFonts w:ascii="Microsoft JhengHei" w:eastAsia="Microsoft JhengHei" w:hint="eastAsia"/>
          <w:b/>
        </w:rPr>
      </w:pPr>
      <w:r>
        <w:rPr>
          <w:spacing w:val="-6"/>
        </w:rPr>
        <w:t xml:space="preserve">规划边界北至北京东路延伸段，南至阿栗花卉市场。总用地面积 </w:t>
      </w:r>
      <w:r>
        <w:t>18.79</w:t>
      </w:r>
      <w:r>
        <w:rPr>
          <w:spacing w:val="-8"/>
        </w:rPr>
        <w:t xml:space="preserve"> 公顷。</w:t>
      </w:r>
      <w:r>
        <w:rPr>
          <w:rFonts w:ascii="Microsoft JhengHei" w:eastAsia="Microsoft JhengHei" w:hint="eastAsia"/>
          <w:b/>
        </w:rPr>
        <w:t>第二条 道路交通</w:t>
      </w:r>
    </w:p>
    <w:p>
      <w:pPr>
        <w:pStyle w:val="15"/>
        <w:spacing w:line="264" w:lineRule="exact"/>
      </w:pPr>
      <w:r>
        <w:t>道路体系为：</w:t>
      </w:r>
    </w:p>
    <w:p>
      <w:pPr>
        <w:pStyle w:val="15"/>
        <w:spacing w:before="138"/>
      </w:pPr>
      <w:r>
        <w:t>快速路：主要为新东二环；</w:t>
      </w:r>
    </w:p>
    <w:p>
      <w:pPr>
        <w:pStyle w:val="15"/>
        <w:spacing w:before="140"/>
      </w:pPr>
      <w:r>
        <w:t>主干道：主要为规划道路（衔接双龙大道与东二环）；</w:t>
      </w:r>
    </w:p>
    <w:p>
      <w:pPr>
        <w:spacing w:before="138" w:line="302" w:lineRule="auto"/>
        <w:ind w:left="1660" w:right="3715" w:firstLine="419"/>
        <w:jc w:val="left"/>
        <w:rPr>
          <w:rFonts w:ascii="Microsoft JhengHei" w:eastAsia="Microsoft JhengHei" w:hint="eastAsia"/>
          <w:b/>
          <w:sz w:val="21"/>
        </w:rPr>
      </w:pPr>
      <w:r>
        <w:rPr>
          <w:sz w:val="21"/>
        </w:rPr>
        <w:t>次干道：主要为规划道路（衔接北京东路延伸段与双龙大道）。</w:t>
      </w:r>
      <w:r>
        <w:rPr>
          <w:rFonts w:ascii="Microsoft JhengHei" w:eastAsia="Microsoft JhengHei" w:hint="eastAsia"/>
          <w:b/>
          <w:sz w:val="21"/>
        </w:rPr>
        <w:t>第三条 规划重要设施</w:t>
      </w:r>
    </w:p>
    <w:p>
      <w:pPr>
        <w:pStyle w:val="15"/>
        <w:spacing w:line="260" w:lineRule="exact"/>
      </w:pPr>
      <w:r>
        <w:t>根据阿栗单元导则，地块规划重要设施如下：</w:t>
      </w:r>
    </w:p>
    <w:p>
      <w:pPr>
        <w:pStyle w:val="15"/>
        <w:spacing w:before="139" w:line="365" w:lineRule="auto"/>
        <w:ind w:left="1660" w:right="1711" w:firstLine="419"/>
        <w:jc w:val="both"/>
      </w:pPr>
      <w:r>
        <w:rPr>
          <w:spacing w:val="-10"/>
        </w:rPr>
        <w:t xml:space="preserve">公共服务设施：由于地块人口规模达不到 </w:t>
      </w:r>
      <w:r>
        <w:t>5</w:t>
      </w:r>
      <w:r>
        <w:rPr>
          <w:spacing w:val="-10"/>
        </w:rPr>
        <w:t xml:space="preserve"> 分钟生活圈设置标准，因此地块按照居住街</w:t>
      </w:r>
      <w:r>
        <w:rPr>
          <w:spacing w:val="-13"/>
        </w:rPr>
        <w:t>坊配套设施规划建设控制：物业管理与服务，便利店、邮件和快递送达设施在商业建筑中设</w:t>
      </w:r>
      <w:r>
        <w:rPr>
          <w:spacing w:val="-12"/>
        </w:rPr>
        <w:t xml:space="preserve">置，儿童、老年人活动场地用地面积不小于 </w:t>
      </w:r>
      <w:r>
        <w:t>200</w:t>
      </w:r>
      <w:r>
        <w:rPr>
          <w:spacing w:val="-11"/>
        </w:rPr>
        <w:t xml:space="preserve"> ㎡，结合集中绿地设置，室外健身器械结合</w:t>
      </w:r>
      <w:r>
        <w:rPr>
          <w:spacing w:val="-6"/>
        </w:rPr>
        <w:t>绿地设置；</w:t>
      </w:r>
    </w:p>
    <w:p>
      <w:pPr>
        <w:pStyle w:val="15"/>
        <w:spacing w:before="1" w:line="302" w:lineRule="auto"/>
        <w:ind w:left="1660" w:right="2247" w:firstLine="419"/>
        <w:jc w:val="both"/>
        <w:rPr>
          <w:rFonts w:ascii="Microsoft JhengHei" w:eastAsia="Microsoft JhengHei" w:hint="eastAsia"/>
          <w:b/>
        </w:rPr>
      </w:pPr>
      <w:r>
        <w:t>公用设施：燃气调压站、开闭所、再生资源回收点、垃圾收集点、公共厕所等。</w:t>
      </w:r>
      <w:r>
        <w:rPr>
          <w:rFonts w:ascii="Microsoft JhengHei" w:eastAsia="Microsoft JhengHei" w:hint="eastAsia"/>
          <w:b/>
        </w:rPr>
        <w:t>第四条 空间管制</w:t>
      </w:r>
    </w:p>
    <w:p>
      <w:pPr>
        <w:pStyle w:val="15"/>
        <w:spacing w:line="365" w:lineRule="auto"/>
        <w:ind w:right="7709"/>
      </w:pPr>
      <w:r>
        <w:t>1</w:t>
      </w:r>
      <w:r>
        <w:rPr>
          <w:spacing w:val="-4"/>
        </w:rPr>
        <w:t xml:space="preserve">、城市绿线规划  </w:t>
      </w:r>
      <w:r>
        <w:rPr>
          <w:spacing w:val="-6"/>
        </w:rPr>
        <w:t>地块城市绿线包括：</w:t>
      </w:r>
    </w:p>
    <w:p>
      <w:pPr>
        <w:pStyle w:val="15"/>
        <w:spacing w:line="365" w:lineRule="auto"/>
        <w:ind w:right="2143"/>
      </w:pPr>
      <w:r>
        <w:rPr>
          <w:spacing w:val="-6"/>
        </w:rPr>
        <w:t xml:space="preserve">北京东路延伸段、新东二环路侧防护绿地：用地面积共 </w:t>
      </w:r>
      <w:r>
        <w:t>1.31</w:t>
      </w:r>
      <w:r>
        <w:rPr>
          <w:spacing w:val="-7"/>
        </w:rPr>
        <w:t xml:space="preserve"> 公顷，以虚线控制。2</w:t>
      </w:r>
      <w:r>
        <w:rPr>
          <w:spacing w:val="-4"/>
        </w:rPr>
        <w:t>、城市黄线控制</w:t>
      </w:r>
    </w:p>
    <w:p>
      <w:pPr>
        <w:pStyle w:val="15"/>
      </w:pPr>
      <w:r>
        <w:t>地块城市黄线包括：</w:t>
      </w:r>
    </w:p>
    <w:p>
      <w:pPr>
        <w:pStyle w:val="15"/>
        <w:spacing w:before="130" w:line="365" w:lineRule="auto"/>
        <w:ind w:left="1660" w:right="1607" w:firstLine="419"/>
      </w:pPr>
      <w:r>
        <w:rPr>
          <w:spacing w:val="-3"/>
        </w:rPr>
        <w:t>环境设施用地：</w:t>
      </w:r>
      <w:r>
        <w:t>1</w:t>
      </w:r>
      <w:r>
        <w:rPr>
          <w:spacing w:val="-9"/>
        </w:rPr>
        <w:t xml:space="preserve"> 处燃气调压站、</w:t>
      </w:r>
      <w:r>
        <w:t>1</w:t>
      </w:r>
      <w:r>
        <w:rPr>
          <w:spacing w:val="-9"/>
        </w:rPr>
        <w:t xml:space="preserve"> 处开闭所、</w:t>
      </w:r>
      <w:r>
        <w:t>1</w:t>
      </w:r>
      <w:r>
        <w:rPr>
          <w:spacing w:val="-8"/>
        </w:rPr>
        <w:t xml:space="preserve"> 处再生资源回收点、</w:t>
      </w:r>
      <w:r>
        <w:t>2</w:t>
      </w:r>
      <w:r>
        <w:rPr>
          <w:spacing w:val="-8"/>
        </w:rPr>
        <w:t xml:space="preserve"> 处垃圾收集点、1</w:t>
      </w:r>
      <w:r>
        <w:rPr>
          <w:spacing w:val="-11"/>
        </w:rPr>
        <w:t xml:space="preserve"> 处公共厕所。</w:t>
      </w:r>
    </w:p>
    <w:p>
      <w:pPr>
        <w:pStyle w:val="15"/>
        <w:spacing w:line="267" w:lineRule="exact"/>
      </w:pPr>
      <w:r>
        <w:t>3、城市蓝线控制</w:t>
      </w:r>
    </w:p>
    <w:p>
      <w:pPr>
        <w:pStyle w:val="15"/>
        <w:spacing w:before="139"/>
      </w:pPr>
      <w:r>
        <w:t>地块城市蓝线包括：情人谷排水大沟蓝线宽度 3 米，两侧各 3 米保护线。</w:t>
      </w:r>
    </w:p>
    <w:p>
      <w:pPr>
        <w:spacing w:after="0"/>
        <w:sectPr>
          <w:type w:val="continuous"/>
          <w:pgSz w:w="11910" w:h="16840"/>
          <w:pgMar w:top="1440" w:right="80" w:bottom="280" w:left="140" w:header="720" w:footer="720" w:gutter="0"/>
          <w:docGrid w:linePitch="312" w:charSpace="0"/>
        </w:sectPr>
      </w:pPr>
    </w:p>
    <w:p>
      <w:pPr>
        <w:pStyle w:val="3"/>
        <w:spacing w:line="363" w:lineRule="exact"/>
      </w:pPr>
      <w:r>
        <w:t>第五条 地块容量</w:t>
      </w:r>
    </w:p>
    <w:p>
      <w:pPr>
        <w:pStyle w:val="15"/>
        <w:spacing w:before="91"/>
        <w:ind w:left="1934" w:right="1735"/>
        <w:jc w:val="center"/>
      </w:pPr>
      <w:r>
        <w:t>地块用地面积 18.79 公顷，建设容量控制在 18.90 万㎡，综合容积率为 1.1，规划人</w:t>
      </w:r>
    </w:p>
    <w:p>
      <w:pPr>
        <w:pStyle w:val="15"/>
        <w:spacing w:before="139"/>
        <w:ind w:left="1660"/>
      </w:pPr>
      <w:r>
        <w:drawing>
          <wp:anchor distT="0" distB="0" distL="0" distR="0" simplePos="0" relativeHeight="14" behindDoc="0" locked="0" layoutInCell="1" hidden="0" allowOverlap="1">
            <wp:simplePos x="0" y="0"/>
            <wp:positionH relativeFrom="page">
              <wp:posOffset>1864360</wp:posOffset>
            </wp:positionH>
            <wp:positionV relativeFrom="paragraph">
              <wp:posOffset>345440</wp:posOffset>
            </wp:positionV>
            <wp:extent cx="3818890" cy="481901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image1.jpeg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18890" cy="481901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t>口 2180 人。</w:t>
      </w:r>
    </w:p>
    <w:p>
      <w:pPr>
        <w:pStyle w:val="15"/>
        <w:spacing w:before="4"/>
        <w:ind w:left="0"/>
        <w:rPr>
          <w:sz w:val="10"/>
        </w:rPr>
      </w:pPr>
    </w:p>
    <w:tbl>
      <w:tblPr>
        <w:jc w:val="left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172"/>
        <w:gridCol w:w="1171"/>
        <w:gridCol w:w="1359"/>
        <w:gridCol w:w="1111"/>
        <w:gridCol w:w="1035"/>
        <w:gridCol w:w="1199"/>
      </w:tblGrid>
      <w:tr>
        <w:trPr>
          <w:trHeight w:val="410"/>
        </w:trPr>
        <w:tc>
          <w:tcPr>
            <w:tcW w:w="8223" w:type="dxa"/>
            <w:gridSpan w:val="7"/>
          </w:tcPr>
          <w:p>
            <w:pPr>
              <w:pStyle w:val="18"/>
              <w:spacing w:before="4"/>
              <w:ind w:left="2939" w:right="2924"/>
              <w:jc w:val="center"/>
              <w:rPr>
                <w:sz w:val="21"/>
              </w:rPr>
            </w:pPr>
            <w:r>
              <w:rPr>
                <w:sz w:val="21"/>
              </w:rPr>
              <w:t>地块容量控制指标一览表</w:t>
            </w:r>
          </w:p>
        </w:tc>
      </w:tr>
      <w:tr>
        <w:trPr>
          <w:trHeight w:val="410"/>
        </w:trPr>
        <w:tc>
          <w:tcPr>
            <w:tcW w:w="1176" w:type="dxa"/>
            <w:vMerge w:val="restart"/>
          </w:tcPr>
          <w:p>
            <w:pPr>
              <w:pStyle w:val="18"/>
              <w:rPr>
                <w:sz w:val="20"/>
              </w:rPr>
            </w:pPr>
          </w:p>
          <w:p>
            <w:pPr>
              <w:pStyle w:val="18"/>
              <w:spacing w:before="160"/>
              <w:ind w:left="166"/>
              <w:rPr>
                <w:sz w:val="21"/>
              </w:rPr>
            </w:pPr>
            <w:r>
              <w:rPr>
                <w:sz w:val="21"/>
              </w:rPr>
              <w:t>地块编号</w:t>
            </w:r>
          </w:p>
        </w:tc>
        <w:tc>
          <w:tcPr>
            <w:tcW w:w="1172" w:type="dxa"/>
            <w:vMerge w:val="restart"/>
          </w:tcPr>
          <w:p>
            <w:pPr>
              <w:pStyle w:val="18"/>
              <w:spacing w:before="9" w:line="365" w:lineRule="auto"/>
              <w:ind w:left="375" w:right="256" w:hanging="108"/>
              <w:rPr>
                <w:sz w:val="21"/>
              </w:rPr>
            </w:pPr>
            <w:r>
              <w:rPr>
                <w:spacing w:val="-6"/>
                <w:sz w:val="21"/>
              </w:rPr>
              <w:t>总用地</w:t>
            </w:r>
            <w:r>
              <w:rPr>
                <w:sz w:val="21"/>
              </w:rPr>
              <w:t>面积</w:t>
            </w:r>
          </w:p>
          <w:p>
            <w:pPr>
              <w:pStyle w:val="18"/>
              <w:spacing w:line="267" w:lineRule="exact"/>
              <w:ind w:left="267"/>
              <w:rPr>
                <w:sz w:val="21"/>
              </w:rPr>
            </w:pPr>
            <w:r>
              <w:rPr>
                <w:sz w:val="21"/>
              </w:rPr>
              <w:t>（ha）</w:t>
            </w:r>
          </w:p>
        </w:tc>
        <w:tc>
          <w:tcPr>
            <w:tcW w:w="5875" w:type="dxa"/>
            <w:gridSpan w:val="5"/>
          </w:tcPr>
          <w:p>
            <w:pPr>
              <w:pStyle w:val="18"/>
              <w:spacing w:before="4"/>
              <w:ind w:left="2502" w:right="2483"/>
              <w:jc w:val="center"/>
              <w:rPr>
                <w:sz w:val="21"/>
              </w:rPr>
            </w:pPr>
            <w:r>
              <w:rPr>
                <w:sz w:val="21"/>
              </w:rPr>
              <w:t>规划指标</w:t>
            </w:r>
          </w:p>
        </w:tc>
      </w:tr>
      <w:tr>
        <w:trPr>
          <w:trHeight w:val="813"/>
        </w:trPr>
        <w:tc>
          <w:tcPr>
            <w:tcW w:w="1176" w:type="dxa"/>
            <w:vMerge/>
            <w:tcBorders>
              <w:top w:val="nil"/>
            </w:tcBorders>
          </w:tcPr>
          <w:p/>
        </w:tc>
        <w:tc>
          <w:tcPr>
            <w:tcW w:w="1172" w:type="dxa"/>
            <w:vMerge/>
            <w:tcBorders>
              <w:top w:val="nil"/>
            </w:tcBorders>
          </w:tcPr>
          <w:p/>
        </w:tc>
        <w:tc>
          <w:tcPr>
            <w:tcW w:w="1171" w:type="dxa"/>
          </w:tcPr>
          <w:p>
            <w:pPr>
              <w:pStyle w:val="18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建设用地</w:t>
            </w:r>
          </w:p>
          <w:p>
            <w:pPr>
              <w:pStyle w:val="18"/>
              <w:spacing w:before="140"/>
              <w:ind w:left="164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公顷</w:t>
            </w:r>
            <w:r>
              <w:rPr>
                <w:sz w:val="21"/>
              </w:rPr>
              <w:t>）</w:t>
            </w:r>
          </w:p>
        </w:tc>
        <w:tc>
          <w:tcPr>
            <w:tcW w:w="1359" w:type="dxa"/>
          </w:tcPr>
          <w:p>
            <w:pPr>
              <w:pStyle w:val="18"/>
              <w:ind w:left="261"/>
              <w:rPr>
                <w:sz w:val="21"/>
              </w:rPr>
            </w:pPr>
            <w:r>
              <w:rPr>
                <w:spacing w:val="-2"/>
                <w:sz w:val="21"/>
              </w:rPr>
              <w:t>建设容量</w:t>
            </w:r>
          </w:p>
          <w:p>
            <w:pPr>
              <w:pStyle w:val="18"/>
              <w:spacing w:before="140"/>
              <w:ind w:left="261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万㎡</w:t>
            </w:r>
            <w:r>
              <w:rPr>
                <w:sz w:val="21"/>
              </w:rPr>
              <w:t>）</w:t>
            </w:r>
          </w:p>
        </w:tc>
        <w:tc>
          <w:tcPr>
            <w:tcW w:w="1111" w:type="dxa"/>
          </w:tcPr>
          <w:p>
            <w:pPr>
              <w:pStyle w:val="18"/>
              <w:ind w:left="138"/>
              <w:rPr>
                <w:sz w:val="21"/>
              </w:rPr>
            </w:pPr>
            <w:r>
              <w:rPr>
                <w:sz w:val="21"/>
              </w:rPr>
              <w:t>人口规模</w:t>
            </w:r>
          </w:p>
          <w:p>
            <w:pPr>
              <w:pStyle w:val="18"/>
              <w:spacing w:before="140"/>
              <w:ind w:left="242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035" w:type="dxa"/>
          </w:tcPr>
          <w:p>
            <w:pPr>
              <w:pStyle w:val="18"/>
              <w:ind w:left="186" w:right="164"/>
              <w:jc w:val="center"/>
              <w:rPr>
                <w:sz w:val="21"/>
              </w:rPr>
            </w:pPr>
            <w:r>
              <w:rPr>
                <w:sz w:val="21"/>
              </w:rPr>
              <w:t>综合</w:t>
            </w:r>
          </w:p>
          <w:p>
            <w:pPr>
              <w:pStyle w:val="18"/>
              <w:spacing w:before="140"/>
              <w:ind w:left="186" w:right="168"/>
              <w:jc w:val="center"/>
              <w:rPr>
                <w:sz w:val="21"/>
              </w:rPr>
            </w:pPr>
            <w:r>
              <w:rPr>
                <w:sz w:val="21"/>
              </w:rPr>
              <w:t>容积率</w:t>
            </w:r>
          </w:p>
        </w:tc>
        <w:tc>
          <w:tcPr>
            <w:tcW w:w="1199" w:type="dxa"/>
          </w:tcPr>
          <w:p>
            <w:pPr>
              <w:pStyle w:val="18"/>
              <w:ind w:left="185"/>
              <w:rPr>
                <w:sz w:val="21"/>
              </w:rPr>
            </w:pPr>
            <w:r>
              <w:rPr>
                <w:sz w:val="21"/>
              </w:rPr>
              <w:t>建筑高度</w:t>
            </w:r>
          </w:p>
          <w:p>
            <w:pPr>
              <w:pStyle w:val="18"/>
              <w:spacing w:before="140"/>
              <w:ind w:left="289"/>
              <w:rPr>
                <w:sz w:val="21"/>
              </w:rPr>
            </w:pPr>
            <w:r>
              <w:rPr>
                <w:sz w:val="21"/>
              </w:rPr>
              <w:t>（米）</w:t>
            </w:r>
          </w:p>
        </w:tc>
      </w:tr>
      <w:tr>
        <w:trPr>
          <w:trHeight w:val="582"/>
        </w:trPr>
        <w:tc>
          <w:tcPr>
            <w:tcW w:w="1176" w:type="dxa"/>
          </w:tcPr>
          <w:p>
            <w:pPr>
              <w:pStyle w:val="18"/>
              <w:spacing w:before="161"/>
              <w:ind w:left="166"/>
              <w:rPr>
                <w:sz w:val="21"/>
              </w:rPr>
            </w:pPr>
            <w:r>
              <w:rPr>
                <w:sz w:val="21"/>
              </w:rPr>
              <w:t>WD-13-05</w:t>
            </w:r>
          </w:p>
        </w:tc>
        <w:tc>
          <w:tcPr>
            <w:tcW w:w="1172" w:type="dxa"/>
          </w:tcPr>
          <w:p>
            <w:pPr>
              <w:pStyle w:val="18"/>
              <w:spacing w:before="161"/>
              <w:ind w:left="323"/>
              <w:rPr>
                <w:sz w:val="21"/>
              </w:rPr>
            </w:pPr>
            <w:r>
              <w:rPr>
                <w:sz w:val="21"/>
              </w:rPr>
              <w:t>18.79</w:t>
            </w:r>
          </w:p>
        </w:tc>
        <w:tc>
          <w:tcPr>
            <w:tcW w:w="1171" w:type="dxa"/>
          </w:tcPr>
          <w:p>
            <w:pPr>
              <w:pStyle w:val="18"/>
              <w:spacing w:before="161"/>
              <w:ind w:left="324"/>
              <w:rPr>
                <w:sz w:val="21"/>
              </w:rPr>
            </w:pPr>
            <w:r>
              <w:rPr>
                <w:sz w:val="21"/>
              </w:rPr>
              <w:t>17.48</w:t>
            </w:r>
          </w:p>
        </w:tc>
        <w:tc>
          <w:tcPr>
            <w:tcW w:w="1359" w:type="dxa"/>
          </w:tcPr>
          <w:p>
            <w:pPr>
              <w:pStyle w:val="18"/>
              <w:spacing w:before="161"/>
              <w:ind w:left="417"/>
              <w:rPr>
                <w:sz w:val="21"/>
              </w:rPr>
            </w:pPr>
            <w:r>
              <w:rPr>
                <w:sz w:val="21"/>
              </w:rPr>
              <w:t>18.90</w:t>
            </w:r>
          </w:p>
        </w:tc>
        <w:tc>
          <w:tcPr>
            <w:tcW w:w="1111" w:type="dxa"/>
          </w:tcPr>
          <w:p>
            <w:pPr>
              <w:pStyle w:val="18"/>
              <w:spacing w:before="161"/>
              <w:ind w:left="346"/>
              <w:rPr>
                <w:sz w:val="21"/>
              </w:rPr>
            </w:pPr>
            <w:r>
              <w:rPr>
                <w:sz w:val="21"/>
              </w:rPr>
              <w:t>2180</w:t>
            </w:r>
          </w:p>
        </w:tc>
        <w:tc>
          <w:tcPr>
            <w:tcW w:w="1035" w:type="dxa"/>
          </w:tcPr>
          <w:p>
            <w:pPr>
              <w:pStyle w:val="18"/>
              <w:spacing w:before="161"/>
              <w:ind w:left="311"/>
              <w:rPr>
                <w:sz w:val="21"/>
              </w:rPr>
            </w:pPr>
            <w:r>
              <w:rPr>
                <w:sz w:val="21"/>
              </w:rPr>
              <w:t>1.10</w:t>
            </w:r>
          </w:p>
        </w:tc>
        <w:tc>
          <w:tcPr>
            <w:tcW w:w="1199" w:type="dxa"/>
          </w:tcPr>
          <w:p>
            <w:pPr>
              <w:pStyle w:val="18"/>
              <w:spacing w:before="161"/>
              <w:ind w:left="480" w:right="458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</w:tr>
    </w:tbl>
    <w:p>
      <w:pPr>
        <w:spacing w:after="0"/>
        <w:jc w:val="center"/>
        <w:rPr>
          <w:sz w:val="21"/>
        </w:rPr>
        <w:sectPr>
          <w:pgSz w:w="11910" w:h="16840"/>
          <w:pgMar w:top="1380" w:right="80" w:bottom="280" w:left="140" w:header="720" w:footer="720" w:gutter="0"/>
          <w:docGrid w:linePitch="312" w:charSpace="0"/>
        </w:sectPr>
      </w:pPr>
    </w:p>
    <w:p>
      <w:pPr>
        <w:pStyle w:val="2"/>
        <w:spacing w:line="467" w:lineRule="exact"/>
      </w:pPr>
      <w:r>
        <w:t>第二章 规划细则</w:t>
      </w:r>
    </w:p>
    <w:p>
      <w:pPr>
        <w:pStyle w:val="3"/>
        <w:spacing w:before="54"/>
      </w:pPr>
      <w:r>
        <w:t>第六条 土地使用规划</w:t>
      </w:r>
    </w:p>
    <w:p>
      <w:pPr>
        <w:pStyle w:val="15"/>
        <w:spacing w:before="91"/>
      </w:pPr>
      <w:r>
        <w:drawing>
          <wp:anchor distT="0" distB="0" distL="0" distR="0" simplePos="0" relativeHeight="16" behindDoc="0" locked="0" layoutInCell="1" hidden="0" allowOverlap="1">
            <wp:simplePos x="0" y="0"/>
            <wp:positionH relativeFrom="page">
              <wp:posOffset>1798320</wp:posOffset>
            </wp:positionH>
            <wp:positionV relativeFrom="paragraph">
              <wp:posOffset>314960</wp:posOffset>
            </wp:positionV>
            <wp:extent cx="3958590" cy="4151630"/>
            <wp:effectExtent l="0" t="0" r="0" b="0"/>
            <wp:wrapTopAndBottom/>
            <wp:docPr id="4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58590" cy="415163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t>地块总用地面积为 18.79 公顷，建设用地面积 17.48 公顷。</w:t>
      </w:r>
    </w:p>
    <w:p>
      <w:pPr>
        <w:pStyle w:val="3"/>
        <w:spacing w:before="48"/>
      </w:pPr>
      <w:r>
        <w:t>第七条 开发控制</w:t>
      </w:r>
    </w:p>
    <w:p>
      <w:pPr>
        <w:pStyle w:val="15"/>
        <w:spacing w:before="92"/>
      </w:pPr>
      <w:r>
        <w:t>规划总建筑量 18.90 万平方米。其中居住建筑总量 8.87 万平方米（含兼容建筑及配套</w:t>
      </w:r>
    </w:p>
    <w:p>
      <w:pPr>
        <w:pStyle w:val="15"/>
        <w:spacing w:before="138"/>
        <w:ind w:left="1660"/>
      </w:pPr>
      <w:r>
        <w:t>设施），居住人口 2180 人。</w:t>
      </w:r>
    </w:p>
    <w:p>
      <w:pPr>
        <w:pStyle w:val="15"/>
        <w:ind w:left="0"/>
        <w:rPr>
          <w:sz w:val="11"/>
        </w:rPr>
      </w:pPr>
    </w:p>
    <w:tbl>
      <w:tblPr>
        <w:jc w:val="left"/>
        <w:tblInd w:w="1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133"/>
        <w:gridCol w:w="1137"/>
        <w:gridCol w:w="1557"/>
        <w:gridCol w:w="1573"/>
        <w:gridCol w:w="925"/>
      </w:tblGrid>
      <w:tr>
        <w:trPr>
          <w:trHeight w:val="1904"/>
        </w:trPr>
        <w:tc>
          <w:tcPr>
            <w:tcW w:w="1553" w:type="dxa"/>
          </w:tcPr>
          <w:p>
            <w:pPr>
              <w:pStyle w:val="18"/>
              <w:rPr>
                <w:sz w:val="20"/>
              </w:rPr>
            </w:pPr>
          </w:p>
          <w:p>
            <w:pPr>
              <w:pStyle w:val="18"/>
              <w:spacing w:before="5"/>
              <w:rPr>
                <w:sz w:val="25"/>
              </w:rPr>
            </w:pPr>
          </w:p>
          <w:p>
            <w:pPr>
              <w:pStyle w:val="18"/>
              <w:spacing w:line="365" w:lineRule="auto"/>
              <w:ind w:left="566" w:right="540"/>
              <w:jc w:val="center"/>
              <w:rPr>
                <w:sz w:val="21"/>
              </w:rPr>
            </w:pPr>
            <w:r>
              <w:rPr>
                <w:sz w:val="21"/>
              </w:rPr>
              <w:t>地块编号</w:t>
            </w:r>
          </w:p>
        </w:tc>
        <w:tc>
          <w:tcPr>
            <w:tcW w:w="1133" w:type="dxa"/>
          </w:tcPr>
          <w:p>
            <w:pPr>
              <w:pStyle w:val="18"/>
              <w:spacing w:before="6"/>
              <w:rPr>
                <w:sz w:val="29"/>
              </w:rPr>
            </w:pPr>
          </w:p>
          <w:p>
            <w:pPr>
              <w:pStyle w:val="18"/>
              <w:spacing w:line="365" w:lineRule="auto"/>
              <w:ind w:left="357" w:right="329"/>
              <w:jc w:val="center"/>
              <w:rPr>
                <w:sz w:val="21"/>
              </w:rPr>
            </w:pPr>
            <w:r>
              <w:rPr>
                <w:sz w:val="21"/>
              </w:rPr>
              <w:t>用地面积</w:t>
            </w:r>
          </w:p>
          <w:p>
            <w:pPr>
              <w:pStyle w:val="18"/>
              <w:spacing w:line="267" w:lineRule="exact"/>
              <w:ind w:left="127" w:right="105"/>
              <w:jc w:val="center"/>
              <w:rPr>
                <w:sz w:val="21"/>
              </w:rPr>
            </w:pPr>
            <w:r>
              <w:rPr>
                <w:sz w:val="21"/>
              </w:rPr>
              <w:t>（公顷）</w:t>
            </w:r>
          </w:p>
        </w:tc>
        <w:tc>
          <w:tcPr>
            <w:tcW w:w="1137" w:type="dxa"/>
          </w:tcPr>
          <w:p>
            <w:pPr>
              <w:pStyle w:val="18"/>
              <w:spacing w:before="170" w:line="365" w:lineRule="auto"/>
              <w:ind w:left="357" w:right="333"/>
              <w:jc w:val="both"/>
              <w:rPr>
                <w:sz w:val="21"/>
              </w:rPr>
            </w:pPr>
            <w:r>
              <w:rPr>
                <w:sz w:val="21"/>
              </w:rPr>
              <w:t>建设用地面积</w:t>
            </w:r>
          </w:p>
          <w:p>
            <w:pPr>
              <w:pStyle w:val="18"/>
              <w:spacing w:before="1"/>
              <w:ind w:left="149"/>
              <w:rPr>
                <w:sz w:val="21"/>
              </w:rPr>
            </w:pPr>
            <w:r>
              <w:rPr>
                <w:sz w:val="21"/>
              </w:rPr>
              <w:t>（公顷）</w:t>
            </w:r>
          </w:p>
        </w:tc>
        <w:tc>
          <w:tcPr>
            <w:tcW w:w="1557" w:type="dxa"/>
          </w:tcPr>
          <w:p>
            <w:pPr>
              <w:pStyle w:val="18"/>
              <w:spacing w:before="6"/>
              <w:rPr>
                <w:sz w:val="29"/>
              </w:rPr>
            </w:pPr>
          </w:p>
          <w:p>
            <w:pPr>
              <w:pStyle w:val="18"/>
              <w:spacing w:line="365" w:lineRule="auto"/>
              <w:ind w:left="464" w:right="434" w:firstLine="208"/>
              <w:rPr>
                <w:sz w:val="21"/>
              </w:rPr>
            </w:pPr>
            <w:r>
              <w:rPr>
                <w:sz w:val="21"/>
              </w:rPr>
              <w:t xml:space="preserve">总 </w:t>
            </w:r>
            <w:r>
              <w:rPr>
                <w:spacing w:val="-6"/>
                <w:sz w:val="21"/>
              </w:rPr>
              <w:t>建筑量</w:t>
            </w:r>
          </w:p>
          <w:p>
            <w:pPr>
              <w:pStyle w:val="18"/>
              <w:spacing w:line="267" w:lineRule="exact"/>
              <w:ind w:left="148"/>
              <w:rPr>
                <w:sz w:val="21"/>
              </w:rPr>
            </w:pPr>
            <w:r>
              <w:rPr>
                <w:sz w:val="21"/>
              </w:rPr>
              <w:t>（万平方米）</w:t>
            </w:r>
          </w:p>
        </w:tc>
        <w:tc>
          <w:tcPr>
            <w:tcW w:w="1573" w:type="dxa"/>
          </w:tcPr>
          <w:p>
            <w:pPr>
              <w:pStyle w:val="18"/>
              <w:spacing w:before="170" w:line="365" w:lineRule="auto"/>
              <w:ind w:left="580" w:right="548"/>
              <w:jc w:val="both"/>
              <w:rPr>
                <w:sz w:val="21"/>
              </w:rPr>
            </w:pPr>
            <w:r>
              <w:rPr>
                <w:sz w:val="21"/>
              </w:rPr>
              <w:t>居住建筑总量</w:t>
            </w:r>
          </w:p>
          <w:p>
            <w:pPr>
              <w:pStyle w:val="18"/>
              <w:spacing w:before="1"/>
              <w:ind w:left="160"/>
              <w:rPr>
                <w:sz w:val="21"/>
              </w:rPr>
            </w:pPr>
            <w:r>
              <w:rPr>
                <w:sz w:val="21"/>
              </w:rPr>
              <w:t>（万平方米）</w:t>
            </w:r>
          </w:p>
        </w:tc>
        <w:tc>
          <w:tcPr>
            <w:tcW w:w="925" w:type="dxa"/>
          </w:tcPr>
          <w:p>
            <w:pPr>
              <w:pStyle w:val="18"/>
              <w:spacing w:before="6"/>
              <w:rPr>
                <w:sz w:val="29"/>
              </w:rPr>
            </w:pPr>
          </w:p>
          <w:p>
            <w:pPr>
              <w:pStyle w:val="18"/>
              <w:spacing w:line="365" w:lineRule="auto"/>
              <w:ind w:left="251" w:right="227"/>
              <w:jc w:val="center"/>
              <w:rPr>
                <w:sz w:val="21"/>
              </w:rPr>
            </w:pPr>
            <w:r>
              <w:rPr>
                <w:sz w:val="21"/>
              </w:rPr>
              <w:t>居住人口</w:t>
            </w:r>
          </w:p>
          <w:p>
            <w:pPr>
              <w:pStyle w:val="18"/>
              <w:spacing w:line="267" w:lineRule="exact"/>
              <w:ind w:left="126" w:right="108"/>
              <w:jc w:val="center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</w:tr>
      <w:tr>
        <w:trPr>
          <w:trHeight w:val="580"/>
        </w:trPr>
        <w:tc>
          <w:tcPr>
            <w:tcW w:w="1553" w:type="dxa"/>
          </w:tcPr>
          <w:p>
            <w:pPr>
              <w:pStyle w:val="18"/>
              <w:spacing w:before="86"/>
              <w:ind w:left="358"/>
              <w:rPr>
                <w:sz w:val="21"/>
              </w:rPr>
            </w:pPr>
            <w:r>
              <w:rPr>
                <w:sz w:val="21"/>
              </w:rPr>
              <w:t>WD-13-05</w:t>
            </w:r>
          </w:p>
        </w:tc>
        <w:tc>
          <w:tcPr>
            <w:tcW w:w="1133" w:type="dxa"/>
          </w:tcPr>
          <w:p>
            <w:pPr>
              <w:pStyle w:val="18"/>
              <w:spacing w:before="86"/>
              <w:ind w:left="305"/>
              <w:rPr>
                <w:sz w:val="21"/>
              </w:rPr>
            </w:pPr>
            <w:r>
              <w:rPr>
                <w:sz w:val="21"/>
              </w:rPr>
              <w:t>18.79</w:t>
            </w:r>
          </w:p>
        </w:tc>
        <w:tc>
          <w:tcPr>
            <w:tcW w:w="1137" w:type="dxa"/>
          </w:tcPr>
          <w:p>
            <w:pPr>
              <w:pStyle w:val="18"/>
              <w:spacing w:before="86"/>
              <w:ind w:left="305"/>
              <w:rPr>
                <w:sz w:val="21"/>
              </w:rPr>
            </w:pPr>
            <w:r>
              <w:rPr>
                <w:sz w:val="21"/>
              </w:rPr>
              <w:t>17.48</w:t>
            </w:r>
          </w:p>
        </w:tc>
        <w:tc>
          <w:tcPr>
            <w:tcW w:w="1557" w:type="dxa"/>
          </w:tcPr>
          <w:p>
            <w:pPr>
              <w:pStyle w:val="18"/>
              <w:spacing w:before="86"/>
              <w:ind w:left="516"/>
              <w:rPr>
                <w:sz w:val="21"/>
              </w:rPr>
            </w:pPr>
            <w:r>
              <w:rPr>
                <w:sz w:val="21"/>
              </w:rPr>
              <w:t>18.90</w:t>
            </w:r>
          </w:p>
        </w:tc>
        <w:tc>
          <w:tcPr>
            <w:tcW w:w="1573" w:type="dxa"/>
          </w:tcPr>
          <w:p>
            <w:pPr>
              <w:pStyle w:val="18"/>
              <w:spacing w:before="86"/>
              <w:ind w:left="560" w:right="532"/>
              <w:jc w:val="center"/>
              <w:rPr>
                <w:sz w:val="21"/>
              </w:rPr>
            </w:pPr>
            <w:r>
              <w:rPr>
                <w:sz w:val="21"/>
              </w:rPr>
              <w:t>8.87</w:t>
            </w:r>
          </w:p>
        </w:tc>
        <w:tc>
          <w:tcPr>
            <w:tcW w:w="925" w:type="dxa"/>
          </w:tcPr>
          <w:p>
            <w:pPr>
              <w:pStyle w:val="18"/>
              <w:spacing w:before="86"/>
              <w:ind w:left="251"/>
              <w:rPr>
                <w:sz w:val="21"/>
              </w:rPr>
            </w:pPr>
            <w:r>
              <w:rPr>
                <w:sz w:val="21"/>
              </w:rPr>
              <w:t>2180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380" w:right="80" w:bottom="280" w:left="140" w:header="720" w:footer="720" w:gutter="0"/>
          <w:docGrid w:linePitch="312" w:charSpace="0"/>
        </w:sectPr>
      </w:pPr>
      <w:bookmarkStart w:id="0" w:name="_GoBack"/>
      <w:bookmarkEnd w:id="0"/>
      <w:r>
        <w:drawing>
          <wp:anchor distT="0" distB="0" distL="0" distR="0" simplePos="0" relativeHeight="18" behindDoc="0" locked="0" layoutInCell="1" hidden="0" allowOverlap="1">
            <wp:simplePos x="0" y="0"/>
            <wp:positionH relativeFrom="page">
              <wp:posOffset>172719</wp:posOffset>
            </wp:positionH>
            <wp:positionV relativeFrom="paragraph">
              <wp:posOffset>11425389</wp:posOffset>
            </wp:positionV>
            <wp:extent cx="7277735" cy="4540249"/>
            <wp:effectExtent l="0" t="0" r="0" b="0"/>
            <wp:wrapTopAndBottom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image3.jpeg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77735" cy="4540249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line="363" w:lineRule="exact"/>
      </w:pPr>
      <w:r>
        <w:t>第八条 地块细则</w:t>
      </w:r>
    </w:p>
    <w:p>
      <w:pPr>
        <w:pStyle w:val="15"/>
        <w:spacing w:before="111"/>
      </w:pPr>
      <w:r>
        <w:t>本次地块细则图则如下：</w:t>
      </w:r>
    </w:p>
    <w:sectPr>
      <w:pgSz w:w="11910" w:h="16840"/>
      <w:pgMar w:top="1380" w:right="80" w:bottom="280" w:left="140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A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trackRevisions/>
  <w:documentProtection w:edit="readOnly" w:enforcement="0"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shapeLayoutLikeWW8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eastAsia="宋体" w:cs="宋体"/>
      <w:sz w:val="22"/>
      <w:szCs w:val="22"/>
      <w:lang w:val="zh-CN" w:eastAsia="zh-CN" w:bidi="zh-CN"/>
    </w:rPr>
  </w:style>
  <w:style w:type="paragraph" w:styleId="1">
    <w:name w:val="heading 1"/>
    <w:basedOn w:val="0"/>
    <w:next w:val="0"/>
    <w:pPr>
      <w:spacing w:line="588" w:lineRule="exact"/>
      <w:ind w:left="1660"/>
      <w:outlineLvl w:val="1"/>
    </w:pPr>
    <w:rPr>
      <w:rFonts w:ascii="Microsoft JhengHei" w:eastAsia="Microsoft JhengHei" w:cs="Microsoft JhengHei"/>
      <w:b/>
      <w:bCs/>
      <w:sz w:val="44"/>
      <w:szCs w:val="44"/>
      <w:lang w:val="zh-CN" w:eastAsia="zh-CN" w:bidi="zh-CN"/>
    </w:rPr>
  </w:style>
  <w:style w:type="paragraph" w:styleId="2">
    <w:name w:val="heading 2"/>
    <w:basedOn w:val="0"/>
    <w:next w:val="0"/>
    <w:pPr>
      <w:ind w:left="1660"/>
      <w:outlineLvl w:val="2"/>
    </w:pPr>
    <w:rPr>
      <w:rFonts w:ascii="Microsoft JhengHei" w:eastAsia="Microsoft JhengHei" w:cs="Microsoft JhengHei"/>
      <w:b/>
      <w:bCs/>
      <w:sz w:val="28"/>
      <w:szCs w:val="28"/>
      <w:lang w:val="zh-CN" w:eastAsia="zh-CN" w:bidi="zh-CN"/>
    </w:rPr>
  </w:style>
  <w:style w:type="paragraph" w:styleId="3">
    <w:name w:val="heading 3"/>
    <w:basedOn w:val="0"/>
    <w:next w:val="0"/>
    <w:pPr>
      <w:ind w:left="1660"/>
      <w:outlineLvl w:val="3"/>
    </w:pPr>
    <w:rPr>
      <w:rFonts w:ascii="Microsoft JhengHei" w:eastAsia="Microsoft JhengHei" w:cs="Microsoft JhengHei"/>
      <w:b/>
      <w:bCs/>
      <w:sz w:val="21"/>
      <w:szCs w:val="21"/>
      <w:lang w:val="zh-CN" w:eastAsia="zh-CN" w:bidi="zh-CN"/>
    </w:rPr>
  </w:style>
  <w:style w:type="character" w:default="1" w:styleId="10">
    <w:name w:val="Default Paragraph Font"/>
  </w:style>
  <w:style w:type="paragraph" w:styleId="15">
    <w:name w:val="Body Text"/>
    <w:basedOn w:val="0"/>
    <w:pPr>
      <w:ind w:left="2080"/>
    </w:pPr>
    <w:rPr>
      <w:rFonts w:ascii="宋体" w:eastAsia="宋体" w:cs="宋体"/>
      <w:sz w:val="21"/>
      <w:szCs w:val="21"/>
      <w:lang w:val="zh-CN" w:eastAsia="zh-CN" w:bidi="zh-CN"/>
    </w:rPr>
  </w:style>
  <w:style w:type="character" w:styleId="16">
    <w:name w:val="Hyperlink"/>
    <w:basedOn w:val="10"/>
    <w:rPr>
      <w:color w:val="0000FF"/>
      <w:u w:val="single"/>
    </w:rPr>
  </w:style>
  <w:style w:type="paragraph" w:styleId="17">
    <w:name w:val="List Paragraph"/>
    <w:basedOn w:val="0"/>
    <w:rPr>
      <w:lang w:val="zh-CN" w:eastAsia="zh-CN" w:bidi="zh-CN"/>
    </w:rPr>
  </w:style>
  <w:style w:type="paragraph" w:customStyle="1" w:styleId="18">
    <w:name w:val="Table Paragraph"/>
    <w:basedOn w:val="0"/>
    <w:rPr>
      <w:rFonts w:ascii="宋体" w:eastAsia="宋体" w:cs="宋体"/>
      <w:lang w:val="zh-CN" w:eastAsia="zh-CN" w:bidi="zh-CN"/>
    </w:rPr>
  </w:style>
  <w:style w:type="paragraph" w:styleId="19">
    <w:name w:val="toc 1"/>
    <w:basedOn w:val="0"/>
    <w:autoRedefine/>
    <w:next w:val="0"/>
  </w:style>
  <w:style w:type="paragraph" w:styleId="20">
    <w:name w:val="toc 2"/>
    <w:basedOn w:val="0"/>
    <w:autoRedefine/>
    <w:next w:val="0"/>
    <w:pPr>
      <w:ind w:left="420"/>
    </w:pPr>
  </w:style>
  <w:style w:type="paragraph" w:styleId="21">
    <w:name w:val="toc 3"/>
    <w:basedOn w:val="0"/>
    <w:autoRedefine/>
    <w:next w:val="0"/>
    <w:pPr>
      <w:ind w:left="840"/>
    </w:pPr>
  </w:style>
  <w:style w:type="paragraph" w:styleId="22">
    <w:name w:val="toc 4"/>
    <w:basedOn w:val="0"/>
    <w:autoRedefine/>
    <w:next w:val="0"/>
    <w:pPr>
      <w:ind w:left="1260"/>
    </w:pPr>
  </w:style>
  <w:style w:type="paragraph" w:styleId="23">
    <w:name w:val="toc 5"/>
    <w:basedOn w:val="0"/>
    <w:autoRedefine/>
    <w:next w:val="0"/>
    <w:pPr>
      <w:ind w:left="1680"/>
    </w:pPr>
  </w:style>
  <w:style w:type="paragraph" w:styleId="24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25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image" Target="media/5.jpeg"/><Relationship Id="rId4" Type="http://schemas.openxmlformats.org/officeDocument/2006/relationships/image" Target="media/8.jpeg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6</Pages>
  <Words>1022</Words>
  <Characters>1189</Characters>
  <Lines>121</Lines>
  <Paragraphs>73</Paragraphs>
  <CharactersWithSpaces>1243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胡欣</cp:lastModifiedBy>
  <cp:revision>0</cp:revision>
  <dcterms:created xsi:type="dcterms:W3CDTF">2022-04-27T03:25:00Z</dcterms:created>
  <dcterms:modified xsi:type="dcterms:W3CDTF">2022-05-16T09:01:25Z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2022-04-13T16:00:00Z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2022-04-26T16:00:00Z</vt:filetime>
  </property>
  <property fmtid="{D5CDD505-2E9C-101B-9397-08002B2CF9AE}" pid="5" name="KSOProductBuildVer">
    <vt:lpwstr>2052-11.1.0.9208</vt:lpwstr>
  </property>
</Properties>
</file>