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pPr>
        <w:pStyle w:val="2"/>
        <w:spacing w:line="240" w:lineRule="auto"/>
        <w:jc w:val="center"/>
        <w:rPr>
          <w:rFonts w:ascii="仿宋" w:eastAsia="仿宋" w:cs="仿宋"/>
          <w:sz w:val="24"/>
          <w:szCs w:val="21"/>
        </w:rPr>
      </w:pPr>
      <w:bookmarkStart w:id="0" w:name="_GoBack"/>
      <w:bookmarkEnd w:id="0"/>
      <w:r>
        <w:rPr>
          <w:rFonts w:ascii="仿宋" w:eastAsia="仿宋" w:cs="仿宋" w:hint="eastAsia"/>
          <w:sz w:val="24"/>
          <w:szCs w:val="21"/>
        </w:rPr>
        <w:t>贵阳市自然资源和规划局关于《贵阳市中心城区控制性详细规划——观山组团》金麦单元GS-</w:t>
      </w:r>
      <w:r>
        <w:rPr>
          <w:rFonts w:ascii="仿宋" w:eastAsia="仿宋" w:cs="仿宋"/>
          <w:sz w:val="24"/>
          <w:szCs w:val="21"/>
        </w:rPr>
        <w:t>01</w:t>
      </w:r>
      <w:r>
        <w:rPr>
          <w:rFonts w:ascii="仿宋" w:eastAsia="仿宋" w:cs="仿宋" w:hint="eastAsia"/>
          <w:sz w:val="24"/>
          <w:szCs w:val="21"/>
        </w:rPr>
        <w:t>-0</w:t>
      </w:r>
      <w:r>
        <w:rPr>
          <w:rFonts w:ascii="仿宋" w:eastAsia="仿宋" w:cs="仿宋"/>
          <w:sz w:val="24"/>
          <w:szCs w:val="21"/>
        </w:rPr>
        <w:t>3</w:t>
      </w:r>
      <w:r>
        <w:rPr>
          <w:rFonts w:ascii="仿宋" w:eastAsia="仿宋" w:cs="仿宋" w:hint="eastAsia"/>
          <w:sz w:val="24"/>
          <w:szCs w:val="21"/>
        </w:rPr>
        <w:t>（1）地块细则编制方案的公示</w:t>
      </w:r>
    </w:p>
    <w:p>
      <w:pPr>
        <w:ind w:firstLineChars="200" w:firstLine="420"/>
        <w:rPr>
          <w:rFonts w:ascii="仿宋" w:eastAsia="仿宋" w:cs="仿宋"/>
        </w:rPr>
      </w:pPr>
      <w:r>
        <w:rPr>
          <w:rFonts w:ascii="仿宋" w:eastAsia="仿宋" w:cs="仿宋" w:hint="eastAsia"/>
        </w:rPr>
        <w:t>依据《贵阳市城市总体规划（2011-2020年）》（2017 年修订）、《贵阳市控制性详细规划管理办法》（市政府令2016年第42号）、《贵阳市中心城区控制性详细规划（总则）——观山组团》等上位规划，观山湖区人民政府组织编制完成《贵阳市中心城区控制性详细规划——观山组团》金麦单元GS-</w:t>
      </w:r>
      <w:r>
        <w:rPr>
          <w:rFonts w:ascii="仿宋" w:eastAsia="仿宋" w:cs="仿宋"/>
        </w:rPr>
        <w:t>01</w:t>
      </w:r>
      <w:r>
        <w:rPr>
          <w:rFonts w:ascii="仿宋" w:eastAsia="仿宋" w:cs="仿宋" w:hint="eastAsia"/>
        </w:rPr>
        <w:t>-0</w:t>
      </w:r>
      <w:r>
        <w:rPr>
          <w:rFonts w:ascii="仿宋" w:eastAsia="仿宋" w:cs="仿宋"/>
        </w:rPr>
        <w:t>3</w:t>
      </w:r>
      <w:r>
        <w:rPr>
          <w:rFonts w:ascii="仿宋" w:eastAsia="仿宋" w:cs="仿宋" w:hint="eastAsia"/>
        </w:rPr>
        <w:t>（1）地块细则优化调整方案并报我局审查，根据《中华人民共和国城乡规划法》、《贵阳市控制性详细规划管理办法》等相关法律法规和规章要求，现将规划方案主要内容予以公告，广泛征求社会意见。</w:t>
      </w:r>
    </w:p>
    <w:p>
      <w:pPr>
        <w:ind w:firstLineChars="200" w:firstLine="420"/>
        <w:rPr>
          <w:rFonts w:ascii="仿宋" w:eastAsia="仿宋" w:cs="仿宋"/>
        </w:rPr>
      </w:pPr>
      <w:r>
        <w:rPr>
          <w:rFonts w:ascii="仿宋" w:eastAsia="仿宋" w:cs="仿宋" w:hint="eastAsia"/>
        </w:rPr>
        <w:t>金麦单元GS-</w:t>
      </w:r>
      <w:r>
        <w:rPr>
          <w:rFonts w:ascii="仿宋" w:eastAsia="仿宋" w:cs="仿宋"/>
        </w:rPr>
        <w:t>01</w:t>
      </w:r>
      <w:r>
        <w:rPr>
          <w:rFonts w:ascii="仿宋" w:eastAsia="仿宋" w:cs="仿宋" w:hint="eastAsia"/>
        </w:rPr>
        <w:t>-0</w:t>
      </w:r>
      <w:r>
        <w:rPr>
          <w:rFonts w:ascii="仿宋" w:eastAsia="仿宋" w:cs="仿宋"/>
        </w:rPr>
        <w:t>3</w:t>
      </w:r>
      <w:r>
        <w:rPr>
          <w:rFonts w:ascii="仿宋" w:eastAsia="仿宋" w:cs="仿宋" w:hint="eastAsia"/>
        </w:rPr>
        <w:t>（1）地块主要规划情况如下：</w:t>
      </w:r>
    </w:p>
    <w:p>
      <w:pPr>
        <w:ind w:firstLineChars="200" w:firstLine="420"/>
        <w:rPr>
          <w:rFonts w:ascii="仿宋" w:eastAsia="仿宋" w:cs="仿宋"/>
        </w:rPr>
      </w:pPr>
      <w:r>
        <w:rPr>
          <w:rFonts w:ascii="仿宋" w:eastAsia="仿宋" w:cs="仿宋" w:hint="eastAsia"/>
        </w:rPr>
        <w:t>一、规划范围</w:t>
      </w:r>
    </w:p>
    <w:p>
      <w:pPr>
        <w:ind w:firstLineChars="200" w:firstLine="420"/>
        <w:rPr>
          <w:rFonts w:ascii="仿宋" w:eastAsia="仿宋" w:cs="仿宋"/>
        </w:rPr>
      </w:pPr>
      <w:r>
        <w:rPr>
          <w:rFonts w:ascii="仿宋" w:eastAsia="仿宋" w:cs="仿宋" w:hint="eastAsia"/>
        </w:rPr>
        <w:t>金麦单元GS-</w:t>
      </w:r>
      <w:r>
        <w:rPr>
          <w:rFonts w:ascii="仿宋" w:eastAsia="仿宋" w:cs="仿宋"/>
        </w:rPr>
        <w:t>01</w:t>
      </w:r>
      <w:r>
        <w:rPr>
          <w:rFonts w:ascii="仿宋" w:eastAsia="仿宋" w:cs="仿宋" w:hint="eastAsia"/>
        </w:rPr>
        <w:t>-0</w:t>
      </w:r>
      <w:r>
        <w:rPr>
          <w:rFonts w:ascii="仿宋" w:eastAsia="仿宋" w:cs="仿宋"/>
        </w:rPr>
        <w:t>3</w:t>
      </w:r>
      <w:r>
        <w:rPr>
          <w:rFonts w:ascii="仿宋" w:eastAsia="仿宋" w:cs="仿宋" w:hint="eastAsia"/>
        </w:rPr>
        <w:t>（1）地块位于观山组团金麦单元南部，东至云潭北路，南至观山西路，西至宾阳大道，北至林城西路。细则地块规划总用地面积</w:t>
      </w:r>
      <w:r>
        <w:rPr>
          <w:rFonts w:ascii="仿宋" w:eastAsia="仿宋" w:cs="仿宋"/>
        </w:rPr>
        <w:t>326.97</w:t>
      </w:r>
      <w:r>
        <w:rPr>
          <w:rFonts w:ascii="仿宋" w:eastAsia="仿宋" w:cs="仿宋" w:hint="eastAsia"/>
        </w:rPr>
        <w:t>公顷。</w:t>
      </w:r>
    </w:p>
    <w:p>
      <w:pPr>
        <w:ind w:firstLineChars="200" w:firstLine="420"/>
        <w:rPr>
          <w:rFonts w:ascii="仿宋" w:eastAsia="仿宋" w:cs="仿宋"/>
        </w:rPr>
      </w:pPr>
      <w:r>
        <w:rPr>
          <w:rFonts w:ascii="仿宋" w:eastAsia="仿宋" w:cs="仿宋" w:hint="eastAsia"/>
        </w:rPr>
        <w:t>二、主要规划内容</w:t>
      </w:r>
    </w:p>
    <w:p>
      <w:pPr>
        <w:ind w:firstLineChars="200" w:firstLine="420"/>
        <w:rPr>
          <w:rFonts w:ascii="仿宋" w:eastAsia="仿宋" w:cs="仿宋"/>
        </w:rPr>
      </w:pPr>
      <w:r>
        <w:rPr>
          <w:rFonts w:ascii="仿宋" w:eastAsia="仿宋" w:cs="仿宋" w:hint="eastAsia"/>
        </w:rPr>
        <w:t>1、建设用地规模：金麦单元GS-</w:t>
      </w:r>
      <w:r>
        <w:rPr>
          <w:rFonts w:ascii="仿宋" w:eastAsia="仿宋" w:cs="仿宋"/>
        </w:rPr>
        <w:t>01</w:t>
      </w:r>
      <w:r>
        <w:rPr>
          <w:rFonts w:ascii="仿宋" w:eastAsia="仿宋" w:cs="仿宋" w:hint="eastAsia"/>
        </w:rPr>
        <w:t>-0</w:t>
      </w:r>
      <w:r>
        <w:rPr>
          <w:rFonts w:ascii="仿宋" w:eastAsia="仿宋" w:cs="仿宋"/>
        </w:rPr>
        <w:t>3</w:t>
      </w:r>
      <w:r>
        <w:rPr>
          <w:rFonts w:ascii="仿宋" w:eastAsia="仿宋" w:cs="仿宋" w:hint="eastAsia"/>
        </w:rPr>
        <w:t>（1）地块规划建设用地</w:t>
      </w:r>
      <w:r>
        <w:rPr>
          <w:rFonts w:ascii="仿宋" w:eastAsia="仿宋" w:cs="仿宋"/>
        </w:rPr>
        <w:t>301.13</w:t>
      </w:r>
      <w:r>
        <w:rPr>
          <w:rFonts w:ascii="仿宋" w:eastAsia="仿宋" w:cs="仿宋" w:hint="eastAsia"/>
        </w:rPr>
        <w:t>公顷；</w:t>
      </w:r>
    </w:p>
    <w:p>
      <w:pPr>
        <w:ind w:firstLineChars="200" w:firstLine="420"/>
        <w:rPr>
          <w:rFonts w:ascii="仿宋" w:eastAsia="仿宋" w:cs="仿宋"/>
        </w:rPr>
      </w:pPr>
      <w:r>
        <w:rPr>
          <w:rFonts w:ascii="仿宋" w:eastAsia="仿宋" w:cs="仿宋" w:hint="eastAsia"/>
        </w:rPr>
        <w:t>2、主导功能：地块用地以居住和公园为主导功能，其中居住用地</w:t>
      </w:r>
      <w:r>
        <w:rPr>
          <w:rFonts w:ascii="仿宋" w:eastAsia="仿宋" w:cs="仿宋"/>
        </w:rPr>
        <w:t>86.33</w:t>
      </w:r>
      <w:r>
        <w:rPr>
          <w:rFonts w:ascii="仿宋" w:eastAsia="仿宋" w:cs="仿宋" w:hint="eastAsia"/>
        </w:rPr>
        <w:t>公顷</w:t>
      </w:r>
      <w:r>
        <w:rPr>
          <w:rFonts w:ascii="仿宋" w:eastAsia="仿宋" w:cs="仿宋"/>
        </w:rPr>
        <w:t>,</w:t>
      </w:r>
      <w:r>
        <w:rPr>
          <w:rFonts w:ascii="仿宋" w:eastAsia="仿宋" w:cs="仿宋" w:hint="eastAsia"/>
        </w:rPr>
        <w:t>公园绿地面积</w:t>
      </w:r>
      <w:r>
        <w:rPr>
          <w:rFonts w:ascii="仿宋" w:eastAsia="仿宋" w:cs="仿宋"/>
        </w:rPr>
        <w:t>167.13</w:t>
      </w:r>
      <w:r>
        <w:rPr>
          <w:rFonts w:ascii="仿宋" w:eastAsia="仿宋" w:cs="仿宋" w:hint="eastAsia"/>
        </w:rPr>
        <w:t>公顷；</w:t>
      </w:r>
    </w:p>
    <w:p>
      <w:pPr>
        <w:ind w:firstLineChars="200" w:firstLine="420"/>
        <w:rPr>
          <w:rFonts w:ascii="仿宋" w:eastAsia="仿宋" w:cs="仿宋"/>
        </w:rPr>
      </w:pPr>
      <w:r>
        <w:rPr>
          <w:rFonts w:ascii="仿宋" w:eastAsia="仿宋" w:cs="仿宋" w:hint="eastAsia"/>
        </w:rPr>
        <w:t>3、综合容积率：</w:t>
      </w:r>
      <w:r>
        <w:rPr>
          <w:rFonts w:ascii="仿宋" w:eastAsia="仿宋" w:cs="仿宋"/>
        </w:rPr>
        <w:t>0.60</w:t>
      </w:r>
      <w:r>
        <w:rPr>
          <w:rFonts w:ascii="仿宋" w:eastAsia="仿宋" w:cs="仿宋" w:hint="eastAsia"/>
        </w:rPr>
        <w:t>；</w:t>
      </w:r>
    </w:p>
    <w:p>
      <w:pPr>
        <w:ind w:firstLineChars="200" w:firstLine="420"/>
        <w:rPr>
          <w:rFonts w:ascii="仿宋" w:eastAsia="仿宋" w:cs="仿宋"/>
        </w:rPr>
      </w:pPr>
      <w:r>
        <w:rPr>
          <w:rFonts w:ascii="仿宋" w:eastAsia="仿宋" w:cs="仿宋"/>
        </w:rPr>
        <w:t>4</w:t>
      </w:r>
      <w:r>
        <w:rPr>
          <w:rFonts w:ascii="仿宋" w:eastAsia="仿宋" w:cs="仿宋" w:hint="eastAsia"/>
        </w:rPr>
        <w:t>、建筑容量：</w:t>
      </w:r>
      <w:r>
        <w:rPr>
          <w:rFonts w:ascii="仿宋" w:eastAsia="仿宋" w:cs="仿宋"/>
        </w:rPr>
        <w:t>179.99</w:t>
      </w:r>
      <w:r>
        <w:rPr>
          <w:rFonts w:ascii="仿宋" w:eastAsia="仿宋" w:cs="仿宋" w:hint="eastAsia"/>
        </w:rPr>
        <w:t>万平方米；</w:t>
      </w:r>
    </w:p>
    <w:p>
      <w:pPr>
        <w:ind w:firstLineChars="200" w:firstLine="420"/>
        <w:rPr>
          <w:rFonts w:ascii="仿宋" w:eastAsia="仿宋" w:cs="仿宋"/>
        </w:rPr>
      </w:pPr>
      <w:r>
        <w:rPr>
          <w:rFonts w:ascii="仿宋" w:eastAsia="仿宋" w:cs="仿宋" w:hint="eastAsia"/>
        </w:rPr>
        <w:t>5、人口容量：3.79万人；</w:t>
      </w:r>
    </w:p>
    <w:p>
      <w:pPr>
        <w:ind w:firstLineChars="200" w:firstLine="420"/>
        <w:rPr>
          <w:rFonts w:ascii="仿宋" w:eastAsia="仿宋" w:cs="仿宋"/>
        </w:rPr>
      </w:pPr>
      <w:r>
        <w:rPr>
          <w:rFonts w:ascii="仿宋" w:eastAsia="仿宋" w:cs="仿宋"/>
        </w:rPr>
        <w:t>6</w:t>
      </w:r>
      <w:r>
        <w:rPr>
          <w:rFonts w:ascii="仿宋" w:eastAsia="仿宋" w:cs="仿宋" w:hint="eastAsia"/>
        </w:rPr>
        <w:t>、根据《贵阳市城市规划技术管理办法》相关规定以及已批方案的工规证、报建总图配建服务设施；</w:t>
      </w:r>
    </w:p>
    <w:p>
      <w:pPr>
        <w:ind w:firstLineChars="200" w:firstLine="420"/>
        <w:rPr>
          <w:rFonts w:ascii="仿宋" w:eastAsia="仿宋" w:cs="仿宋"/>
        </w:rPr>
      </w:pPr>
      <w:r>
        <w:rPr>
          <w:rFonts w:ascii="仿宋" w:eastAsia="仿宋" w:cs="仿宋"/>
        </w:rPr>
        <w:t>7</w:t>
      </w:r>
      <w:r>
        <w:rPr>
          <w:rFonts w:ascii="仿宋" w:eastAsia="仿宋" w:cs="仿宋" w:hint="eastAsia"/>
        </w:rPr>
        <w:t>、交通设施规划情况：轨道交通1号线、林城西路停车场、十二滩水库地下停车场；</w:t>
      </w:r>
    </w:p>
    <w:p>
      <w:pPr>
        <w:ind w:firstLineChars="200" w:firstLine="420"/>
        <w:rPr>
          <w:rFonts w:ascii="仿宋" w:eastAsia="微软雅黑" w:cs="仿宋" w:hAnsi="仿宋"/>
        </w:rPr>
      </w:pPr>
      <w:r>
        <w:rPr>
          <w:rFonts w:ascii="仿宋" w:eastAsia="仿宋" w:cs="仿宋"/>
        </w:rPr>
        <w:t>8</w:t>
      </w:r>
      <w:r>
        <w:rPr>
          <w:rFonts w:ascii="仿宋" w:eastAsia="仿宋" w:cs="仿宋" w:hint="eastAsia"/>
        </w:rPr>
        <w:t>、市政设施情况：1</w:t>
      </w:r>
      <w:r>
        <w:rPr>
          <w:rFonts w:ascii="仿宋" w:eastAsia="仿宋" w:cs="仿宋"/>
        </w:rPr>
        <w:t>10KV</w:t>
      </w:r>
      <w:r>
        <w:rPr>
          <w:rFonts w:ascii="仿宋" w:eastAsia="仿宋" w:cs="仿宋" w:hint="eastAsia"/>
        </w:rPr>
        <w:t>金流变、开闭所、雨水调蓄池等；</w:t>
      </w:r>
    </w:p>
    <w:p>
      <w:pPr>
        <w:ind w:firstLineChars="200" w:firstLine="420"/>
        <w:rPr>
          <w:rFonts w:ascii="仿宋" w:eastAsia="仿宋" w:cs="仿宋"/>
        </w:rPr>
      </w:pPr>
      <w:r>
        <w:rPr>
          <w:rFonts w:ascii="仿宋" w:eastAsia="仿宋" w:cs="仿宋"/>
        </w:rPr>
        <w:t>9</w:t>
      </w:r>
      <w:r>
        <w:rPr>
          <w:rFonts w:ascii="仿宋" w:eastAsia="仿宋" w:cs="仿宋" w:hint="eastAsia"/>
        </w:rPr>
        <w:t>、本次公示规划内容附金麦单元GS-</w:t>
      </w:r>
      <w:r>
        <w:rPr>
          <w:rFonts w:ascii="仿宋" w:eastAsia="仿宋" w:cs="仿宋"/>
        </w:rPr>
        <w:t>01</w:t>
      </w:r>
      <w:r>
        <w:rPr>
          <w:rFonts w:ascii="仿宋" w:eastAsia="仿宋" w:cs="仿宋" w:hint="eastAsia"/>
        </w:rPr>
        <w:t>-0</w:t>
      </w:r>
      <w:r>
        <w:rPr>
          <w:rFonts w:ascii="仿宋" w:eastAsia="仿宋" w:cs="仿宋"/>
        </w:rPr>
        <w:t>3</w:t>
      </w:r>
      <w:r>
        <w:rPr>
          <w:rFonts w:ascii="仿宋" w:eastAsia="仿宋" w:cs="仿宋" w:hint="eastAsia"/>
        </w:rPr>
        <w:t>（1）地块图则。</w:t>
      </w:r>
    </w:p>
    <w:p>
      <w:pPr>
        <w:ind w:firstLineChars="200" w:firstLine="420"/>
        <w:jc w:val="right"/>
        <w:rPr>
          <w:rFonts w:ascii="仿宋" w:eastAsia="仿宋" w:cs="仿宋"/>
        </w:rPr>
      </w:pPr>
    </w:p>
    <w:p>
      <w:pPr>
        <w:ind w:firstLineChars="200" w:firstLine="420"/>
        <w:jc w:val="right"/>
        <w:rPr>
          <w:rFonts w:ascii="仿宋" w:eastAsia="仿宋" w:cs="仿宋"/>
        </w:rPr>
      </w:pPr>
    </w:p>
    <w:p>
      <w:pPr>
        <w:ind w:firstLineChars="200" w:firstLine="420"/>
        <w:jc w:val="right"/>
        <w:rPr>
          <w:rFonts w:ascii="仿宋" w:eastAsia="仿宋" w:cs="仿宋"/>
        </w:rPr>
      </w:pPr>
    </w:p>
    <w:p>
      <w:pPr>
        <w:ind w:firstLineChars="200" w:firstLine="420"/>
        <w:jc w:val="right"/>
        <w:rPr>
          <w:rFonts w:ascii="仿宋" w:eastAsia="仿宋" w:cs="仿宋"/>
        </w:rPr>
      </w:pPr>
    </w:p>
    <w:p>
      <w:pPr>
        <w:ind w:firstLineChars="200" w:firstLine="420"/>
        <w:jc w:val="right"/>
        <w:rPr>
          <w:rFonts w:ascii="仿宋" w:eastAsia="仿宋" w:cs="仿宋"/>
        </w:rPr>
      </w:pPr>
      <w:r>
        <w:rPr>
          <w:rFonts w:ascii="仿宋" w:eastAsia="仿宋" w:cs="仿宋" w:hint="eastAsia"/>
        </w:rPr>
        <w:t>公告时间：自公示之日起10 工作日。</w:t>
      </w:r>
    </w:p>
    <w:p>
      <w:pPr>
        <w:ind w:firstLineChars="200" w:firstLine="420"/>
        <w:jc w:val="right"/>
        <w:rPr>
          <w:rFonts w:ascii="仿宋" w:eastAsia="仿宋" w:cs="仿宋"/>
        </w:rPr>
      </w:pPr>
      <w:r>
        <w:rPr>
          <w:rFonts w:ascii="仿宋" w:eastAsia="仿宋" w:cs="仿宋" w:hint="eastAsia"/>
        </w:rPr>
        <w:t>联系人：谢志林（0851-85212084）</w:t>
      </w:r>
    </w:p>
    <w:p>
      <w:pPr>
        <w:ind w:firstLineChars="200" w:firstLine="420"/>
        <w:jc w:val="right"/>
        <w:rPr>
          <w:rFonts w:ascii="仿宋" w:eastAsia="仿宋" w:cs="仿宋"/>
        </w:rPr>
      </w:pPr>
      <w:r>
        <w:rPr>
          <w:rFonts w:ascii="仿宋" w:eastAsia="仿宋" w:cs="仿宋" w:hint="eastAsia"/>
        </w:rPr>
        <w:t>李松林（0851-85829396）</w:t>
      </w:r>
    </w:p>
    <w:p>
      <w:pPr>
        <w:ind w:firstLineChars="200" w:firstLine="420"/>
        <w:jc w:val="right"/>
        <w:rPr>
          <w:rFonts w:ascii="仿宋" w:eastAsia="仿宋" w:cs="仿宋"/>
        </w:rPr>
      </w:pPr>
      <w:r>
        <w:rPr>
          <w:rFonts w:ascii="仿宋" w:eastAsia="仿宋" w:cs="仿宋" w:hint="eastAsia"/>
        </w:rPr>
        <w:t xml:space="preserve">王兴亚（0851-85865165） </w:t>
      </w:r>
    </w:p>
    <w:p>
      <w:pPr>
        <w:ind w:firstLineChars="200" w:firstLine="420"/>
        <w:jc w:val="right"/>
        <w:rPr>
          <w:rFonts w:ascii="仿宋" w:eastAsia="仿宋" w:cs="仿宋"/>
        </w:rPr>
      </w:pPr>
      <w:r>
        <w:rPr>
          <w:rFonts w:ascii="仿宋" w:eastAsia="仿宋" w:cs="仿宋" w:hint="eastAsia"/>
        </w:rPr>
        <w:t>传真：85829384（传真）</w:t>
      </w:r>
    </w:p>
    <w:p>
      <w:pPr>
        <w:ind w:firstLineChars="200" w:firstLine="420"/>
        <w:jc w:val="right"/>
        <w:rPr>
          <w:rFonts w:ascii="仿宋" w:eastAsia="仿宋" w:cs="仿宋"/>
        </w:rPr>
      </w:pPr>
      <w:r>
        <w:rPr>
          <w:rFonts w:ascii="仿宋" w:eastAsia="仿宋" w:cs="仿宋" w:hint="eastAsia"/>
        </w:rPr>
        <w:t>电子邮箱：251973814@qq.com</w:t>
      </w:r>
    </w:p>
    <w:p/>
    <w:p/>
    <w:p/>
    <w:p/>
    <w:p/>
    <w:p/>
    <w:p/>
    <w:p>
      <w:r>
        <w:drawing>
          <wp:anchor distT="0" distB="0" distL="114300" distR="114300" simplePos="0" relativeHeight="13" behindDoc="0" locked="0" layoutInCell="1" hidden="0" allowOverlap="1">
            <wp:simplePos x="0" y="0"/>
            <wp:positionH relativeFrom="column">
              <wp:posOffset>-1344824</wp:posOffset>
            </wp:positionH>
            <wp:positionV relativeFrom="paragraph">
              <wp:posOffset>517641</wp:posOffset>
            </wp:positionV>
            <wp:extent cx="6840000" cy="4204632"/>
            <wp:effectExtent l="0" t="0" r="0" b="0"/>
            <wp:wrapSquare wrapText="bothSides"/>
            <wp:docPr id="1" name="图片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2 3"/>
                    <pic:cNvPicPr/>
                  </pic:nvPicPr>
                  <pic:blipFill>
                    <a:blip r:embed="rId2"/>
                    <a:srcRect t="5733" b="73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0000" cy="4204632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-802640</wp:posOffset>
            </wp:positionH>
            <wp:positionV relativeFrom="paragraph">
              <wp:posOffset>4309745</wp:posOffset>
            </wp:positionV>
            <wp:extent cx="6839584" cy="4235448"/>
            <wp:effectExtent l="0" t="0" r="0" b="0"/>
            <wp:wrapSquare wrapText="bothSides"/>
            <wp:docPr id="4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1 6"/>
                    <pic:cNvPicPr/>
                  </pic:nvPicPr>
                  <pic:blipFill>
                    <a:blip r:embed="rId3"/>
                    <a:srcRect t="6369" b="60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39584" cy="4235448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仿宋">
    <w:panose1 w:val="02010609060101010101"/>
    <w:charset w:val="86"/>
    <w:family w:val="modern"/>
    <w:pitch w:val="variable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variable"/>
    <w:sig w:usb0="800002BF" w:usb1="38CF7CFA" w:usb2="00000016" w:usb3="00000000" w:csb0="00040001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20"/>
  <w:bordersDoNotSurroundHeader/>
  <w:bordersDoNotSurroundFooter/>
  <w:trackRevisions/>
  <w:defaultTabStop w:val="420"/>
  <w:drawingGridHorizontalSpacing w:val="105"/>
  <w:drawingGridVerticalSpacing w:val="156"/>
  <w:displayHorizontalDrawingGridEvery w:val="0"/>
  <w:displayVerticalDrawingGridEvery w:val="1"/>
  <w:noPunctuationKerning/>
  <w:characterSpacingControl w:val="compressPunctuation"/>
  <w:compat>
    <w:spaceForUL/>
    <w:balanceSingleByteDoubleByteWidth/>
    <w:ulTrailSpace/>
    <w:doNotExpandShiftReturn/>
    <w:adjustLineHeightInTable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Arial" w:hAnsi="Calibri"/>
      <w:kern w:val="2"/>
      <w:sz w:val="21"/>
      <w:szCs w:val="24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widowControl w:val="0"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0"/>
    <w:next w:val="0"/>
    <w:pPr>
      <w:keepNext/>
      <w:keepLines/>
      <w:widowControl w:val="0"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0"/>
    <w:next w:val="0"/>
    <w:pPr>
      <w:keepNext/>
      <w:keepLines/>
      <w:widowControl w:val="0"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styleId="15">
    <w:name w:val="header"/>
    <w:basedOn w:val="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footer"/>
    <w:basedOn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toc 1"/>
    <w:basedOn w:val="0"/>
    <w:autoRedefine/>
    <w:next w:val="0"/>
  </w:style>
  <w:style w:type="paragraph" w:styleId="18">
    <w:name w:val="toc 2"/>
    <w:basedOn w:val="0"/>
    <w:autoRedefine/>
    <w:next w:val="0"/>
    <w:pPr>
      <w:ind w:left="420"/>
    </w:pPr>
  </w:style>
  <w:style w:type="paragraph" w:styleId="19">
    <w:name w:val="toc 3"/>
    <w:basedOn w:val="0"/>
    <w:autoRedefine/>
    <w:next w:val="0"/>
    <w:pPr>
      <w:ind w:left="840"/>
    </w:pPr>
  </w:style>
  <w:style w:type="paragraph" w:styleId="20">
    <w:name w:val="toc 4"/>
    <w:basedOn w:val="0"/>
    <w:autoRedefine/>
    <w:next w:val="0"/>
    <w:pPr>
      <w:ind w:left="1260"/>
    </w:pPr>
  </w:style>
  <w:style w:type="paragraph" w:styleId="21">
    <w:name w:val="toc 5"/>
    <w:basedOn w:val="0"/>
    <w:autoRedefine/>
    <w:next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eg"/><Relationship Id="rId3" Type="http://schemas.openxmlformats.org/officeDocument/2006/relationships/image" Target="media/5.jpeg"/><Relationship Id="rId4" Type="http://schemas.openxmlformats.org/officeDocument/2006/relationships/styles" Target="styles.xml"/><Relationship Id="rId5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105</TotalTime>
  <Application>Yozo_Office27021597764231179</Application>
  <Pages>2</Pages>
  <Words>652</Words>
  <Characters>808</Characters>
  <Lines>42</Lines>
  <Paragraphs>21</Paragraphs>
  <CharactersWithSpaces>811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追赶</dc:creator>
  <cp:lastModifiedBy>李发文</cp:lastModifiedBy>
  <cp:revision>32</cp:revision>
  <dcterms:created xsi:type="dcterms:W3CDTF">2022-04-11T12:49:00Z</dcterms:created>
  <dcterms:modified xsi:type="dcterms:W3CDTF">2022-05-30T02:02:51Z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2052-11.1.0.10503</vt:lpwstr>
  </property>
  <property fmtid="{D5CDD505-2E9C-101B-9397-08002B2CF9AE}" pid="3" name="ICV">
    <vt:lpwstr>87066878A67F4DEABFDCB152A4FBC456</vt:lpwstr>
  </property>
</Properties>
</file>