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pPr>
        <w:pStyle w:val="2"/>
        <w:bidi w:val="0"/>
        <w:spacing w:line="240" w:lineRule="auto"/>
        <w:jc w:val="center"/>
        <w:rPr>
          <w:rFonts w:ascii="仿宋" w:eastAsia="仿宋" w:cs="仿宋" w:hint="eastAsia"/>
          <w:b/>
          <w:kern w:val="2"/>
          <w:sz w:val="24"/>
          <w:szCs w:val="21"/>
          <w:lang w:val="en-US" w:eastAsia="zh-CN" w:bidi="ar-SA"/>
        </w:rPr>
      </w:pPr>
      <w:bookmarkStart w:id="0" w:name="_GoBack"/>
      <w:bookmarkEnd w:id="0"/>
      <w:r>
        <w:rPr>
          <w:rFonts w:ascii="仿宋" w:eastAsia="仿宋" w:cs="仿宋" w:hint="eastAsia"/>
          <w:b/>
          <w:kern w:val="2"/>
          <w:sz w:val="24"/>
          <w:szCs w:val="21"/>
          <w:lang w:val="en-US" w:eastAsia="zh-CN" w:bidi="ar-SA"/>
        </w:rPr>
        <w:t>贵阳市自然资源和规划局关于《中心城区控制性详细规划（导则、细则） —观山组团上寨单元GS-10单元导则、GS-10-01地块细则方案》的公示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textAlignment w:val="auto"/>
        <w:rPr>
          <w:rFonts w:ascii="仿宋" w:eastAsia="仿宋" w:cs="仿宋" w:hint="eastAsia"/>
        </w:rPr>
      </w:pPr>
      <w:r>
        <w:rPr>
          <w:rFonts w:ascii="仿宋" w:eastAsia="仿宋" w:cs="仿宋" w:hint="eastAsia"/>
        </w:rPr>
        <w:t>依据《贵阳市城市总体规划（2011-2020 年）》（2017 年修订）、《贵阳市控制性详细规划管理办法》（市政府令2016年第42号）</w:t>
      </w:r>
      <w:r>
        <w:rPr>
          <w:rFonts w:ascii="仿宋" w:eastAsia="仿宋" w:cs="仿宋" w:hint="eastAsia"/>
          <w:lang w:eastAsia="zh-CN"/>
        </w:rPr>
        <w:t>、</w:t>
      </w:r>
      <w:r>
        <w:rPr>
          <w:rFonts w:ascii="仿宋" w:eastAsia="仿宋" w:cs="仿宋" w:hint="eastAsia"/>
        </w:rPr>
        <w:t>《贵阳市中心城区控制性详细规划（总则）——观山组团》等上位规划，观山湖区人民政府组织编制完成</w:t>
      </w:r>
      <w:r>
        <w:rPr>
          <w:rFonts w:ascii="仿宋" w:eastAsia="仿宋" w:cs="仿宋" w:hint="eastAsia"/>
          <w:lang w:val="en-US" w:eastAsia="zh-CN"/>
        </w:rPr>
        <w:t>《中心城区控制性详细规划（导则、细则） —观山组团上寨单元GS-10单元导则、GS-10-01地块细则方案》</w:t>
      </w:r>
      <w:r>
        <w:rPr>
          <w:rFonts w:ascii="仿宋" w:eastAsia="仿宋" w:cs="仿宋" w:hint="eastAsia"/>
        </w:rPr>
        <w:t>并报我局审查，根据《中华人民共和国城乡规划法》、《贵阳市控制性详细规划管理办法》等相关法律法规和规章要求，现将规划方案主要内容予以公告，广泛征求社会意见。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textAlignment w:val="auto"/>
        <w:rPr>
          <w:rFonts w:ascii="仿宋" w:eastAsia="仿宋" w:cs="仿宋" w:hint="eastAsia"/>
          <w:lang w:val="en-US" w:eastAsia="zh-CN"/>
        </w:rPr>
      </w:pPr>
      <w:r>
        <w:rPr>
          <w:rFonts w:ascii="仿宋" w:eastAsia="仿宋" w:cs="仿宋" w:hint="eastAsia"/>
          <w:lang w:eastAsia="zh-CN"/>
        </w:rPr>
        <w:t>一、规划范围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textAlignment w:val="auto"/>
        <w:rPr>
          <w:rFonts w:ascii="仿宋" w:eastAsia="仿宋" w:cs="仿宋" w:hint="eastAsia"/>
          <w:lang w:val="en-US" w:eastAsia="zh-CN"/>
        </w:rPr>
      </w:pPr>
      <w:r>
        <w:rPr>
          <w:rFonts w:ascii="仿宋" w:eastAsia="仿宋" w:cs="仿宋" w:hint="eastAsia"/>
          <w:lang w:val="en-US" w:eastAsia="zh-CN"/>
        </w:rPr>
        <w:t>上寨单元GS-10导则规划范围：上寨单元GS-10位于观山组团东北部；东至西二环，南至林城路，西至数博大道，北至东林寺路-行政界线，单元总用地面积296公顷；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textAlignment w:val="auto"/>
        <w:rPr>
          <w:rFonts w:ascii="仿宋" w:eastAsia="仿宋" w:cs="仿宋" w:hint="eastAsia"/>
          <w:lang w:val="en-US" w:eastAsia="zh-CN"/>
        </w:rPr>
      </w:pPr>
      <w:r>
        <w:rPr>
          <w:rFonts w:ascii="仿宋" w:eastAsia="仿宋" w:cs="仿宋" w:hint="eastAsia"/>
          <w:lang w:val="en-US" w:eastAsia="zh-CN"/>
        </w:rPr>
        <w:t>上寨单元GS-10-01细则地块规划范围：上寨单元GS-10-01地块位于观山组团东北部，上寨单元西部；东至贵遵路，西至数博大道，南至林城东路，北至金朱东路，地块总用地面积78.62公顷。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Chars="200" w:firstLine="420"/>
        <w:textAlignment w:val="auto"/>
        <w:rPr>
          <w:rFonts w:ascii="仿宋" w:eastAsia="仿宋" w:cs="仿宋" w:hint="eastAsia"/>
          <w:lang w:val="en-US" w:eastAsia="zh-CN"/>
        </w:rPr>
      </w:pPr>
      <w:r>
        <w:rPr>
          <w:rFonts w:ascii="仿宋" w:eastAsia="仿宋" w:cs="仿宋" w:hint="eastAsia"/>
          <w:lang w:val="en-US" w:eastAsia="zh-CN"/>
        </w:rPr>
        <w:t>本次优化调整内容及理由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textAlignment w:val="auto"/>
        <w:rPr>
          <w:rFonts w:ascii="仿宋" w:eastAsia="仿宋" w:cs="仿宋" w:hint="eastAsia"/>
          <w:lang w:val="en-US" w:eastAsia="zh-CN"/>
        </w:rPr>
      </w:pPr>
      <w:r>
        <w:rPr>
          <w:rFonts w:ascii="仿宋" w:eastAsia="仿宋" w:cs="仿宋" w:hint="eastAsia"/>
          <w:lang w:val="en-US" w:eastAsia="zh-CN"/>
        </w:rPr>
        <w:t>优化调整内容：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textAlignment w:val="auto"/>
        <w:rPr>
          <w:rFonts w:ascii="仿宋" w:eastAsia="仿宋" w:cs="仿宋" w:hint="eastAsia"/>
          <w:lang w:val="en-US" w:eastAsia="zh-CN"/>
        </w:rPr>
      </w:pPr>
      <w:r>
        <w:rPr>
          <w:rFonts w:ascii="仿宋" w:eastAsia="仿宋" w:cs="仿宋" w:hint="eastAsia"/>
          <w:lang w:val="en-US" w:eastAsia="zh-CN"/>
        </w:rPr>
        <w:t>1、用地布局及人口规模调整：将原商业用地调整为居住用地；单元人口由原控规总则6.5万人调整为6.75万人，较原总则增加0.25万人；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textAlignment w:val="auto"/>
        <w:rPr>
          <w:rFonts w:ascii="仿宋" w:eastAsia="仿宋" w:cs="仿宋" w:hint="eastAsia"/>
          <w:lang w:val="en-US" w:eastAsia="zh-CN"/>
        </w:rPr>
      </w:pPr>
      <w:r>
        <w:rPr>
          <w:rFonts w:ascii="仿宋" w:eastAsia="仿宋" w:cs="仿宋" w:hint="eastAsia"/>
          <w:lang w:val="en-US" w:eastAsia="zh-CN"/>
        </w:rPr>
        <w:t>2、指标调整：优化调整地块原规划指标：用地性质为商业用地，用地面积3.39公顷，容积率3.8，绿地率30，建筑密度30，建筑限高按审定方案；优化调整后地块用地性质调整为居住用地，用地面积3.65公顷（地块东侧0.26公顷贵遵路防护绿地纳入指标平衡 ），容积率2.5，绿地率35%，建筑密度22%，建筑限高满足高低错落、显山露水，错落有致要求，以审定方案为准；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textAlignment w:val="auto"/>
        <w:rPr>
          <w:rFonts w:ascii="仿宋" w:eastAsia="仿宋" w:cs="仿宋" w:hint="eastAsia"/>
          <w:lang w:val="en-US" w:eastAsia="zh-CN"/>
        </w:rPr>
      </w:pPr>
      <w:r>
        <w:rPr>
          <w:rFonts w:ascii="仿宋" w:eastAsia="仿宋" w:cs="仿宋" w:hint="eastAsia"/>
          <w:lang w:val="en-US" w:eastAsia="zh-CN"/>
        </w:rPr>
        <w:t>3、建筑容量变化：由于优化调整地块开发强度调整，单元建筑容量由440万平方米调整为436万平方米。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textAlignment w:val="auto"/>
        <w:rPr>
          <w:rFonts w:ascii="仿宋" w:eastAsia="仿宋" w:cs="仿宋" w:hint="eastAsia"/>
          <w:lang w:val="en-US" w:eastAsia="zh-CN"/>
        </w:rPr>
      </w:pPr>
      <w:r>
        <w:rPr>
          <w:rFonts w:ascii="仿宋" w:eastAsia="仿宋" w:cs="仿宋" w:hint="eastAsia"/>
          <w:lang w:val="en-US" w:eastAsia="zh-CN"/>
        </w:rPr>
        <w:t>优化调整理由：</w:t>
      </w:r>
    </w:p>
    <w:p>
      <w:pPr>
        <w:pStyle w:val="15"/>
        <w:keepNext w:val="0"/>
        <w:keepLines w:val="0"/>
        <w:pageBreakBefore w:val="0"/>
        <w:widowControl/>
        <w:suppressLineNumbers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Chars="200" w:firstLine="420"/>
        <w:jc w:val="both"/>
        <w:textAlignment w:val="baseline"/>
        <w:rPr>
          <w:rFonts w:ascii="仿宋" w:eastAsia="仿宋" w:cs="仿宋" w:hint="eastAsia"/>
          <w:lang w:val="en-US" w:eastAsia="zh-CN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本次优化调整主要涉及人口规模增加，根据《中共贵州省委 贵州省人民政府关于支持实施“强省会”五年行动若干政策措施的意见》，观山湖区是实施“强省会”五年行动的主战场，适当提高区域居住用地规模，将加快推进以人为核心的新型城镇化，助力“强省会”五年行动计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textAlignment w:val="auto"/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lang w:eastAsia="zh-CN"/>
        </w:rPr>
        <w:t>三、</w:t>
      </w: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优化调整后单元规划情况</w:t>
      </w:r>
    </w:p>
    <w:p>
      <w:pPr>
        <w:pStyle w:val="1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Chars="200" w:firstLine="420"/>
        <w:jc w:val="left"/>
        <w:textAlignment w:val="auto"/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1、上寨单元GS-10规划情况：</w:t>
      </w:r>
    </w:p>
    <w:p>
      <w:pPr>
        <w:pStyle w:val="15"/>
        <w:keepNext w:val="0"/>
        <w:keepLines w:val="0"/>
        <w:pageBreakBefore w:val="0"/>
        <w:widowControl/>
        <w:suppressLineNumbers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Chars="200" w:firstLine="420"/>
        <w:jc w:val="both"/>
        <w:textAlignment w:val="baseline"/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总用地面积：296公顷</w:t>
      </w:r>
    </w:p>
    <w:p>
      <w:pPr>
        <w:pStyle w:val="15"/>
        <w:keepNext w:val="0"/>
        <w:keepLines w:val="0"/>
        <w:pageBreakBefore w:val="0"/>
        <w:widowControl/>
        <w:suppressLineNumbers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Chars="200" w:firstLine="420"/>
        <w:jc w:val="both"/>
        <w:textAlignment w:val="baseline"/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城市建设用地：255.92公顷</w:t>
      </w:r>
    </w:p>
    <w:p>
      <w:pPr>
        <w:pStyle w:val="15"/>
        <w:keepNext w:val="0"/>
        <w:keepLines w:val="0"/>
        <w:pageBreakBefore w:val="0"/>
        <w:widowControl/>
        <w:suppressLineNumbers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Chars="200" w:firstLine="420"/>
        <w:jc w:val="both"/>
        <w:textAlignment w:val="baseline"/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规划总人口：6.75万人</w:t>
      </w:r>
    </w:p>
    <w:p>
      <w:pPr>
        <w:pStyle w:val="15"/>
        <w:keepNext w:val="0"/>
        <w:keepLines w:val="0"/>
        <w:pageBreakBefore w:val="0"/>
        <w:widowControl/>
        <w:suppressLineNumbers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Chars="200" w:firstLine="420"/>
        <w:jc w:val="both"/>
        <w:textAlignment w:val="baseline"/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建筑容量：436万平方米</w:t>
      </w:r>
    </w:p>
    <w:p>
      <w:pPr>
        <w:pStyle w:val="15"/>
        <w:keepNext w:val="0"/>
        <w:keepLines w:val="0"/>
        <w:pageBreakBefore w:val="0"/>
        <w:widowControl/>
        <w:suppressLineNumbers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Chars="200" w:firstLine="420"/>
        <w:jc w:val="both"/>
        <w:textAlignment w:val="baseline"/>
        <w:rPr>
          <w:rFonts w:ascii="仿宋" w:eastAsia="仿宋" w:cs="仿宋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综合容积率：1.70</w:t>
      </w:r>
    </w:p>
    <w:p>
      <w:pPr>
        <w:pStyle w:val="1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Chars="200" w:firstLine="420"/>
        <w:jc w:val="left"/>
        <w:textAlignment w:val="auto"/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基础设施配套按相关规范及技术管理规定执行</w:t>
      </w:r>
    </w:p>
    <w:p>
      <w:pPr>
        <w:pStyle w:val="1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Chars="200" w:firstLine="420"/>
        <w:jc w:val="both"/>
        <w:textAlignment w:val="baseline"/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上寨单元GS-10-01细则地块规划情况：</w:t>
      </w:r>
    </w:p>
    <w:p>
      <w:pPr>
        <w:pStyle w:val="15"/>
        <w:keepNext w:val="0"/>
        <w:keepLines w:val="0"/>
        <w:pageBreakBefore w:val="0"/>
        <w:widowControl/>
        <w:suppressLineNumbers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Chars="200" w:firstLine="420"/>
        <w:jc w:val="both"/>
        <w:textAlignment w:val="baseline"/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总用地面积：78.62公顷</w:t>
      </w:r>
    </w:p>
    <w:p>
      <w:pPr>
        <w:pStyle w:val="15"/>
        <w:keepNext w:val="0"/>
        <w:keepLines w:val="0"/>
        <w:pageBreakBefore w:val="0"/>
        <w:widowControl/>
        <w:suppressLineNumbers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Chars="200" w:firstLine="420"/>
        <w:jc w:val="both"/>
        <w:textAlignment w:val="baseline"/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城市建设用地面积：77.9公顷</w:t>
      </w:r>
    </w:p>
    <w:p>
      <w:pPr>
        <w:pStyle w:val="15"/>
        <w:keepNext w:val="0"/>
        <w:keepLines w:val="0"/>
        <w:pageBreakBefore w:val="0"/>
        <w:widowControl/>
        <w:suppressLineNumbers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Chars="200" w:firstLine="420"/>
        <w:jc w:val="both"/>
        <w:textAlignment w:val="baseline"/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建筑容量：226万平方米</w:t>
      </w:r>
    </w:p>
    <w:p>
      <w:pPr>
        <w:pStyle w:val="15"/>
        <w:keepNext w:val="0"/>
        <w:keepLines w:val="0"/>
        <w:pageBreakBefore w:val="0"/>
        <w:widowControl/>
        <w:suppressLineNumbers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Chars="200" w:firstLine="420"/>
        <w:jc w:val="both"/>
        <w:textAlignment w:val="baseline"/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规划人口：3.15万人</w:t>
      </w:r>
    </w:p>
    <w:p>
      <w:pPr>
        <w:pStyle w:val="15"/>
        <w:keepNext w:val="0"/>
        <w:keepLines w:val="0"/>
        <w:pageBreakBefore w:val="0"/>
        <w:widowControl/>
        <w:suppressLineNumbers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Chars="200" w:firstLine="420"/>
        <w:jc w:val="both"/>
        <w:textAlignment w:val="baseline"/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综合容积率：2.9</w:t>
      </w:r>
    </w:p>
    <w:p>
      <w:pPr>
        <w:pStyle w:val="1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Chars="200" w:firstLine="420"/>
        <w:jc w:val="left"/>
        <w:textAlignment w:val="auto"/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基础设施配套按相关规范及技术管理规定执行</w:t>
      </w:r>
    </w:p>
    <w:p>
      <w:pPr>
        <w:pStyle w:val="1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Chars="200" w:firstLine="420"/>
        <w:jc w:val="left"/>
        <w:textAlignment w:val="auto"/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上寨单元GS-10-01-09地块指标情况：</w:t>
      </w:r>
    </w:p>
    <w:p>
      <w:pPr>
        <w:pStyle w:val="1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200" w:left="420" w:right="0"/>
        <w:jc w:val="left"/>
        <w:textAlignment w:val="auto"/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用地面积：3.39公顷</w:t>
      </w:r>
    </w:p>
    <w:p>
      <w:pPr>
        <w:pStyle w:val="1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200" w:left="420" w:right="0"/>
        <w:jc w:val="left"/>
        <w:textAlignment w:val="auto"/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用地性质：居住用地</w:t>
      </w:r>
    </w:p>
    <w:p>
      <w:pPr>
        <w:pStyle w:val="1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200" w:left="420" w:right="0"/>
        <w:jc w:val="left"/>
        <w:textAlignment w:val="auto"/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容积率：2.5</w:t>
      </w:r>
    </w:p>
    <w:p>
      <w:pPr>
        <w:pStyle w:val="1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200" w:left="420" w:right="0"/>
        <w:jc w:val="left"/>
        <w:textAlignment w:val="auto"/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建筑密度：≤22%</w:t>
      </w:r>
    </w:p>
    <w:p>
      <w:pPr>
        <w:pStyle w:val="1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200" w:left="420" w:right="0"/>
        <w:jc w:val="left"/>
        <w:textAlignment w:val="auto"/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绿地率：≥35%</w:t>
      </w:r>
    </w:p>
    <w:p>
      <w:pPr>
        <w:pStyle w:val="1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200" w:left="420" w:right="0"/>
        <w:jc w:val="left"/>
        <w:textAlignment w:val="auto"/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建筑限高：满足显山露水、高低错落、疏密有致的要求，以审定方案为准</w:t>
      </w:r>
    </w:p>
    <w:p>
      <w:pPr>
        <w:pStyle w:val="1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200" w:left="420" w:right="0"/>
        <w:jc w:val="left"/>
        <w:textAlignment w:val="auto"/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兼容建筑：商业建筑比例3%</w:t>
      </w:r>
    </w:p>
    <w:p>
      <w:pPr>
        <w:pStyle w:val="1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200" w:left="420" w:right="0"/>
        <w:jc w:val="left"/>
        <w:textAlignment w:val="auto"/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</w:pP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备注：地块东侧0.26公顷贵遵路防护绿地纳入地块指标平衡,地块内控制7米宽弹性支路，对外开放，参与地块指标平衡。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textAlignment w:val="auto"/>
        <w:rPr>
          <w:rFonts w:ascii="仿宋" w:eastAsia="仿宋" w:cs="仿宋" w:hint="eastAsia"/>
          <w:lang w:eastAsia="zh-CN"/>
        </w:rPr>
      </w:pPr>
      <w:r>
        <w:rPr>
          <w:rFonts w:ascii="仿宋" w:eastAsia="仿宋" w:cs="仿宋" w:hint="eastAsia"/>
          <w:lang w:val="en-US" w:eastAsia="zh-CN"/>
        </w:rPr>
        <w:t>四</w:t>
      </w:r>
      <w:r>
        <w:rPr>
          <w:rFonts w:ascii="仿宋" w:eastAsia="仿宋" w:cs="仿宋" w:hint="eastAsia"/>
          <w:lang w:eastAsia="zh-CN"/>
        </w:rPr>
        <w:t>、本次公示规划内容附上寨</w:t>
      </w:r>
      <w:r>
        <w:rPr>
          <w:rFonts w:ascii="仿宋" w:eastAsia="仿宋" w:cs="仿宋" w:hint="eastAsia"/>
          <w:kern w:val="2"/>
          <w:sz w:val="21"/>
          <w:szCs w:val="24"/>
          <w:lang w:val="en-US" w:eastAsia="zh-CN" w:bidi="ar-SA"/>
        </w:rPr>
        <w:t>单元GS-10-01地块图则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  <w:r>
        <w:rPr>
          <w:rFonts w:ascii="仿宋" w:eastAsia="仿宋" w:cs="仿宋" w:hint="eastAsia"/>
          <w:lang w:eastAsia="zh-CN"/>
        </w:rPr>
        <w:t>公告时间：自公示之日起10 工作日。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  <w:r>
        <w:rPr>
          <w:rFonts w:ascii="仿宋" w:eastAsia="仿宋" w:cs="仿宋" w:hint="eastAsia"/>
          <w:lang w:eastAsia="zh-CN"/>
        </w:rPr>
        <w:t>联系人：李松林（0851-85829396）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  <w:r>
        <w:rPr>
          <w:rFonts w:ascii="仿宋" w:eastAsia="仿宋" w:cs="仿宋" w:hint="eastAsia"/>
          <w:lang w:eastAsia="zh-CN"/>
        </w:rPr>
        <w:t>传真：85829384（传真）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  <w:r>
        <w:rPr>
          <w:rFonts w:ascii="仿宋" w:eastAsia="仿宋" w:cs="仿宋" w:hint="eastAsia"/>
          <w:lang w:eastAsia="zh-CN"/>
        </w:rPr>
        <w:t>电子邮箱：</w:t>
      </w:r>
      <w:r>
        <w:rPr>
          <w:rStyle w:val="16"/>
          <w:rFonts w:ascii="仿宋" w:eastAsia="仿宋" w:cs="仿宋" w:hint="eastAsia"/>
          <w:lang w:eastAsia="zh-CN"/>
        </w:rPr>
        <w:fldChar w:fldCharType="begin"/>
      </w:r>
      <w:r>
        <w:instrText>HYPERLINK "mailto:251973814@qq.com"</w:instrText>
      </w:r>
      <w:r>
        <w:rPr>
          <w:rStyle w:val="16"/>
          <w:rFonts w:ascii="仿宋" w:eastAsia="仿宋" w:cs="仿宋" w:hint="eastAsia"/>
          <w:lang w:eastAsia="zh-CN"/>
        </w:rPr>
        <w:fldChar w:fldCharType="separate"/>
      </w:r>
      <w:r>
        <w:rPr>
          <w:rStyle w:val="16"/>
          <w:rFonts w:ascii="仿宋" w:eastAsia="仿宋" w:cs="仿宋" w:hint="eastAsia"/>
          <w:lang w:eastAsia="zh-CN"/>
        </w:rPr>
        <w:t>251973814@qq.com</w:t>
      </w:r>
      <w:r>
        <w:rPr>
          <w:rStyle w:val="16"/>
          <w:rFonts w:ascii="仿宋" w:eastAsia="仿宋" w:cs="仿宋" w:hint="eastAsia"/>
          <w:lang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  <w:r>
        <w:rPr>
          <w:rFonts w:eastAsia="宋体" w:hint="eastAsia"/>
          <w:lang w:eastAsia="zh-CN"/>
        </w:rPr>
        <w:drawing>
          <wp:anchor distT="0" distB="0" distL="114935" distR="114935" simplePos="0" relativeHeight="12" behindDoc="0" locked="0" layoutInCell="1" hidden="0" allowOverlap="1">
            <wp:simplePos x="0" y="0"/>
            <wp:positionH relativeFrom="column">
              <wp:posOffset>-631825</wp:posOffset>
            </wp:positionH>
            <wp:positionV relativeFrom="paragraph">
              <wp:posOffset>323850</wp:posOffset>
            </wp:positionV>
            <wp:extent cx="6644005" cy="4693285"/>
            <wp:effectExtent l="0" t="0" r="0" b="0"/>
            <wp:wrapTopAndBottom/>
            <wp:docPr id="1" name="图片 1" descr="F:\2021项目集\GS-10上寨单元导则细则\PSD\细则规划\图则\图则.jpg图则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1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44005" cy="469328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420"/>
        <w:jc w:val="right"/>
        <w:textAlignment w:val="auto"/>
        <w:rPr>
          <w:rFonts w:ascii="仿宋" w:eastAsia="仿宋" w:cs="仿宋" w:hint="eastAsia"/>
          <w:lang w:eastAsia="zh-CN"/>
        </w:rPr>
      </w:pPr>
    </w:p>
    <w:p>
      <w:pPr>
        <w:rPr>
          <w:rFonts w:eastAsia="宋体"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仿宋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2000019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mc="http://schemas.openxmlformats.org/markup-compatibility/2006" xmlns:w14="http://schemas.microsoft.com/office/word/2010/wordml">
  <w:abstractNum w:abstractNumId="0">
    <w:nsid w:val="12D2A093"/>
    <w:multiLevelType w:val="singleLevel"/>
    <w:tmpl w:val="12D2A093"/>
    <w:lvl w:ilvl="0">
      <w:start w:val="2"/>
      <w:numFmt w:val="chineseCounting"/>
      <w:lvlRestart w:val="0"/>
      <w:suff w:val="nothing"/>
      <w:lvlText w:val="%1、"/>
      <w:legacy w:legacy="1" w:legacySpace="0" w:legacyIndent="0"/>
      <w:lvlJc w:val="left"/>
      <w:pPr>
        <w:ind w:left="0" w:hanging="0"/>
      </w:pPr>
      <w:rPr>
        <w:rFonts w:hint="eastAsia"/>
      </w:rPr>
    </w:lvl>
  </w:abstractNum>
  <w:abstractNum w:abstractNumId="1">
    <w:nsid w:val="4C320F5C"/>
    <w:multiLevelType w:val="singleLevel"/>
    <w:tmpl w:val="4C320F5C"/>
    <w:lvl w:ilvl="0">
      <w:start w:val="2"/>
      <w:numFmt w:val="decimal"/>
      <w:lvlRestart w:val="0"/>
      <w:suff w:val="nothing"/>
      <w:lvlText w:val="%1、"/>
      <w:legacy w:legacy="1" w:legacySpace="0" w:legacyIndent="0"/>
      <w:lvlJc w:val="left"/>
      <w:pPr>
        <w:ind w:left="0" w:hanging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bordersDoNotSurroundHeader w:val="0"/>
  <w:bordersDoNotSurroundFooter w:val="0"/>
  <w:trackRevisions/>
  <w:documentProtection w:edit="readOnly" w:enforcement="0"/>
  <w:defaultTabStop w:val="420"/>
  <w:drawingGridHorizontalSpacing w:val="105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ulTrailSpace/>
    <w:doNotExpandShiftReturn/>
    <w:adjustLineHeightInTable/>
    <w:doNotUseIndentAsNumberingTabStop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Arial" w:hAnsi="Calibri"/>
      <w:kern w:val="2"/>
      <w:sz w:val="21"/>
      <w:szCs w:val="24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widowControl w:val="0"/>
      <w:spacing w:before="340" w:beforeAutospacing="0" w:after="330" w:afterAutospacing="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0"/>
    <w:next w:val="0"/>
    <w:pPr>
      <w:keepNext/>
      <w:keepLines/>
      <w:widowControl w:val="0"/>
      <w:spacing w:before="260" w:beforeAutospacing="0" w:after="260" w:afterAutospacing="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0"/>
    <w:next w:val="0"/>
    <w:pPr>
      <w:keepNext/>
      <w:keepLines/>
      <w:widowControl w:val="0"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styleId="15">
    <w:name w:val="Normal (Web)"/>
    <w:basedOn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character" w:styleId="16">
    <w:name w:val="Hyperlink"/>
    <w:basedOn w:val="10"/>
    <w:rPr>
      <w:color w:val="0000FF"/>
      <w:u w:val="single"/>
    </w:rPr>
  </w:style>
  <w:style w:type="paragraph" w:styleId="17">
    <w:name w:val="toc 1"/>
    <w:basedOn w:val="0"/>
    <w:autoRedefine/>
    <w:next w:val="0"/>
  </w:style>
  <w:style w:type="paragraph" w:styleId="18">
    <w:name w:val="toc 2"/>
    <w:basedOn w:val="0"/>
    <w:autoRedefine/>
    <w:next w:val="0"/>
    <w:pPr>
      <w:ind w:left="420"/>
    </w:pPr>
  </w:style>
  <w:style w:type="paragraph" w:styleId="19">
    <w:name w:val="toc 3"/>
    <w:basedOn w:val="0"/>
    <w:autoRedefine/>
    <w:next w:val="0"/>
    <w:pPr>
      <w:ind w:left="840"/>
    </w:pPr>
  </w:style>
  <w:style w:type="paragraph" w:styleId="20">
    <w:name w:val="toc 4"/>
    <w:basedOn w:val="0"/>
    <w:autoRedefine/>
    <w:next w:val="0"/>
    <w:pPr>
      <w:ind w:left="1260"/>
    </w:pPr>
  </w:style>
  <w:style w:type="paragraph" w:styleId="21">
    <w:name w:val="toc 5"/>
    <w:basedOn w:val="0"/>
    <w:autoRedefine/>
    <w:next w:val="0"/>
    <w:pPr>
      <w:ind w:left="1680"/>
    </w:pPr>
  </w:style>
  <w:style w:type="paragraph" w:styleId="22">
    <w:name w:val="header"/>
    <w:basedOn w:val="0"/>
    <w:pPr>
      <w:pBdr>
        <w:bottom w:val="single" w:sz="6" w:space="1" w:color="auto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paragraph" w:styleId="23">
    <w:name w:val="footer"/>
    <w:basedOn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eg"/><Relationship Id="rId3" Type="http://schemas.openxmlformats.org/officeDocument/2006/relationships/styles" Target="styles.xml"/><Relationship Id="rId4" Type="http://schemas.openxmlformats.org/officeDocument/2006/relationships/numbering" Target="numbering.xml"/><Relationship Id="rId5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1</TotalTime>
  <Application>Yozo_Office27021597764231179</Application>
  <Pages>3</Pages>
  <Words>1213</Words>
  <Characters>1418</Characters>
  <Lines>89</Lines>
  <Paragraphs>41</Paragraphs>
  <CharactersWithSpaces>1425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追赶</dc:creator>
  <cp:lastModifiedBy>root</cp:lastModifiedBy>
  <cp:revision>1</cp:revision>
  <dcterms:created xsi:type="dcterms:W3CDTF">2021-06-01T05:49:00Z</dcterms:created>
  <dcterms:modified xsi:type="dcterms:W3CDTF">2022-07-05T06:21:30Z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2052-11.1.0.11435</vt:lpwstr>
  </property>
  <property fmtid="{D5CDD505-2E9C-101B-9397-08002B2CF9AE}" pid="3" name="ICV">
    <vt:lpwstr>87066878A67F4DEABFDCB152A4FBC456</vt:lpwstr>
  </property>
</Properties>
</file>