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widowControl/>
        <w:spacing w:before="570" w:after="225"/>
        <w:jc w:val="center"/>
        <w:outlineLvl w:val="0"/>
        <w:rPr>
          <w:rFonts w:ascii="微软雅黑" w:eastAsia="微软雅黑" w:cs="宋体"/>
          <w:b/>
          <w:bCs/>
          <w:color w:val="2D66A5"/>
          <w:kern w:val="36"/>
          <w:sz w:val="44"/>
          <w:szCs w:val="44"/>
        </w:rPr>
      </w:pPr>
      <w:bookmarkStart w:id="0" w:name="_GoBack"/>
      <w:bookmarkEnd w:id="0"/>
      <w:r>
        <w:rPr>
          <w:rFonts w:ascii="微软雅黑" w:eastAsia="微软雅黑" w:cs="宋体" w:hint="eastAsia"/>
          <w:b/>
          <w:bCs/>
          <w:color w:val="2D66A5"/>
          <w:kern w:val="36"/>
          <w:sz w:val="44"/>
          <w:szCs w:val="44"/>
        </w:rPr>
        <w:t>贵阳市自然资源和规划局关于贵阳市中心城区观山组团大关单元GS-14-01地块控制性详细规划细则</w:t>
      </w:r>
      <w:r>
        <w:rPr>
          <w:rFonts w:ascii="微软雅黑" w:eastAsia="微软雅黑" w:cs="宋体" w:hint="eastAsia"/>
          <w:b/>
          <w:bCs/>
          <w:color w:val="2D66A5"/>
          <w:kern w:val="36"/>
          <w:sz w:val="44"/>
          <w:szCs w:val="44"/>
          <w:lang w:eastAsia="zh-CN"/>
        </w:rPr>
        <w:t>优化调整</w:t>
      </w:r>
      <w:r>
        <w:rPr>
          <w:rFonts w:ascii="微软雅黑" w:eastAsia="微软雅黑" w:cs="宋体" w:hint="eastAsia"/>
          <w:b/>
          <w:bCs/>
          <w:color w:val="2D66A5"/>
          <w:kern w:val="36"/>
          <w:sz w:val="44"/>
          <w:szCs w:val="44"/>
        </w:rPr>
        <w:t>规划方案的公示</w:t>
      </w:r>
    </w:p>
    <w:p>
      <w:pPr>
        <w:widowControl/>
        <w:shd w:val="clear" w:color="auto" w:fill="FFFFFF"/>
        <w:wordWrap w:val="0"/>
        <w:spacing w:line="480" w:lineRule="atLeast"/>
        <w:ind w:firstLine="480"/>
        <w:jc w:val="left"/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依据《贵阳市城市总体规划（2011-2020年）》（2017年修订）、《贵阳市中心城区控制性详细规划（总则）——观山组团》等上位规划，观山湖区人民政府组织编制完成贵阳市中心城区观山组团大关单元GS-14-01地块控制性详细规划细则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优化调整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方案并报我局审查，根据《中华人民共和国城乡规划法》、《贵阳市控制性详细规划管理办法》等相关法律法规和规章要求，现将规划方案主要内容予以公告，广泛征求社会意见。</w:t>
      </w:r>
    </w:p>
    <w:p>
      <w:pPr>
        <w:widowControl/>
        <w:shd w:val="clear" w:color="auto" w:fill="FFFFFF"/>
        <w:wordWrap w:val="0"/>
        <w:spacing w:line="480" w:lineRule="atLeast"/>
        <w:ind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公告时间：自公告之日起10个工作日。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联 系 人：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李松林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（0851-85829396）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谢志林：（0851-85212084）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传    真：85829384（传真）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电子邮箱：1271611386@qq.com</w:t>
      </w:r>
    </w:p>
    <w:p>
      <w:pPr>
        <w:snapToGrid w:val="0"/>
        <w:spacing w:line="360" w:lineRule="auto"/>
        <w:contextualSpacing/>
        <w:rPr>
          <w:rFonts w:ascii="宋体" w:eastAsia="宋体" w:cs="Times New Roman"/>
          <w:b/>
          <w:bCs/>
          <w:sz w:val="28"/>
          <w:szCs w:val="28"/>
        </w:rPr>
      </w:pPr>
    </w:p>
    <w:p>
      <w:pPr>
        <w:snapToGrid w:val="0"/>
        <w:spacing w:line="360" w:lineRule="auto"/>
        <w:contextualSpacing/>
        <w:rPr>
          <w:rFonts w:ascii="宋体" w:eastAsia="宋体" w:cs="Times New Roman"/>
          <w:b/>
          <w:bCs/>
          <w:sz w:val="28"/>
          <w:szCs w:val="28"/>
        </w:rPr>
      </w:pPr>
    </w:p>
    <w:p>
      <w:pPr>
        <w:snapToGrid w:val="0"/>
        <w:spacing w:line="360" w:lineRule="auto"/>
        <w:contextualSpacing/>
        <w:jc w:val="right"/>
        <w:rPr>
          <w:rFonts w:ascii="宋体" w:eastAsia="宋体" w:cs="Times New Roman" w:hint="eastAsia"/>
          <w:b/>
          <w:bCs/>
          <w:sz w:val="28"/>
          <w:szCs w:val="28"/>
        </w:rPr>
      </w:pPr>
      <w:r>
        <w:rPr>
          <w:rFonts w:ascii="宋体" w:eastAsia="宋体" w:cs="Times New Roman" w:hint="eastAsia"/>
          <w:b/>
          <w:bCs/>
          <w:sz w:val="28"/>
          <w:szCs w:val="28"/>
        </w:rPr>
        <w:t>贵阳市自然资源和规划局</w:t>
      </w:r>
    </w:p>
    <w:p>
      <w:pPr>
        <w:snapToGrid w:val="0"/>
        <w:spacing w:line="360" w:lineRule="auto"/>
        <w:contextualSpacing/>
        <w:jc w:val="right"/>
        <w:rPr>
          <w:rFonts w:ascii="宋体" w:eastAsia="宋体" w:cs="Times New Roman"/>
          <w:b/>
          <w:bCs/>
          <w:sz w:val="28"/>
          <w:szCs w:val="28"/>
        </w:rPr>
      </w:pPr>
      <w:r>
        <w:rPr>
          <w:rFonts w:ascii="宋体" w:eastAsia="宋体" w:cs="Times New Roman"/>
          <w:b/>
          <w:bCs/>
          <w:sz w:val="28"/>
          <w:szCs w:val="28"/>
        </w:rPr>
        <w:t>202</w:t>
      </w:r>
      <w:r>
        <w:rPr>
          <w:rFonts w:ascii="宋体" w:eastAsia="宋体" w:cs="Times New Roman" w:hint="eastAsia"/>
          <w:b/>
          <w:bCs/>
          <w:sz w:val="28"/>
          <w:szCs w:val="28"/>
          <w:lang w:val="en-US" w:eastAsia="zh-CN"/>
        </w:rPr>
        <w:t>2</w:t>
      </w:r>
      <w:r>
        <w:rPr>
          <w:rFonts w:ascii="宋体" w:eastAsia="宋体" w:cs="Times New Roman"/>
          <w:b/>
          <w:bCs/>
          <w:sz w:val="28"/>
          <w:szCs w:val="28"/>
        </w:rPr>
        <w:t>年</w:t>
      </w:r>
      <w:r>
        <w:rPr>
          <w:rFonts w:ascii="宋体" w:eastAsia="宋体" w:cs="Times New Roman" w:hint="eastAsia"/>
          <w:b/>
          <w:bCs/>
          <w:sz w:val="28"/>
          <w:szCs w:val="28"/>
          <w:lang w:val="en-US" w:eastAsia="zh-CN"/>
        </w:rPr>
        <w:t>7</w:t>
      </w:r>
      <w:r>
        <w:rPr>
          <w:rFonts w:ascii="宋体" w:eastAsia="宋体" w:cs="Times New Roman"/>
          <w:b/>
          <w:bCs/>
          <w:sz w:val="28"/>
          <w:szCs w:val="28"/>
        </w:rPr>
        <w:t>月</w:t>
      </w:r>
      <w:r>
        <w:rPr>
          <w:rFonts w:ascii="宋体" w:eastAsia="宋体" w:cs="Times New Roman" w:hint="eastAsia"/>
          <w:b/>
          <w:bCs/>
          <w:sz w:val="28"/>
          <w:szCs w:val="28"/>
          <w:lang w:val="en-US" w:eastAsia="zh-CN"/>
        </w:rPr>
        <w:t>20</w:t>
      </w:r>
      <w:r>
        <w:rPr>
          <w:rFonts w:ascii="宋体" w:eastAsia="宋体" w:cs="Times New Roman"/>
          <w:b/>
          <w:bCs/>
          <w:sz w:val="28"/>
          <w:szCs w:val="28"/>
        </w:rPr>
        <w:t>日</w:t>
      </w:r>
    </w:p>
    <w:p>
      <w:pPr>
        <w:snapToGrid w:val="0"/>
        <w:spacing w:line="360" w:lineRule="auto"/>
        <w:contextualSpacing/>
        <w:rPr>
          <w:rFonts w:ascii="宋体" w:eastAsia="宋体" w:cs="Times New Roman"/>
          <w:b/>
          <w:bCs/>
          <w:sz w:val="28"/>
          <w:szCs w:val="28"/>
        </w:rPr>
      </w:pPr>
    </w:p>
    <w:p>
      <w:pPr>
        <w:snapToGrid w:val="0"/>
        <w:spacing w:line="360" w:lineRule="auto"/>
        <w:ind w:firstLineChars="200" w:firstLine="480"/>
        <w:contextualSpacing/>
        <w:jc w:val="center"/>
        <w:rPr>
          <w:rFonts w:ascii="宋体"/>
          <w:sz w:val="24"/>
          <w:szCs w:val="24"/>
        </w:rPr>
      </w:pP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  <w:r>
        <w:rPr>
          <w:rFonts w:ascii="宋体" w:hint="eastAsia"/>
          <w:b/>
          <w:bCs/>
          <w:sz w:val="24"/>
          <w:szCs w:val="24"/>
        </w:rPr>
        <w:t>第一条 土地使用规划</w:t>
      </w:r>
    </w:p>
    <w:p>
      <w:pPr>
        <w:snapToGrid w:val="0"/>
        <w:spacing w:line="360" w:lineRule="auto"/>
        <w:ind w:firstLineChars="200" w:firstLine="480"/>
        <w:contextualSpacing/>
        <w:rPr>
          <w:rFonts w:ascii="宋体" w:hint="eastAsia"/>
          <w:b/>
          <w:bCs/>
          <w:sz w:val="24"/>
          <w:szCs w:val="24"/>
        </w:rPr>
      </w:pPr>
      <w:r>
        <w:rPr>
          <w:rFonts w:ascii="宋体" w:hint="eastAsia"/>
          <w:sz w:val="24"/>
          <w:szCs w:val="24"/>
        </w:rPr>
        <w:t>GS</w:t>
      </w:r>
      <w:r>
        <w:rPr>
          <w:rFonts w:ascii="宋体"/>
          <w:sz w:val="24"/>
          <w:szCs w:val="24"/>
        </w:rPr>
        <w:t>-</w:t>
      </w:r>
      <w:r>
        <w:rPr>
          <w:rFonts w:ascii="宋体" w:hint="eastAsia"/>
          <w:sz w:val="24"/>
          <w:szCs w:val="24"/>
        </w:rPr>
        <w:t>14</w:t>
      </w:r>
      <w:r>
        <w:rPr>
          <w:rFonts w:ascii="宋体"/>
          <w:sz w:val="24"/>
          <w:szCs w:val="24"/>
        </w:rPr>
        <w:t>-0</w:t>
      </w:r>
      <w:r>
        <w:rPr>
          <w:rFonts w:ascii="宋体" w:hint="eastAsia"/>
          <w:sz w:val="24"/>
          <w:szCs w:val="24"/>
        </w:rPr>
        <w:t>1地块东至规划五路，南至林城东路，西至西二环，北至北二环，地块总用地面积90.67公顷。总用地面积90.67公顷，其中城市建设用地90.67公顷。</w:t>
      </w: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  <w:r>
        <w:rPr>
          <w:rFonts w:ascii="宋体" w:hint="eastAsia"/>
          <w:b/>
          <w:bCs/>
          <w:sz w:val="24"/>
          <w:szCs w:val="24"/>
        </w:rPr>
        <w:t>第二条 开发强度</w:t>
      </w:r>
    </w:p>
    <w:p>
      <w:pPr>
        <w:snapToGrid w:val="0"/>
        <w:spacing w:line="360" w:lineRule="auto"/>
        <w:ind w:firstLineChars="200" w:firstLine="480"/>
        <w:contextualSpacing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GS</w:t>
      </w:r>
      <w:r>
        <w:rPr>
          <w:rFonts w:ascii="宋体"/>
          <w:sz w:val="24"/>
          <w:szCs w:val="24"/>
        </w:rPr>
        <w:t>-</w:t>
      </w:r>
      <w:r>
        <w:rPr>
          <w:rFonts w:ascii="宋体" w:hint="eastAsia"/>
          <w:sz w:val="24"/>
          <w:szCs w:val="24"/>
        </w:rPr>
        <w:t>14</w:t>
      </w:r>
      <w:r>
        <w:rPr>
          <w:rFonts w:ascii="宋体"/>
          <w:sz w:val="24"/>
          <w:szCs w:val="24"/>
        </w:rPr>
        <w:t>-0</w:t>
      </w:r>
      <w:r>
        <w:rPr>
          <w:rFonts w:ascii="宋体" w:hint="eastAsia"/>
          <w:sz w:val="24"/>
          <w:szCs w:val="24"/>
        </w:rPr>
        <w:t>1地块总建筑量14</w:t>
      </w:r>
      <w:r>
        <w:rPr>
          <w:rFonts w:ascii="宋体" w:hint="eastAsia"/>
          <w:sz w:val="24"/>
          <w:szCs w:val="24"/>
          <w:lang w:val="en-US" w:eastAsia="zh-CN"/>
        </w:rPr>
        <w:t>3.4</w:t>
      </w:r>
      <w:r>
        <w:rPr>
          <w:rFonts w:ascii="宋体" w:hint="eastAsia"/>
          <w:sz w:val="24"/>
          <w:szCs w:val="24"/>
        </w:rPr>
        <w:t>万平方米，居住人口</w:t>
      </w:r>
      <w:r>
        <w:rPr>
          <w:rFonts w:ascii="宋体" w:hint="eastAsia"/>
          <w:sz w:val="24"/>
          <w:szCs w:val="24"/>
          <w:lang w:val="en-US" w:eastAsia="zh-CN"/>
        </w:rPr>
        <w:t>2.93</w:t>
      </w:r>
      <w:r>
        <w:rPr>
          <w:rFonts w:ascii="宋体" w:hint="eastAsia"/>
          <w:sz w:val="24"/>
          <w:szCs w:val="24"/>
        </w:rPr>
        <w:t>万人，综合</w:t>
      </w:r>
      <w:r>
        <w:rPr>
          <w:rFonts w:ascii="宋体"/>
          <w:sz w:val="24"/>
          <w:szCs w:val="24"/>
        </w:rPr>
        <w:t>容积率</w:t>
      </w:r>
      <w:r>
        <w:rPr>
          <w:rFonts w:ascii="宋体" w:hint="eastAsia"/>
          <w:sz w:val="24"/>
          <w:szCs w:val="24"/>
        </w:rPr>
        <w:t>1.</w:t>
      </w:r>
      <w:r>
        <w:rPr>
          <w:rFonts w:ascii="宋体" w:hint="eastAsia"/>
          <w:sz w:val="24"/>
          <w:szCs w:val="24"/>
          <w:lang w:val="en-US" w:eastAsia="zh-CN"/>
        </w:rPr>
        <w:t>58</w:t>
      </w:r>
      <w:r>
        <w:rPr>
          <w:rFonts w:ascii="宋体" w:hint="eastAsia"/>
          <w:sz w:val="24"/>
          <w:szCs w:val="24"/>
        </w:rPr>
        <w:t>。</w:t>
      </w:r>
    </w:p>
    <w:p>
      <w:pPr>
        <w:snapToGrid w:val="0"/>
        <w:spacing w:line="360" w:lineRule="auto"/>
        <w:contextualSpacing/>
        <w:jc w:val="center"/>
        <w:rPr>
          <w:rFonts w:ascii="宋体" w:hint="eastAsia"/>
          <w:b/>
          <w:bCs/>
          <w:sz w:val="24"/>
          <w:szCs w:val="24"/>
        </w:rPr>
      </w:pPr>
      <w:r>
        <w:rPr>
          <w:sz w:val="24"/>
        </w:rPr>
        <w:drawing>
          <wp:anchor distT="0" distB="0" distL="114300" distR="114300" simplePos="0" relativeHeight="21" behindDoc="0" locked="0" layoutInCell="1" hidden="0" allowOverlap="1">
            <wp:simplePos x="0" y="0"/>
            <wp:positionH relativeFrom="column">
              <wp:posOffset>151765</wp:posOffset>
            </wp:positionH>
            <wp:positionV relativeFrom="paragraph">
              <wp:posOffset>3374389</wp:posOffset>
            </wp:positionV>
            <wp:extent cx="830580" cy="2067560"/>
            <wp:effectExtent l="0" t="0" r="0" b="0"/>
            <wp:wrapTopAndBottom/>
            <wp:docPr id="1" name="图片 2" descr="C:\Users\Administrator\Desktop\图例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2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580" cy="206756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19" behindDoc="0" locked="0" layoutInCell="1" hidden="0" allowOverlap="1">
            <wp:simplePos x="0" y="0"/>
            <wp:positionH relativeFrom="column">
              <wp:posOffset>184150</wp:posOffset>
            </wp:positionH>
            <wp:positionV relativeFrom="paragraph">
              <wp:posOffset>184785</wp:posOffset>
            </wp:positionV>
            <wp:extent cx="5110480" cy="5272404"/>
            <wp:effectExtent l="0" t="0" r="0" b="0"/>
            <wp:wrapSquare wrapText="bothSides"/>
            <wp:docPr id="4" name="图片 1" descr="分析底图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1 6"/>
                    <pic:cNvPicPr/>
                  </pic:nvPicPr>
                  <pic:blipFill>
                    <a:blip r:embed="rId3"/>
                    <a:srcRect t="20343" b="8867" l="1026" r="18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0480" cy="527240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int="eastAsia"/>
          <w:b/>
          <w:bCs/>
          <w:sz w:val="24"/>
          <w:szCs w:val="24"/>
        </w:rPr>
      </w:pPr>
      <w:r>
        <w:rPr>
          <w:rFonts w:ascii="宋体" w:hint="eastAsia"/>
          <w:b/>
          <w:bCs/>
          <w:sz w:val="24"/>
          <w:szCs w:val="24"/>
        </w:rPr>
        <w:br w:type="page"/>
      </w:r>
    </w:p>
    <w:p>
      <w:pPr>
        <w:numPr>
          <w:ilvl w:val="0"/>
          <w:numId w:val="1"/>
        </w:numPr>
        <w:spacing w:line="360" w:lineRule="auto"/>
        <w:rPr>
          <w:rFonts w:ascii="宋体" w:hint="eastAsia"/>
          <w:b/>
          <w:bCs/>
          <w:sz w:val="24"/>
          <w:szCs w:val="24"/>
          <w:lang w:val="en-US" w:eastAsia="zh-CN"/>
        </w:rPr>
      </w:pPr>
      <w:r>
        <w:rPr>
          <w:rFonts w:ascii="宋体" w:hint="eastAsia"/>
          <w:b/>
          <w:bCs/>
          <w:sz w:val="24"/>
          <w:szCs w:val="24"/>
          <w:lang w:val="en-US" w:eastAsia="zh-CN"/>
        </w:rPr>
        <w:t>规划重要设施</w:t>
      </w:r>
    </w:p>
    <w:p>
      <w:pPr>
        <w:spacing w:line="360" w:lineRule="auto"/>
        <w:rPr>
          <w:rFonts w:ascii="宋体" w:hint="eastAsia"/>
          <w:b w:val="0"/>
          <w:bCs w:val="0"/>
          <w:sz w:val="24"/>
          <w:szCs w:val="24"/>
          <w:lang w:eastAsia="zh-CN"/>
        </w:rPr>
      </w:pPr>
      <w:r>
        <w:rPr>
          <w:rFonts w:ascii="宋体" w:hint="eastAsia"/>
          <w:b/>
          <w:bCs/>
          <w:sz w:val="24"/>
          <w:szCs w:val="24"/>
          <w:lang w:eastAsia="zh-CN"/>
        </w:rPr>
        <w:t>行政办公设施：</w:t>
      </w:r>
      <w:r>
        <w:rPr>
          <w:rFonts w:ascii="宋体" w:hint="eastAsia"/>
          <w:b w:val="0"/>
          <w:bCs w:val="0"/>
          <w:sz w:val="24"/>
          <w:szCs w:val="24"/>
          <w:lang w:eastAsia="zh-CN"/>
        </w:rPr>
        <w:t>金岭社区服务中心2、金岭社区派出所2。</w:t>
      </w:r>
    </w:p>
    <w:p>
      <w:pPr>
        <w:spacing w:line="360" w:lineRule="auto"/>
        <w:rPr>
          <w:rFonts w:ascii="宋体" w:hint="eastAsia"/>
          <w:b w:val="0"/>
          <w:bCs w:val="0"/>
          <w:sz w:val="24"/>
          <w:szCs w:val="24"/>
          <w:lang w:eastAsia="zh-CN"/>
        </w:rPr>
      </w:pPr>
      <w:r>
        <w:rPr>
          <w:rFonts w:ascii="宋体" w:hint="eastAsia"/>
          <w:b/>
          <w:bCs/>
          <w:sz w:val="24"/>
          <w:szCs w:val="24"/>
          <w:lang w:eastAsia="zh-CN"/>
        </w:rPr>
        <w:t>文化设施：</w:t>
      </w:r>
      <w:r>
        <w:rPr>
          <w:rFonts w:ascii="宋体" w:hint="eastAsia"/>
          <w:b w:val="0"/>
          <w:bCs w:val="0"/>
          <w:sz w:val="24"/>
          <w:szCs w:val="24"/>
          <w:lang w:eastAsia="zh-CN"/>
        </w:rPr>
        <w:t>岭社区文化活动中心3(含青少年活动中心、老年活动中心）、居委会、文化活动站（2处）。</w:t>
      </w:r>
    </w:p>
    <w:p>
      <w:pPr>
        <w:spacing w:line="360" w:lineRule="auto"/>
        <w:rPr>
          <w:rFonts w:ascii="宋体" w:hint="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int="eastAsia"/>
          <w:b/>
          <w:bCs/>
          <w:sz w:val="24"/>
          <w:szCs w:val="24"/>
          <w:lang w:eastAsia="zh-CN"/>
        </w:rPr>
        <w:t>教育设施</w:t>
      </w:r>
      <w:r>
        <w:rPr>
          <w:rFonts w:ascii="宋体" w:hint="eastAsia"/>
          <w:b/>
          <w:bCs/>
          <w:sz w:val="24"/>
          <w:szCs w:val="24"/>
          <w:lang w:val="en-US" w:eastAsia="zh-CN"/>
        </w:rPr>
        <w:t>:</w:t>
      </w:r>
      <w:r>
        <w:rPr>
          <w:rFonts w:ascii="宋体" w:hint="eastAsia"/>
          <w:b w:val="0"/>
          <w:bCs w:val="0"/>
          <w:sz w:val="24"/>
          <w:szCs w:val="24"/>
          <w:lang w:val="en-US" w:eastAsia="zh-CN"/>
        </w:rPr>
        <w:t>18班小学1所，30班小学1所，30班初中1所，幼儿共4所。</w:t>
      </w:r>
    </w:p>
    <w:p>
      <w:pPr>
        <w:spacing w:line="360" w:lineRule="auto"/>
        <w:rPr>
          <w:rFonts w:ascii="宋体" w:hint="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int="eastAsia"/>
          <w:b/>
          <w:bCs/>
          <w:sz w:val="24"/>
          <w:szCs w:val="24"/>
          <w:lang w:val="en-US" w:eastAsia="zh-CN"/>
        </w:rPr>
        <w:t>体育设施：</w:t>
      </w:r>
      <w:r>
        <w:rPr>
          <w:rFonts w:ascii="宋体" w:hint="eastAsia"/>
          <w:b w:val="0"/>
          <w:bCs w:val="0"/>
          <w:sz w:val="24"/>
          <w:szCs w:val="24"/>
          <w:lang w:val="en-US" w:eastAsia="zh-CN"/>
        </w:rPr>
        <w:t>金岭社区中型多功能运动场地3、4（1处），小型多功能运动场地（2处）。</w:t>
      </w:r>
    </w:p>
    <w:p>
      <w:pPr>
        <w:spacing w:line="360" w:lineRule="auto"/>
        <w:rPr>
          <w:rFonts w:ascii="宋体" w:hint="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int="eastAsia"/>
          <w:b/>
          <w:bCs/>
          <w:sz w:val="24"/>
          <w:szCs w:val="24"/>
          <w:lang w:val="en-US" w:eastAsia="zh-CN"/>
        </w:rPr>
        <w:t>医疗卫生设施：</w:t>
      </w:r>
      <w:r>
        <w:rPr>
          <w:rFonts w:ascii="宋体" w:hint="eastAsia"/>
          <w:b w:val="0"/>
          <w:bCs w:val="0"/>
          <w:sz w:val="24"/>
          <w:szCs w:val="24"/>
          <w:lang w:val="en-US" w:eastAsia="zh-CN"/>
        </w:rPr>
        <w:t>金岭社区卫生服务中心2（含门诊所）、卫生服务站（2处）。</w:t>
      </w:r>
    </w:p>
    <w:p>
      <w:pPr>
        <w:spacing w:line="360" w:lineRule="auto"/>
        <w:rPr>
          <w:rFonts w:ascii="宋体" w:hint="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int="eastAsia"/>
          <w:b/>
          <w:bCs/>
          <w:sz w:val="24"/>
          <w:szCs w:val="24"/>
          <w:lang w:val="en-US" w:eastAsia="zh-CN"/>
        </w:rPr>
        <w:t>社会福利设施：</w:t>
      </w:r>
      <w:r>
        <w:rPr>
          <w:rFonts w:ascii="宋体" w:hint="eastAsia"/>
          <w:b w:val="0"/>
          <w:bCs w:val="0"/>
          <w:sz w:val="24"/>
          <w:szCs w:val="24"/>
          <w:lang w:val="en-US" w:eastAsia="zh-CN"/>
        </w:rPr>
        <w:t>金岭社区养老院3（含老年养护院）（1处）,老年人日间照料中心、托老所（2处）。</w:t>
      </w:r>
    </w:p>
    <w:p>
      <w:pPr>
        <w:spacing w:line="360" w:lineRule="auto"/>
        <w:rPr>
          <w:rFonts w:ascii="宋体" w:hint="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int="eastAsia"/>
          <w:b/>
          <w:bCs/>
          <w:sz w:val="24"/>
          <w:szCs w:val="24"/>
          <w:lang w:val="en-US" w:eastAsia="zh-CN"/>
        </w:rPr>
        <w:t>其他服务设施：</w:t>
      </w:r>
      <w:r>
        <w:rPr>
          <w:rFonts w:ascii="宋体" w:hint="eastAsia"/>
          <w:b w:val="0"/>
          <w:bCs w:val="0"/>
          <w:sz w:val="24"/>
          <w:szCs w:val="24"/>
          <w:lang w:val="en-US" w:eastAsia="zh-CN"/>
        </w:rPr>
        <w:t>金岭社区生鲜超市3（1处）,金岭社区邮政及电信营业场所3,4（2处）,生鲜超市（2处）。</w:t>
      </w:r>
    </w:p>
    <w:p>
      <w:pPr>
        <w:spacing w:line="360" w:lineRule="auto"/>
        <w:rPr>
          <w:rFonts w:ascii="宋体" w:hint="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int="eastAsia"/>
          <w:b/>
          <w:bCs/>
          <w:sz w:val="24"/>
          <w:szCs w:val="24"/>
          <w:lang w:val="en-US" w:eastAsia="zh-CN"/>
        </w:rPr>
        <w:t>交通设施：</w:t>
      </w:r>
      <w:r>
        <w:rPr>
          <w:rFonts w:ascii="宋体" w:hint="eastAsia"/>
          <w:b w:val="0"/>
          <w:bCs w:val="0"/>
          <w:sz w:val="24"/>
          <w:szCs w:val="24"/>
          <w:lang w:val="en-US" w:eastAsia="zh-CN"/>
        </w:rPr>
        <w:t>公共停车场4处，大关公交首末站1处，共享单车停放点6处。</w:t>
      </w:r>
    </w:p>
    <w:p>
      <w:pPr>
        <w:spacing w:line="360" w:lineRule="auto"/>
        <w:rPr>
          <w:rFonts w:ascii="宋体" w:hint="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int="eastAsia"/>
          <w:b/>
          <w:bCs/>
          <w:sz w:val="24"/>
          <w:szCs w:val="24"/>
          <w:lang w:val="en-US" w:eastAsia="zh-CN"/>
        </w:rPr>
        <w:t>市政公用设施:</w:t>
      </w:r>
      <w:r>
        <w:rPr>
          <w:rFonts w:ascii="宋体" w:hint="eastAsia"/>
          <w:b w:val="0"/>
          <w:bCs w:val="0"/>
          <w:sz w:val="24"/>
          <w:szCs w:val="24"/>
          <w:lang w:val="en-US" w:eastAsia="zh-CN"/>
        </w:rPr>
        <w:t>蓄水池1处,110KV林城变,开闭所1处,燃气调压站2处,中水处理站1处,邮政端局/汇聚机房1处，微波站（5G站，11处），生活垃圾分拣收集点4处，再生资源回收点4处，公共厕所3处。</w:t>
      </w:r>
    </w:p>
    <w:p>
      <w:pPr>
        <w:spacing w:line="360" w:lineRule="auto"/>
        <w:rPr>
          <w:rFonts w:ascii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ascii="宋体" w:hint="eastAsia"/>
          <w:b/>
          <w:bCs/>
          <w:sz w:val="24"/>
          <w:szCs w:val="24"/>
        </w:rPr>
      </w:pPr>
      <w:r>
        <w:rPr>
          <w:rFonts w:ascii="宋体" w:hint="eastAsia"/>
          <w:b/>
          <w:bCs/>
          <w:sz w:val="24"/>
          <w:szCs w:val="24"/>
        </w:rPr>
        <w:br w:type="page"/>
      </w:r>
    </w:p>
    <w:p>
      <w:pPr>
        <w:snapToGrid w:val="0"/>
        <w:spacing w:line="360" w:lineRule="auto"/>
        <w:contextualSpacing/>
        <w:rPr>
          <w:rFonts w:ascii="宋体"/>
          <w:b/>
          <w:bCs/>
          <w:sz w:val="24"/>
          <w:szCs w:val="24"/>
        </w:rPr>
      </w:pPr>
      <w:r>
        <w:rPr>
          <w:rFonts w:ascii="宋体" w:hint="eastAsia"/>
          <w:b/>
          <w:bCs/>
          <w:sz w:val="24"/>
          <w:szCs w:val="24"/>
        </w:rPr>
        <w:t>第</w:t>
      </w:r>
      <w:r>
        <w:rPr>
          <w:rFonts w:ascii="宋体" w:hint="eastAsia"/>
          <w:b/>
          <w:bCs/>
          <w:sz w:val="24"/>
          <w:szCs w:val="24"/>
          <w:lang w:eastAsia="zh-CN"/>
        </w:rPr>
        <w:t>四</w:t>
      </w:r>
      <w:r>
        <w:rPr>
          <w:rFonts w:ascii="宋体" w:hint="eastAsia"/>
          <w:b/>
          <w:bCs/>
          <w:sz w:val="24"/>
          <w:szCs w:val="24"/>
        </w:rPr>
        <w:t>条 地块控制指标</w:t>
      </w:r>
    </w:p>
    <w:p>
      <w:pPr>
        <w:ind w:firstLineChars="200" w:firstLine="480"/>
        <w:rPr>
          <w:rFonts w:ascii="宋体"/>
          <w:szCs w:val="21"/>
        </w:rPr>
      </w:pPr>
      <w:r>
        <w:rPr>
          <w:rFonts w:ascii="宋体" w:eastAsia="宋体" w:hint="eastAsia"/>
          <w:sz w:val="24"/>
          <w:szCs w:val="24"/>
          <w:lang w:eastAsia="zh-CN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-1534160</wp:posOffset>
            </wp:positionH>
            <wp:positionV relativeFrom="paragraph">
              <wp:posOffset>1575435</wp:posOffset>
            </wp:positionV>
            <wp:extent cx="8043545" cy="5682615"/>
            <wp:effectExtent l="0" t="0" r="0" b="0"/>
            <wp:wrapSquare wrapText="bothSides"/>
            <wp:docPr id="7" name="图片 3" descr="细则-图则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3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3545" cy="56826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宋体" w:hint="eastAsia"/>
          <w:sz w:val="24"/>
          <w:szCs w:val="24"/>
        </w:rPr>
        <w:t>本次细则规划编制的GS</w:t>
      </w:r>
      <w:r>
        <w:rPr>
          <w:rFonts w:ascii="宋体"/>
          <w:sz w:val="24"/>
          <w:szCs w:val="24"/>
        </w:rPr>
        <w:t>-</w:t>
      </w:r>
      <w:r>
        <w:rPr>
          <w:rFonts w:ascii="宋体" w:hint="eastAsia"/>
          <w:sz w:val="24"/>
          <w:szCs w:val="24"/>
        </w:rPr>
        <w:t>14</w:t>
      </w:r>
      <w:r>
        <w:rPr>
          <w:rFonts w:ascii="宋体"/>
          <w:sz w:val="24"/>
          <w:szCs w:val="24"/>
        </w:rPr>
        <w:t>-0</w:t>
      </w:r>
      <w:r>
        <w:rPr>
          <w:rFonts w:ascii="宋体" w:hint="eastAsia"/>
          <w:sz w:val="24"/>
          <w:szCs w:val="24"/>
        </w:rPr>
        <w:t>1地块，各地块控制指标具体如下：</w:t>
      </w:r>
    </w:p>
    <w:p>
      <w:pPr>
        <w:snapToGrid w:val="0"/>
        <w:spacing w:line="360" w:lineRule="auto"/>
        <w:ind w:firstLineChars="200" w:firstLine="480"/>
        <w:contextualSpacing/>
        <w:jc w:val="center"/>
        <w:rPr>
          <w:rFonts w:ascii="宋体" w:eastAsia="宋体" w:hint="eastAsia"/>
          <w:sz w:val="24"/>
          <w:szCs w:val="24"/>
          <w:lang w:eastAsia="zh-CN"/>
        </w:rPr>
      </w:pPr>
      <w:r>
        <w:rPr>
          <w:rFonts w:ascii="宋体" w:eastAsia="宋体" w:hint="eastAsia"/>
          <w:sz w:val="24"/>
          <w:szCs w:val="24"/>
          <w:lang w:eastAsia="zh-CN"/>
        </w:rPr>
        <w:drawing>
          <wp:anchor distT="0" distB="0" distL="114300" distR="114300" simplePos="0" relativeHeight="17" behindDoc="0" locked="0" layoutInCell="1" hidden="0" allowOverlap="1">
            <wp:simplePos x="0" y="0"/>
            <wp:positionH relativeFrom="column">
              <wp:posOffset>-1511300</wp:posOffset>
            </wp:positionH>
            <wp:positionV relativeFrom="paragraph">
              <wp:posOffset>1528445</wp:posOffset>
            </wp:positionV>
            <wp:extent cx="8465819" cy="5981065"/>
            <wp:effectExtent l="0" t="0" r="0" b="0"/>
            <wp:wrapSquare wrapText="bothSides"/>
            <wp:docPr id="10" name="图片 4" descr="细则-图则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4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5819" cy="59810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Luxi Sans">
    <w:altName w:val="Arial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2000019F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7C4DEA84"/>
    <w:multiLevelType w:val="singleLevel"/>
    <w:tmpl w:val="7C4DEA84"/>
    <w:lvl w:ilvl="0">
      <w:start w:val="3"/>
      <w:numFmt w:val="chineseCounting"/>
      <w:lvlRestart w:val="0"/>
      <w:suff w:val="space"/>
      <w:lvlText w:val="第%1条"/>
      <w:legacy w:legacy="1" w:legacySpace="0" w:legacyIndent="0"/>
      <w:lvlJc w:val="left"/>
      <w:pPr>
        <w:ind w:left="0" w:hanging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78"/>
  <w:bordersDoNotSurroundHeader w:val="0"/>
  <w:bordersDoNotSurroundFooter w:val="0"/>
  <w:trackRevisions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doNotUseIndentAsNumberingTabStop/>
    <w:useAltKinsokuLineBreakRules/>
    <w:compatSetting w:name="compatibilityMode" w:uri="http://schemas.microsoft.com/office/word" w:val="14"/>
  </w:compat>
  <w:docVars>
    <w:docVar w:name="commondata" w:val="eyJoZGlkIjoiNGM2ZDJlY2E0Mzg1NmFmNzkwNzk1OWJhMDNlNzcwZDA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widowControl/>
      <w:spacing w:before="100" w:beforeAutospacing="1" w:after="100" w:afterAutospacing="1"/>
      <w:jc w:val="left"/>
      <w:outlineLvl w:val="0"/>
    </w:pPr>
    <w:rPr>
      <w:rFonts w:ascii="宋体" w:eastAsia="宋体" w:cs="宋体"/>
      <w:b/>
      <w:bCs/>
      <w:kern w:val="36"/>
      <w:sz w:val="48"/>
      <w:szCs w:val="48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Balloon Text"/>
    <w:basedOn w:val="0"/>
    <w:rPr>
      <w:sz w:val="18"/>
      <w:szCs w:val="18"/>
    </w:rPr>
  </w:style>
  <w:style w:type="paragraph" w:styleId="16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Normal (Web)"/>
    <w:basedOn w:val="0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  <w:szCs w:val="24"/>
    </w:rPr>
  </w:style>
  <w:style w:type="paragraph" w:styleId="19">
    <w:name w:val="Title"/>
    <w:basedOn w:val="0"/>
    <w:next w:val="0"/>
    <w:pPr>
      <w:spacing w:before="240" w:after="60"/>
      <w:jc w:val="center"/>
      <w:outlineLvl w:val="0"/>
    </w:pPr>
    <w:rPr>
      <w:rFonts w:ascii="Cambria" w:eastAsia="宋体" w:cs="Times New Roman" w:hAnsi="Cambria"/>
      <w:b/>
      <w:bCs/>
      <w:sz w:val="32"/>
      <w:szCs w:val="32"/>
    </w:rPr>
  </w:style>
  <w:style w:type="character" w:styleId="20">
    <w:name w:val="Emphasis"/>
    <w:basedOn w:val="10"/>
    <w:rPr>
      <w:i/>
      <w:iCs/>
    </w:rPr>
  </w:style>
  <w:style w:type="character" w:styleId="21">
    <w:name w:val="Hyperlink"/>
    <w:basedOn w:val="10"/>
    <w:rPr>
      <w:color w:val="0000FF"/>
      <w:u w:val="single"/>
    </w:rPr>
  </w:style>
  <w:style w:type="paragraph" w:customStyle="1" w:styleId="22">
    <w:name w:val="insertfiletag"/>
    <w:basedOn w:val="0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  <w:szCs w:val="24"/>
    </w:rPr>
  </w:style>
  <w:style w:type="paragraph" w:styleId="23">
    <w:name w:val="List Paragraph"/>
    <w:basedOn w:val="0"/>
    <w:pPr>
      <w:ind w:firstLineChars="200" w:firstLine="200"/>
    </w:pPr>
  </w:style>
  <w:style w:type="paragraph" w:styleId="29">
    <w:name w:val="toc 1"/>
    <w:basedOn w:val="0"/>
    <w:autoRedefine/>
    <w:next w:val="0"/>
  </w:style>
  <w:style w:type="paragraph" w:styleId="30">
    <w:name w:val="toc 2"/>
    <w:basedOn w:val="0"/>
    <w:autoRedefine/>
    <w:next w:val="0"/>
    <w:pPr>
      <w:ind w:left="420"/>
    </w:pPr>
  </w:style>
  <w:style w:type="paragraph" w:styleId="31">
    <w:name w:val="toc 3"/>
    <w:basedOn w:val="0"/>
    <w:autoRedefine/>
    <w:next w:val="0"/>
    <w:pPr>
      <w:ind w:left="840"/>
    </w:pPr>
  </w:style>
  <w:style w:type="paragraph" w:styleId="32">
    <w:name w:val="toc 4"/>
    <w:basedOn w:val="0"/>
    <w:autoRedefine/>
    <w:next w:val="0"/>
    <w:pPr>
      <w:ind w:left="1260"/>
    </w:pPr>
  </w:style>
  <w:style w:type="paragraph" w:styleId="33">
    <w:name w:val="toc 5"/>
    <w:basedOn w:val="0"/>
    <w:autoRedefine/>
    <w:next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image" Target="media/8.jpeg"/><Relationship Id="rId5" Type="http://schemas.openxmlformats.org/officeDocument/2006/relationships/image" Target="media/11.jpeg"/><Relationship Id="rId6" Type="http://schemas.openxmlformats.org/officeDocument/2006/relationships/styles" Target="styles.xml"/><Relationship Id="rId7" Type="http://schemas.openxmlformats.org/officeDocument/2006/relationships/numbering" Target="numbering.xml"/><Relationship Id="rId8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Yozo_Office27021597764231179</Application>
  <Pages>5</Pages>
  <Words>839</Words>
  <Characters>975</Characters>
  <Lines>51</Lines>
  <Paragraphs>25</Paragraphs>
  <CharactersWithSpaces>985</CharactersWithSpaces>
  <Company>微软中国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葛芳</dc:creator>
  <cp:lastModifiedBy>root</cp:lastModifiedBy>
  <cp:revision>4</cp:revision>
  <dcterms:created xsi:type="dcterms:W3CDTF">2021-02-03T11:49:00Z</dcterms:created>
  <dcterms:modified xsi:type="dcterms:W3CDTF">2022-07-21T02:36:46Z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2052-11.1.0.11753</vt:lpwstr>
  </property>
  <property fmtid="{D5CDD505-2E9C-101B-9397-08002B2CF9AE}" pid="3" name="ICV">
    <vt:lpwstr>356E4D7AA1344CD2816854EC299102A9</vt:lpwstr>
  </property>
</Properties>
</file>