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ascii="方正小标宋简体" w:hAnsi="方正小标宋简体" w:eastAsia="方正小标宋简体" w:cs="方正小标宋简体"/>
          <w:b/>
          <w:bCs/>
          <w:sz w:val="44"/>
          <w:szCs w:val="44"/>
        </w:rPr>
      </w:pPr>
      <w:bookmarkStart w:id="0" w:name="_Toc15600"/>
      <w:bookmarkStart w:id="1" w:name="_Toc20706"/>
      <w:bookmarkStart w:id="2" w:name="_Toc1757"/>
      <w:bookmarkStart w:id="3" w:name="_Toc29556"/>
      <w:bookmarkStart w:id="4" w:name="_Toc4988"/>
      <w:bookmarkStart w:id="5" w:name="_Toc28382"/>
      <w:bookmarkStart w:id="6" w:name="_Toc9039"/>
      <w:bookmarkStart w:id="7" w:name="_Toc17373"/>
      <w:bookmarkStart w:id="8" w:name="_Toc21295"/>
      <w:r>
        <w:rPr>
          <w:rFonts w:hint="eastAsia" w:ascii="方正小标宋简体" w:hAnsi="方正小标宋简体" w:eastAsia="方正小标宋简体" w:cs="方正小标宋简体"/>
          <w:b/>
          <w:bCs/>
          <w:sz w:val="44"/>
          <w:szCs w:val="44"/>
        </w:rPr>
        <w:t>贵阳市国有资本布局与结构战略性</w:t>
      </w:r>
      <w:bookmarkEnd w:id="0"/>
      <w:bookmarkEnd w:id="1"/>
      <w:bookmarkEnd w:id="2"/>
      <w:bookmarkEnd w:id="3"/>
      <w:bookmarkEnd w:id="4"/>
      <w:bookmarkEnd w:id="5"/>
      <w:bookmarkEnd w:id="6"/>
      <w:bookmarkEnd w:id="7"/>
      <w:bookmarkEnd w:id="8"/>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outlineLvl w:val="0"/>
        <w:rPr>
          <w:rFonts w:ascii="方正小标宋简体" w:hAnsi="方正小标宋简体" w:eastAsia="方正小标宋简体" w:cs="方正小标宋简体"/>
          <w:b/>
          <w:bCs/>
          <w:sz w:val="44"/>
          <w:szCs w:val="44"/>
        </w:rPr>
      </w:pPr>
      <w:bookmarkStart w:id="9" w:name="_Toc14844"/>
      <w:bookmarkStart w:id="10" w:name="_Toc9617"/>
      <w:bookmarkStart w:id="11" w:name="_Toc4080"/>
      <w:bookmarkStart w:id="12" w:name="_Toc12689"/>
      <w:bookmarkStart w:id="13" w:name="_Toc15578"/>
      <w:bookmarkStart w:id="14" w:name="_Toc585"/>
      <w:bookmarkStart w:id="15" w:name="_Toc11322"/>
      <w:bookmarkStart w:id="16" w:name="_Toc31477"/>
      <w:bookmarkStart w:id="17" w:name="_Toc23242"/>
      <w:r>
        <w:rPr>
          <w:rFonts w:hint="eastAsia" w:ascii="方正小标宋简体" w:hAnsi="方正小标宋简体" w:eastAsia="方正小标宋简体" w:cs="方正小标宋简体"/>
          <w:b/>
          <w:bCs/>
          <w:sz w:val="44"/>
          <w:szCs w:val="44"/>
        </w:rPr>
        <w:t>调整“十四五”规划</w:t>
      </w:r>
      <w:bookmarkEnd w:id="9"/>
      <w:bookmarkEnd w:id="10"/>
      <w:bookmarkEnd w:id="11"/>
      <w:bookmarkEnd w:id="12"/>
      <w:bookmarkEnd w:id="13"/>
      <w:bookmarkEnd w:id="14"/>
      <w:bookmarkEnd w:id="15"/>
      <w:bookmarkEnd w:id="16"/>
      <w:bookmarkEnd w:id="17"/>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Ansi="仿宋" w:cs="Times New Roman"/>
          <w:spacing w:val="22"/>
          <w:kern w:val="0"/>
          <w:sz w:val="36"/>
          <w:szCs w:val="36"/>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bCs/>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bCs/>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bCs/>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bCs/>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bCs/>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val="0"/>
          <w:bCs w:val="0"/>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val="0"/>
          <w:bCs w:val="0"/>
          <w:sz w:val="28"/>
          <w:szCs w:val="28"/>
        </w:rPr>
      </w:pPr>
    </w:p>
    <w:p>
      <w:pPr>
        <w:pageBreakBefore w:val="0"/>
        <w:kinsoku/>
        <w:wordWrap/>
        <w:overflowPunct/>
        <w:topLinePunct w:val="0"/>
        <w:autoSpaceDE/>
        <w:autoSpaceDN/>
        <w:bidi w:val="0"/>
        <w:spacing w:line="580" w:lineRule="exact"/>
        <w:ind w:left="0" w:leftChars="0" w:firstLine="0" w:firstLineChars="0"/>
        <w:jc w:val="center"/>
        <w:rPr>
          <w:rFonts w:hint="eastAsia" w:ascii="黑体" w:hAnsi="黑体" w:eastAsia="黑体" w:cs="黑体"/>
          <w:b w:val="0"/>
          <w:bCs w:val="0"/>
          <w:sz w:val="28"/>
          <w:szCs w:val="28"/>
        </w:rPr>
      </w:pPr>
    </w:p>
    <w:p>
      <w:pPr>
        <w:pageBreakBefore w:val="0"/>
        <w:kinsoku/>
        <w:wordWrap/>
        <w:overflowPunct/>
        <w:topLinePunct w:val="0"/>
        <w:autoSpaceDE/>
        <w:autoSpaceDN/>
        <w:bidi w:val="0"/>
        <w:spacing w:line="580" w:lineRule="exact"/>
        <w:ind w:left="0" w:leftChars="0" w:firstLine="0" w:firstLineChars="0"/>
        <w:jc w:val="center"/>
        <w:rPr>
          <w:rFonts w:ascii="黑体" w:hAnsi="黑体" w:eastAsia="黑体" w:cs="Times New Roman"/>
          <w:b w:val="0"/>
          <w:bCs w:val="0"/>
          <w:sz w:val="28"/>
          <w:szCs w:val="28"/>
        </w:rPr>
      </w:pPr>
      <w:r>
        <w:rPr>
          <w:rFonts w:hint="eastAsia" w:ascii="黑体" w:hAnsi="黑体" w:eastAsia="黑体" w:cs="黑体"/>
          <w:b w:val="0"/>
          <w:bCs w:val="0"/>
          <w:sz w:val="28"/>
          <w:szCs w:val="28"/>
        </w:rPr>
        <w:t>贵阳市</w:t>
      </w:r>
      <w:r>
        <w:rPr>
          <w:rFonts w:hint="eastAsia" w:ascii="黑体" w:hAnsi="黑体" w:eastAsia="黑体" w:cs="黑体"/>
          <w:b w:val="0"/>
          <w:bCs w:val="0"/>
          <w:sz w:val="28"/>
          <w:szCs w:val="28"/>
          <w:lang w:eastAsia="zh-CN"/>
        </w:rPr>
        <w:t>人民政府</w:t>
      </w:r>
      <w:r>
        <w:rPr>
          <w:rFonts w:hint="eastAsia" w:ascii="黑体" w:hAnsi="黑体" w:eastAsia="黑体" w:cs="黑体"/>
          <w:b w:val="0"/>
          <w:bCs w:val="0"/>
          <w:sz w:val="28"/>
          <w:szCs w:val="28"/>
        </w:rPr>
        <w:t>国有资产监督管理委员会</w:t>
      </w:r>
    </w:p>
    <w:p>
      <w:pPr>
        <w:pageBreakBefore w:val="0"/>
        <w:kinsoku/>
        <w:wordWrap/>
        <w:overflowPunct/>
        <w:topLinePunct w:val="0"/>
        <w:autoSpaceDE/>
        <w:autoSpaceDN/>
        <w:bidi w:val="0"/>
        <w:spacing w:line="580" w:lineRule="exact"/>
        <w:ind w:left="0" w:leftChars="0" w:firstLine="0" w:firstLineChars="0"/>
        <w:jc w:val="center"/>
        <w:rPr>
          <w:rFonts w:hint="eastAsia" w:hAnsi="仿宋"/>
          <w:spacing w:val="22"/>
          <w:kern w:val="0"/>
        </w:rPr>
      </w:pPr>
      <w:r>
        <w:rPr>
          <w:rFonts w:hint="eastAsia" w:hAnsi="仿宋"/>
          <w:spacing w:val="22"/>
          <w:kern w:val="0"/>
        </w:rPr>
        <w:t>二○</w:t>
      </w:r>
      <w:r>
        <w:rPr>
          <w:rFonts w:hint="eastAsia" w:hAnsi="仿宋"/>
          <w:spacing w:val="22"/>
          <w:kern w:val="0"/>
          <w:lang w:val="en-US" w:eastAsia="zh-CN"/>
        </w:rPr>
        <w:t>二二</w:t>
      </w:r>
      <w:r>
        <w:rPr>
          <w:rFonts w:hint="eastAsia" w:hAnsi="仿宋"/>
          <w:spacing w:val="22"/>
          <w:kern w:val="0"/>
        </w:rPr>
        <w:t>年</w:t>
      </w:r>
      <w:r>
        <w:rPr>
          <w:rFonts w:hint="eastAsia" w:hAnsi="仿宋"/>
          <w:spacing w:val="22"/>
          <w:kern w:val="0"/>
          <w:lang w:val="en-US" w:eastAsia="zh-CN"/>
        </w:rPr>
        <w:t>一</w:t>
      </w:r>
      <w:r>
        <w:rPr>
          <w:rFonts w:hint="eastAsia" w:hAnsi="仿宋"/>
          <w:spacing w:val="22"/>
          <w:kern w:val="0"/>
        </w:rPr>
        <w:t>月</w:t>
      </w:r>
    </w:p>
    <w:p>
      <w:pPr>
        <w:pStyle w:val="47"/>
        <w:pageBreakBefore w:val="0"/>
        <w:kinsoku/>
        <w:wordWrap/>
        <w:overflowPunct/>
        <w:topLinePunct w:val="0"/>
        <w:autoSpaceDE/>
        <w:autoSpaceDN/>
        <w:bidi w:val="0"/>
        <w:spacing w:line="580" w:lineRule="exact"/>
        <w:ind w:left="0" w:leftChars="0" w:firstLine="640"/>
        <w:jc w:val="center"/>
        <w:rPr>
          <w:rFonts w:ascii="Times New Roman" w:hAnsi="Times New Roman" w:eastAsia="仿宋_GB2312" w:cstheme="minorBidi"/>
          <w:color w:val="auto"/>
          <w:kern w:val="2"/>
          <w:szCs w:val="24"/>
          <w:lang w:val="zh-CN"/>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val="0"/>
        <w:kinsoku/>
        <w:wordWrap/>
        <w:overflowPunct/>
        <w:topLinePunct w:val="0"/>
        <w:autoSpaceDE/>
        <w:autoSpaceDN/>
        <w:bidi w:val="0"/>
        <w:spacing w:line="580" w:lineRule="exact"/>
        <w:ind w:left="0" w:leftChars="0"/>
        <w:rPr>
          <w:lang w:val="zh-CN"/>
        </w:rPr>
        <w:sectPr>
          <w:pgSz w:w="11906" w:h="16838"/>
          <w:pgMar w:top="1440" w:right="1800" w:bottom="1440" w:left="1800" w:header="851" w:footer="992" w:gutter="0"/>
          <w:pgNumType w:fmt="decimal"/>
          <w:cols w:space="720" w:num="1"/>
          <w:docGrid w:type="lines" w:linePitch="312" w:charSpace="0"/>
        </w:sectPr>
      </w:pPr>
    </w:p>
    <w:p>
      <w:pPr>
        <w:pageBreakBefore w:val="0"/>
        <w:kinsoku/>
        <w:wordWrap/>
        <w:overflowPunct/>
        <w:topLinePunct w:val="0"/>
        <w:autoSpaceDE/>
        <w:autoSpaceDN/>
        <w:bidi w:val="0"/>
        <w:adjustRightInd w:val="0"/>
        <w:snapToGrid w:val="0"/>
        <w:spacing w:line="580" w:lineRule="exact"/>
        <w:ind w:left="0" w:leftChars="0"/>
        <w:jc w:val="center"/>
        <w:outlineLvl w:val="0"/>
        <w:rPr>
          <w:rFonts w:hint="eastAsia" w:ascii="方正小标宋简体" w:hAnsi="方正小标宋简体" w:eastAsia="方正小标宋简体" w:cs="方正小标宋简体"/>
          <w:b/>
          <w:bCs/>
          <w:sz w:val="36"/>
          <w:szCs w:val="36"/>
          <w:lang w:eastAsia="zh-CN"/>
        </w:rPr>
      </w:pPr>
      <w:bookmarkStart w:id="18" w:name="_Toc23608"/>
      <w:bookmarkStart w:id="19" w:name="_Toc32331"/>
      <w:bookmarkStart w:id="20" w:name="_Toc9234"/>
      <w:bookmarkStart w:id="21" w:name="_Toc23934"/>
      <w:bookmarkStart w:id="22" w:name="_Toc32229"/>
      <w:bookmarkStart w:id="23" w:name="_Toc9685"/>
      <w:bookmarkStart w:id="24" w:name="_Toc9528"/>
      <w:bookmarkStart w:id="25" w:name="_Toc5680"/>
      <w:r>
        <w:rPr>
          <w:rFonts w:hint="eastAsia" w:ascii="方正小标宋简体" w:hAnsi="方正小标宋简体" w:eastAsia="方正小标宋简体" w:cs="方正小标宋简体"/>
          <w:b/>
          <w:bCs/>
          <w:sz w:val="36"/>
          <w:szCs w:val="36"/>
          <w:lang w:eastAsia="zh-CN"/>
        </w:rPr>
        <w:t>目录</w:t>
      </w:r>
      <w:bookmarkEnd w:id="18"/>
      <w:bookmarkEnd w:id="19"/>
      <w:bookmarkEnd w:id="20"/>
      <w:bookmarkEnd w:id="21"/>
      <w:bookmarkEnd w:id="22"/>
      <w:bookmarkEnd w:id="23"/>
      <w:bookmarkEnd w:id="24"/>
      <w:bookmarkEnd w:id="25"/>
    </w:p>
    <w:p>
      <w:pPr>
        <w:pStyle w:val="13"/>
        <w:tabs>
          <w:tab w:val="right" w:leader="dot" w:pos="8306"/>
        </w:tabs>
      </w:pPr>
      <w:r>
        <w:rPr>
          <w:sz w:val="24"/>
          <w:szCs w:val="32"/>
        </w:rPr>
        <w:fldChar w:fldCharType="begin"/>
      </w:r>
      <w:r>
        <w:rPr>
          <w:sz w:val="24"/>
          <w:szCs w:val="32"/>
        </w:rPr>
        <w:instrText xml:space="preserve">TOC \o "1-3" \h \u </w:instrText>
      </w:r>
      <w:r>
        <w:rPr>
          <w:sz w:val="24"/>
          <w:szCs w:val="32"/>
        </w:rP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fldChar w:fldCharType="begin"/>
      </w:r>
      <w:r>
        <w:rPr>
          <w:rFonts w:hint="eastAsia" w:ascii="方正小标宋简体" w:hAnsi="方正小标宋简体" w:eastAsia="方正小标宋简体" w:cs="方正小标宋简体"/>
          <w:bCs/>
          <w:sz w:val="32"/>
          <w:szCs w:val="32"/>
          <w:lang w:val="en-US" w:eastAsia="zh-CN"/>
        </w:rPr>
        <w:instrText xml:space="preserve"> HYPERLINK \l _Toc7577 </w:instrText>
      </w:r>
      <w:r>
        <w:rPr>
          <w:rFonts w:hint="eastAsia" w:ascii="方正小标宋简体" w:hAnsi="方正小标宋简体" w:eastAsia="方正小标宋简体" w:cs="方正小标宋简体"/>
          <w:bCs/>
          <w:sz w:val="32"/>
          <w:szCs w:val="32"/>
          <w:lang w:val="en-US" w:eastAsia="zh-CN"/>
        </w:rPr>
        <w:fldChar w:fldCharType="separate"/>
      </w:r>
      <w:r>
        <w:rPr>
          <w:rFonts w:hint="eastAsia" w:ascii="方正小标宋简体" w:hAnsi="方正小标宋简体" w:eastAsia="方正小标宋简体" w:cs="方正小标宋简体"/>
          <w:bCs/>
          <w:sz w:val="32"/>
          <w:szCs w:val="32"/>
          <w:lang w:val="en-US" w:eastAsia="zh-CN"/>
        </w:rPr>
        <w:t>前  言</w:t>
      </w:r>
      <w:r>
        <w:rPr>
          <w:rFonts w:hint="eastAsia" w:ascii="方正小标宋简体" w:hAnsi="方正小标宋简体" w:eastAsia="方正小标宋简体" w:cs="方正小标宋简体"/>
          <w:bCs/>
          <w:sz w:val="32"/>
          <w:szCs w:val="32"/>
          <w:lang w:val="en-US" w:eastAsia="zh-CN"/>
        </w:rPr>
        <w:tab/>
      </w:r>
      <w:r>
        <w:rPr>
          <w:rFonts w:hint="eastAsia" w:ascii="方正小标宋简体" w:hAnsi="方正小标宋简体" w:eastAsia="方正小标宋简体" w:cs="方正小标宋简体"/>
          <w:bCs/>
          <w:sz w:val="32"/>
          <w:szCs w:val="32"/>
          <w:lang w:val="en-US" w:eastAsia="zh-CN"/>
        </w:rPr>
        <w:fldChar w:fldCharType="begin"/>
      </w:r>
      <w:r>
        <w:rPr>
          <w:rFonts w:hint="eastAsia" w:ascii="方正小标宋简体" w:hAnsi="方正小标宋简体" w:eastAsia="方正小标宋简体" w:cs="方正小标宋简体"/>
          <w:bCs/>
          <w:sz w:val="32"/>
          <w:szCs w:val="32"/>
          <w:lang w:val="en-US" w:eastAsia="zh-CN"/>
        </w:rPr>
        <w:instrText xml:space="preserve"> PAGEREF _Toc7577 \h </w:instrText>
      </w:r>
      <w:r>
        <w:rPr>
          <w:rFonts w:hint="eastAsia" w:ascii="方正小标宋简体" w:hAnsi="方正小标宋简体" w:eastAsia="方正小标宋简体" w:cs="方正小标宋简体"/>
          <w:bCs/>
          <w:sz w:val="32"/>
          <w:szCs w:val="32"/>
          <w:lang w:val="en-US" w:eastAsia="zh-CN"/>
        </w:rPr>
        <w:fldChar w:fldCharType="separate"/>
      </w:r>
      <w:r>
        <w:rPr>
          <w:rFonts w:hint="eastAsia" w:ascii="方正小标宋简体" w:hAnsi="方正小标宋简体" w:eastAsia="方正小标宋简体" w:cs="方正小标宋简体"/>
          <w:bCs/>
          <w:sz w:val="32"/>
          <w:szCs w:val="32"/>
          <w:lang w:val="en-US" w:eastAsia="zh-CN"/>
        </w:rPr>
        <w:t>1</w:t>
      </w:r>
      <w:r>
        <w:rPr>
          <w:rFonts w:hint="eastAsia" w:ascii="方正小标宋简体" w:hAnsi="方正小标宋简体" w:eastAsia="方正小标宋简体" w:cs="方正小标宋简体"/>
          <w:bCs/>
          <w:sz w:val="32"/>
          <w:szCs w:val="32"/>
          <w:lang w:val="en-US" w:eastAsia="zh-CN"/>
        </w:rPr>
        <w:fldChar w:fldCharType="end"/>
      </w:r>
      <w:r>
        <w:rPr>
          <w:rFonts w:hint="eastAsia" w:ascii="方正小标宋简体" w:hAnsi="方正小标宋简体" w:eastAsia="方正小标宋简体" w:cs="方正小标宋简体"/>
          <w:bCs/>
          <w:sz w:val="32"/>
          <w:szCs w:val="32"/>
          <w:lang w:val="en-US"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HYPERLINK \l _Toc26233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val="en-US" w:eastAsia="zh-CN"/>
        </w:rPr>
        <w:t>第一篇 发展基础与面临形势</w:t>
      </w:r>
      <w:r>
        <w:rPr>
          <w:rFonts w:hint="eastAsia" w:ascii="方正小标宋简体" w:hAnsi="方正小标宋简体" w:eastAsia="方正小标宋简体" w:cs="方正小标宋简体"/>
          <w:bCs/>
          <w:sz w:val="32"/>
          <w:szCs w:val="32"/>
          <w:lang w:eastAsia="zh-CN"/>
        </w:rPr>
        <w:tab/>
      </w: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PAGEREF _Toc26233 \h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eastAsia="zh-CN"/>
        </w:rPr>
        <w:t>2</w:t>
      </w:r>
      <w:r>
        <w:rPr>
          <w:rFonts w:hint="eastAsia" w:ascii="方正小标宋简体" w:hAnsi="方正小标宋简体" w:eastAsia="方正小标宋简体" w:cs="方正小标宋简体"/>
          <w:bCs/>
          <w:sz w:val="32"/>
          <w:szCs w:val="32"/>
          <w:lang w:eastAsia="zh-CN"/>
        </w:rPr>
        <w:fldChar w:fldCharType="end"/>
      </w:r>
      <w:r>
        <w:rPr>
          <w:rFonts w:hint="eastAsia" w:ascii="方正小标宋简体" w:hAnsi="方正小标宋简体" w:eastAsia="方正小标宋简体" w:cs="方正小标宋简体"/>
          <w:bCs/>
          <w:sz w:val="32"/>
          <w:szCs w:val="32"/>
          <w:lang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_Toc9686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第一章 发展基础</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_Toc9686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2</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_Toc9208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第二章 面临形势</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_Toc9208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7</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HYPERLINK \l _Toc21669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val="en-US" w:eastAsia="zh-CN"/>
        </w:rPr>
        <w:t>第二篇 总体要求</w:t>
      </w:r>
      <w:r>
        <w:rPr>
          <w:rFonts w:hint="eastAsia" w:ascii="方正小标宋简体" w:hAnsi="方正小标宋简体" w:eastAsia="方正小标宋简体" w:cs="方正小标宋简体"/>
          <w:bCs/>
          <w:sz w:val="32"/>
          <w:szCs w:val="32"/>
          <w:lang w:eastAsia="zh-CN"/>
        </w:rPr>
        <w:tab/>
      </w: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PAGEREF _Toc21669 \h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eastAsia="zh-CN"/>
        </w:rPr>
        <w:t>10</w:t>
      </w:r>
      <w:r>
        <w:rPr>
          <w:rFonts w:hint="eastAsia" w:ascii="方正小标宋简体" w:hAnsi="方正小标宋简体" w:eastAsia="方正小标宋简体" w:cs="方正小标宋简体"/>
          <w:bCs/>
          <w:sz w:val="32"/>
          <w:szCs w:val="32"/>
          <w:lang w:eastAsia="zh-CN"/>
        </w:rPr>
        <w:fldChar w:fldCharType="end"/>
      </w:r>
      <w:r>
        <w:rPr>
          <w:rFonts w:hint="eastAsia" w:ascii="方正小标宋简体" w:hAnsi="方正小标宋简体" w:eastAsia="方正小标宋简体" w:cs="方正小标宋简体"/>
          <w:bCs/>
          <w:sz w:val="32"/>
          <w:szCs w:val="32"/>
          <w:lang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_Toc1649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第三章 指导思想与基本原则</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_Toc1649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10</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_Toc25606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第一节 指导思想</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_Toc25606 \h </w:instrText>
      </w:r>
      <w:r>
        <w:rPr>
          <w:rFonts w:hint="eastAsia" w:ascii="楷体_GB2312" w:eastAsia="楷体_GB2312" w:cs="楷体"/>
          <w:sz w:val="30"/>
          <w:szCs w:val="30"/>
        </w:rPr>
        <w:fldChar w:fldCharType="separate"/>
      </w:r>
      <w:r>
        <w:rPr>
          <w:rFonts w:hint="eastAsia" w:ascii="楷体_GB2312" w:eastAsia="楷体_GB2312" w:cs="楷体"/>
          <w:sz w:val="30"/>
          <w:szCs w:val="30"/>
        </w:rPr>
        <w:t>10</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_Toc1736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第二节 基本原则</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_Toc1736 \h </w:instrText>
      </w:r>
      <w:r>
        <w:rPr>
          <w:rFonts w:hint="eastAsia" w:ascii="楷体_GB2312" w:eastAsia="楷体_GB2312" w:cs="楷体"/>
          <w:sz w:val="30"/>
          <w:szCs w:val="30"/>
        </w:rPr>
        <w:fldChar w:fldCharType="separate"/>
      </w:r>
      <w:r>
        <w:rPr>
          <w:rFonts w:hint="eastAsia" w:ascii="楷体_GB2312" w:eastAsia="楷体_GB2312" w:cs="楷体"/>
          <w:sz w:val="30"/>
          <w:szCs w:val="30"/>
        </w:rPr>
        <w:t>10</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_Toc28337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第四章 规划目标及指标</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_Toc28337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11</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_Toc32349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第一节 “十四五”规划目标及主要任务</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_Toc32349 \h </w:instrText>
      </w:r>
      <w:r>
        <w:rPr>
          <w:rFonts w:hint="eastAsia" w:ascii="楷体_GB2312" w:eastAsia="楷体_GB2312" w:cs="楷体"/>
          <w:sz w:val="30"/>
          <w:szCs w:val="30"/>
        </w:rPr>
        <w:fldChar w:fldCharType="separate"/>
      </w:r>
      <w:r>
        <w:rPr>
          <w:rFonts w:hint="eastAsia" w:ascii="楷体_GB2312" w:eastAsia="楷体_GB2312" w:cs="楷体"/>
          <w:sz w:val="30"/>
          <w:szCs w:val="30"/>
        </w:rPr>
        <w:t>11</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_Toc4431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第二节 2035年远景目标</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_Toc4431 \h </w:instrText>
      </w:r>
      <w:r>
        <w:rPr>
          <w:rFonts w:hint="eastAsia" w:ascii="楷体_GB2312" w:eastAsia="楷体_GB2312" w:cs="楷体"/>
          <w:sz w:val="30"/>
          <w:szCs w:val="30"/>
        </w:rPr>
        <w:fldChar w:fldCharType="separate"/>
      </w:r>
      <w:r>
        <w:rPr>
          <w:rFonts w:hint="eastAsia" w:ascii="楷体_GB2312" w:eastAsia="楷体_GB2312" w:cs="楷体"/>
          <w:sz w:val="30"/>
          <w:szCs w:val="30"/>
        </w:rPr>
        <w:t>14</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HYPERLINK \l _Toc2565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val="en-US" w:eastAsia="zh-CN"/>
        </w:rPr>
        <w:t>第三篇 高质量优化国有资本布局的重要内容</w:t>
      </w:r>
      <w:r>
        <w:rPr>
          <w:rFonts w:hint="eastAsia" w:ascii="方正小标宋简体" w:hAnsi="方正小标宋简体" w:eastAsia="方正小标宋简体" w:cs="方正小标宋简体"/>
          <w:bCs/>
          <w:sz w:val="32"/>
          <w:szCs w:val="32"/>
          <w:lang w:eastAsia="zh-CN"/>
        </w:rPr>
        <w:tab/>
      </w: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PAGEREF _Toc2565 \h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eastAsia="zh-CN"/>
        </w:rPr>
        <w:t>15</w:t>
      </w:r>
      <w:r>
        <w:rPr>
          <w:rFonts w:hint="eastAsia" w:ascii="方正小标宋简体" w:hAnsi="方正小标宋简体" w:eastAsia="方正小标宋简体" w:cs="方正小标宋简体"/>
          <w:bCs/>
          <w:sz w:val="32"/>
          <w:szCs w:val="32"/>
          <w:lang w:eastAsia="zh-CN"/>
        </w:rPr>
        <w:fldChar w:fldCharType="end"/>
      </w:r>
      <w:r>
        <w:rPr>
          <w:rFonts w:hint="eastAsia" w:ascii="方正小标宋简体" w:hAnsi="方正小标宋简体" w:eastAsia="方正小标宋简体" w:cs="方正小标宋简体"/>
          <w:bCs/>
          <w:sz w:val="32"/>
          <w:szCs w:val="32"/>
          <w:lang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_Toc25844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第五章 国有资本“十四五”五个重大建设</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_Toc25844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15</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_Toc14311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第六章 国有资本“十四五”的区域布局及行业布局</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_Toc14311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16</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_Toc15101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 xml:space="preserve">第一节 </w:t>
      </w:r>
      <w:r>
        <w:rPr>
          <w:rFonts w:hint="eastAsia" w:ascii="楷体_GB2312" w:eastAsia="楷体_GB2312" w:cs="楷体"/>
          <w:sz w:val="30"/>
          <w:szCs w:val="30"/>
          <w:lang w:eastAsia="zh-CN"/>
        </w:rPr>
        <w:t>国有经济行业布局</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_Toc15101 \h </w:instrText>
      </w:r>
      <w:r>
        <w:rPr>
          <w:rFonts w:hint="eastAsia" w:ascii="楷体_GB2312" w:eastAsia="楷体_GB2312" w:cs="楷体"/>
          <w:sz w:val="30"/>
          <w:szCs w:val="30"/>
        </w:rPr>
        <w:fldChar w:fldCharType="separate"/>
      </w:r>
      <w:r>
        <w:rPr>
          <w:rFonts w:hint="eastAsia" w:ascii="楷体_GB2312" w:eastAsia="楷体_GB2312" w:cs="楷体"/>
          <w:sz w:val="30"/>
          <w:szCs w:val="30"/>
        </w:rPr>
        <w:t>16</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_Toc2138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 xml:space="preserve">第二节 </w:t>
      </w:r>
      <w:r>
        <w:rPr>
          <w:rFonts w:hint="eastAsia" w:ascii="楷体_GB2312" w:eastAsia="楷体_GB2312" w:cs="楷体"/>
          <w:sz w:val="30"/>
          <w:szCs w:val="30"/>
          <w:lang w:eastAsia="zh-CN"/>
        </w:rPr>
        <w:t>国有资本向全市经济领域集中</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_Toc2138 \h </w:instrText>
      </w:r>
      <w:r>
        <w:rPr>
          <w:rFonts w:hint="eastAsia" w:ascii="楷体_GB2312" w:eastAsia="楷体_GB2312" w:cs="楷体"/>
          <w:sz w:val="30"/>
          <w:szCs w:val="30"/>
        </w:rPr>
        <w:fldChar w:fldCharType="separate"/>
      </w:r>
      <w:r>
        <w:rPr>
          <w:rFonts w:hint="eastAsia" w:ascii="楷体_GB2312" w:eastAsia="楷体_GB2312" w:cs="楷体"/>
          <w:sz w:val="30"/>
          <w:szCs w:val="30"/>
        </w:rPr>
        <w:t>17</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_Toc32018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第七章 深化国有企业改革发展</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_Toc32018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20</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_Toc9839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第一节 明确主责主业，调整国有企业的结构</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_Toc9839 \h </w:instrText>
      </w:r>
      <w:r>
        <w:rPr>
          <w:rFonts w:hint="eastAsia" w:ascii="楷体_GB2312" w:eastAsia="楷体_GB2312" w:cs="楷体"/>
          <w:sz w:val="30"/>
          <w:szCs w:val="30"/>
        </w:rPr>
        <w:fldChar w:fldCharType="separate"/>
      </w:r>
      <w:r>
        <w:rPr>
          <w:rFonts w:hint="eastAsia" w:ascii="楷体_GB2312" w:eastAsia="楷体_GB2312" w:cs="楷体"/>
          <w:sz w:val="30"/>
          <w:szCs w:val="30"/>
        </w:rPr>
        <w:t>20</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_Toc31228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 xml:space="preserve">第二节 </w:t>
      </w:r>
      <w:r>
        <w:rPr>
          <w:rFonts w:hint="eastAsia" w:ascii="楷体_GB2312" w:eastAsia="楷体_GB2312" w:cs="楷体"/>
          <w:sz w:val="30"/>
          <w:szCs w:val="30"/>
          <w:lang w:eastAsia="zh-CN"/>
        </w:rPr>
        <w:t>积极稳妥推进混合所有制改革</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_Toc31228 \h </w:instrText>
      </w:r>
      <w:r>
        <w:rPr>
          <w:rFonts w:hint="eastAsia" w:ascii="楷体_GB2312" w:eastAsia="楷体_GB2312" w:cs="楷体"/>
          <w:sz w:val="30"/>
          <w:szCs w:val="30"/>
        </w:rPr>
        <w:fldChar w:fldCharType="separate"/>
      </w:r>
      <w:r>
        <w:rPr>
          <w:rFonts w:hint="eastAsia" w:ascii="楷体_GB2312" w:eastAsia="楷体_GB2312" w:cs="楷体"/>
          <w:sz w:val="30"/>
          <w:szCs w:val="30"/>
        </w:rPr>
        <w:t>20</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_Toc7638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 xml:space="preserve">第三节 </w:t>
      </w:r>
      <w:r>
        <w:rPr>
          <w:rFonts w:hint="eastAsia" w:ascii="楷体_GB2312" w:eastAsia="楷体_GB2312" w:cs="楷体"/>
          <w:sz w:val="30"/>
          <w:szCs w:val="30"/>
          <w:lang w:eastAsia="zh-CN"/>
        </w:rPr>
        <w:t>着力构建中国特色现代企业制度</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_Toc7638 \h </w:instrText>
      </w:r>
      <w:r>
        <w:rPr>
          <w:rFonts w:hint="eastAsia" w:ascii="楷体_GB2312" w:eastAsia="楷体_GB2312" w:cs="楷体"/>
          <w:sz w:val="30"/>
          <w:szCs w:val="30"/>
        </w:rPr>
        <w:fldChar w:fldCharType="separate"/>
      </w:r>
      <w:r>
        <w:rPr>
          <w:rFonts w:hint="eastAsia" w:ascii="楷体_GB2312" w:eastAsia="楷体_GB2312" w:cs="楷体"/>
          <w:sz w:val="30"/>
          <w:szCs w:val="30"/>
        </w:rPr>
        <w:t>22</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_Toc28275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第四节 实施高水平对外开放</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_Toc28275 \h </w:instrText>
      </w:r>
      <w:r>
        <w:rPr>
          <w:rFonts w:hint="eastAsia" w:ascii="楷体_GB2312" w:eastAsia="楷体_GB2312" w:cs="楷体"/>
          <w:sz w:val="30"/>
          <w:szCs w:val="30"/>
        </w:rPr>
        <w:fldChar w:fldCharType="separate"/>
      </w:r>
      <w:r>
        <w:rPr>
          <w:rFonts w:hint="eastAsia" w:ascii="楷体_GB2312" w:eastAsia="楷体_GB2312" w:cs="楷体"/>
          <w:sz w:val="30"/>
          <w:szCs w:val="30"/>
        </w:rPr>
        <w:t>24</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_Toc16657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第五节 深化国资监管机构职能</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_Toc16657 \h </w:instrText>
      </w:r>
      <w:r>
        <w:rPr>
          <w:rFonts w:hint="eastAsia" w:ascii="楷体_GB2312" w:eastAsia="楷体_GB2312" w:cs="楷体"/>
          <w:sz w:val="30"/>
          <w:szCs w:val="30"/>
        </w:rPr>
        <w:fldChar w:fldCharType="separate"/>
      </w:r>
      <w:r>
        <w:rPr>
          <w:rFonts w:hint="eastAsia" w:ascii="楷体_GB2312" w:eastAsia="楷体_GB2312" w:cs="楷体"/>
          <w:sz w:val="30"/>
          <w:szCs w:val="30"/>
        </w:rPr>
        <w:t>24</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_Toc20748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第八章 强化国有资本监管力度</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_Toc20748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25</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_Toc18953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第一节 推动国有资本的运作能力</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_Toc18953 \h </w:instrText>
      </w:r>
      <w:r>
        <w:rPr>
          <w:rFonts w:hint="eastAsia" w:ascii="楷体_GB2312" w:eastAsia="楷体_GB2312" w:cs="楷体"/>
          <w:sz w:val="30"/>
          <w:szCs w:val="30"/>
        </w:rPr>
        <w:fldChar w:fldCharType="separate"/>
      </w:r>
      <w:r>
        <w:rPr>
          <w:rFonts w:hint="eastAsia" w:ascii="楷体_GB2312" w:eastAsia="楷体_GB2312" w:cs="楷体"/>
          <w:sz w:val="30"/>
          <w:szCs w:val="30"/>
        </w:rPr>
        <w:t>25</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_Toc25331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第二节 实施有效管控，确保国有资本保值增值</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_Toc25331 \h </w:instrText>
      </w:r>
      <w:r>
        <w:rPr>
          <w:rFonts w:hint="eastAsia" w:ascii="楷体_GB2312" w:eastAsia="楷体_GB2312" w:cs="楷体"/>
          <w:sz w:val="30"/>
          <w:szCs w:val="30"/>
        </w:rPr>
        <w:fldChar w:fldCharType="separate"/>
      </w:r>
      <w:r>
        <w:rPr>
          <w:rFonts w:hint="eastAsia" w:ascii="楷体_GB2312" w:eastAsia="楷体_GB2312" w:cs="楷体"/>
          <w:sz w:val="30"/>
          <w:szCs w:val="30"/>
        </w:rPr>
        <w:t>25</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_Toc20612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第九章 全面加强国企党建工作</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_Toc20612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28</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_Toc21269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第一节 加强党对国有企业的全面领导</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_Toc21269 \h </w:instrText>
      </w:r>
      <w:r>
        <w:rPr>
          <w:rFonts w:hint="eastAsia" w:ascii="楷体_GB2312" w:eastAsia="楷体_GB2312" w:cs="楷体"/>
          <w:sz w:val="30"/>
          <w:szCs w:val="30"/>
        </w:rPr>
        <w:fldChar w:fldCharType="separate"/>
      </w:r>
      <w:r>
        <w:rPr>
          <w:rFonts w:hint="eastAsia" w:ascii="楷体_GB2312" w:eastAsia="楷体_GB2312" w:cs="楷体"/>
          <w:sz w:val="30"/>
          <w:szCs w:val="30"/>
        </w:rPr>
        <w:t>28</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楷体_GB2312" w:eastAsia="楷体_GB2312" w:cs="楷体"/>
          <w:sz w:val="30"/>
          <w:szCs w:val="30"/>
        </w:rPr>
      </w:pP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HYPERLINK \l _Toc19723 </w:instrText>
      </w:r>
      <w:r>
        <w:rPr>
          <w:rFonts w:hint="eastAsia" w:ascii="楷体_GB2312" w:eastAsia="楷体_GB2312" w:cs="楷体"/>
          <w:sz w:val="30"/>
          <w:szCs w:val="30"/>
        </w:rPr>
        <w:fldChar w:fldCharType="separate"/>
      </w:r>
      <w:r>
        <w:rPr>
          <w:rFonts w:hint="eastAsia" w:ascii="楷体_GB2312" w:eastAsia="楷体_GB2312" w:cs="楷体"/>
          <w:sz w:val="30"/>
          <w:szCs w:val="30"/>
          <w:lang w:val="en-US" w:eastAsia="zh-CN"/>
        </w:rPr>
        <w:t>第二节 全面提高国有企业党的建设质量</w:t>
      </w:r>
      <w:r>
        <w:rPr>
          <w:rFonts w:hint="eastAsia" w:ascii="楷体_GB2312" w:eastAsia="楷体_GB2312" w:cs="楷体"/>
          <w:sz w:val="30"/>
          <w:szCs w:val="30"/>
        </w:rPr>
        <w:tab/>
      </w:r>
      <w:r>
        <w:rPr>
          <w:rFonts w:hint="eastAsia" w:ascii="楷体_GB2312" w:eastAsia="楷体_GB2312" w:cs="楷体"/>
          <w:sz w:val="30"/>
          <w:szCs w:val="30"/>
        </w:rPr>
        <w:fldChar w:fldCharType="begin"/>
      </w:r>
      <w:r>
        <w:rPr>
          <w:rFonts w:hint="eastAsia" w:ascii="楷体_GB2312" w:eastAsia="楷体_GB2312" w:cs="楷体"/>
          <w:sz w:val="30"/>
          <w:szCs w:val="30"/>
        </w:rPr>
        <w:instrText xml:space="preserve"> PAGEREF _Toc19723 \h </w:instrText>
      </w:r>
      <w:r>
        <w:rPr>
          <w:rFonts w:hint="eastAsia" w:ascii="楷体_GB2312" w:eastAsia="楷体_GB2312" w:cs="楷体"/>
          <w:sz w:val="30"/>
          <w:szCs w:val="30"/>
        </w:rPr>
        <w:fldChar w:fldCharType="separate"/>
      </w:r>
      <w:r>
        <w:rPr>
          <w:rFonts w:hint="eastAsia" w:ascii="楷体_GB2312" w:eastAsia="楷体_GB2312" w:cs="楷体"/>
          <w:sz w:val="30"/>
          <w:szCs w:val="30"/>
        </w:rPr>
        <w:t>29</w:t>
      </w:r>
      <w:r>
        <w:rPr>
          <w:rFonts w:hint="eastAsia" w:ascii="楷体_GB2312" w:eastAsia="楷体_GB2312" w:cs="楷体"/>
          <w:sz w:val="30"/>
          <w:szCs w:val="30"/>
        </w:rPr>
        <w:fldChar w:fldCharType="end"/>
      </w:r>
      <w:r>
        <w:rPr>
          <w:rFonts w:hint="eastAsia" w:ascii="楷体_GB2312" w:eastAsia="楷体_GB2312" w:cs="楷体"/>
          <w:sz w:val="30"/>
          <w:szCs w:val="30"/>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HYPERLINK \l _Toc28635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val="en-US" w:eastAsia="zh-CN"/>
        </w:rPr>
        <w:t>第四篇 组织和保障措施</w:t>
      </w:r>
      <w:r>
        <w:rPr>
          <w:rFonts w:hint="eastAsia" w:ascii="方正小标宋简体" w:hAnsi="方正小标宋简体" w:eastAsia="方正小标宋简体" w:cs="方正小标宋简体"/>
          <w:bCs/>
          <w:sz w:val="32"/>
          <w:szCs w:val="32"/>
          <w:lang w:eastAsia="zh-CN"/>
        </w:rPr>
        <w:tab/>
      </w:r>
      <w:r>
        <w:rPr>
          <w:rFonts w:hint="eastAsia" w:ascii="方正小标宋简体" w:hAnsi="方正小标宋简体" w:eastAsia="方正小标宋简体" w:cs="方正小标宋简体"/>
          <w:bCs/>
          <w:sz w:val="32"/>
          <w:szCs w:val="32"/>
          <w:lang w:eastAsia="zh-CN"/>
        </w:rPr>
        <w:fldChar w:fldCharType="begin"/>
      </w:r>
      <w:r>
        <w:rPr>
          <w:rFonts w:hint="eastAsia" w:ascii="方正小标宋简体" w:hAnsi="方正小标宋简体" w:eastAsia="方正小标宋简体" w:cs="方正小标宋简体"/>
          <w:bCs/>
          <w:sz w:val="32"/>
          <w:szCs w:val="32"/>
          <w:lang w:eastAsia="zh-CN"/>
        </w:rPr>
        <w:instrText xml:space="preserve"> PAGEREF _Toc28635 \h </w:instrText>
      </w:r>
      <w:r>
        <w:rPr>
          <w:rFonts w:hint="eastAsia" w:ascii="方正小标宋简体" w:hAnsi="方正小标宋简体" w:eastAsia="方正小标宋简体" w:cs="方正小标宋简体"/>
          <w:bCs/>
          <w:sz w:val="32"/>
          <w:szCs w:val="32"/>
          <w:lang w:eastAsia="zh-CN"/>
        </w:rPr>
        <w:fldChar w:fldCharType="separate"/>
      </w:r>
      <w:r>
        <w:rPr>
          <w:rFonts w:hint="eastAsia" w:ascii="方正小标宋简体" w:hAnsi="方正小标宋简体" w:eastAsia="方正小标宋简体" w:cs="方正小标宋简体"/>
          <w:bCs/>
          <w:sz w:val="32"/>
          <w:szCs w:val="32"/>
          <w:lang w:eastAsia="zh-CN"/>
        </w:rPr>
        <w:t>31</w:t>
      </w:r>
      <w:r>
        <w:rPr>
          <w:rFonts w:hint="eastAsia" w:ascii="方正小标宋简体" w:hAnsi="方正小标宋简体" w:eastAsia="方正小标宋简体" w:cs="方正小标宋简体"/>
          <w:bCs/>
          <w:sz w:val="32"/>
          <w:szCs w:val="32"/>
          <w:lang w:eastAsia="zh-CN"/>
        </w:rPr>
        <w:fldChar w:fldCharType="end"/>
      </w:r>
      <w:r>
        <w:rPr>
          <w:rFonts w:hint="eastAsia" w:ascii="方正小标宋简体" w:hAnsi="方正小标宋简体" w:eastAsia="方正小标宋简体" w:cs="方正小标宋简体"/>
          <w:bCs/>
          <w:sz w:val="32"/>
          <w:szCs w:val="32"/>
          <w:lang w:eastAsia="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_Toc21569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第十章 强化组织领导，解决规划发展瓶颈</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_Toc21569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31</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_Toc954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第十一章 建立制度机制，推动规划有效实施</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_Toc954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31</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eastAsia" w:ascii="黑体" w:hAnsi="黑体" w:eastAsia="黑体" w:cs="黑体"/>
          <w:bCs w:val="0"/>
          <w:sz w:val="30"/>
          <w:szCs w:val="30"/>
        </w:rPr>
      </w:pP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HYPERLINK \l _Toc21952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lang w:val="en-US" w:eastAsia="zh-CN"/>
        </w:rPr>
        <w:t>第十二章 实施战略规划绩效考核</w:t>
      </w:r>
      <w:r>
        <w:rPr>
          <w:rFonts w:hint="eastAsia" w:ascii="黑体" w:hAnsi="黑体" w:eastAsia="黑体" w:cs="黑体"/>
          <w:bCs w:val="0"/>
          <w:sz w:val="30"/>
          <w:szCs w:val="30"/>
        </w:rPr>
        <w:tab/>
      </w:r>
      <w:r>
        <w:rPr>
          <w:rFonts w:hint="eastAsia" w:ascii="黑体" w:hAnsi="黑体" w:eastAsia="黑体" w:cs="黑体"/>
          <w:bCs w:val="0"/>
          <w:sz w:val="30"/>
          <w:szCs w:val="30"/>
        </w:rPr>
        <w:fldChar w:fldCharType="begin"/>
      </w:r>
      <w:r>
        <w:rPr>
          <w:rFonts w:hint="eastAsia" w:ascii="黑体" w:hAnsi="黑体" w:eastAsia="黑体" w:cs="黑体"/>
          <w:bCs w:val="0"/>
          <w:sz w:val="30"/>
          <w:szCs w:val="30"/>
        </w:rPr>
        <w:instrText xml:space="preserve"> PAGEREF _Toc21952 \h </w:instrText>
      </w:r>
      <w:r>
        <w:rPr>
          <w:rFonts w:hint="eastAsia" w:ascii="黑体" w:hAnsi="黑体" w:eastAsia="黑体" w:cs="黑体"/>
          <w:bCs w:val="0"/>
          <w:sz w:val="30"/>
          <w:szCs w:val="30"/>
        </w:rPr>
        <w:fldChar w:fldCharType="separate"/>
      </w:r>
      <w:r>
        <w:rPr>
          <w:rFonts w:hint="eastAsia" w:ascii="黑体" w:hAnsi="黑体" w:eastAsia="黑体" w:cs="黑体"/>
          <w:bCs w:val="0"/>
          <w:sz w:val="30"/>
          <w:szCs w:val="30"/>
        </w:rPr>
        <w:t>31</w:t>
      </w:r>
      <w:r>
        <w:rPr>
          <w:rFonts w:hint="eastAsia" w:ascii="黑体" w:hAnsi="黑体" w:eastAsia="黑体" w:cs="黑体"/>
          <w:bCs w:val="0"/>
          <w:sz w:val="30"/>
          <w:szCs w:val="30"/>
        </w:rPr>
        <w:fldChar w:fldCharType="end"/>
      </w:r>
      <w:r>
        <w:rPr>
          <w:rFonts w:hint="eastAsia" w:ascii="黑体" w:hAnsi="黑体" w:eastAsia="黑体" w:cs="黑体"/>
          <w:bCs w:val="0"/>
          <w:sz w:val="30"/>
          <w:szCs w:val="30"/>
        </w:rPr>
        <w:fldChar w:fldCharType="end"/>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pPr>
      <w:r>
        <w:rPr>
          <w:szCs w:val="22"/>
        </w:rPr>
        <w:fldChar w:fldCharType="end"/>
      </w:r>
    </w:p>
    <w:p>
      <w:pPr>
        <w:pStyle w:val="46"/>
        <w:pageBreakBefore w:val="0"/>
        <w:kinsoku/>
        <w:wordWrap/>
        <w:overflowPunct/>
        <w:topLinePunct w:val="0"/>
        <w:autoSpaceDE/>
        <w:autoSpaceDN/>
        <w:bidi w:val="0"/>
        <w:spacing w:line="580" w:lineRule="exact"/>
        <w:ind w:left="0" w:leftChars="0"/>
        <w:jc w:val="center"/>
        <w:rPr>
          <w:rFonts w:ascii="Times New Roman" w:hAnsi="Times New Roman" w:eastAsia="仿宋_GB2312" w:cstheme="minorBidi"/>
          <w:color w:val="auto"/>
          <w:kern w:val="2"/>
          <w:szCs w:val="24"/>
          <w:lang w:val="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adjustRightInd w:val="0"/>
        <w:snapToGrid w:val="0"/>
        <w:spacing w:line="580" w:lineRule="exact"/>
        <w:ind w:left="0" w:leftChars="0"/>
        <w:jc w:val="center"/>
        <w:outlineLvl w:val="0"/>
        <w:rPr>
          <w:rFonts w:hint="eastAsia" w:ascii="方正小标宋简体" w:hAnsi="方正小标宋简体" w:eastAsia="方正小标宋简体" w:cs="方正小标宋简体"/>
          <w:b/>
          <w:bCs/>
          <w:sz w:val="36"/>
          <w:szCs w:val="36"/>
          <w:lang w:eastAsia="zh-CN"/>
        </w:rPr>
      </w:pPr>
      <w:bookmarkStart w:id="26" w:name="_Toc7577"/>
      <w:r>
        <w:rPr>
          <w:rFonts w:hint="eastAsia" w:ascii="方正小标宋简体" w:hAnsi="方正小标宋简体" w:eastAsia="方正小标宋简体" w:cs="方正小标宋简体"/>
          <w:b/>
          <w:bCs/>
          <w:sz w:val="36"/>
          <w:szCs w:val="36"/>
          <w:lang w:eastAsia="zh-CN"/>
        </w:rPr>
        <w:t>前  言</w:t>
      </w:r>
      <w:bookmarkEnd w:id="26"/>
    </w:p>
    <w:p>
      <w:pPr>
        <w:rPr>
          <w:rFonts w:hint="eastAsia"/>
          <w:lang w:val="en-US" w:eastAsia="zh-CN"/>
        </w:rPr>
      </w:pPr>
    </w:p>
    <w:p>
      <w:pPr>
        <w:pageBreakBefore w:val="0"/>
        <w:kinsoku/>
        <w:wordWrap/>
        <w:overflowPunct/>
        <w:topLinePunct w:val="0"/>
        <w:autoSpaceDE/>
        <w:autoSpaceDN/>
        <w:bidi w:val="0"/>
        <w:spacing w:line="580" w:lineRule="exact"/>
        <w:ind w:left="0" w:leftChars="0" w:firstLine="646"/>
        <w:rPr>
          <w:rFonts w:hint="eastAsia" w:ascii="仿宋" w:hAnsi="仿宋" w:eastAsia="仿宋"/>
          <w:sz w:val="32"/>
          <w:szCs w:val="32"/>
          <w:lang w:val="en-US" w:eastAsia="zh-CN"/>
        </w:rPr>
      </w:pPr>
      <w:r>
        <w:rPr>
          <w:rFonts w:hint="eastAsia" w:ascii="仿宋" w:hAnsi="仿宋" w:eastAsia="仿宋"/>
          <w:sz w:val="32"/>
          <w:szCs w:val="32"/>
          <w:lang w:val="en-US" w:eastAsia="zh-CN"/>
        </w:rPr>
        <w:t>近年来，我市认真贯彻中央、省、市国资国企改革部署，按照“五位一体”总体布局和“四个全面”战略布局，牢固树立和落实“五大发展理念”，围绕转方式、调结构、补短板，全力推进国有企业深化改革，不断提升全市国有企业资产总量、运行质量和企业效益，为推动我市经济社会发展作出了积极贡献。</w:t>
      </w:r>
    </w:p>
    <w:p>
      <w:pPr>
        <w:pageBreakBefore w:val="0"/>
        <w:kinsoku/>
        <w:wordWrap/>
        <w:overflowPunct/>
        <w:topLinePunct w:val="0"/>
        <w:autoSpaceDE/>
        <w:autoSpaceDN/>
        <w:bidi w:val="0"/>
        <w:spacing w:line="580" w:lineRule="exact"/>
        <w:ind w:left="0" w:leftChars="0" w:firstLine="646"/>
        <w:rPr>
          <w:rFonts w:hint="eastAsia" w:ascii="仿宋" w:hAnsi="仿宋" w:eastAsia="仿宋"/>
          <w:color w:val="0000FF"/>
          <w:sz w:val="32"/>
          <w:szCs w:val="32"/>
          <w:lang w:val="en-US" w:eastAsia="zh-CN"/>
        </w:rPr>
      </w:pPr>
      <w:r>
        <w:rPr>
          <w:rFonts w:hint="eastAsia" w:ascii="仿宋" w:hAnsi="仿宋" w:eastAsia="仿宋"/>
          <w:sz w:val="32"/>
          <w:szCs w:val="32"/>
          <w:lang w:val="en-US" w:eastAsia="zh-CN"/>
        </w:rPr>
        <w:t>2021年是我国国民经济和社会发展第十四个五年规划时期</w:t>
      </w:r>
      <w:r>
        <w:rPr>
          <w:rFonts w:hint="eastAsia" w:ascii="仿宋_GB2312" w:hAnsi="仿宋_GB2312" w:eastAsia="仿宋_GB2312" w:cs="仿宋_GB2312"/>
          <w:sz w:val="32"/>
          <w:szCs w:val="32"/>
          <w:lang w:val="en-US" w:eastAsia="zh-CN"/>
        </w:rPr>
        <w:t>和“两个一百年”奋斗目标的历史交汇期，也是</w:t>
      </w:r>
      <w:bookmarkStart w:id="62" w:name="_GoBack"/>
      <w:bookmarkEnd w:id="62"/>
      <w:r>
        <w:rPr>
          <w:rFonts w:hint="eastAsia" w:ascii="仿宋_GB2312" w:hAnsi="仿宋_GB2312" w:eastAsia="仿宋_GB2312" w:cs="仿宋_GB2312"/>
          <w:sz w:val="32"/>
          <w:szCs w:val="32"/>
          <w:lang w:val="en-US" w:eastAsia="zh-CN"/>
        </w:rPr>
        <w:t>贵州省实施“强省会”五年行动的起步之年、开局之年。</w:t>
      </w:r>
      <w:r>
        <w:rPr>
          <w:rFonts w:hint="eastAsia" w:ascii="仿宋" w:hAnsi="仿宋" w:eastAsia="仿宋"/>
          <w:sz w:val="32"/>
          <w:szCs w:val="32"/>
          <w:lang w:val="en-US" w:eastAsia="zh-CN"/>
        </w:rPr>
        <w:t>为主动适应、把握、引领经济发展新常态，按照《“十四五”全国国资系统国有资本布局优化和结构调整规划》《贵州省国民经济和社会发展第十四个五年规划和2035年远景目标纲要》等国有资本战略导向以及贵州省国资委的编制要求，编制《贵阳市国有资本布局与结构战略性调整“十四五”规划》，并结合“强省会”总体目标及重点任务对部分指标值进行了调整完善，旨在进一步明确全市国有资本工作方向，统筹推进全市国有资本高质量发展，是2021-2025年全市国企全面深化改革发展的科学性、前瞻性、系统性、可操作性、可实现性的规划，是“十四五”时期全市国资国企改革发展的行动纲领。</w:t>
      </w:r>
    </w:p>
    <w:p>
      <w:pPr>
        <w:pStyle w:val="18"/>
        <w:keepNext w:val="0"/>
        <w:keepLines w:val="0"/>
        <w:pageBreakBefore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bookmarkStart w:id="27" w:name="_Toc6937"/>
      <w:bookmarkStart w:id="28" w:name="_Toc8207"/>
    </w:p>
    <w:p>
      <w:pPr>
        <w:pStyle w:val="12"/>
        <w:pageBreakBefore w:val="0"/>
        <w:kinsoku/>
        <w:wordWrap/>
        <w:overflowPunct/>
        <w:topLinePunct w:val="0"/>
        <w:autoSpaceDE/>
        <w:autoSpaceDN/>
        <w:bidi w:val="0"/>
        <w:spacing w:line="580" w:lineRule="exact"/>
        <w:ind w:left="0" w:leftChars="0"/>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p>
    <w:bookmarkEnd w:id="27"/>
    <w:bookmarkEnd w:id="28"/>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jc w:val="center"/>
        <w:outlineLvl w:val="0"/>
        <w:rPr>
          <w:rFonts w:hint="default" w:ascii="黑体" w:eastAsia="方正小标宋简体" w:cs="黑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 xml:space="preserve"> </w:t>
      </w:r>
      <w:bookmarkStart w:id="29" w:name="_Toc26233"/>
      <w:r>
        <w:rPr>
          <w:rFonts w:hint="eastAsia" w:ascii="方正小标宋简体" w:hAnsi="方正小标宋简体" w:eastAsia="方正小标宋简体" w:cs="方正小标宋简体"/>
          <w:b/>
          <w:bCs/>
          <w:sz w:val="36"/>
          <w:szCs w:val="36"/>
          <w:lang w:val="en-US" w:eastAsia="zh-CN"/>
        </w:rPr>
        <w:t>发展基础与面临形势</w:t>
      </w:r>
      <w:bookmarkEnd w:id="29"/>
    </w:p>
    <w:p>
      <w:pPr>
        <w:pStyle w:val="2"/>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30" w:name="_Toc9686"/>
      <w:r>
        <w:rPr>
          <w:rFonts w:hint="eastAsia" w:ascii="黑体" w:hAnsi="黑体" w:eastAsia="黑体" w:cs="黑体"/>
          <w:b w:val="0"/>
          <w:bCs w:val="0"/>
          <w:sz w:val="32"/>
          <w:szCs w:val="32"/>
          <w:lang w:val="en-US" w:eastAsia="zh-CN"/>
        </w:rPr>
        <w:t>发展基础</w:t>
      </w:r>
      <w:bookmarkEnd w:id="30"/>
    </w:p>
    <w:p>
      <w:pPr>
        <w:rPr>
          <w:rFonts w:hint="eastAsia"/>
          <w:lang w:val="en-US" w:eastAsia="zh-CN"/>
        </w:rPr>
      </w:pPr>
    </w:p>
    <w:p>
      <w:pPr>
        <w:pageBreakBefore w:val="0"/>
        <w:kinsoku/>
        <w:wordWrap/>
        <w:overflowPunct/>
        <w:topLinePunct w:val="0"/>
        <w:autoSpaceDE/>
        <w:autoSpaceDN/>
        <w:bidi w:val="0"/>
        <w:spacing w:line="580" w:lineRule="exact"/>
        <w:ind w:left="0" w:leftChars="0" w:firstLine="646"/>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十三五</w:t>
      </w:r>
      <w:r>
        <w:rPr>
          <w:rFonts w:hint="eastAsia" w:ascii="仿宋" w:hAnsi="仿宋" w:eastAsia="仿宋"/>
          <w:sz w:val="32"/>
          <w:szCs w:val="32"/>
          <w:lang w:eastAsia="zh-CN"/>
        </w:rPr>
        <w:t>”</w:t>
      </w:r>
      <w:r>
        <w:rPr>
          <w:rFonts w:hint="eastAsia" w:ascii="仿宋" w:hAnsi="仿宋" w:eastAsia="仿宋"/>
          <w:sz w:val="32"/>
          <w:szCs w:val="32"/>
        </w:rPr>
        <w:t>期间，</w:t>
      </w:r>
      <w:r>
        <w:rPr>
          <w:rFonts w:hint="eastAsia" w:ascii="仿宋" w:hAnsi="仿宋" w:eastAsia="仿宋"/>
          <w:sz w:val="32"/>
          <w:szCs w:val="32"/>
          <w:lang w:val="en-US" w:eastAsia="zh-CN"/>
        </w:rPr>
        <w:t>面对错综复杂的国内外环境和艰巨繁重的国资国企改革发展任</w:t>
      </w:r>
      <w:r>
        <w:rPr>
          <w:rFonts w:hint="eastAsia" w:ascii="仿宋" w:hAnsi="仿宋" w:eastAsia="仿宋"/>
          <w:sz w:val="32"/>
          <w:szCs w:val="32"/>
          <w:highlight w:val="none"/>
          <w:lang w:val="en-US" w:eastAsia="zh-CN"/>
        </w:rPr>
        <w:t>务，贵阳市国资国企系统</w:t>
      </w:r>
      <w:r>
        <w:rPr>
          <w:rFonts w:hint="eastAsia" w:ascii="仿宋_GB2312" w:hAnsi="仿宋_GB2312" w:eastAsia="仿宋_GB2312" w:cs="仿宋_GB2312"/>
          <w:sz w:val="32"/>
          <w:szCs w:val="32"/>
          <w:highlight w:val="none"/>
        </w:rPr>
        <w:t>按照党中央国务院关于</w:t>
      </w:r>
      <w:r>
        <w:rPr>
          <w:rFonts w:hint="eastAsia" w:ascii="仿宋" w:hAnsi="仿宋" w:eastAsia="仿宋"/>
          <w:sz w:val="32"/>
          <w:szCs w:val="32"/>
          <w:highlight w:val="none"/>
          <w:lang w:val="en-US" w:eastAsia="zh-CN"/>
        </w:rPr>
        <w:t>深化国企改革的指导方针，在市委、</w:t>
      </w:r>
      <w:r>
        <w:rPr>
          <w:rFonts w:hint="eastAsia" w:ascii="仿宋" w:hAnsi="仿宋" w:eastAsia="仿宋"/>
          <w:sz w:val="32"/>
          <w:szCs w:val="32"/>
          <w:lang w:val="en-US" w:eastAsia="zh-CN"/>
        </w:rPr>
        <w:t>市政府统一部署下，以发展大局为己任，以提升企业竞争力和释放发展活力为核心，紧扣“改革、提质、增效、发展”的总体思路，持续深化国资国企改革，打造国有经济发展新标杆，积极为全市经济和社会稳定作出了重要作用，圆满完成2015年至2020年发展目标，为2021年至2025年发展奠定了坚实基础。</w:t>
      </w:r>
    </w:p>
    <w:p>
      <w:pPr>
        <w:pStyle w:val="2"/>
        <w:pageBreakBefore w:val="0"/>
        <w:kinsoku/>
        <w:wordWrap/>
        <w:overflowPunct/>
        <w:topLinePunct w:val="0"/>
        <w:autoSpaceDE/>
        <w:autoSpaceDN/>
        <w:bidi w:val="0"/>
        <w:spacing w:line="580" w:lineRule="exact"/>
        <w:ind w:left="0" w:leftChars="0"/>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一、国有企业党建质量提升，党建引领作用突出</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全面落实全市党建工作。通过党委（扩大）会议、中心组学习、主题党日活动等多种形式，扎实推动国企党建各项工作有序开展，定期组织召开全市国企党建工作领导小组会议、专题调度会，积极安排部署全市国企党建工作任务，定期每年第一季度组织召开市管企业党委书记抓党建现场述职评议暨全市国企党建工作部署会，落实年度党建重点任务。</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建立健全国企党建机制。市级国有企业战略性重组后，出台了《关于进一步加强国有企业党的领导和党的建设的实施意见》《市级国有企业党的建设工作管理办法》《市级国有企业党建工作考评办法》等规章制度，确保党建工作不断档、有人抓、有人管、出成效。</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党建创新试点工作取得实效。着力实施全市国有企业党支部标准化规范化建设，创建城发集团项目公司、贵阳农产品物流园精品党建品牌示范点，打造“党建5+5、党员1+1”品牌，建设“初心365”党支部，全年无休服务“三农”。</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强化国有企业党的领导地位。把党的领导融入公司治理各环节，充分发挥企业党组织把方向、管大局、保落实的领导核心和政治核心作用，落实国有企业党组织研究讨论工作作为董事会、经理层决策重大问题的前置程序，落实“党建入章”、党组织议事决策、党建工作保障“两个1%”等国企党建重点工作任务。</w:t>
      </w:r>
    </w:p>
    <w:p>
      <w:pPr>
        <w:pStyle w:val="2"/>
        <w:pageBreakBefore w:val="0"/>
        <w:kinsoku/>
        <w:wordWrap/>
        <w:overflowPunct/>
        <w:topLinePunct w:val="0"/>
        <w:autoSpaceDE/>
        <w:autoSpaceDN/>
        <w:bidi w:val="0"/>
        <w:spacing w:line="580" w:lineRule="exact"/>
        <w:ind w:left="0" w:leftChars="0"/>
        <w:rPr>
          <w:rFonts w:hint="eastAsia"/>
          <w:lang w:val="en-US" w:eastAsia="zh-CN"/>
        </w:rPr>
      </w:pPr>
      <w:r>
        <w:rPr>
          <w:rFonts w:hint="eastAsia"/>
          <w:b w:val="0"/>
          <w:bCs w:val="0"/>
          <w:lang w:val="en-US" w:eastAsia="zh-CN"/>
        </w:rPr>
        <w:t>发挥党建纪检示范引领作用。国有企业主要领导以身作则，坚持把管党治党与国资监管国企改革各项工作同谋划、同部署、同推进、同考核，全面从严治党真抓真管、真管真严。市级国资监管机构制定每年年度党风廉政建设工作要点，明确党风廉政建设和反腐败工作的具体</w:t>
      </w:r>
      <w:r>
        <w:rPr>
          <w:rFonts w:hint="eastAsia"/>
          <w:lang w:val="en-US" w:eastAsia="zh-CN"/>
        </w:rPr>
        <w:t>措施和要求，落实《党风廉政建设责任书》工作要求，将党要管党、全面从严治党主体责任压紧压实，努力构筑企业领导人员不敢腐、不能腐、不想腐的有效机制，维护风清气正的政治生态。</w:t>
      </w:r>
    </w:p>
    <w:p>
      <w:pPr>
        <w:pStyle w:val="2"/>
        <w:pageBreakBefore w:val="0"/>
        <w:kinsoku/>
        <w:wordWrap/>
        <w:overflowPunct/>
        <w:topLinePunct w:val="0"/>
        <w:autoSpaceDE/>
        <w:autoSpaceDN/>
        <w:bidi w:val="0"/>
        <w:spacing w:line="580" w:lineRule="exact"/>
        <w:ind w:left="0" w:left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二、国有企业改革纵深推进，重组整合成效显现</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有序推进国有企业改革进程。市委、市政府出台《关于进一步深化国有企业改革的实施意见》《市级国有企业战略性重组方案》《贵阳市深化国有企业改革行动方案》，通过强化制度引领优化顶层设计，推进国有经济布局优化和结构调整，进一步充分发挥国有企业在全市经济社会发展中的引领、带动和支撑作用。</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全力推进企业战略性重组。组建优化市农投集团、贵阳水务集团、市卫健投集团、市控股集团，实现国有经济向农业农垦、水务一体化产、医疗（康养）行业集中，构建国有资本体系化。</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制定重组规划，确定战略目标。编制全市国资国企2019—2023年发展战略规划，推进市级国有企业战略重组后加快发展速度，探索有效的运营模式，优化国有资本布局，促进国有资本合理流动，实现国有资本保值增值。</w:t>
      </w:r>
    </w:p>
    <w:p>
      <w:pPr>
        <w:pStyle w:val="2"/>
        <w:pageBreakBefore w:val="0"/>
        <w:kinsoku/>
        <w:wordWrap/>
        <w:overflowPunct/>
        <w:topLinePunct w:val="0"/>
        <w:autoSpaceDE/>
        <w:autoSpaceDN/>
        <w:bidi w:val="0"/>
        <w:spacing w:line="580" w:lineRule="exact"/>
        <w:ind w:left="0" w:left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三、国有经济布局得到优化，经济发展动力增强</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助推全市重大项目（重点工程）建设。积极履行社会责任，不断提高全市公共服务质量和水平，为城市建设提供有力支撑。2015年以来，轨道交通1号线、人民大道、花冠路、花溪大道改造等一批重大基础设施建成投入运营。</w:t>
      </w:r>
    </w:p>
    <w:p>
      <w:pPr>
        <w:pStyle w:val="2"/>
        <w:pageBreakBefore w:val="0"/>
        <w:kinsoku/>
        <w:wordWrap/>
        <w:overflowPunct/>
        <w:topLinePunct w:val="0"/>
        <w:autoSpaceDE/>
        <w:autoSpaceDN/>
        <w:bidi w:val="0"/>
        <w:spacing w:line="580" w:lineRule="exact"/>
        <w:ind w:left="0" w:leftChars="0"/>
        <w:rPr>
          <w:rFonts w:hint="eastAsia"/>
          <w:b w:val="0"/>
          <w:bCs w:val="0"/>
          <w:color w:val="auto"/>
          <w:lang w:val="en-US" w:eastAsia="zh-CN"/>
        </w:rPr>
      </w:pPr>
      <w:r>
        <w:rPr>
          <w:rFonts w:hint="eastAsia"/>
          <w:b w:val="0"/>
          <w:bCs w:val="0"/>
          <w:lang w:val="en-US" w:eastAsia="zh-CN"/>
        </w:rPr>
        <w:t>企业融资渠道不断拓宽。优化企业融资结构，逐步提升融资占比。其中，市交通集团积极探索推进发行境外债，贵阳产控集团稳妥推进债权融资计划，市城投集团大力开展基础设施领域不动产投资信托基金（REITs）融资工作，</w:t>
      </w:r>
      <w:r>
        <w:rPr>
          <w:rFonts w:hint="eastAsia"/>
          <w:b w:val="0"/>
          <w:bCs w:val="0"/>
          <w:color w:val="auto"/>
          <w:lang w:val="en-US" w:eastAsia="zh-CN"/>
        </w:rPr>
        <w:t>创投公司设立工投生物医药、引凤、甲秀、省高新技术等各类基金，推动基金与国企发展协同效应。</w:t>
      </w:r>
    </w:p>
    <w:p>
      <w:pPr>
        <w:pStyle w:val="2"/>
        <w:pageBreakBefore w:val="0"/>
        <w:kinsoku/>
        <w:wordWrap/>
        <w:overflowPunct/>
        <w:topLinePunct w:val="0"/>
        <w:autoSpaceDE/>
        <w:autoSpaceDN/>
        <w:bidi w:val="0"/>
        <w:spacing w:line="580" w:lineRule="exact"/>
        <w:ind w:left="0" w:left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四、国有企业混改稳妥推进，活力提升效果显著</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上市工作取得实质性成效。2016年贵阳银行成功上市，成为中西部第一家A股上市银行，贵州省第一家上市金融企业；贵州兴艺景</w:t>
      </w:r>
      <w:r>
        <w:rPr>
          <w:rFonts w:hint="eastAsia"/>
          <w:b w:val="0"/>
          <w:bCs w:val="0"/>
          <w:highlight w:val="none"/>
          <w:lang w:val="en-US" w:eastAsia="zh-CN"/>
        </w:rPr>
        <w:t>、贵阳旅文产</w:t>
      </w:r>
      <w:r>
        <w:rPr>
          <w:rFonts w:hint="eastAsia"/>
          <w:b w:val="0"/>
          <w:bCs w:val="0"/>
          <w:color w:val="auto"/>
          <w:highlight w:val="none"/>
          <w:lang w:val="en-US" w:eastAsia="zh-CN"/>
        </w:rPr>
        <w:t>业在新</w:t>
      </w:r>
      <w:r>
        <w:rPr>
          <w:rFonts w:hint="eastAsia"/>
          <w:b w:val="0"/>
          <w:bCs w:val="0"/>
          <w:color w:val="auto"/>
          <w:lang w:val="en-US" w:eastAsia="zh-CN"/>
        </w:rPr>
        <w:t>三板挂牌；贵州中铝、贵阳市白马峪景区在四板挂牌。2018年以来，先后启动了贵阳北控水务、南方乳业的上市工作。</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积极引进各类投资者，实现股权多元化。大力推动二、三级（含）以下企业股权多元化发展，有效将产业发展与资本运作相结合，实现资本市场融资和增值。</w:t>
      </w:r>
    </w:p>
    <w:p>
      <w:pPr>
        <w:pStyle w:val="2"/>
        <w:pageBreakBefore w:val="0"/>
        <w:kinsoku/>
        <w:wordWrap/>
        <w:overflowPunct/>
        <w:topLinePunct w:val="0"/>
        <w:autoSpaceDE/>
        <w:autoSpaceDN/>
        <w:bidi w:val="0"/>
        <w:spacing w:line="580" w:lineRule="exact"/>
        <w:ind w:left="0" w:leftChars="0"/>
        <w:rPr>
          <w:rFonts w:hint="eastAsia"/>
          <w:lang w:val="en-US" w:eastAsia="zh-CN"/>
        </w:rPr>
      </w:pPr>
      <w:r>
        <w:rPr>
          <w:rFonts w:hint="eastAsia"/>
          <w:b w:val="0"/>
          <w:bCs w:val="0"/>
          <w:lang w:val="en-US" w:eastAsia="zh-CN"/>
        </w:rPr>
        <w:t>实施混合所有制员工持股试点建设。2019年，贵阳永</w:t>
      </w:r>
      <w:r>
        <w:rPr>
          <w:rFonts w:hint="eastAsia"/>
          <w:lang w:val="en-US" w:eastAsia="zh-CN"/>
        </w:rPr>
        <w:t>青被列为国家国有企业混合所有制改革第四批试点企业，先后制定混合所有制改革预案、员工持股的初步方案、可行性研究报告，充分吸引在产业、市场、技术、人才、管理等方面具有资源整合优势的战略投资者，为员工持股试点建设做好有效支撑。</w:t>
      </w:r>
    </w:p>
    <w:p>
      <w:pPr>
        <w:pStyle w:val="2"/>
        <w:pageBreakBefore w:val="0"/>
        <w:kinsoku/>
        <w:wordWrap/>
        <w:overflowPunct/>
        <w:topLinePunct w:val="0"/>
        <w:autoSpaceDE/>
        <w:autoSpaceDN/>
        <w:bidi w:val="0"/>
        <w:spacing w:line="580" w:lineRule="exact"/>
        <w:ind w:left="0" w:left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五、国有企业经营机制提升，质量发展成果丰硕</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企业薪酬分配体系逐步完善。建立健全与劳动力市场基本适应、与企业经济效益、劳动生产率挂钩的工资以及正常增长机制。建立健全与企业功能性质相适应、与企业负责经营业绩相挂钩的差异化薪酬分配办法。对党委、政府及其部门任命的国有企业领导人员，确定合理的基本年薪、绩效年薪和任期激励收入制度。</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探索完善中长期激励机制。启动实施贵州轮胎限制性股票激励试点计划，充分调动董事、高层管理人员、中层管理骨干和核心技术人员的主动性和创造性，激发企业内生活力，助推企业高质量发展。</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风险防范能力显著提升。健全国有资本审计监督体系和制度，实行企业国有资产审计监督全覆盖。进一步加强财务监督，每月对财务快报进行分析，预判财务风险，揭示企业经营活动存在的问题。实施风险防范管控应急措施，出台《贵阳市国资委监管企业经营性债务风险预警制度（试行）》，建立健全企业经营性债务风险预警制度，压紧压实企业偿债主体责任。</w:t>
      </w:r>
    </w:p>
    <w:p>
      <w:pPr>
        <w:pStyle w:val="2"/>
        <w:pageBreakBefore w:val="0"/>
        <w:kinsoku/>
        <w:wordWrap/>
        <w:overflowPunct/>
        <w:topLinePunct w:val="0"/>
        <w:autoSpaceDE/>
        <w:autoSpaceDN/>
        <w:bidi w:val="0"/>
        <w:spacing w:line="580" w:lineRule="exact"/>
        <w:ind w:left="0" w:left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六、国有资产监管塑新体系，创国资发展新局面</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整合国资监管机构职能。按照以管资本为主的国有资产监管体制的要求，从监管理念、监管重点、监管方式、监管导向等方面作出全方位、根本性转变，切实维护国有资本的安全性。截至2020年，已完成市级国资监管部门内设机构与职能调整，使之更好地适应国有企业改革发展。</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国有资产管理机制更加完善，制度体系更加健全。“十三五”期间，制定了《贵阳市国有企业重大事项报告制度》《贵阳市国有企业投资监督管理办法（试行）》《贵阳市国有企业境外投资监督管理办法（试行）》《贵阳市国有企业融资及担保监督管理办法（试行）》等规章制度，使国资监管方式更加优化，更具科学性、针对性和有效性。</w:t>
      </w:r>
    </w:p>
    <w:p>
      <w:pPr>
        <w:pStyle w:val="2"/>
        <w:pageBreakBefore w:val="0"/>
        <w:kinsoku/>
        <w:wordWrap/>
        <w:overflowPunct/>
        <w:topLinePunct w:val="0"/>
        <w:autoSpaceDE/>
        <w:autoSpaceDN/>
        <w:bidi w:val="0"/>
        <w:spacing w:line="580" w:lineRule="exact"/>
        <w:ind w:left="0" w:leftChars="0"/>
        <w:rPr>
          <w:rFonts w:hint="eastAsia"/>
          <w:b w:val="0"/>
          <w:bCs w:val="0"/>
          <w:lang w:val="en-US" w:eastAsia="zh-CN"/>
        </w:rPr>
      </w:pPr>
      <w:r>
        <w:rPr>
          <w:rFonts w:hint="eastAsia"/>
          <w:b w:val="0"/>
          <w:bCs w:val="0"/>
          <w:lang w:val="en-US" w:eastAsia="zh-CN"/>
        </w:rPr>
        <w:t>市级经营性和资源性国有资产集中统一监管基本实现。市级党政机关、事业单位的经营性国有资产，符合条件的自然资源、其他政府资源性资产、特许经营权、土地使用权、政府各类专项基金等，按照相关法律法规规定和专业化、产业链的要求进行归类重整，并在市直有关部门积极配合下，依法依规注入市级国有企业资产。</w:t>
      </w:r>
    </w:p>
    <w:p>
      <w:pPr>
        <w:pStyle w:val="2"/>
        <w:pageBreakBefore w:val="0"/>
        <w:kinsoku/>
        <w:wordWrap/>
        <w:overflowPunct/>
        <w:topLinePunct w:val="0"/>
        <w:autoSpaceDE/>
        <w:autoSpaceDN/>
        <w:bidi w:val="0"/>
        <w:spacing w:line="580" w:lineRule="exact"/>
        <w:ind w:left="0" w:leftChars="0"/>
        <w:rPr>
          <w:rFonts w:hint="eastAsia"/>
          <w:lang w:val="en-US" w:eastAsia="zh-CN"/>
        </w:rPr>
      </w:pPr>
      <w:r>
        <w:rPr>
          <w:rFonts w:hint="eastAsia"/>
          <w:b w:val="0"/>
          <w:bCs w:val="0"/>
          <w:lang w:val="en-US" w:eastAsia="zh-CN"/>
        </w:rPr>
        <w:t>打造国企大数据监管平台，创新国资监管方式。强力推进国企大数据监管平台建设，结合责任清单、权力清单、风险清单及监管工作流程，厘清监管权力边界，找准国企监管“痛点”，确定“企业分析、</w:t>
      </w:r>
      <w:r>
        <w:rPr>
          <w:rFonts w:hint="eastAsia"/>
          <w:lang w:val="en-US" w:eastAsia="zh-CN"/>
        </w:rPr>
        <w:t>企业定位、国企监管、流程监管”监管方式，实现科学监管、有效监督。</w:t>
      </w:r>
    </w:p>
    <w:p>
      <w:pPr>
        <w:pStyle w:val="2"/>
        <w:rPr>
          <w:rFonts w:hint="default"/>
          <w:sz w:val="21"/>
          <w:szCs w:val="21"/>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31" w:name="_Toc9208"/>
      <w:r>
        <w:rPr>
          <w:rFonts w:hint="eastAsia" w:ascii="黑体" w:hAnsi="黑体" w:eastAsia="黑体" w:cs="黑体"/>
          <w:b w:val="0"/>
          <w:bCs w:val="0"/>
          <w:sz w:val="32"/>
          <w:szCs w:val="32"/>
          <w:lang w:val="en-US" w:eastAsia="zh-CN"/>
        </w:rPr>
        <w:t>面临形势</w:t>
      </w:r>
      <w:bookmarkEnd w:id="31"/>
    </w:p>
    <w:p>
      <w:pPr>
        <w:pStyle w:val="2"/>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_GB2312" w:eastAsia="仿宋_GB2312" w:cs="仿宋_GB2312"/>
          <w:b w:val="0"/>
          <w:bCs w:val="0"/>
          <w:kern w:val="2"/>
          <w:sz w:val="32"/>
          <w:szCs w:val="32"/>
          <w:lang w:val="en-US" w:eastAsia="zh-CN" w:bidi="ar-SA"/>
        </w:rPr>
      </w:pPr>
      <w:r>
        <w:rPr>
          <w:rFonts w:hint="eastAsia" w:ascii="仿宋_GB2312" w:hAnsi="Calibri" w:eastAsia="仿宋_GB2312" w:cs="仿宋_GB2312"/>
          <w:b w:val="0"/>
          <w:bCs w:val="0"/>
          <w:kern w:val="2"/>
          <w:sz w:val="32"/>
          <w:szCs w:val="32"/>
          <w:lang w:val="en-US" w:eastAsia="zh-CN" w:bidi="ar-SA"/>
        </w:rPr>
        <w:t>“十四五”时期，我国发展仍然处于重要战略机遇期，但国内外复杂多变的宏观局势为国企的改革发展带来严峻挑战。从国际上看，当今世界正处于百年未有之大变局，</w:t>
      </w:r>
      <w:r>
        <w:rPr>
          <w:rFonts w:hint="eastAsia" w:ascii="仿宋_GB2312" w:eastAsia="仿宋_GB2312" w:cs="仿宋_GB2312"/>
          <w:b w:val="0"/>
          <w:bCs w:val="0"/>
          <w:kern w:val="2"/>
          <w:sz w:val="32"/>
          <w:szCs w:val="32"/>
          <w:lang w:val="en-US" w:eastAsia="zh-CN" w:bidi="ar-SA"/>
        </w:rPr>
        <w:t>新一轮科技革命和产业变革深入发展，国际力量对比深刻调整，疫情蔓延和地区热点问题的频发使一些国家国内政治经济社会转变，大国关系面临新的变化，互动复杂博弈加剧。从国内看，我国疫情已经进入常态化防控阶段，但国内经济已开始放缓，内需不足，国有企业发展的外部环境日趋复杂，尤其经过“十三五”时期的发展，国企改革已进入深水区，转型升级压力加剧，经济发展逆风向上需要更大推动力。在这承上启下的关键时刻，经济发展迎来关键时期，机遇大于挑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bCs/>
          <w:color w:val="000000"/>
          <w:kern w:val="2"/>
          <w:sz w:val="32"/>
          <w:szCs w:val="32"/>
          <w:highlight w:val="none"/>
          <w:lang w:val="en-US" w:eastAsia="zh-CN" w:bidi="ar-SA"/>
        </w:rPr>
        <w:t>从挑战方面看。</w:t>
      </w:r>
      <w:r>
        <w:rPr>
          <w:rFonts w:hint="eastAsia" w:ascii="仿宋_GB2312" w:eastAsia="仿宋_GB2312" w:cs="仿宋_GB2312"/>
          <w:b w:val="0"/>
          <w:bCs w:val="0"/>
          <w:kern w:val="2"/>
          <w:sz w:val="32"/>
          <w:szCs w:val="32"/>
          <w:lang w:val="en-US" w:eastAsia="zh-CN" w:bidi="ar-SA"/>
        </w:rPr>
        <w:t>我市经济发展不平衡、不充分、缺少实体产业支撑等问题仍然突出，经济总量依然偏小，基础设施基建设不够完善，基本公共服务水平不够均等，工业化、城市改造建设更新滞后，创新能力较弱，人才支撑不足，改革开放任务仍然艰巨，民生保障、生态环保、社会治理等还有短板弱项。随着我市大量重要基础设施和重点任务的建设推进，我市国有企业</w:t>
      </w:r>
      <w:r>
        <w:rPr>
          <w:rFonts w:hint="default" w:ascii="仿宋_GB2312" w:eastAsia="仿宋_GB2312" w:cs="仿宋_GB2312"/>
          <w:b w:val="0"/>
          <w:bCs w:val="0"/>
          <w:kern w:val="2"/>
          <w:sz w:val="32"/>
          <w:szCs w:val="32"/>
          <w:lang w:val="en-US" w:eastAsia="zh-CN" w:bidi="ar-SA"/>
        </w:rPr>
        <w:t>承担</w:t>
      </w:r>
      <w:r>
        <w:rPr>
          <w:rFonts w:hint="eastAsia" w:ascii="仿宋_GB2312" w:eastAsia="仿宋_GB2312" w:cs="仿宋_GB2312"/>
          <w:b w:val="0"/>
          <w:bCs w:val="0"/>
          <w:kern w:val="2"/>
          <w:sz w:val="32"/>
          <w:szCs w:val="32"/>
          <w:lang w:val="en-US" w:eastAsia="zh-CN" w:bidi="ar-SA"/>
        </w:rPr>
        <w:t>了</w:t>
      </w:r>
      <w:r>
        <w:rPr>
          <w:rFonts w:hint="default" w:ascii="仿宋_GB2312" w:eastAsia="仿宋_GB2312" w:cs="仿宋_GB2312"/>
          <w:b w:val="0"/>
          <w:bCs w:val="0"/>
          <w:kern w:val="2"/>
          <w:sz w:val="32"/>
          <w:szCs w:val="32"/>
          <w:lang w:val="en-US" w:eastAsia="zh-CN" w:bidi="ar-SA"/>
        </w:rPr>
        <w:t>较多的社会责任，非经营性资产比重较高</w:t>
      </w:r>
      <w:r>
        <w:rPr>
          <w:rFonts w:hint="eastAsia" w:ascii="仿宋_GB2312" w:eastAsia="仿宋_GB2312" w:cs="仿宋_GB2312"/>
          <w:b w:val="0"/>
          <w:bCs w:val="0"/>
          <w:kern w:val="2"/>
          <w:sz w:val="32"/>
          <w:szCs w:val="32"/>
          <w:lang w:val="en-US" w:eastAsia="zh-CN" w:bidi="ar-SA"/>
        </w:rPr>
        <w:t>，</w:t>
      </w:r>
      <w:r>
        <w:rPr>
          <w:rFonts w:hint="default" w:ascii="仿宋_GB2312" w:eastAsia="仿宋_GB2312" w:cs="仿宋_GB2312"/>
          <w:b w:val="0"/>
          <w:bCs w:val="0"/>
          <w:kern w:val="2"/>
          <w:sz w:val="32"/>
          <w:szCs w:val="32"/>
          <w:lang w:val="en-US" w:eastAsia="zh-CN" w:bidi="ar-SA"/>
        </w:rPr>
        <w:t>自主经营能力没有完全发挥，企业创造盈利动力不足，利润率不高，资产质量不高，技术更新进程较为缓慢，</w:t>
      </w:r>
      <w:r>
        <w:rPr>
          <w:rFonts w:hint="eastAsia" w:ascii="仿宋_GB2312" w:eastAsia="仿宋_GB2312" w:cs="仿宋_GB2312"/>
          <w:b w:val="0"/>
          <w:bCs w:val="0"/>
          <w:kern w:val="2"/>
          <w:sz w:val="32"/>
          <w:szCs w:val="32"/>
          <w:lang w:val="en-US" w:eastAsia="zh-CN" w:bidi="ar-SA"/>
        </w:rPr>
        <w:t>我市国有企业面临着既要“赶”，又要“转”的严峻形势，平台公司转型升级发展、公司制改革等艰巨任务更加迫切。同时，我市国有企业机构臃肿，</w:t>
      </w:r>
      <w:r>
        <w:rPr>
          <w:rFonts w:hint="default" w:ascii="仿宋_GB2312" w:eastAsia="仿宋_GB2312" w:cs="仿宋_GB2312"/>
          <w:b w:val="0"/>
          <w:bCs w:val="0"/>
          <w:kern w:val="2"/>
          <w:sz w:val="32"/>
          <w:szCs w:val="32"/>
          <w:lang w:val="en-US" w:eastAsia="zh-CN" w:bidi="ar-SA"/>
        </w:rPr>
        <w:t>还缺乏适应市场灵活、高效的动态机制，内部管理制度还不够健全，管理粗放，活力不足，竞争力薄弱</w:t>
      </w:r>
      <w:r>
        <w:rPr>
          <w:rFonts w:hint="eastAsia" w:ascii="仿宋_GB2312" w:eastAsia="仿宋_GB2312" w:cs="仿宋_GB2312"/>
          <w:b w:val="0"/>
          <w:bCs w:val="0"/>
          <w:kern w:val="2"/>
          <w:sz w:val="32"/>
          <w:szCs w:val="32"/>
          <w:lang w:val="en-US" w:eastAsia="zh-CN" w:bidi="ar-SA"/>
        </w:rPr>
        <w:t>，</w:t>
      </w:r>
      <w:r>
        <w:rPr>
          <w:rFonts w:hint="default" w:ascii="仿宋_GB2312" w:eastAsia="仿宋_GB2312" w:cs="仿宋_GB2312"/>
          <w:b w:val="0"/>
          <w:bCs w:val="0"/>
          <w:kern w:val="2"/>
          <w:sz w:val="32"/>
          <w:szCs w:val="32"/>
          <w:lang w:val="en-US" w:eastAsia="zh-CN" w:bidi="ar-SA"/>
        </w:rPr>
        <w:t>不能有效激发干部职工创造能力</w:t>
      </w:r>
      <w:r>
        <w:rPr>
          <w:rFonts w:hint="eastAsia" w:ascii="仿宋_GB2312" w:eastAsia="仿宋_GB2312" w:cs="仿宋_GB2312"/>
          <w:b w:val="0"/>
          <w:bCs w:val="0"/>
          <w:kern w:val="2"/>
          <w:sz w:val="32"/>
          <w:szCs w:val="32"/>
          <w:lang w:val="en-US" w:eastAsia="zh-CN" w:bidi="ar-SA"/>
        </w:rPr>
        <w:t>，严重影响着国有企业竞争力，对我市国有企业“十四五”时期高质量发展带来较大的挑战。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highlight w:val="yellow"/>
          <w:lang w:val="en-US" w:eastAsia="zh-CN"/>
        </w:rPr>
      </w:pPr>
      <w:r>
        <w:rPr>
          <w:rFonts w:hint="eastAsia" w:ascii="仿宋_GB2312" w:eastAsia="仿宋_GB2312" w:cs="仿宋_GB2312"/>
          <w:b/>
          <w:bCs/>
          <w:kern w:val="2"/>
          <w:sz w:val="32"/>
          <w:szCs w:val="32"/>
          <w:lang w:val="en-US" w:eastAsia="zh-CN" w:bidi="ar-SA"/>
        </w:rPr>
        <w:t>从机遇方面看。</w:t>
      </w:r>
      <w:r>
        <w:rPr>
          <w:rFonts w:hint="eastAsia" w:ascii="仿宋_GB2312" w:eastAsia="仿宋_GB2312" w:cs="仿宋_GB2312"/>
          <w:b w:val="0"/>
          <w:bCs w:val="0"/>
          <w:kern w:val="2"/>
          <w:sz w:val="32"/>
          <w:szCs w:val="32"/>
          <w:lang w:val="en-US" w:eastAsia="zh-CN" w:bidi="ar-SA"/>
        </w:rPr>
        <w:t>近年来，我国经济形态正向更高级、分工更复杂、结构更合理的阶段演进，经济增速正从高速增长转向中高速增长。经济发展方式正从规模速度型粗放增长转向质量效益型集约增长；经济结构正从增量扩张为主转向调整存量、做优增量并存的深度调整；改革发展的动力正由投资、消费、出口三驾马车转变为改革、开放、创新推动的新动力。贵州省在这改革发展的黄金期，顺应现代经济，审时度势，在国家战略地位得到了不断提升的</w:t>
      </w:r>
      <w:r>
        <w:rPr>
          <w:rFonts w:hint="eastAsia" w:ascii="仿宋_GB2312" w:eastAsia="仿宋_GB2312" w:cs="仿宋_GB2312"/>
          <w:b w:val="0"/>
          <w:bCs w:val="0"/>
          <w:color w:val="auto"/>
          <w:kern w:val="2"/>
          <w:sz w:val="32"/>
          <w:szCs w:val="32"/>
          <w:lang w:val="en-US" w:eastAsia="zh-CN" w:bidi="ar-SA"/>
        </w:rPr>
        <w:t>同时，政策环境、经济基础、大数据、大健康大医药、山地旅游、交通及物流资源、产业布局及人才要素等国资国企改革发展要素保障能力也不断得到提升，为贵阳国资国企改革创造了条</w:t>
      </w:r>
      <w:r>
        <w:rPr>
          <w:rFonts w:hint="eastAsia" w:ascii="仿宋_GB2312" w:eastAsia="仿宋_GB2312" w:cs="仿宋_GB2312"/>
          <w:b w:val="0"/>
          <w:bCs w:val="0"/>
          <w:kern w:val="2"/>
          <w:sz w:val="32"/>
          <w:szCs w:val="32"/>
          <w:lang w:val="en-US" w:eastAsia="zh-CN" w:bidi="ar-SA"/>
        </w:rPr>
        <w:t>件，为贵阳市经济高质量增长打下了坚实基础。2021年，省委、省政府着眼全省大局、把握发展大势，作出了“强省会”五年行动、“国企改革三年行动”“十四五”规划等重大战略决策，</w:t>
      </w:r>
      <w:r>
        <w:rPr>
          <w:rFonts w:hint="eastAsia" w:ascii="仿宋_GB2312" w:hAnsi="仿宋_GB2312" w:eastAsia="仿宋_GB2312" w:cs="仿宋_GB2312"/>
          <w:sz w:val="32"/>
          <w:szCs w:val="32"/>
          <w:highlight w:val="none"/>
          <w:lang w:val="en-US" w:eastAsia="zh-CN"/>
        </w:rPr>
        <w:t>以</w:t>
      </w:r>
      <w:r>
        <w:rPr>
          <w:rFonts w:hint="default" w:ascii="仿宋_GB2312" w:hAnsi="仿宋_GB2312" w:eastAsia="仿宋_GB2312" w:cs="仿宋_GB2312"/>
          <w:sz w:val="32"/>
          <w:szCs w:val="32"/>
          <w:highlight w:val="none"/>
          <w:lang w:val="en-US" w:eastAsia="zh-CN"/>
        </w:rPr>
        <w:t>前所未有的</w:t>
      </w:r>
      <w:r>
        <w:rPr>
          <w:rFonts w:hint="eastAsia" w:ascii="仿宋_GB2312" w:hAnsi="仿宋_GB2312" w:eastAsia="仿宋_GB2312" w:cs="仿宋_GB2312"/>
          <w:sz w:val="32"/>
          <w:szCs w:val="32"/>
          <w:highlight w:val="none"/>
          <w:lang w:val="en-US" w:eastAsia="zh-CN"/>
        </w:rPr>
        <w:t>政策</w:t>
      </w:r>
      <w:r>
        <w:rPr>
          <w:rFonts w:hint="default" w:ascii="仿宋_GB2312" w:hAnsi="仿宋_GB2312" w:eastAsia="仿宋_GB2312" w:cs="仿宋_GB2312"/>
          <w:sz w:val="32"/>
          <w:szCs w:val="32"/>
          <w:highlight w:val="none"/>
          <w:lang w:val="en-US" w:eastAsia="zh-CN"/>
        </w:rPr>
        <w:t>支持力度</w:t>
      </w:r>
      <w:r>
        <w:rPr>
          <w:rFonts w:hint="eastAsia" w:ascii="仿宋_GB2312" w:eastAsia="仿宋_GB2312" w:cs="仿宋_GB2312"/>
          <w:b w:val="0"/>
          <w:bCs w:val="0"/>
          <w:kern w:val="2"/>
          <w:sz w:val="32"/>
          <w:szCs w:val="32"/>
          <w:lang w:val="en-US" w:eastAsia="zh-CN" w:bidi="ar-SA"/>
        </w:rPr>
        <w:t>放大了贵阳市作为贵州省中心城市和城市群的行政高位和资源集聚的原有优势，为贵阳市开启全面建设社会主义现代化国家新征程提供了行动纲领、指明了前进方向、明晰了目标路径、注入了强大动力，为助推我市国有经济进一步高质量发展带来重大机遇。</w:t>
      </w:r>
    </w:p>
    <w:p>
      <w:pPr>
        <w:keepNext w:val="0"/>
        <w:keepLines w:val="0"/>
        <w:pageBreakBefore w:val="0"/>
        <w:numPr>
          <w:ilvl w:val="0"/>
          <w:numId w:val="3"/>
        </w:numPr>
        <w:kinsoku/>
        <w:wordWrap/>
        <w:overflowPunct/>
        <w:topLinePunct w:val="0"/>
        <w:autoSpaceDE/>
        <w:autoSpaceDN/>
        <w:bidi w:val="0"/>
        <w:adjustRightInd/>
        <w:snapToGrid/>
        <w:spacing w:line="580" w:lineRule="exact"/>
        <w:ind w:left="0" w:leftChars="0"/>
        <w:jc w:val="center"/>
        <w:outlineLvl w:val="0"/>
        <w:rPr>
          <w:rFonts w:hint="eastAsia" w:ascii="方正小标宋简体" w:hAnsi="方正小标宋简体" w:eastAsia="方正小标宋简体" w:cs="方正小标宋简体"/>
          <w:b/>
          <w:bCs/>
          <w:sz w:val="36"/>
          <w:szCs w:val="36"/>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jc w:val="center"/>
        <w:outlineLvl w:val="0"/>
        <w:rPr>
          <w:rFonts w:hint="default" w:ascii="黑体" w:eastAsia="方正小标宋简体" w:cs="黑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 xml:space="preserve"> </w:t>
      </w:r>
      <w:bookmarkStart w:id="32" w:name="_Toc21669"/>
      <w:r>
        <w:rPr>
          <w:rFonts w:hint="eastAsia" w:ascii="方正小标宋简体" w:hAnsi="方正小标宋简体" w:eastAsia="方正小标宋简体" w:cs="方正小标宋简体"/>
          <w:b/>
          <w:bCs/>
          <w:sz w:val="36"/>
          <w:szCs w:val="36"/>
          <w:lang w:val="en-US" w:eastAsia="zh-CN"/>
        </w:rPr>
        <w:t>总体要求</w:t>
      </w:r>
      <w:bookmarkEnd w:id="32"/>
    </w:p>
    <w:p>
      <w:pPr>
        <w:pStyle w:val="2"/>
        <w:rPr>
          <w:rFonts w:hint="eastAsia"/>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 xml:space="preserve"> </w:t>
      </w:r>
      <w:bookmarkStart w:id="33" w:name="_Toc1649"/>
      <w:r>
        <w:rPr>
          <w:rFonts w:hint="eastAsia" w:ascii="黑体" w:hAnsi="黑体" w:eastAsia="黑体" w:cs="黑体"/>
          <w:b w:val="0"/>
          <w:bCs w:val="0"/>
          <w:kern w:val="2"/>
          <w:sz w:val="32"/>
          <w:szCs w:val="32"/>
          <w:lang w:val="en-US" w:eastAsia="zh-CN" w:bidi="ar-SA"/>
        </w:rPr>
        <w:t>指导思想与基本原则</w:t>
      </w:r>
      <w:bookmarkEnd w:id="33"/>
    </w:p>
    <w:p>
      <w:pPr>
        <w:pStyle w:val="2"/>
        <w:rPr>
          <w:rFonts w:hint="eastAsia" w:ascii="黑体" w:hAnsi="黑体" w:eastAsia="黑体" w:cs="黑体"/>
          <w:b w:val="0"/>
          <w:bCs w:val="0"/>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34" w:name="_Toc25606"/>
      <w:r>
        <w:rPr>
          <w:rFonts w:hint="eastAsia" w:ascii="楷体_GB2312" w:eastAsia="楷体_GB2312" w:cs="楷体"/>
          <w:sz w:val="32"/>
          <w:szCs w:val="32"/>
          <w:lang w:val="en-US" w:eastAsia="zh-CN"/>
        </w:rPr>
        <w:t>第一节 指导思想</w:t>
      </w:r>
      <w:bookmarkEnd w:id="34"/>
    </w:p>
    <w:p>
      <w:pPr>
        <w:pStyle w:val="2"/>
        <w:rPr>
          <w:rFonts w:hint="eastAsia"/>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Calibri" w:eastAsia="仿宋_GB2312" w:cs="仿宋_GB2312"/>
          <w:color w:val="000000"/>
          <w:kern w:val="2"/>
          <w:sz w:val="32"/>
          <w:szCs w:val="32"/>
          <w:lang w:val="en-US" w:eastAsia="zh-CN" w:bidi="ar-SA"/>
        </w:rPr>
      </w:pPr>
      <w:r>
        <w:rPr>
          <w:rFonts w:hint="eastAsia" w:ascii="仿宋_GB2312" w:hAnsi="Calibri" w:eastAsia="仿宋_GB2312" w:cs="仿宋_GB2312"/>
          <w:b w:val="0"/>
          <w:bCs w:val="0"/>
          <w:kern w:val="2"/>
          <w:sz w:val="32"/>
          <w:szCs w:val="32"/>
          <w:lang w:val="en-US" w:eastAsia="zh-CN" w:bidi="ar-SA"/>
        </w:rPr>
        <w:t>以习近平新时代中国特色社会主义思想为指导，全面贯彻落实党的十九大和十九届二中、三中、四中、五中全会精神，</w:t>
      </w:r>
      <w:r>
        <w:rPr>
          <w:rFonts w:hint="eastAsia" w:cs="仿宋_GB2312"/>
          <w:b w:val="0"/>
          <w:bCs w:val="0"/>
          <w:kern w:val="2"/>
          <w:sz w:val="32"/>
          <w:szCs w:val="32"/>
          <w:lang w:val="en-US" w:eastAsia="zh-CN" w:bidi="ar-SA"/>
        </w:rPr>
        <w:t>按照</w:t>
      </w:r>
      <w:r>
        <w:rPr>
          <w:rFonts w:hint="eastAsia" w:ascii="仿宋_GB2312" w:hAnsi="Calibri" w:eastAsia="仿宋_GB2312" w:cs="仿宋_GB2312"/>
          <w:b w:val="0"/>
          <w:bCs w:val="0"/>
          <w:kern w:val="2"/>
          <w:sz w:val="32"/>
          <w:szCs w:val="32"/>
          <w:lang w:val="en-US" w:eastAsia="zh-CN" w:bidi="ar-SA"/>
        </w:rPr>
        <w:t>市委、市政府关于国有企业改革发展的重大规划和工作部署，以推动高质量发展为主题，以产业引领为主线，以改革创新为动力，推进国企改革、完善国资体制、聚焦企业发展、增强经营实力，实现国有资本提质增效，将全市国有企业建设成为“思想统一、经营高效、业绩突出”的国企力量。</w:t>
      </w:r>
    </w:p>
    <w:p>
      <w:pPr>
        <w:pStyle w:val="2"/>
        <w:rPr>
          <w:rFonts w:hint="eastAsia"/>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35" w:name="_Toc1736"/>
      <w:r>
        <w:rPr>
          <w:rFonts w:hint="eastAsia" w:ascii="楷体_GB2312" w:eastAsia="楷体_GB2312" w:cs="楷体"/>
          <w:sz w:val="32"/>
          <w:szCs w:val="32"/>
          <w:lang w:val="en-US" w:eastAsia="zh-CN"/>
        </w:rPr>
        <w:t>第二节 基本原则</w:t>
      </w:r>
      <w:bookmarkEnd w:id="35"/>
    </w:p>
    <w:p>
      <w:pPr>
        <w:pStyle w:val="2"/>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——坚持党的领导，这是国有国企改革发展的政治保障。</w:t>
      </w:r>
      <w:r>
        <w:rPr>
          <w:rFonts w:hint="default" w:ascii="仿宋_GB2312" w:eastAsia="仿宋_GB2312" w:cs="仿宋_GB2312"/>
          <w:b w:val="0"/>
          <w:bCs w:val="0"/>
          <w:kern w:val="2"/>
          <w:sz w:val="32"/>
          <w:szCs w:val="32"/>
          <w:lang w:val="en-US" w:eastAsia="zh-CN" w:bidi="ar-SA"/>
        </w:rPr>
        <w:t>坚持以习近平新时代中国特色社会主义思想为指导，深入贯彻习近平总书记关于国资国企改革发展和党的建设的重要论述和新时代党的建设总要求</w:t>
      </w:r>
      <w:r>
        <w:rPr>
          <w:rFonts w:hint="eastAsia" w:ascii="仿宋_GB2312" w:eastAsia="仿宋_GB2312" w:cs="仿宋_GB2312"/>
          <w:b w:val="0"/>
          <w:bCs w:val="0"/>
          <w:kern w:val="2"/>
          <w:sz w:val="32"/>
          <w:szCs w:val="32"/>
          <w:lang w:val="en-US" w:eastAsia="zh-CN" w:bidi="ar-SA"/>
        </w:rPr>
        <w:t>，在全面提高党的建设科学水平、决策水平的而基础上</w:t>
      </w:r>
      <w:r>
        <w:rPr>
          <w:rFonts w:hint="default" w:ascii="仿宋_GB2312" w:eastAsia="仿宋_GB2312" w:cs="仿宋_GB2312"/>
          <w:b w:val="0"/>
          <w:bCs w:val="0"/>
          <w:kern w:val="2"/>
          <w:sz w:val="32"/>
          <w:szCs w:val="32"/>
          <w:lang w:val="en-US" w:eastAsia="zh-CN" w:bidi="ar-SA"/>
        </w:rPr>
        <w:t>充分发挥党建工作优势，</w:t>
      </w:r>
      <w:r>
        <w:rPr>
          <w:rFonts w:hint="eastAsia" w:ascii="仿宋_GB2312" w:eastAsia="仿宋_GB2312" w:cs="仿宋_GB2312"/>
          <w:b w:val="0"/>
          <w:bCs w:val="0"/>
          <w:kern w:val="2"/>
          <w:sz w:val="32"/>
          <w:szCs w:val="32"/>
          <w:lang w:val="en-US" w:eastAsia="zh-CN" w:bidi="ar-SA"/>
        </w:rPr>
        <w:t>为深化国资国企改革提供坚强的政治支撑。</w:t>
      </w:r>
    </w:p>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cs="仿宋_GB2312"/>
          <w:color w:val="000000"/>
          <w:sz w:val="32"/>
          <w:szCs w:val="32"/>
          <w:lang w:eastAsia="zh-CN"/>
        </w:rPr>
      </w:pPr>
      <w:r>
        <w:rPr>
          <w:rFonts w:hint="eastAsia" w:ascii="仿宋_GB2312" w:eastAsia="仿宋_GB2312" w:cs="仿宋_GB2312"/>
          <w:b/>
          <w:bCs/>
          <w:color w:val="000000"/>
          <w:sz w:val="32"/>
          <w:szCs w:val="32"/>
          <w:lang w:val="en-US" w:eastAsia="zh-CN"/>
        </w:rPr>
        <w:t>——坚持深化改革，这是国</w:t>
      </w:r>
      <w:r>
        <w:rPr>
          <w:rFonts w:hint="eastAsia" w:cs="仿宋_GB2312"/>
          <w:b/>
          <w:bCs/>
          <w:color w:val="000000"/>
          <w:sz w:val="32"/>
          <w:szCs w:val="32"/>
          <w:lang w:val="en-US" w:eastAsia="zh-CN"/>
        </w:rPr>
        <w:t>有</w:t>
      </w:r>
      <w:r>
        <w:rPr>
          <w:rFonts w:hint="eastAsia" w:ascii="仿宋_GB2312" w:eastAsia="仿宋_GB2312" w:cs="仿宋_GB2312"/>
          <w:b/>
          <w:bCs/>
          <w:color w:val="000000"/>
          <w:sz w:val="32"/>
          <w:szCs w:val="32"/>
          <w:lang w:val="en-US" w:eastAsia="zh-CN"/>
        </w:rPr>
        <w:t>国企改革</w:t>
      </w:r>
      <w:r>
        <w:rPr>
          <w:rFonts w:hint="eastAsia" w:cs="仿宋_GB2312"/>
          <w:b/>
          <w:bCs/>
          <w:color w:val="000000"/>
          <w:sz w:val="32"/>
          <w:szCs w:val="32"/>
          <w:lang w:val="en-US" w:eastAsia="zh-CN"/>
        </w:rPr>
        <w:t>发展</w:t>
      </w:r>
      <w:r>
        <w:rPr>
          <w:rFonts w:hint="eastAsia" w:ascii="仿宋_GB2312" w:eastAsia="仿宋_GB2312" w:cs="仿宋_GB2312"/>
          <w:b/>
          <w:bCs/>
          <w:color w:val="000000"/>
          <w:sz w:val="32"/>
          <w:szCs w:val="32"/>
          <w:lang w:val="en-US" w:eastAsia="zh-CN"/>
        </w:rPr>
        <w:t>的根本要求。</w:t>
      </w:r>
      <w:r>
        <w:rPr>
          <w:rFonts w:hint="eastAsia" w:ascii="仿宋_GB2312" w:hAnsi="Calibri" w:eastAsia="仿宋_GB2312" w:cs="仿宋_GB2312"/>
          <w:color w:val="000000"/>
          <w:kern w:val="2"/>
          <w:sz w:val="32"/>
          <w:szCs w:val="32"/>
          <w:lang w:val="en-US" w:eastAsia="zh-CN" w:bidi="ar-SA"/>
        </w:rPr>
        <w:t>以提高全市国有经济竞争力为出发点</w:t>
      </w:r>
      <w:r>
        <w:rPr>
          <w:rFonts w:hint="eastAsia" w:cs="仿宋_GB2312"/>
          <w:color w:val="000000"/>
          <w:kern w:val="2"/>
          <w:sz w:val="32"/>
          <w:szCs w:val="32"/>
          <w:lang w:val="en-US" w:eastAsia="zh-CN" w:bidi="ar-SA"/>
        </w:rPr>
        <w:t>，</w:t>
      </w:r>
      <w:r>
        <w:rPr>
          <w:rFonts w:hint="default" w:ascii="仿宋_GB2312" w:eastAsia="仿宋_GB2312" w:cs="仿宋_GB2312"/>
          <w:color w:val="000000"/>
          <w:sz w:val="32"/>
          <w:szCs w:val="32"/>
          <w:lang w:val="en-US" w:eastAsia="zh-CN"/>
        </w:rPr>
        <w:t>对标对表</w:t>
      </w:r>
      <w:r>
        <w:rPr>
          <w:rFonts w:hint="eastAsia" w:ascii="仿宋_GB2312" w:eastAsia="仿宋_GB2312" w:cs="仿宋_GB2312"/>
          <w:color w:val="000000"/>
          <w:sz w:val="32"/>
          <w:szCs w:val="32"/>
        </w:rPr>
        <w:t>国企改革</w:t>
      </w:r>
      <w:r>
        <w:rPr>
          <w:rFonts w:hint="default" w:ascii="仿宋_GB2312" w:eastAsia="仿宋_GB2312" w:cs="仿宋_GB2312"/>
          <w:color w:val="000000"/>
          <w:sz w:val="32"/>
          <w:szCs w:val="32"/>
          <w:lang w:val="en-US" w:eastAsia="zh-CN"/>
        </w:rPr>
        <w:t>目标</w:t>
      </w:r>
      <w:r>
        <w:rPr>
          <w:rFonts w:hint="eastAsia" w:ascii="仿宋_GB2312" w:eastAsia="仿宋_GB2312" w:cs="仿宋_GB2312"/>
          <w:color w:val="000000"/>
          <w:sz w:val="32"/>
          <w:szCs w:val="32"/>
          <w:lang w:val="en-US" w:eastAsia="zh-CN"/>
        </w:rPr>
        <w:t>任务，</w:t>
      </w:r>
      <w:r>
        <w:rPr>
          <w:rFonts w:hint="eastAsia" w:ascii="仿宋_GB2312" w:eastAsia="仿宋_GB2312" w:cs="仿宋_GB2312"/>
          <w:color w:val="000000"/>
          <w:sz w:val="32"/>
          <w:szCs w:val="32"/>
          <w:lang w:eastAsia="zh-CN"/>
        </w:rPr>
        <w:t>持续优化国有经济布局和结构</w:t>
      </w:r>
      <w:r>
        <w:rPr>
          <w:rFonts w:hint="eastAsia" w:cs="仿宋_GB2312"/>
          <w:color w:val="000000"/>
          <w:sz w:val="32"/>
          <w:szCs w:val="32"/>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tl w:val="0"/>
          <w:lang w:val="en-US" w:eastAsia="zh-CN"/>
        </w:rPr>
        <w:t>积极融入新型工业化、新型城镇化、农业现代化、旅游产业化建设</w:t>
      </w:r>
      <w:r>
        <w:rPr>
          <w:rFonts w:hint="eastAsia" w:hAnsi="仿宋_GB2312" w:cs="仿宋_GB2312"/>
          <w:b w:val="0"/>
          <w:bCs w:val="0"/>
          <w:i w:val="0"/>
          <w:caps w:val="0"/>
          <w:color w:val="000000"/>
          <w:spacing w:val="0"/>
          <w:sz w:val="32"/>
          <w:szCs w:val="32"/>
          <w:shd w:val="clear" w:color="auto" w:fill="FFFFFF"/>
          <w:rtl w:val="0"/>
          <w:lang w:val="en-US" w:eastAsia="zh-CN"/>
        </w:rPr>
        <w:t>。</w:t>
      </w:r>
      <w:r>
        <w:rPr>
          <w:rFonts w:hint="eastAsia" w:hAnsi="仿宋_GB2312" w:cs="仿宋_GB2312"/>
          <w:b w:val="0"/>
          <w:bCs w:val="0"/>
          <w:sz w:val="32"/>
          <w:szCs w:val="32"/>
          <w:lang w:val="en-US" w:eastAsia="zh-CN"/>
        </w:rPr>
        <w:t>推进</w:t>
      </w:r>
      <w:r>
        <w:rPr>
          <w:rFonts w:hint="default" w:ascii="仿宋_GB2312" w:eastAsia="仿宋_GB2312" w:cs="仿宋_GB2312"/>
          <w:color w:val="000000"/>
          <w:sz w:val="32"/>
          <w:szCs w:val="32"/>
        </w:rPr>
        <w:t>国资国企治理体系和治理能力现代化</w:t>
      </w:r>
      <w:r>
        <w:rPr>
          <w:rFonts w:hint="eastAsia" w:cs="仿宋_GB2312"/>
          <w:color w:val="000000"/>
          <w:sz w:val="32"/>
          <w:szCs w:val="32"/>
          <w:lang w:eastAsia="zh-CN"/>
        </w:rPr>
        <w:t>，</w:t>
      </w:r>
      <w:r>
        <w:rPr>
          <w:rFonts w:ascii="Times New Roman" w:hAnsi="Times New Roman" w:eastAsia="仿宋_GB2312" w:cs="Times New Roman"/>
          <w:sz w:val="32"/>
          <w:szCs w:val="32"/>
        </w:rPr>
        <w:t>形成</w:t>
      </w:r>
      <w:r>
        <w:rPr>
          <w:rFonts w:hint="eastAsia" w:ascii="仿宋_GB2312" w:eastAsia="仿宋_GB2312" w:cs="仿宋_GB2312"/>
          <w:color w:val="000000"/>
          <w:sz w:val="32"/>
          <w:szCs w:val="32"/>
          <w:lang w:eastAsia="zh-CN"/>
        </w:rPr>
        <w:t>整体功能更强效率更高</w:t>
      </w:r>
      <w:r>
        <w:rPr>
          <w:rFonts w:hint="eastAsia" w:cs="仿宋_GB2312"/>
          <w:color w:val="000000"/>
          <w:sz w:val="32"/>
          <w:szCs w:val="32"/>
          <w:lang w:val="en-US" w:eastAsia="zh-CN"/>
        </w:rPr>
        <w:t>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一体化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新格局。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eastAsia="仿宋_GB2312" w:cs="仿宋_GB2312"/>
          <w:color w:val="000000"/>
          <w:sz w:val="32"/>
          <w:szCs w:val="32"/>
          <w:lang w:eastAsia="zh-CN"/>
        </w:rPr>
      </w:pPr>
      <w:r>
        <w:rPr>
          <w:rFonts w:hint="eastAsia" w:ascii="仿宋_GB2312" w:eastAsia="仿宋_GB2312" w:cs="仿宋_GB2312"/>
          <w:b/>
          <w:bCs/>
          <w:color w:val="000000"/>
          <w:sz w:val="32"/>
          <w:szCs w:val="32"/>
          <w:lang w:val="en-US" w:eastAsia="zh-CN"/>
        </w:rPr>
        <w:t>——坚</w:t>
      </w:r>
      <w:r>
        <w:rPr>
          <w:rFonts w:hint="eastAsia" w:ascii="仿宋_GB2312" w:eastAsia="仿宋_GB2312" w:cs="仿宋_GB2312"/>
          <w:b/>
          <w:bCs/>
          <w:color w:val="000000"/>
          <w:sz w:val="32"/>
          <w:szCs w:val="32"/>
          <w:highlight w:val="none"/>
          <w:lang w:val="en-US" w:eastAsia="zh-CN"/>
        </w:rPr>
        <w:t>持市场主导，这是国有企业改革发展的必然规律。</w:t>
      </w:r>
      <w:r>
        <w:rPr>
          <w:rFonts w:hint="eastAsia" w:ascii="仿宋_GB2312" w:eastAsia="仿宋_GB2312" w:cs="仿宋_GB2312"/>
          <w:color w:val="000000"/>
          <w:sz w:val="32"/>
          <w:szCs w:val="32"/>
          <w:highlight w:val="none"/>
        </w:rPr>
        <w:t>遵循市</w:t>
      </w:r>
      <w:r>
        <w:rPr>
          <w:rFonts w:hint="eastAsia" w:ascii="仿宋_GB2312" w:eastAsia="仿宋_GB2312" w:cs="仿宋_GB2312"/>
          <w:color w:val="000000"/>
          <w:sz w:val="32"/>
          <w:szCs w:val="32"/>
        </w:rPr>
        <w:t>场经济、企业发展、产业发展的基本规律，</w:t>
      </w:r>
      <w:r>
        <w:rPr>
          <w:rFonts w:hint="eastAsia" w:ascii="仿宋_GB2312" w:eastAsia="仿宋_GB2312" w:cs="仿宋_GB2312"/>
          <w:color w:val="000000"/>
          <w:sz w:val="32"/>
          <w:szCs w:val="32"/>
          <w:lang w:eastAsia="zh-CN"/>
        </w:rPr>
        <w:t>持续深化“放管服”改革，积极营造稳定公平透明、可预期的营商环境，切实维护市场秩序，保障市场主体合法权益，充分激发市场活力和社会创造力。</w:t>
      </w:r>
      <w:r>
        <w:rPr>
          <w:rFonts w:hint="eastAsia" w:ascii="仿宋_GB2312" w:eastAsia="仿宋_GB2312" w:cs="仿宋_GB2312"/>
          <w:color w:val="000000"/>
          <w:sz w:val="32"/>
          <w:szCs w:val="32"/>
          <w:lang w:val="en-US" w:eastAsia="zh-CN"/>
        </w:rPr>
        <w:t>持续</w:t>
      </w:r>
      <w:r>
        <w:rPr>
          <w:rFonts w:hint="eastAsia" w:ascii="仿宋_GB2312" w:eastAsia="仿宋_GB2312" w:cs="仿宋_GB2312"/>
          <w:color w:val="000000"/>
          <w:sz w:val="32"/>
          <w:szCs w:val="32"/>
        </w:rPr>
        <w:t>加强科技创新、管理创新、商业模式创新</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以国有</w:t>
      </w:r>
      <w:r>
        <w:rPr>
          <w:rFonts w:hint="eastAsia" w:ascii="仿宋_GB2312" w:eastAsia="仿宋_GB2312" w:cs="仿宋_GB2312"/>
          <w:color w:val="000000"/>
          <w:sz w:val="32"/>
          <w:szCs w:val="32"/>
        </w:rPr>
        <w:t>企业发展内生力、创新力</w:t>
      </w:r>
      <w:r>
        <w:rPr>
          <w:rFonts w:hint="eastAsia" w:ascii="仿宋_GB2312" w:eastAsia="仿宋_GB2312" w:cs="仿宋_GB2312"/>
          <w:color w:val="000000"/>
          <w:sz w:val="32"/>
          <w:szCs w:val="32"/>
          <w:lang w:val="en-US" w:eastAsia="zh-CN"/>
        </w:rPr>
        <w:t>的提升</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促进国有</w:t>
      </w:r>
      <w:r>
        <w:rPr>
          <w:rFonts w:hint="eastAsia" w:ascii="仿宋_GB2312" w:eastAsia="仿宋_GB2312" w:cs="方正仿宋_GBK"/>
          <w:color w:val="000000"/>
          <w:sz w:val="32"/>
          <w:szCs w:val="32"/>
        </w:rPr>
        <w:t>企业运营质量和效率</w:t>
      </w:r>
      <w:r>
        <w:rPr>
          <w:rFonts w:hint="eastAsia" w:ascii="仿宋_GB2312" w:eastAsia="仿宋_GB2312" w:cs="方正仿宋_GBK"/>
          <w:color w:val="000000"/>
          <w:sz w:val="32"/>
          <w:szCs w:val="32"/>
          <w:lang w:val="en-US" w:eastAsia="zh-CN"/>
        </w:rPr>
        <w:t>的提高</w:t>
      </w:r>
      <w:r>
        <w:rPr>
          <w:rFonts w:hint="eastAsia" w:asci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bCs/>
          <w:color w:val="000000"/>
          <w:sz w:val="32"/>
          <w:szCs w:val="32"/>
          <w:lang w:val="en-US" w:eastAsia="zh-CN"/>
        </w:rPr>
        <w:t>——坚持效益优先，这是国有企业改革发展的根本遵循。</w:t>
      </w:r>
      <w:r>
        <w:rPr>
          <w:rFonts w:hint="eastAsia" w:ascii="仿宋_GB2312" w:eastAsia="仿宋_GB2312" w:cs="仿宋_GB2312"/>
          <w:b w:val="0"/>
          <w:bCs w:val="0"/>
          <w:kern w:val="2"/>
          <w:sz w:val="32"/>
          <w:szCs w:val="32"/>
          <w:lang w:val="en-US" w:eastAsia="zh-CN" w:bidi="ar-SA"/>
        </w:rPr>
        <w:t>着力培养壮大市场主体，聚焦重大项目及重点工程的主阵地，在扩大有效投资上奋力攻坚。坚持稳中求进工作总基调，探索支撑高质量发展的现代产业体系，以</w:t>
      </w:r>
      <w:r>
        <w:rPr>
          <w:rFonts w:hint="default" w:ascii="仿宋_GB2312" w:eastAsia="仿宋_GB2312" w:cs="仿宋_GB2312"/>
          <w:b w:val="0"/>
          <w:bCs w:val="0"/>
          <w:kern w:val="2"/>
          <w:sz w:val="32"/>
          <w:szCs w:val="32"/>
          <w:lang w:val="en-US" w:eastAsia="zh-CN" w:bidi="ar-SA"/>
        </w:rPr>
        <w:t>高质量、高规格</w:t>
      </w:r>
      <w:r>
        <w:rPr>
          <w:rFonts w:hint="eastAsia" w:ascii="仿宋_GB2312" w:eastAsia="仿宋_GB2312" w:cs="仿宋_GB2312"/>
          <w:b w:val="0"/>
          <w:bCs w:val="0"/>
          <w:kern w:val="2"/>
          <w:sz w:val="32"/>
          <w:szCs w:val="32"/>
          <w:lang w:val="en-US" w:eastAsia="zh-CN" w:bidi="ar-SA"/>
        </w:rPr>
        <w:t>、高生产力</w:t>
      </w:r>
      <w:r>
        <w:rPr>
          <w:rFonts w:hint="default" w:ascii="仿宋_GB2312" w:eastAsia="仿宋_GB2312" w:cs="仿宋_GB2312"/>
          <w:b w:val="0"/>
          <w:bCs w:val="0"/>
          <w:kern w:val="2"/>
          <w:sz w:val="32"/>
          <w:szCs w:val="32"/>
          <w:lang w:val="en-US" w:eastAsia="zh-CN" w:bidi="ar-SA"/>
        </w:rPr>
        <w:t>的实业基础</w:t>
      </w:r>
      <w:r>
        <w:rPr>
          <w:rFonts w:hint="eastAsia" w:ascii="仿宋_GB2312" w:eastAsia="仿宋_GB2312" w:cs="仿宋_GB2312"/>
          <w:b w:val="0"/>
          <w:bCs w:val="0"/>
          <w:kern w:val="2"/>
          <w:sz w:val="32"/>
          <w:szCs w:val="32"/>
          <w:lang w:val="en-US" w:eastAsia="zh-CN" w:bidi="ar-SA"/>
        </w:rPr>
        <w:t>，实现国有企业高效率、可持续发展。</w:t>
      </w:r>
    </w:p>
    <w:p>
      <w:pPr>
        <w:pStyle w:val="2"/>
        <w:rPr>
          <w:rFonts w:hint="eastAsia"/>
          <w:sz w:val="21"/>
          <w:szCs w:val="21"/>
          <w:lang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 xml:space="preserve"> </w:t>
      </w:r>
      <w:bookmarkStart w:id="36" w:name="_Toc28337"/>
      <w:r>
        <w:rPr>
          <w:rFonts w:hint="eastAsia" w:ascii="黑体" w:hAnsi="黑体" w:eastAsia="黑体" w:cs="黑体"/>
          <w:b w:val="0"/>
          <w:bCs w:val="0"/>
          <w:kern w:val="2"/>
          <w:sz w:val="32"/>
          <w:szCs w:val="32"/>
          <w:lang w:val="en-US" w:eastAsia="zh-CN" w:bidi="ar-SA"/>
        </w:rPr>
        <w:t>规划目标及指标</w:t>
      </w:r>
      <w:bookmarkEnd w:id="36"/>
    </w:p>
    <w:p>
      <w:pPr>
        <w:pStyle w:val="2"/>
        <w:rPr>
          <w:rFonts w:hint="eastAsia" w:ascii="楷体_GB2312" w:hAnsi="Calibri" w:eastAsia="楷体_GB2312" w:cs="楷体"/>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default" w:ascii="楷体_GB2312" w:eastAsia="楷体_GB2312" w:cs="楷体"/>
          <w:sz w:val="32"/>
          <w:szCs w:val="32"/>
          <w:lang w:val="en-US" w:eastAsia="zh-CN"/>
        </w:rPr>
      </w:pPr>
      <w:bookmarkStart w:id="37" w:name="_Toc32349"/>
      <w:r>
        <w:rPr>
          <w:rFonts w:hint="eastAsia" w:ascii="楷体_GB2312" w:eastAsia="楷体_GB2312" w:cs="楷体"/>
          <w:sz w:val="32"/>
          <w:szCs w:val="32"/>
          <w:lang w:val="en-US" w:eastAsia="zh-CN"/>
        </w:rPr>
        <w:t>第一节 “十四五”规划目标及主要任务</w:t>
      </w:r>
      <w:bookmarkEnd w:id="37"/>
    </w:p>
    <w:p>
      <w:pPr>
        <w:pStyle w:val="2"/>
        <w:rPr>
          <w:rFonts w:hint="eastAsia" w:ascii="楷体_GB2312" w:hAnsi="Calibri" w:eastAsia="楷体_GB2312" w:cs="楷体"/>
          <w:kern w:val="2"/>
          <w:sz w:val="21"/>
          <w:szCs w:val="21"/>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jc w:val="left"/>
        <w:textAlignment w:val="auto"/>
        <w:rPr>
          <w:rFonts w:hint="eastAsia" w:ascii="仿宋_GB2312" w:hAnsi="Calibri" w:eastAsia="仿宋_GB2312" w:cs="仿宋_GB2312"/>
          <w:b w:val="0"/>
          <w:bCs w:val="0"/>
          <w:color w:val="000000"/>
          <w:kern w:val="2"/>
          <w:sz w:val="32"/>
          <w:szCs w:val="32"/>
          <w:lang w:val="en-US" w:eastAsia="zh-CN" w:bidi="ar-SA"/>
        </w:rPr>
      </w:pPr>
      <w:r>
        <w:rPr>
          <w:rFonts w:hint="eastAsia" w:ascii="仿宋_GB2312" w:hAnsi="Calibri" w:eastAsia="仿宋_GB2312" w:cs="仿宋_GB2312"/>
          <w:b w:val="0"/>
          <w:bCs w:val="0"/>
          <w:color w:val="000000"/>
          <w:kern w:val="2"/>
          <w:sz w:val="32"/>
          <w:szCs w:val="32"/>
          <w:lang w:val="en-US" w:eastAsia="zh-CN" w:bidi="ar-SA"/>
        </w:rPr>
        <w:t>“因企施策、因企改革”，根据市级国有资本的战略定位和发展目标，将市级国有企业分为商业二类和公益类，以促进国有企业改革、发展、考核协同统一，推动国有企业加快市场化、实体化、专业化步伐，国有经济竞争力、创新力等全面有效提升。</w:t>
      </w:r>
    </w:p>
    <w:p>
      <w:pPr>
        <w:rPr>
          <w:rFonts w:hint="eastAsia" w:ascii="仿宋_GB2312" w:eastAsia="仿宋_GB2312" w:cs="仿宋_GB2312"/>
          <w:b/>
          <w:bCs/>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eastAsia="仿宋_GB2312" w:cs="仿宋_GB2312"/>
          <w:b/>
          <w:bCs/>
          <w:color w:val="000000"/>
          <w:sz w:val="32"/>
          <w:szCs w:val="32"/>
          <w:lang w:eastAsia="zh-CN"/>
        </w:rPr>
        <w:t>——</w:t>
      </w:r>
      <w:r>
        <w:rPr>
          <w:rFonts w:hint="eastAsia" w:ascii="仿宋_GB2312" w:eastAsia="仿宋_GB2312" w:cs="仿宋_GB2312"/>
          <w:b/>
          <w:bCs/>
          <w:color w:val="000000"/>
          <w:sz w:val="32"/>
          <w:szCs w:val="32"/>
        </w:rPr>
        <w:t>提升国有资本竞争力</w:t>
      </w:r>
      <w:r>
        <w:rPr>
          <w:rFonts w:hint="eastAsia" w:ascii="仿宋_GB2312" w:eastAsia="仿宋_GB2312" w:cs="仿宋_GB2312"/>
          <w:b/>
          <w:bCs/>
          <w:color w:val="000000"/>
          <w:sz w:val="32"/>
          <w:szCs w:val="32"/>
          <w:lang w:eastAsia="zh-CN"/>
        </w:rPr>
        <w:t>。</w:t>
      </w:r>
      <w:r>
        <w:rPr>
          <w:rFonts w:hint="eastAsia" w:ascii="仿宋_GB2312" w:eastAsia="仿宋_GB2312" w:cs="仿宋_GB2312"/>
          <w:b w:val="0"/>
          <w:bCs w:val="0"/>
          <w:color w:val="000000"/>
          <w:sz w:val="32"/>
          <w:szCs w:val="32"/>
        </w:rPr>
        <w:t>推进企业产品竞争力。加强制造业</w:t>
      </w:r>
      <w:r>
        <w:rPr>
          <w:rFonts w:ascii="仿宋_GB2312" w:eastAsia="仿宋_GB2312" w:cs="仿宋_GB2312"/>
          <w:b w:val="0"/>
          <w:bCs w:val="0"/>
          <w:color w:val="000000"/>
          <w:sz w:val="32"/>
          <w:szCs w:val="32"/>
        </w:rPr>
        <w:t>企业</w:t>
      </w:r>
      <w:r>
        <w:rPr>
          <w:rFonts w:hint="eastAsia" w:ascii="仿宋_GB2312" w:eastAsia="仿宋_GB2312" w:cs="仿宋_GB2312"/>
          <w:b w:val="0"/>
          <w:bCs w:val="0"/>
          <w:color w:val="000000"/>
          <w:sz w:val="32"/>
          <w:szCs w:val="32"/>
        </w:rPr>
        <w:t>产品生产、成本控制、营销、研发能力，贵州轮胎、贵州</w:t>
      </w:r>
      <w:r>
        <w:rPr>
          <w:rFonts w:hint="eastAsia" w:ascii="仿宋_GB2312" w:eastAsia="仿宋_GB2312" w:cs="仿宋_GB2312"/>
          <w:b w:val="0"/>
          <w:bCs w:val="0"/>
          <w:color w:val="000000"/>
          <w:sz w:val="32"/>
          <w:szCs w:val="32"/>
          <w:lang w:val="en-US" w:eastAsia="zh-CN"/>
        </w:rPr>
        <w:t>山</w:t>
      </w:r>
      <w:r>
        <w:rPr>
          <w:rFonts w:hint="eastAsia" w:ascii="仿宋_GB2312" w:eastAsia="仿宋_GB2312" w:cs="仿宋_GB2312"/>
          <w:b w:val="0"/>
          <w:bCs w:val="0"/>
          <w:color w:val="000000"/>
          <w:sz w:val="32"/>
          <w:szCs w:val="32"/>
        </w:rPr>
        <w:t>花、贵阳永青等一批企业产品</w:t>
      </w:r>
      <w:r>
        <w:rPr>
          <w:rFonts w:hint="eastAsia" w:ascii="仿宋_GB2312" w:hAnsi="仿宋_GB2312" w:eastAsia="仿宋_GB2312" w:cs="仿宋_GB2312"/>
          <w:b w:val="0"/>
          <w:bCs w:val="0"/>
          <w:sz w:val="32"/>
          <w:szCs w:val="32"/>
        </w:rPr>
        <w:t>丰富度、品质满意度、品牌认可度明显提升，</w:t>
      </w:r>
      <w:r>
        <w:rPr>
          <w:rFonts w:hint="eastAsia" w:ascii="仿宋_GB2312" w:eastAsia="仿宋_GB2312" w:cs="仿宋_GB2312"/>
          <w:b w:val="0"/>
          <w:bCs w:val="0"/>
          <w:color w:val="000000"/>
          <w:sz w:val="32"/>
          <w:szCs w:val="32"/>
          <w:lang w:eastAsia="zh-CN"/>
        </w:rPr>
        <w:t>形成著名商标、驰名商标、知名品牌。强化企业人力、物质、财政、信息等经营要素整合运用，提升企业运营机制建设。实施市级国有企业“机关化”专项治理，改变企业行政化管理思维和方式。推行经理层成员任期制和契约化管理，落实</w:t>
      </w:r>
      <w:r>
        <w:rPr>
          <w:rFonts w:hint="eastAsia" w:ascii="仿宋_GB2312" w:eastAsia="仿宋_GB2312" w:cs="仿宋_GB2312"/>
          <w:b w:val="0"/>
          <w:bCs w:val="0"/>
          <w:color w:val="000000"/>
          <w:sz w:val="32"/>
          <w:szCs w:val="32"/>
          <w:lang w:val="en-US" w:eastAsia="zh-CN"/>
        </w:rPr>
        <w:t>管理</w:t>
      </w:r>
      <w:r>
        <w:rPr>
          <w:rFonts w:hint="eastAsia" w:ascii="仿宋_GB2312" w:eastAsia="仿宋_GB2312" w:cs="仿宋_GB2312"/>
          <w:b w:val="0"/>
          <w:bCs w:val="0"/>
          <w:color w:val="000000"/>
          <w:sz w:val="32"/>
          <w:szCs w:val="32"/>
          <w:lang w:eastAsia="zh-CN"/>
        </w:rPr>
        <w:t>人员</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能上能下</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、员工</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能进能出</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、收入</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rPr>
        <w:t>能增能减</w:t>
      </w:r>
      <w:r>
        <w:rPr>
          <w:rFonts w:hint="eastAsia" w:ascii="FangSong_GB2312" w:hAnsi="FangSong_GB2312" w:eastAsia="FangSong_GB2312"/>
          <w:color w:val="000000"/>
          <w:sz w:val="32"/>
          <w:lang w:eastAsia="zh-CN"/>
        </w:rPr>
        <w:t>”的重要改革</w:t>
      </w:r>
      <w:r>
        <w:rPr>
          <w:rFonts w:hint="eastAsia" w:ascii="FangSong_GB2312" w:hAnsi="FangSong_GB2312" w:eastAsia="FangSong_GB2312"/>
          <w:color w:val="000000"/>
          <w:sz w:val="32"/>
          <w:lang w:val="en-US" w:eastAsia="zh-CN"/>
        </w:rPr>
        <w:t>工作</w:t>
      </w:r>
      <w:r>
        <w:rPr>
          <w:rFonts w:hint="eastAsia" w:ascii="仿宋_GB2312" w:eastAsia="仿宋_GB2312" w:cs="仿宋_GB2312"/>
          <w:b w:val="0"/>
          <w:bCs w:val="0"/>
          <w:color w:val="000000"/>
          <w:sz w:val="32"/>
          <w:szCs w:val="32"/>
          <w:lang w:eastAsia="zh-CN"/>
        </w:rPr>
        <w:t>。完善商业类企业薪酬分配制度改革，建立人才薪酬分配制度。</w:t>
      </w:r>
      <w:r>
        <w:rPr>
          <w:rFonts w:hint="eastAsia" w:ascii="仿宋_GB2312" w:hAnsi="仿宋_GB2312" w:eastAsia="仿宋_GB2312" w:cs="仿宋_GB2312"/>
          <w:b w:val="0"/>
          <w:bCs w:val="0"/>
          <w:kern w:val="2"/>
          <w:sz w:val="32"/>
          <w:szCs w:val="32"/>
          <w:lang w:val="en-US" w:eastAsia="zh-CN" w:bidi="ar-SA"/>
        </w:rPr>
        <w:t>以提升小微企业发展质量和效益为核心，</w:t>
      </w:r>
      <w:r>
        <w:rPr>
          <w:rFonts w:hint="eastAsia" w:ascii="仿宋_GB2312" w:hAnsi="Calibri" w:eastAsia="仿宋_GB2312" w:cs="仿宋_GB2312"/>
          <w:b w:val="0"/>
          <w:bCs w:val="0"/>
          <w:color w:val="000000"/>
          <w:kern w:val="2"/>
          <w:sz w:val="32"/>
          <w:szCs w:val="32"/>
          <w:lang w:val="en-US" w:eastAsia="zh-CN" w:bidi="ar-SA"/>
        </w:rPr>
        <w:t>积极培育发展中小企业</w:t>
      </w:r>
      <w:r>
        <w:rPr>
          <w:rFonts w:hint="eastAsia" w:asci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加快促进微型国有企业改革发展；以年主营业务收入500―2000万元规模以</w:t>
      </w:r>
      <w:r>
        <w:rPr>
          <w:rFonts w:hint="eastAsia" w:ascii="仿宋_GB2312" w:hAnsi="仿宋_GB2312" w:eastAsia="仿宋_GB2312" w:cs="仿宋_GB2312"/>
          <w:kern w:val="2"/>
          <w:sz w:val="32"/>
          <w:szCs w:val="32"/>
          <w:lang w:val="en-US" w:eastAsia="zh-CN" w:bidi="ar-SA"/>
        </w:rPr>
        <w:t>下的小微企业为重</w:t>
      </w:r>
      <w:r>
        <w:rPr>
          <w:rFonts w:hint="eastAsia" w:ascii="仿宋_GB2312" w:hAnsi="仿宋_GB2312" w:eastAsia="仿宋_GB2312" w:cs="仿宋_GB2312"/>
          <w:kern w:val="2"/>
          <w:sz w:val="32"/>
          <w:szCs w:val="32"/>
          <w:highlight w:val="none"/>
          <w:lang w:val="en-US" w:eastAsia="zh-CN" w:bidi="ar-SA"/>
        </w:rPr>
        <w:t>点，推动微型企业转型升级，实现规模经济。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sz w:val="32"/>
          <w:szCs w:val="32"/>
          <w:highlight w:val="none"/>
        </w:rPr>
      </w:pPr>
      <w:r>
        <w:rPr>
          <w:rFonts w:hint="eastAsia" w:ascii="仿宋_GB2312" w:eastAsia="仿宋_GB2312" w:cs="仿宋_GB2312"/>
          <w:b/>
          <w:bCs/>
          <w:color w:val="000000"/>
          <w:sz w:val="32"/>
          <w:szCs w:val="32"/>
          <w:lang w:eastAsia="zh-CN"/>
        </w:rPr>
        <w:t>——提升国有资本创新力。</w:t>
      </w:r>
      <w:r>
        <w:rPr>
          <w:rFonts w:hint="eastAsia" w:ascii="仿宋_GB2312" w:hAnsi="仿宋_GB2312" w:eastAsia="仿宋_GB2312" w:cs="仿宋_GB2312"/>
          <w:b w:val="0"/>
          <w:bCs w:val="0"/>
          <w:sz w:val="32"/>
          <w:szCs w:val="32"/>
        </w:rPr>
        <w:t>以技术创新为关键，培育企业核心优势。充</w:t>
      </w:r>
      <w:r>
        <w:rPr>
          <w:rFonts w:hint="eastAsia" w:ascii="仿宋_GB2312" w:hAnsi="黑体" w:eastAsia="仿宋_GB2312"/>
          <w:b w:val="0"/>
          <w:bCs w:val="0"/>
          <w:sz w:val="32"/>
          <w:szCs w:val="32"/>
        </w:rPr>
        <w:t>分发挥国有企业在装备制造业、消费制造业、数字产业等科技创新产业发展的作用，突出创新驱动的企业负责人</w:t>
      </w:r>
      <w:r>
        <w:rPr>
          <w:rFonts w:hint="eastAsia" w:ascii="仿宋_GB2312" w:hAnsi="黑体" w:eastAsia="仿宋_GB2312"/>
          <w:b w:val="0"/>
          <w:bCs w:val="0"/>
          <w:sz w:val="32"/>
          <w:szCs w:val="32"/>
          <w:lang w:val="en-US" w:eastAsia="zh-CN"/>
        </w:rPr>
        <w:t>的</w:t>
      </w:r>
      <w:r>
        <w:rPr>
          <w:rFonts w:hint="eastAsia" w:ascii="仿宋_GB2312" w:hAnsi="黑体" w:eastAsia="仿宋_GB2312"/>
          <w:b w:val="0"/>
          <w:bCs w:val="0"/>
          <w:sz w:val="32"/>
          <w:szCs w:val="32"/>
        </w:rPr>
        <w:t>经营业绩导向，将研发投入纳入国有企业负责人经营考核，</w:t>
      </w:r>
      <w:r>
        <w:rPr>
          <w:rFonts w:hint="eastAsia" w:ascii="仿宋_GB2312" w:hAnsi="黑体" w:eastAsia="仿宋_GB2312"/>
          <w:b w:val="0"/>
          <w:bCs w:val="0"/>
          <w:sz w:val="32"/>
          <w:szCs w:val="32"/>
          <w:lang w:eastAsia="zh-CN"/>
        </w:rPr>
        <w:t>落实相关政策支持。推动国有企业研发投入稳步增长</w:t>
      </w:r>
      <w:r>
        <w:rPr>
          <w:rFonts w:hint="eastAsia" w:ascii="仿宋_GB2312" w:hAnsi="黑体" w:eastAsia="仿宋_GB2312"/>
          <w:b w:val="0"/>
          <w:bCs w:val="0"/>
          <w:color w:val="auto"/>
          <w:sz w:val="32"/>
          <w:szCs w:val="32"/>
        </w:rPr>
        <w:t>。</w:t>
      </w:r>
      <w:r>
        <w:rPr>
          <w:rFonts w:hint="eastAsia" w:ascii="仿宋_GB2312" w:hAnsi="黑体" w:eastAsia="仿宋_GB2312"/>
          <w:b w:val="0"/>
          <w:bCs w:val="0"/>
          <w:sz w:val="32"/>
          <w:szCs w:val="32"/>
        </w:rPr>
        <w:t>对被科技部门认定为科技成果转移转化的企业，</w:t>
      </w:r>
      <w:r>
        <w:rPr>
          <w:rFonts w:hint="eastAsia" w:ascii="仿宋_GB2312" w:hAnsi="黑体" w:eastAsia="仿宋_GB2312"/>
          <w:b w:val="0"/>
          <w:bCs w:val="0"/>
          <w:sz w:val="32"/>
          <w:szCs w:val="32"/>
          <w:lang w:eastAsia="zh-CN"/>
        </w:rPr>
        <w:t>在企业负责人经营业绩考核中计算经济效益指标时，可将研发</w:t>
      </w:r>
      <w:r>
        <w:rPr>
          <w:rFonts w:hint="eastAsia" w:ascii="仿宋_GB2312" w:hAnsi="黑体" w:eastAsia="仿宋_GB2312"/>
          <w:b w:val="0"/>
          <w:bCs w:val="0"/>
          <w:sz w:val="32"/>
          <w:szCs w:val="32"/>
        </w:rPr>
        <w:t>投入</w:t>
      </w:r>
      <w:r>
        <w:rPr>
          <w:rFonts w:hint="eastAsia" w:ascii="仿宋_GB2312" w:hAnsi="黑体" w:eastAsia="仿宋_GB2312"/>
          <w:b w:val="0"/>
          <w:bCs w:val="0"/>
          <w:sz w:val="32"/>
          <w:szCs w:val="32"/>
          <w:lang w:eastAsia="zh-CN"/>
        </w:rPr>
        <w:t>视同利润加回</w:t>
      </w:r>
      <w:r>
        <w:rPr>
          <w:rFonts w:hint="eastAsia" w:ascii="仿宋_GB2312" w:hAnsi="黑体" w:eastAsia="仿宋_GB2312"/>
          <w:b w:val="0"/>
          <w:bCs w:val="0"/>
          <w:sz w:val="32"/>
          <w:szCs w:val="32"/>
        </w:rPr>
        <w:t>。</w:t>
      </w:r>
      <w:r>
        <w:rPr>
          <w:rFonts w:hint="eastAsia" w:ascii="仿宋_GB2312" w:hAnsi="仿宋_GB2312" w:eastAsia="仿宋_GB2312" w:cs="仿宋_GB2312"/>
          <w:b w:val="0"/>
          <w:bCs w:val="0"/>
          <w:sz w:val="32"/>
          <w:szCs w:val="32"/>
        </w:rPr>
        <w:t>依托核心业务，推动商业模式创新。</w:t>
      </w:r>
      <w:r>
        <w:rPr>
          <w:rFonts w:hint="eastAsia" w:ascii="仿宋_GB2312" w:hAnsi="黑体" w:eastAsia="仿宋_GB2312" w:cs="Arial"/>
          <w:b w:val="0"/>
          <w:bCs w:val="0"/>
          <w:kern w:val="2"/>
          <w:sz w:val="32"/>
          <w:szCs w:val="32"/>
          <w:lang w:val="en-US" w:eastAsia="zh-CN" w:bidi="ar-SA"/>
        </w:rPr>
        <w:t>运用信息技术，加强商业信息的采集、处理，利用自动化、网络化，推动商业信息化的网络环境建设</w:t>
      </w:r>
      <w:r>
        <w:rPr>
          <w:rFonts w:hint="eastAsia" w:hAnsi="黑体" w:cs="Arial"/>
          <w:b w:val="0"/>
          <w:bCs w:val="0"/>
          <w:kern w:val="2"/>
          <w:sz w:val="32"/>
          <w:szCs w:val="32"/>
          <w:lang w:val="en-US" w:eastAsia="zh-CN" w:bidi="ar-SA"/>
        </w:rPr>
        <w:t>，</w:t>
      </w:r>
      <w:r>
        <w:rPr>
          <w:rFonts w:hint="eastAsia" w:ascii="仿宋_GB2312" w:hAnsi="黑体" w:eastAsia="仿宋_GB2312" w:cs="Arial"/>
          <w:b w:val="0"/>
          <w:bCs w:val="0"/>
          <w:kern w:val="2"/>
          <w:sz w:val="32"/>
          <w:szCs w:val="32"/>
          <w:lang w:val="en-US" w:eastAsia="zh-CN" w:bidi="ar-SA"/>
        </w:rPr>
        <w:t>创新商业模式，</w:t>
      </w:r>
      <w:r>
        <w:rPr>
          <w:rFonts w:hint="eastAsia" w:ascii="仿宋_GB2312" w:hAnsi="仿宋_GB2312" w:eastAsia="仿宋_GB2312" w:cs="仿宋_GB2312"/>
          <w:b w:val="0"/>
          <w:bCs w:val="0"/>
          <w:sz w:val="32"/>
          <w:szCs w:val="32"/>
        </w:rPr>
        <w:t>聚焦制造业、旅游业、服务业，加强资本运作，</w:t>
      </w:r>
      <w:r>
        <w:rPr>
          <w:rFonts w:hint="eastAsia" w:ascii="仿宋_GB2312" w:hAnsi="仿宋_GB2312" w:eastAsia="仿宋_GB2312" w:cs="仿宋_GB2312"/>
          <w:sz w:val="32"/>
          <w:szCs w:val="32"/>
        </w:rPr>
        <w:t>形成规模效应，积极</w:t>
      </w:r>
      <w:r>
        <w:rPr>
          <w:rFonts w:hint="eastAsia" w:ascii="仿宋_GB2312" w:hAnsi="仿宋_GB2312" w:eastAsia="仿宋_GB2312" w:cs="仿宋_GB2312"/>
          <w:sz w:val="32"/>
          <w:szCs w:val="32"/>
          <w:highlight w:val="none"/>
        </w:rPr>
        <w:t>迈向中高端产业链，打造差异化竞争优势。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eastAsia="仿宋_GB2312" w:cs="仿宋_GB2312"/>
          <w:b w:val="0"/>
          <w:bCs w:val="0"/>
          <w:kern w:val="2"/>
          <w:sz w:val="32"/>
          <w:szCs w:val="32"/>
          <w:highlight w:val="none"/>
          <w:lang w:val="en-US" w:eastAsia="zh-CN" w:bidi="ar-SA"/>
        </w:rPr>
      </w:pPr>
      <w:r>
        <w:rPr>
          <w:rFonts w:hint="eastAsia" w:ascii="仿宋_GB2312" w:eastAsia="仿宋_GB2312" w:cs="仿宋_GB2312"/>
          <w:b/>
          <w:bCs/>
          <w:color w:val="000000"/>
          <w:sz w:val="32"/>
          <w:szCs w:val="32"/>
          <w:highlight w:val="none"/>
          <w:lang w:eastAsia="zh-CN"/>
        </w:rPr>
        <w:t>——提升国有资本控制力。</w:t>
      </w:r>
      <w:r>
        <w:rPr>
          <w:rFonts w:hint="eastAsia" w:ascii="仿宋_GB2312" w:eastAsia="仿宋_GB2312" w:cs="仿宋_GB2312"/>
          <w:b w:val="0"/>
          <w:bCs w:val="0"/>
          <w:kern w:val="2"/>
          <w:sz w:val="32"/>
          <w:szCs w:val="32"/>
          <w:highlight w:val="none"/>
          <w:lang w:val="en-US" w:eastAsia="zh-CN" w:bidi="ar-SA"/>
        </w:rPr>
        <w:t>对商业一类企业保持国有资本适度控制力度。对橡胶、仪器仪表、汽车配件等领域的制造业企业，保持国有资本比例适度，有效提升国有经济影响力和带动力。对商业二类企业保持国有资本绝对控制或相对控制力度。以旅游、服务、卫生为主业的企业，通过与产业投资板块的有效结合，将国有资本向该行业的产业集中，形成区域性主导产业，成为全省具有较强竞争优势的大中型企业；对公益性企业保持绝对全资控制力度。将以轨道、水务、公交为主业并以保障民生、服务社会、提供公共产品和服务为主要目标的国有企业，发展成为全省重要的国有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仿宋_GB2312" w:hAnsi="仿宋_GB2312" w:eastAsia="仿宋_GB2312" w:cs="仿宋_GB2312"/>
          <w:sz w:val="32"/>
          <w:szCs w:val="40"/>
          <w:highlight w:val="none"/>
        </w:rPr>
      </w:pPr>
      <w:r>
        <w:rPr>
          <w:rFonts w:hint="eastAsia" w:ascii="仿宋_GB2312" w:eastAsia="仿宋_GB2312" w:cs="仿宋_GB2312"/>
          <w:b/>
          <w:bCs/>
          <w:color w:val="000000"/>
          <w:sz w:val="21"/>
          <w:szCs w:val="21"/>
          <w:highlight w:val="none"/>
          <w:lang w:val="en-US" w:eastAsia="zh-CN"/>
        </w:rPr>
        <w:t xml:space="preserve">      </w:t>
      </w:r>
      <w:r>
        <w:rPr>
          <w:rFonts w:hint="eastAsia" w:ascii="仿宋_GB2312" w:eastAsia="仿宋_GB2312" w:cs="仿宋_GB2312"/>
          <w:b/>
          <w:bCs/>
          <w:color w:val="000000"/>
          <w:sz w:val="32"/>
          <w:szCs w:val="32"/>
          <w:highlight w:val="none"/>
          <w:lang w:eastAsia="zh-CN"/>
        </w:rPr>
        <w:t>——提升国有资本影响力。</w:t>
      </w:r>
      <w:r>
        <w:rPr>
          <w:rFonts w:hint="eastAsia" w:ascii="仿宋_GB2312" w:hAnsi="仿宋_GB2312" w:eastAsia="仿宋_GB2312" w:cs="仿宋_GB2312"/>
          <w:sz w:val="32"/>
          <w:szCs w:val="32"/>
          <w:highlight w:val="none"/>
        </w:rPr>
        <w:t>完善企业运营方式，提升社会影响力。以经营业务为导向，加速推广企业产品、企业服务力度，扩宽企业微信、手机APP、网络等市场经营化的运营方式，</w:t>
      </w:r>
      <w:r>
        <w:rPr>
          <w:rFonts w:hint="eastAsia" w:ascii="仿宋_GB2312" w:hAnsi="仿宋_GB2312" w:eastAsia="仿宋_GB2312" w:cs="仿宋_GB2312"/>
          <w:sz w:val="32"/>
          <w:szCs w:val="32"/>
          <w:highlight w:val="none"/>
          <w:lang w:eastAsia="zh-CN"/>
        </w:rPr>
        <w:t>拓宽企业经营发展新空间，</w:t>
      </w:r>
      <w:r>
        <w:rPr>
          <w:rFonts w:hint="eastAsia" w:ascii="仿宋_GB2312" w:hAnsi="仿宋_GB2312" w:eastAsia="仿宋_GB2312" w:cs="仿宋_GB2312"/>
          <w:sz w:val="32"/>
          <w:szCs w:val="32"/>
          <w:highlight w:val="none"/>
        </w:rPr>
        <w:t>推动企业成为</w:t>
      </w:r>
      <w:r>
        <w:rPr>
          <w:rFonts w:hint="eastAsia" w:ascii="仿宋_GB2312" w:hAnsi="仿宋_GB2312" w:eastAsia="仿宋_GB2312" w:cs="仿宋_GB2312"/>
          <w:sz w:val="32"/>
          <w:szCs w:val="32"/>
          <w:highlight w:val="none"/>
          <w:lang w:eastAsia="zh-CN"/>
        </w:rPr>
        <w:t>行业和众多群众关注的</w:t>
      </w:r>
      <w:r>
        <w:rPr>
          <w:rFonts w:hint="eastAsia" w:ascii="仿宋_GB2312" w:hAnsi="仿宋_GB2312" w:eastAsia="仿宋_GB2312" w:cs="仿宋_GB2312"/>
          <w:sz w:val="32"/>
          <w:szCs w:val="32"/>
          <w:highlight w:val="none"/>
        </w:rPr>
        <w:t>焦点。</w:t>
      </w:r>
      <w:r>
        <w:rPr>
          <w:rFonts w:hint="eastAsia" w:ascii="仿宋_GB2312" w:hAnsi="仿宋_GB2312" w:eastAsia="仿宋_GB2312" w:cs="仿宋_GB2312"/>
          <w:sz w:val="32"/>
          <w:szCs w:val="32"/>
          <w:highlight w:val="none"/>
          <w:lang w:val="en-US" w:eastAsia="zh-CN"/>
        </w:rPr>
        <w:t>加大</w:t>
      </w:r>
      <w:r>
        <w:rPr>
          <w:rFonts w:hint="eastAsia" w:ascii="仿宋_GB2312" w:hAnsi="仿宋_GB2312" w:eastAsia="仿宋_GB2312" w:cs="仿宋_GB2312"/>
          <w:sz w:val="32"/>
          <w:szCs w:val="32"/>
          <w:highlight w:val="none"/>
        </w:rPr>
        <w:t>企业文化价值</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宣传力度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40"/>
          <w:highlight w:val="none"/>
        </w:rPr>
        <w:t>积极宣传国有企业在改革发展、经济服务、社会责任等方面取得的成绩，为国有企业改革发展营造良好的宣传氛围。开展“学先进、抓落实、促改革”专项工作，积极宣传取得成功的典型国有企业，引导国有企业树立标杆意识，推进国有企业社会影响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eastAsia="仿宋_GB2312" w:cs="黑体"/>
          <w:b/>
          <w:bCs/>
          <w:sz w:val="32"/>
          <w:szCs w:val="32"/>
          <w:highlight w:val="none"/>
          <w:lang w:val="en-US" w:eastAsia="zh-CN"/>
        </w:rPr>
        <w:t>——提升国有资本抗风险能力。</w:t>
      </w:r>
      <w:r>
        <w:rPr>
          <w:rFonts w:hint="eastAsia" w:ascii="仿宋_GB2312" w:eastAsia="仿宋_GB2312" w:cs="黑体"/>
          <w:sz w:val="32"/>
          <w:szCs w:val="32"/>
          <w:highlight w:val="none"/>
          <w:lang w:val="en-US" w:eastAsia="zh-CN"/>
        </w:rPr>
        <w:t>强化债务风险管控。推进贵阳市国资委“数据铁笼”建设，强化对企业的息税前利润、利息保障倍数、流动比率、速动比率、经营活动现金净流量等指标的预警监测，科学评估企业债务风险状况，坚决守住不发生区域性、系统性债务风险的底线。合理优化资产负债率结构。按照企业所处的行业特点，合理确定资产负债率比率结构。对高资产负债率的企业，严控境内外投资，严控高风险业务管理，大幅压减各项费用支出。</w:t>
      </w:r>
    </w:p>
    <w:p>
      <w:pPr>
        <w:rPr>
          <w:rFonts w:hint="eastAsia" w:ascii="仿宋_GB2312" w:eastAsia="仿宋_GB2312" w:cs="仿宋_GB2312"/>
          <w:b/>
          <w:bCs/>
          <w:color w:val="000000"/>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38" w:name="_Toc4431"/>
      <w:r>
        <w:rPr>
          <w:rFonts w:hint="eastAsia" w:ascii="楷体_GB2312" w:eastAsia="楷体_GB2312" w:cs="楷体"/>
          <w:sz w:val="32"/>
          <w:szCs w:val="32"/>
          <w:lang w:val="en-US" w:eastAsia="zh-CN"/>
        </w:rPr>
        <w:t>第二节 2035年远景目标</w:t>
      </w:r>
      <w:bookmarkEnd w:id="38"/>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Calibri" w:eastAsia="仿宋_GB2312" w:cs="仿宋_GB2312"/>
          <w:b w:val="0"/>
          <w:bCs w:val="0"/>
          <w:kern w:val="2"/>
          <w:sz w:val="32"/>
          <w:szCs w:val="32"/>
          <w:lang w:val="en-US" w:eastAsia="zh-CN" w:bidi="ar-SA"/>
        </w:rPr>
      </w:pPr>
      <w:r>
        <w:rPr>
          <w:rFonts w:hint="eastAsia" w:ascii="仿宋_GB2312" w:hAnsi="Calibri" w:eastAsia="仿宋_GB2312" w:cs="仿宋_GB2312"/>
          <w:b w:val="0"/>
          <w:bCs w:val="0"/>
          <w:kern w:val="2"/>
          <w:sz w:val="32"/>
          <w:szCs w:val="32"/>
          <w:lang w:val="en-US" w:eastAsia="zh-CN" w:bidi="ar-SA"/>
        </w:rPr>
        <w:t>深化国资国企改革，加快完善中国特色现代企业制度，</w:t>
      </w:r>
      <w:r>
        <w:rPr>
          <w:rFonts w:hint="eastAsia" w:cs="仿宋_GB2312"/>
          <w:b w:val="0"/>
          <w:bCs w:val="0"/>
          <w:kern w:val="2"/>
          <w:sz w:val="32"/>
          <w:szCs w:val="32"/>
          <w:lang w:val="en-US" w:eastAsia="zh-CN" w:bidi="ar-SA"/>
        </w:rPr>
        <w:t>持续</w:t>
      </w:r>
      <w:r>
        <w:rPr>
          <w:rFonts w:hint="eastAsia" w:ascii="仿宋_GB2312" w:hAnsi="Calibri" w:eastAsia="仿宋_GB2312" w:cs="仿宋_GB2312"/>
          <w:b w:val="0"/>
          <w:bCs w:val="0"/>
          <w:kern w:val="2"/>
          <w:sz w:val="32"/>
          <w:szCs w:val="32"/>
          <w:lang w:val="en-US" w:eastAsia="zh-CN" w:bidi="ar-SA"/>
        </w:rPr>
        <w:t>深化国有企业混合所有制改革</w:t>
      </w:r>
      <w:r>
        <w:rPr>
          <w:rFonts w:hint="eastAsia" w:cs="仿宋_GB2312"/>
          <w:b w:val="0"/>
          <w:bCs w:val="0"/>
          <w:kern w:val="2"/>
          <w:sz w:val="32"/>
          <w:szCs w:val="32"/>
          <w:lang w:val="en-US" w:eastAsia="zh-CN" w:bidi="ar-SA"/>
        </w:rPr>
        <w:t>，</w:t>
      </w:r>
      <w:r>
        <w:rPr>
          <w:rFonts w:hint="eastAsia" w:ascii="仿宋_GB2312" w:hAnsi="Calibri" w:eastAsia="仿宋_GB2312" w:cs="仿宋_GB2312"/>
          <w:b w:val="0"/>
          <w:bCs w:val="0"/>
          <w:kern w:val="2"/>
          <w:sz w:val="32"/>
          <w:szCs w:val="32"/>
          <w:lang w:val="en-US" w:eastAsia="zh-CN" w:bidi="ar-SA"/>
        </w:rPr>
        <w:t>积极培育新兴产业，做好国有企业增量业务</w:t>
      </w:r>
      <w:r>
        <w:rPr>
          <w:rFonts w:hint="eastAsia" w:cs="仿宋_GB2312"/>
          <w:b w:val="0"/>
          <w:bCs w:val="0"/>
          <w:kern w:val="2"/>
          <w:sz w:val="32"/>
          <w:szCs w:val="32"/>
          <w:lang w:val="en-US" w:eastAsia="zh-CN" w:bidi="ar-SA"/>
        </w:rPr>
        <w:t>；</w:t>
      </w:r>
      <w:r>
        <w:rPr>
          <w:rFonts w:hint="eastAsia" w:ascii="仿宋_GB2312" w:hAnsi="Calibri" w:eastAsia="仿宋_GB2312" w:cs="仿宋_GB2312"/>
          <w:b w:val="0"/>
          <w:bCs w:val="0"/>
          <w:kern w:val="2"/>
          <w:sz w:val="32"/>
          <w:szCs w:val="32"/>
          <w:lang w:val="en-US" w:eastAsia="zh-CN" w:bidi="ar-SA"/>
        </w:rPr>
        <w:t>深化国有资本投资、运营公司改革</w:t>
      </w:r>
      <w:r>
        <w:rPr>
          <w:rFonts w:hint="eastAsia" w:cs="仿宋_GB2312"/>
          <w:b w:val="0"/>
          <w:bCs w:val="0"/>
          <w:kern w:val="2"/>
          <w:sz w:val="32"/>
          <w:szCs w:val="32"/>
          <w:lang w:val="en-US" w:eastAsia="zh-CN" w:bidi="ar-SA"/>
        </w:rPr>
        <w:t>，</w:t>
      </w:r>
      <w:r>
        <w:rPr>
          <w:rFonts w:hint="eastAsia" w:ascii="仿宋_GB2312" w:hAnsi="Calibri" w:eastAsia="仿宋_GB2312" w:cs="仿宋_GB2312"/>
          <w:b w:val="0"/>
          <w:bCs w:val="0"/>
          <w:kern w:val="2"/>
          <w:sz w:val="32"/>
          <w:szCs w:val="32"/>
          <w:lang w:val="en-US" w:eastAsia="zh-CN" w:bidi="ar-SA"/>
        </w:rPr>
        <w:t>做强做优做大国有资本和国有企业</w:t>
      </w:r>
      <w:r>
        <w:rPr>
          <w:rFonts w:hint="eastAsia" w:cs="仿宋_GB2312"/>
          <w:b w:val="0"/>
          <w:bCs w:val="0"/>
          <w:kern w:val="2"/>
          <w:sz w:val="32"/>
          <w:szCs w:val="32"/>
          <w:lang w:val="en-US" w:eastAsia="zh-CN" w:bidi="ar-SA"/>
        </w:rPr>
        <w:t>，</w:t>
      </w:r>
      <w:r>
        <w:rPr>
          <w:rFonts w:hint="eastAsia" w:ascii="仿宋_GB2312" w:hAnsi="Calibri" w:eastAsia="仿宋_GB2312" w:cs="仿宋_GB2312"/>
          <w:b w:val="0"/>
          <w:bCs w:val="0"/>
          <w:kern w:val="2"/>
          <w:sz w:val="32"/>
          <w:szCs w:val="32"/>
          <w:lang w:val="en-US" w:eastAsia="zh-CN" w:bidi="ar-SA"/>
        </w:rPr>
        <w:t>健全管资本为主的国有资产监管体制。加快国有经济优化布局</w:t>
      </w:r>
      <w:r>
        <w:rPr>
          <w:rFonts w:hint="eastAsia" w:cs="仿宋_GB2312"/>
          <w:b w:val="0"/>
          <w:bCs w:val="0"/>
          <w:kern w:val="2"/>
          <w:sz w:val="32"/>
          <w:szCs w:val="32"/>
          <w:lang w:val="en-US" w:eastAsia="zh-CN" w:bidi="ar-SA"/>
        </w:rPr>
        <w:t>，优化</w:t>
      </w:r>
      <w:r>
        <w:rPr>
          <w:rFonts w:hint="eastAsia" w:ascii="仿宋_GB2312" w:hAnsi="Calibri" w:eastAsia="仿宋_GB2312" w:cs="仿宋_GB2312"/>
          <w:b w:val="0"/>
          <w:bCs w:val="0"/>
          <w:kern w:val="2"/>
          <w:sz w:val="32"/>
          <w:szCs w:val="32"/>
          <w:lang w:val="en-US" w:eastAsia="zh-CN" w:bidi="ar-SA"/>
        </w:rPr>
        <w:t>结构调整，发挥国有经济战略支撑作用。推进公交、供水等公益性行业进一步深化改革，提升公益性企业服务水平。研究出台政府购买公交服务系列</w:t>
      </w:r>
      <w:r>
        <w:rPr>
          <w:rFonts w:hint="eastAsia" w:cs="仿宋_GB2312"/>
          <w:b w:val="0"/>
          <w:bCs w:val="0"/>
          <w:kern w:val="2"/>
          <w:sz w:val="32"/>
          <w:szCs w:val="32"/>
          <w:lang w:val="en-US" w:eastAsia="zh-CN" w:bidi="ar-SA"/>
        </w:rPr>
        <w:t>的</w:t>
      </w:r>
      <w:r>
        <w:rPr>
          <w:rFonts w:hint="eastAsia" w:ascii="仿宋_GB2312" w:hAnsi="Calibri" w:eastAsia="仿宋_GB2312" w:cs="仿宋_GB2312"/>
          <w:b w:val="0"/>
          <w:bCs w:val="0"/>
          <w:kern w:val="2"/>
          <w:sz w:val="32"/>
          <w:szCs w:val="32"/>
          <w:lang w:val="en-US" w:eastAsia="zh-CN" w:bidi="ar-SA"/>
        </w:rPr>
        <w:t>政策措施，促进企业节约成本，激发企业活力。支持贵阳北控水务引进投资者，整合产业资源。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kern w:val="2"/>
          <w:sz w:val="32"/>
          <w:szCs w:val="32"/>
          <w:lang w:val="en-US" w:eastAsia="zh-CN" w:bidi="ar-SA"/>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jc w:val="center"/>
        <w:outlineLvl w:val="0"/>
        <w:rPr>
          <w:rFonts w:hint="default" w:ascii="黑体" w:eastAsia="方正小标宋简体" w:cs="黑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 xml:space="preserve"> </w:t>
      </w:r>
      <w:bookmarkStart w:id="39" w:name="_Toc2565"/>
      <w:r>
        <w:rPr>
          <w:rFonts w:hint="eastAsia" w:ascii="方正小标宋简体" w:hAnsi="方正小标宋简体" w:eastAsia="方正小标宋简体" w:cs="方正小标宋简体"/>
          <w:b/>
          <w:bCs/>
          <w:sz w:val="36"/>
          <w:szCs w:val="36"/>
          <w:lang w:val="en-US" w:eastAsia="zh-CN"/>
        </w:rPr>
        <w:t>高质量优化国有资本布局的重要内容</w:t>
      </w:r>
      <w:bookmarkEnd w:id="39"/>
    </w:p>
    <w:p>
      <w:pPr>
        <w:rPr>
          <w:rFonts w:hint="eastAsia" w:ascii="仿宋_GB2312" w:hAnsi="仿宋_GB2312" w:eastAsia="仿宋_GB2312" w:cs="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40" w:name="_Toc25844"/>
      <w:r>
        <w:rPr>
          <w:rFonts w:hint="eastAsia" w:ascii="黑体" w:hAnsi="黑体" w:eastAsia="黑体" w:cs="黑体"/>
          <w:b w:val="0"/>
          <w:bCs w:val="0"/>
          <w:sz w:val="32"/>
          <w:szCs w:val="32"/>
          <w:lang w:val="en-US" w:eastAsia="zh-CN"/>
        </w:rPr>
        <w:t>国有资本“十四五”五个重大建设</w:t>
      </w:r>
      <w:bookmarkEnd w:id="40"/>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eastAsia" w:asci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40"/>
          <w:lang w:eastAsia="zh-CN"/>
        </w:rPr>
        <w:t>实施“‘</w:t>
      </w:r>
      <w:r>
        <w:rPr>
          <w:rFonts w:hint="eastAsia" w:ascii="仿宋_GB2312" w:hAnsi="仿宋_GB2312" w:eastAsia="仿宋_GB2312" w:cs="仿宋_GB2312"/>
          <w:b/>
          <w:bCs/>
          <w:color w:val="auto"/>
          <w:sz w:val="32"/>
          <w:szCs w:val="40"/>
          <w:lang w:val="en-US" w:eastAsia="zh-CN"/>
        </w:rPr>
        <w:t>强省会</w:t>
      </w:r>
      <w:r>
        <w:rPr>
          <w:rFonts w:hint="eastAsia" w:ascii="仿宋_GB2312" w:hAnsi="仿宋_GB2312" w:eastAsia="仿宋_GB2312" w:cs="仿宋_GB2312"/>
          <w:b/>
          <w:bCs/>
          <w:color w:val="auto"/>
          <w:sz w:val="32"/>
          <w:szCs w:val="40"/>
          <w:lang w:eastAsia="zh-CN"/>
        </w:rPr>
        <w:t>’</w:t>
      </w:r>
      <w:r>
        <w:rPr>
          <w:rFonts w:hint="default" w:ascii="仿宋_GB2312" w:hAnsi="仿宋_GB2312" w:eastAsia="仿宋_GB2312" w:cs="仿宋_GB2312"/>
          <w:b/>
          <w:bCs/>
          <w:color w:val="auto"/>
          <w:sz w:val="32"/>
          <w:szCs w:val="40"/>
          <w:lang w:val="en-US" w:eastAsia="zh-CN"/>
        </w:rPr>
        <w:t>五年行动</w:t>
      </w:r>
      <w:r>
        <w:rPr>
          <w:rFonts w:hint="eastAsia" w:ascii="仿宋_GB2312" w:hAnsi="仿宋_GB2312" w:eastAsia="仿宋_GB2312" w:cs="仿宋_GB2312"/>
          <w:b/>
          <w:bCs/>
          <w:color w:val="auto"/>
          <w:sz w:val="32"/>
          <w:szCs w:val="40"/>
          <w:lang w:eastAsia="zh-CN"/>
        </w:rPr>
        <w:t>”重大专项工程。</w:t>
      </w:r>
      <w:r>
        <w:rPr>
          <w:rFonts w:hint="eastAsia" w:ascii="仿宋_GB2312" w:eastAsia="仿宋_GB2312" w:cs="仿宋_GB2312"/>
          <w:b w:val="0"/>
          <w:bCs w:val="0"/>
          <w:color w:val="auto"/>
          <w:kern w:val="2"/>
          <w:sz w:val="32"/>
          <w:szCs w:val="32"/>
          <w:lang w:val="en-US" w:eastAsia="zh-CN" w:bidi="ar-SA"/>
        </w:rPr>
        <w:t>紧跟中央、省、市的相关决策部署，抢抓“强省会”五年行动的重大战略机遇，以“强实体”为着力点，聚焦主导产业、首位产业，抓招商、抓项目，加快打造千亿级产业集群、构建支撑高质量发展的现代产业体系，全力以赴做大国有经济体量。以贵阳贵安融合发展为契机，构建高质量发展的新型城镇化体系，全力以赴优化城市承载空间；以改革开放创新为路径，构建服务高质量发展的要素配置体系，全力以赴增强城市发展动力。到2035年，基本实现新型工业化、新型城镇化、农业现代化，形成现代化经济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auto"/>
          <w:sz w:val="32"/>
          <w:szCs w:val="40"/>
          <w:highlight w:val="none"/>
          <w:u w:val="none"/>
          <w:lang w:val="en-US" w:eastAsia="zh-CN"/>
        </w:rPr>
      </w:pPr>
      <w:r>
        <w:rPr>
          <w:rFonts w:hint="eastAsia" w:ascii="仿宋_GB2312" w:hAnsi="仿宋_GB2312" w:eastAsia="仿宋_GB2312" w:cs="仿宋_GB2312"/>
          <w:b/>
          <w:bCs/>
          <w:color w:val="auto"/>
          <w:sz w:val="32"/>
          <w:szCs w:val="40"/>
          <w:lang w:eastAsia="zh-CN"/>
        </w:rPr>
        <w:t>实施“全市国企改革三年行动计划”重大专项工程。</w:t>
      </w:r>
      <w:r>
        <w:rPr>
          <w:rFonts w:hint="eastAsia" w:ascii="仿宋_GB2312" w:eastAsia="仿宋_GB2312" w:cs="仿宋_GB2312"/>
          <w:b w:val="0"/>
          <w:bCs w:val="0"/>
          <w:color w:val="auto"/>
          <w:kern w:val="2"/>
          <w:sz w:val="32"/>
          <w:szCs w:val="32"/>
          <w:lang w:val="en-US" w:eastAsia="zh-CN" w:bidi="ar-SA"/>
        </w:rPr>
        <w:t>按照中央、省实施三年行动计划的要求，制定我市国企改革三年行动方案。通过三年的努力，加强和巩固国有企业党的领导和党的建设，转变和提升国资监管体制机制，优化和调整国有企业经济结构布局，建立与完善现代国有企业制度，稳妥推进混合所有制改革，使国有企业成为全市经济高质量、高规格、高标准发展的主力军和排头兵，使国有经济竞争力、创新力全面有效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40"/>
          <w:highlight w:val="none"/>
          <w:lang w:eastAsia="zh-CN"/>
        </w:rPr>
        <w:t>推动全市重大工程（重点项目）建设力度。</w:t>
      </w:r>
      <w:r>
        <w:rPr>
          <w:rFonts w:hint="eastAsia" w:ascii="仿宋_GB2312" w:hAnsi="仿宋_GB2312" w:eastAsia="仿宋_GB2312" w:cs="仿宋_GB2312"/>
          <w:b w:val="0"/>
          <w:bCs w:val="0"/>
          <w:color w:val="auto"/>
          <w:sz w:val="32"/>
          <w:szCs w:val="32"/>
          <w:lang w:eastAsia="zh-CN"/>
        </w:rPr>
        <w:t>巩固国有企业在</w:t>
      </w:r>
      <w:r>
        <w:rPr>
          <w:rFonts w:hint="eastAsia" w:ascii="仿宋_GB2312" w:hAnsi="仿宋_GB2312" w:eastAsia="仿宋_GB2312" w:cs="仿宋_GB2312"/>
          <w:color w:val="auto"/>
          <w:sz w:val="32"/>
          <w:szCs w:val="32"/>
          <w:lang w:eastAsia="zh-CN"/>
        </w:rPr>
        <w:t>全市新型城镇化建设的突出性支撑作用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持续</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国有</w:t>
      </w:r>
      <w:r>
        <w:rPr>
          <w:rFonts w:hint="eastAsia" w:ascii="仿宋_GB2312" w:hAnsi="仿宋_GB2312" w:eastAsia="仿宋_GB2312" w:cs="仿宋_GB2312"/>
          <w:color w:val="auto"/>
          <w:sz w:val="32"/>
          <w:szCs w:val="32"/>
          <w:lang w:eastAsia="zh-CN"/>
        </w:rPr>
        <w:t>经济</w:t>
      </w:r>
      <w:r>
        <w:rPr>
          <w:rFonts w:hint="eastAsia" w:ascii="仿宋_GB2312" w:hAnsi="仿宋_GB2312" w:eastAsia="仿宋_GB2312" w:cs="仿宋_GB2312"/>
          <w:color w:val="auto"/>
          <w:sz w:val="32"/>
          <w:szCs w:val="32"/>
        </w:rPr>
        <w:t>在全市基础设施建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加快推进</w:t>
      </w:r>
      <w:r>
        <w:rPr>
          <w:rFonts w:hint="eastAsia" w:ascii="仿宋_GB2312" w:hAnsi="仿宋_GB2312" w:eastAsia="仿宋_GB2312" w:cs="仿宋_GB2312"/>
          <w:color w:val="auto"/>
          <w:sz w:val="32"/>
          <w:szCs w:val="32"/>
          <w:lang w:eastAsia="zh-CN"/>
        </w:rPr>
        <w:t>轨道交通、市域铁路、道路交通、水利设施等</w:t>
      </w:r>
      <w:r>
        <w:rPr>
          <w:rFonts w:hint="eastAsia" w:ascii="仿宋_GB2312" w:hAnsi="仿宋_GB2312" w:eastAsia="仿宋_GB2312" w:cs="仿宋_GB2312"/>
          <w:color w:val="auto"/>
          <w:sz w:val="32"/>
          <w:szCs w:val="32"/>
        </w:rPr>
        <w:t>基础设施建设</w:t>
      </w:r>
      <w:r>
        <w:rPr>
          <w:rFonts w:hint="eastAsia" w:ascii="仿宋_GB2312" w:hAnsi="仿宋_GB2312" w:eastAsia="仿宋_GB2312" w:cs="仿宋_GB2312"/>
          <w:color w:val="auto"/>
          <w:sz w:val="32"/>
          <w:szCs w:val="32"/>
          <w:lang w:eastAsia="zh-CN"/>
        </w:rPr>
        <w:t>，加强对</w:t>
      </w:r>
      <w:r>
        <w:rPr>
          <w:rFonts w:hint="eastAsia" w:ascii="仿宋_GB2312" w:hAnsi="仿宋_GB2312" w:eastAsia="仿宋_GB2312" w:cs="仿宋_GB2312"/>
          <w:color w:val="auto"/>
          <w:sz w:val="32"/>
          <w:szCs w:val="32"/>
        </w:rPr>
        <w:t>重大项目</w:t>
      </w:r>
      <w:r>
        <w:rPr>
          <w:rFonts w:hint="eastAsia" w:ascii="仿宋_GB2312" w:hAnsi="仿宋_GB2312" w:eastAsia="仿宋_GB2312" w:cs="仿宋_GB2312"/>
          <w:color w:val="auto"/>
          <w:sz w:val="32"/>
          <w:szCs w:val="32"/>
          <w:lang w:eastAsia="zh-CN"/>
        </w:rPr>
        <w:t>的调度和监督管理，督促各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rPr>
        <w:t>投资项目的决策主体、执行主体和责任主体</w:t>
      </w:r>
      <w:r>
        <w:rPr>
          <w:rFonts w:hint="eastAsia" w:ascii="仿宋_GB2312" w:hAnsi="仿宋_GB2312" w:eastAsia="仿宋_GB2312" w:cs="仿宋_GB2312"/>
          <w:color w:val="auto"/>
          <w:sz w:val="32"/>
          <w:szCs w:val="32"/>
          <w:lang w:eastAsia="zh-CN"/>
        </w:rPr>
        <w:t>，提高项目建设管理的责任意识，</w:t>
      </w:r>
      <w:r>
        <w:rPr>
          <w:rFonts w:hint="eastAsia" w:ascii="仿宋_GB2312" w:hAnsi="仿宋_GB2312" w:eastAsia="仿宋_GB2312" w:cs="仿宋_GB2312"/>
          <w:color w:val="auto"/>
          <w:sz w:val="32"/>
          <w:szCs w:val="32"/>
        </w:rPr>
        <w:t>规范项目建设过程</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rPr>
        <w:t>资金使用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提高投资风险防控能力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40"/>
          <w:lang w:val="en-US" w:eastAsia="zh-CN"/>
        </w:rPr>
        <w:t>推动</w:t>
      </w:r>
      <w:r>
        <w:rPr>
          <w:rFonts w:hint="eastAsia" w:ascii="仿宋_GB2312" w:hAnsi="仿宋_GB2312" w:eastAsia="仿宋_GB2312" w:cs="仿宋_GB2312"/>
          <w:b/>
          <w:bCs/>
          <w:color w:val="auto"/>
          <w:sz w:val="32"/>
          <w:szCs w:val="40"/>
          <w:lang w:eastAsia="zh-CN"/>
        </w:rPr>
        <w:t>“国有企业闲置资产和低效无效企业”</w:t>
      </w:r>
      <w:r>
        <w:rPr>
          <w:rFonts w:hint="eastAsia" w:ascii="仿宋_GB2312" w:hAnsi="仿宋_GB2312" w:eastAsia="仿宋_GB2312" w:cs="仿宋_GB2312"/>
          <w:b/>
          <w:bCs/>
          <w:color w:val="auto"/>
          <w:sz w:val="32"/>
          <w:szCs w:val="40"/>
          <w:lang w:val="en-US" w:eastAsia="zh-CN"/>
        </w:rPr>
        <w:t>处置力度</w:t>
      </w:r>
      <w:r>
        <w:rPr>
          <w:rFonts w:hint="eastAsia" w:ascii="仿宋_GB2312" w:hAnsi="仿宋_GB2312" w:eastAsia="仿宋_GB2312" w:cs="仿宋_GB2312"/>
          <w:b/>
          <w:bCs/>
          <w:color w:val="auto"/>
          <w:sz w:val="32"/>
          <w:szCs w:val="40"/>
          <w:lang w:eastAsia="zh-CN"/>
        </w:rPr>
        <w:t>。</w:t>
      </w:r>
      <w:r>
        <w:rPr>
          <w:rFonts w:hint="eastAsia" w:ascii="仿宋_GB2312" w:hAnsi="仿宋_GB2312" w:eastAsia="仿宋_GB2312" w:cs="仿宋_GB2312"/>
          <w:color w:val="auto"/>
          <w:kern w:val="2"/>
          <w:sz w:val="32"/>
          <w:szCs w:val="32"/>
          <w:lang w:val="en-US" w:eastAsia="zh-CN" w:bidi="ar-SA"/>
        </w:rPr>
        <w:t>坚持以供给侧结构性改革为主线，</w:t>
      </w:r>
      <w:r>
        <w:rPr>
          <w:rFonts w:hint="eastAsia" w:ascii="仿宋_GB2312" w:hAnsi="仿宋_GB2312" w:eastAsia="仿宋_GB2312" w:cs="仿宋_GB2312"/>
          <w:color w:val="auto"/>
          <w:sz w:val="32"/>
          <w:szCs w:val="40"/>
        </w:rPr>
        <w:t>进一步减少法人户数，企业管理层原则上在3级</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含</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以内（除特殊情况外），国有企业二、三级以下（含）企业户数原则上减少20%，企业有效资产逐步向核心企业、骨干企业聚集。</w:t>
      </w:r>
      <w:r>
        <w:rPr>
          <w:rFonts w:hint="eastAsia" w:ascii="仿宋_GB2312" w:hAnsi="仿宋_GB2312" w:eastAsia="仿宋_GB2312" w:cs="仿宋_GB2312"/>
          <w:color w:val="auto"/>
          <w:kern w:val="2"/>
          <w:sz w:val="32"/>
          <w:szCs w:val="32"/>
          <w:lang w:val="en-US" w:eastAsia="zh-CN" w:bidi="ar-SA"/>
        </w:rPr>
        <w:t>以促进资源优化配置和提高资源使用效率为目标，按照市场化、法治化原则，建立健全国有企业退出制度，提高市场重组、出清的质量和效率，提高资产的运营质量，促进国有企业运营水平提质增效。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40"/>
          <w:u w:val="none"/>
          <w:lang w:val="en-US" w:eastAsia="zh-CN"/>
        </w:rPr>
      </w:pPr>
      <w:r>
        <w:rPr>
          <w:rFonts w:hint="eastAsia" w:ascii="仿宋_GB2312" w:hAnsi="仿宋_GB2312" w:eastAsia="仿宋_GB2312" w:cs="仿宋_GB2312"/>
          <w:b/>
          <w:bCs/>
          <w:color w:val="auto"/>
          <w:sz w:val="32"/>
          <w:szCs w:val="40"/>
          <w:lang w:val="en-US" w:eastAsia="zh-CN"/>
        </w:rPr>
        <w:t>推动</w:t>
      </w:r>
      <w:r>
        <w:rPr>
          <w:rFonts w:hint="eastAsia" w:ascii="仿宋_GB2312" w:hAnsi="仿宋_GB2312" w:eastAsia="仿宋_GB2312" w:cs="仿宋_GB2312"/>
          <w:b/>
          <w:bCs/>
          <w:color w:val="auto"/>
          <w:sz w:val="32"/>
          <w:szCs w:val="40"/>
          <w:lang w:eastAsia="zh-CN"/>
        </w:rPr>
        <w:t>“构建全市国资监管大格局”</w:t>
      </w:r>
      <w:r>
        <w:rPr>
          <w:rFonts w:hint="eastAsia" w:ascii="仿宋_GB2312" w:hAnsi="仿宋_GB2312" w:eastAsia="仿宋_GB2312" w:cs="仿宋_GB2312"/>
          <w:b/>
          <w:bCs/>
          <w:color w:val="auto"/>
          <w:sz w:val="32"/>
          <w:szCs w:val="40"/>
          <w:lang w:val="en-US" w:eastAsia="zh-CN"/>
        </w:rPr>
        <w:t>统筹力度</w:t>
      </w:r>
      <w:r>
        <w:rPr>
          <w:rFonts w:hint="eastAsia" w:ascii="仿宋_GB2312" w:hAnsi="仿宋_GB2312" w:eastAsia="仿宋_GB2312" w:cs="仿宋_GB2312"/>
          <w:b/>
          <w:bCs/>
          <w:color w:val="auto"/>
          <w:sz w:val="32"/>
          <w:szCs w:val="40"/>
          <w:lang w:eastAsia="zh-CN"/>
        </w:rPr>
        <w:t>。</w:t>
      </w:r>
      <w:r>
        <w:rPr>
          <w:rFonts w:hint="eastAsia" w:ascii="仿宋_GB2312" w:hAnsi="仿宋_GB2312" w:eastAsia="仿宋_GB2312" w:cs="仿宋_GB2312"/>
          <w:color w:val="auto"/>
          <w:sz w:val="32"/>
          <w:szCs w:val="40"/>
          <w:lang w:val="en-US" w:eastAsia="zh-CN"/>
        </w:rPr>
        <w:t>按照中央、省统一部署，制定构建全市国资监管大格局专项行动，形成国资监管“一盘棋”，为国有企业改革发展提供良好的监管环境，力争用2年时间推动实现机构职能上下贯通、法规制度协同一致、权责规范统一、改革发展统筹有序、党的领导坚强有力的国资监管新局面，促进国有企业高质量发</w:t>
      </w:r>
      <w:r>
        <w:rPr>
          <w:rFonts w:hint="eastAsia" w:ascii="仿宋_GB2312" w:hAnsi="仿宋_GB2312" w:eastAsia="仿宋_GB2312" w:cs="仿宋_GB2312"/>
          <w:color w:val="auto"/>
          <w:sz w:val="32"/>
          <w:szCs w:val="40"/>
          <w:u w:val="none"/>
          <w:lang w:val="en-US" w:eastAsia="zh-CN"/>
        </w:rPr>
        <w:t>展。</w:t>
      </w:r>
    </w:p>
    <w:p>
      <w:pPr>
        <w:rPr>
          <w:rFonts w:hint="eastAsia" w:ascii="仿宋" w:hAnsi="仿宋" w:eastAsia="仿宋" w:cs="仿宋"/>
          <w:sz w:val="32"/>
          <w:szCs w:val="32"/>
          <w:lang w:val="en-US" w:eastAsia="zh-CN"/>
        </w:rPr>
      </w:pPr>
    </w:p>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41" w:name="_Toc14311"/>
      <w:r>
        <w:rPr>
          <w:rFonts w:hint="eastAsia" w:ascii="黑体" w:hAnsi="黑体" w:eastAsia="黑体" w:cs="黑体"/>
          <w:b w:val="0"/>
          <w:bCs w:val="0"/>
          <w:sz w:val="32"/>
          <w:szCs w:val="32"/>
          <w:lang w:val="en-US" w:eastAsia="zh-CN"/>
        </w:rPr>
        <w:t>国有资本“十四五”的区域布局及行业布局</w:t>
      </w:r>
      <w:bookmarkEnd w:id="41"/>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rPr>
          <w:rFonts w:hint="eastAsia" w:ascii="楷体_GB2312" w:eastAsia="楷体_GB2312" w:cs="楷体"/>
          <w:sz w:val="21"/>
          <w:szCs w:val="21"/>
          <w:lang w:val="en-US"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jc w:val="center"/>
        <w:outlineLvl w:val="2"/>
        <w:rPr>
          <w:rFonts w:hint="eastAsia" w:ascii="楷体_GB2312" w:eastAsia="楷体_GB2312" w:cs="楷体"/>
          <w:sz w:val="32"/>
          <w:szCs w:val="32"/>
          <w:lang w:eastAsia="zh-CN"/>
        </w:rPr>
      </w:pPr>
      <w:bookmarkStart w:id="42" w:name="_Toc15101"/>
      <w:r>
        <w:rPr>
          <w:rFonts w:hint="eastAsia" w:ascii="楷体_GB2312" w:eastAsia="楷体_GB2312" w:cs="楷体"/>
          <w:sz w:val="32"/>
          <w:szCs w:val="32"/>
          <w:lang w:val="en-US" w:eastAsia="zh-CN"/>
        </w:rPr>
        <w:t xml:space="preserve">第一节 </w:t>
      </w:r>
      <w:r>
        <w:rPr>
          <w:rFonts w:hint="eastAsia" w:ascii="楷体_GB2312" w:eastAsia="楷体_GB2312" w:cs="楷体"/>
          <w:sz w:val="32"/>
          <w:szCs w:val="32"/>
          <w:lang w:eastAsia="zh-CN"/>
        </w:rPr>
        <w:t>国有经济行业布局</w:t>
      </w:r>
      <w:bookmarkEnd w:id="42"/>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rPr>
          <w:rFonts w:hint="eastAsia"/>
          <w:sz w:val="21"/>
          <w:szCs w:val="21"/>
          <w:lang w:eastAsia="zh-CN"/>
        </w:rPr>
      </w:pP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0" w:leftChars="0"/>
        <w:textAlignment w:val="auto"/>
        <w:rPr>
          <w:rFonts w:hint="eastAsia" w:ascii="仿宋_GB2312" w:hAnsi="Calibri" w:eastAsia="仿宋_GB2312" w:cs="仿宋_GB2312"/>
          <w:b w:val="0"/>
          <w:bCs w:val="0"/>
          <w:kern w:val="2"/>
          <w:sz w:val="32"/>
          <w:szCs w:val="32"/>
          <w:lang w:val="en-US" w:eastAsia="zh-CN" w:bidi="ar-SA"/>
        </w:rPr>
      </w:pPr>
      <w:r>
        <w:rPr>
          <w:rFonts w:hint="eastAsia" w:ascii="仿宋_GB2312" w:hAnsi="Calibri" w:eastAsia="仿宋_GB2312" w:cs="仿宋_GB2312"/>
          <w:b w:val="0"/>
          <w:bCs w:val="0"/>
          <w:kern w:val="2"/>
          <w:sz w:val="32"/>
          <w:szCs w:val="32"/>
          <w:lang w:val="en-US" w:eastAsia="zh-CN" w:bidi="ar-SA"/>
        </w:rPr>
        <w:t>立足市级国有资本的战略定位和发展目标优化空间布局，以增强国有经济活力、放大国有资本功能、做强做精主业为根本，进一步向主业突出、竞争力强的优势行业、优势企业集中。以改革创新为动力，以实现高质量发展为目标落实贵阳产控“一体三翼”战略发展格局。坚持把发展经济着力点放在实体经济上，做强做优基础设施建设、现代服务业等优势产业，突出发展战略性新兴产业，加快发展先进制造业、现代农业等关键产业的国有企业，使其占全市同类行业比重稳步提高。</w:t>
      </w:r>
    </w:p>
    <w:p>
      <w:pPr>
        <w:rPr>
          <w:rFonts w:hint="eastAsia"/>
          <w:sz w:val="21"/>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eastAsia="zh-CN"/>
        </w:rPr>
      </w:pPr>
      <w:bookmarkStart w:id="43" w:name="_Toc2138"/>
      <w:r>
        <w:rPr>
          <w:rFonts w:hint="eastAsia" w:ascii="楷体_GB2312" w:eastAsia="楷体_GB2312" w:cs="楷体"/>
          <w:sz w:val="32"/>
          <w:szCs w:val="32"/>
          <w:lang w:val="en-US" w:eastAsia="zh-CN"/>
        </w:rPr>
        <w:t xml:space="preserve">第二节 </w:t>
      </w:r>
      <w:r>
        <w:rPr>
          <w:rFonts w:hint="eastAsia" w:ascii="楷体_GB2312" w:eastAsia="楷体_GB2312" w:cs="楷体"/>
          <w:sz w:val="32"/>
          <w:szCs w:val="32"/>
          <w:lang w:eastAsia="zh-CN"/>
        </w:rPr>
        <w:t>国有资本向全市经济领域集中</w:t>
      </w:r>
      <w:bookmarkEnd w:id="43"/>
    </w:p>
    <w:p>
      <w:pPr>
        <w:rPr>
          <w:rFonts w:hint="eastAsia" w:ascii="仿宋_GB2312" w:hAnsi="仿宋_GB2312" w:eastAsia="仿宋_GB2312" w:cs="仿宋_GB2312"/>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推进</w:t>
      </w:r>
      <w:r>
        <w:rPr>
          <w:rFonts w:hint="eastAsia" w:ascii="仿宋_GB2312" w:hAnsi="仿宋_GB2312" w:eastAsia="仿宋_GB2312" w:cs="仿宋_GB2312"/>
          <w:b/>
          <w:bCs/>
          <w:sz w:val="32"/>
          <w:szCs w:val="32"/>
          <w:lang w:val="en-US" w:eastAsia="zh-CN"/>
        </w:rPr>
        <w:t>新型</w:t>
      </w:r>
      <w:r>
        <w:rPr>
          <w:rFonts w:hint="eastAsia" w:ascii="仿宋_GB2312" w:hAnsi="仿宋_GB2312" w:eastAsia="仿宋_GB2312" w:cs="仿宋_GB2312"/>
          <w:b/>
          <w:bCs/>
          <w:sz w:val="32"/>
          <w:szCs w:val="32"/>
        </w:rPr>
        <w:t>工业化</w:t>
      </w:r>
      <w:r>
        <w:rPr>
          <w:rFonts w:hint="eastAsia" w:ascii="仿宋_GB2312" w:hAnsi="仿宋_GB2312" w:eastAsia="仿宋_GB2312" w:cs="仿宋_GB2312"/>
          <w:b/>
          <w:bCs/>
          <w:sz w:val="32"/>
          <w:szCs w:val="32"/>
          <w:lang w:eastAsia="zh-CN"/>
        </w:rPr>
        <w:t>、新型城镇化</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lang w:eastAsia="zh-CN"/>
        </w:rPr>
        <w:t>产业集群的互动发展。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聚焦新型工业化。做好本土制造业企业人才、人力资源服务及科技金融服务，在帮助企业进一步增强制造业研发设计能力、提升产能做强做大上实现新突破，助力打造新型工业产业链、优化供应链布局，全面提升工业总产值、工业投资、工业市场主体数量，做强工业品牌，全力夯实工业产业发展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聚焦新型城镇化。以带动全市经济发展为目标，推动国有企业在网络、数据等新型基础设施项目的建设投入。建设完善数字基础设施，夯实产业聚能基础；深入推进大数据政务应用及实体经济融合，提升数据赋能效果；构建数字经济投资、孵化、会展、安全生产业链，扩大生态释能成效，助力国家大数据综合试验区核心区建设，使大数据成为带动全面创新和新型城镇化转型跨越的核心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聚焦生态旅游。以资本运作为手段，推进城乡旅游设施改造，推动旅游、文化、体育等资源的整合开发，挖掘和丰富“爽爽贵阳”内涵和价值，重点发展休闲度假、养生养老、中高端住宿业、中高端消费、康体健身、文化演艺产业。做强旅游产业、做实文化产业、做活体育产业，引导行业健康、持续、高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cs="仿宋_GB2312"/>
          <w:b w:val="0"/>
          <w:bCs w:val="0"/>
          <w:kern w:val="2"/>
          <w:sz w:val="32"/>
          <w:szCs w:val="32"/>
          <w:lang w:val="en-US" w:eastAsia="zh-CN" w:bidi="ar-SA"/>
        </w:rPr>
        <w:t>——聚焦康养产业。以市场化方式，引入多元化投资主体，打造集医疗护理、医疗信息系统、健康管理及医疗后勤、医学装备维修服务等为一体的医疗医养产业集群。以医疗、医药、医养为板块，实行差异化运营管理，推动全市卫生健康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b w:val="0"/>
          <w:bCs w:val="0"/>
          <w:kern w:val="2"/>
          <w:sz w:val="32"/>
          <w:szCs w:val="32"/>
          <w:lang w:val="en-US" w:eastAsia="zh-CN" w:bidi="ar-SA"/>
        </w:rPr>
        <w:t>——聚焦农业产业。围绕“服务城市、繁荣农村、富裕农民”的目标，以“资本化运作、产业化经营、都市化服务”为发展方向，运用现代金融手段，采取“投、贷、保、基”的经营模式，构建政府引导、市场主导、社会参与的现代农业投融资体系，培育壮大龙头企业并增强示范带动效应。</w:t>
      </w:r>
    </w:p>
    <w:p>
      <w:pPr>
        <w:pStyle w:val="2"/>
        <w:rPr>
          <w:rFonts w:hint="eastAsia"/>
          <w:sz w:val="21"/>
          <w:szCs w:val="21"/>
          <w:lang w:eastAsia="zh-CN"/>
        </w:rPr>
      </w:pPr>
    </w:p>
    <w:p>
      <w:pPr>
        <w:rPr>
          <w:rFonts w:hint="eastAsia"/>
          <w:sz w:val="21"/>
          <w:szCs w:val="21"/>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eastAsia="zh-CN"/>
        </w:rPr>
        <w:t>推动贵阳贵安国有经济融合发展。</w:t>
      </w:r>
      <w:r>
        <w:rPr>
          <w:rFonts w:hint="eastAsia" w:ascii="仿宋_GB2312" w:hAnsi="黑体" w:eastAsia="仿宋_GB2312"/>
          <w:sz w:val="32"/>
          <w:szCs w:val="32"/>
          <w:lang w:val="en-US" w:eastAsia="zh-CN"/>
        </w:rPr>
        <w:t>以</w:t>
      </w:r>
      <w:r>
        <w:rPr>
          <w:rFonts w:hint="eastAsia" w:ascii="仿宋_GB2312" w:hAnsi="黑体" w:eastAsia="仿宋_GB2312"/>
          <w:sz w:val="32"/>
          <w:szCs w:val="32"/>
          <w:lang w:eastAsia="zh-CN"/>
        </w:rPr>
        <w:t>贵阳贵安</w:t>
      </w:r>
      <w:r>
        <w:rPr>
          <w:rFonts w:hint="eastAsia" w:ascii="仿宋_GB2312" w:hAnsi="黑体" w:eastAsia="仿宋_GB2312"/>
          <w:sz w:val="32"/>
          <w:szCs w:val="32"/>
        </w:rPr>
        <w:t>经济发展为目标，</w:t>
      </w:r>
      <w:r>
        <w:rPr>
          <w:rFonts w:hint="eastAsia" w:ascii="仿宋_GB2312" w:hAnsi="仿宋_GB2312" w:eastAsia="仿宋_GB2312" w:cs="仿宋_GB2312"/>
          <w:sz w:val="32"/>
          <w:szCs w:val="32"/>
          <w:lang w:eastAsia="zh-CN"/>
        </w:rPr>
        <w:t>推进</w:t>
      </w:r>
      <w:r>
        <w:rPr>
          <w:rFonts w:hint="eastAsia" w:ascii="仿宋_GB2312" w:hAnsi="黑体" w:eastAsia="仿宋_GB2312"/>
          <w:sz w:val="32"/>
          <w:szCs w:val="32"/>
        </w:rPr>
        <w:t>贵</w:t>
      </w:r>
      <w:r>
        <w:rPr>
          <w:rFonts w:hint="eastAsia" w:ascii="仿宋_GB2312" w:hAnsi="仿宋_GB2312" w:eastAsia="仿宋_GB2312" w:cs="仿宋_GB2312"/>
          <w:sz w:val="32"/>
          <w:szCs w:val="32"/>
        </w:rPr>
        <w:t>阳贵安国有经济在</w:t>
      </w:r>
      <w:r>
        <w:rPr>
          <w:rFonts w:hint="eastAsia" w:ascii="仿宋_GB2312" w:hAnsi="仿宋_GB2312" w:eastAsia="仿宋_GB2312" w:cs="仿宋_GB2312"/>
          <w:sz w:val="32"/>
          <w:szCs w:val="40"/>
          <w:lang w:val="en-US" w:eastAsia="zh-CN"/>
        </w:rPr>
        <w:t>制造业、</w:t>
      </w:r>
      <w:r>
        <w:rPr>
          <w:rFonts w:hint="eastAsia" w:ascii="仿宋_GB2312" w:hAnsi="仿宋_GB2312" w:eastAsia="仿宋_GB2312" w:cs="仿宋_GB2312"/>
          <w:sz w:val="32"/>
          <w:szCs w:val="40"/>
        </w:rPr>
        <w:t>轨道、公交、农业等</w:t>
      </w:r>
      <w:r>
        <w:rPr>
          <w:rFonts w:hint="eastAsia" w:ascii="仿宋_GB2312" w:hAnsi="仿宋_GB2312" w:eastAsia="仿宋_GB2312" w:cs="仿宋_GB2312"/>
          <w:sz w:val="32"/>
          <w:szCs w:val="40"/>
          <w:highlight w:val="none"/>
        </w:rPr>
        <w:t>行业领域</w:t>
      </w:r>
      <w:r>
        <w:rPr>
          <w:rFonts w:hint="eastAsia" w:ascii="仿宋_GB2312" w:hAnsi="仿宋_GB2312" w:eastAsia="仿宋_GB2312" w:cs="仿宋_GB2312"/>
          <w:b w:val="0"/>
          <w:bCs w:val="0"/>
          <w:sz w:val="32"/>
          <w:szCs w:val="32"/>
          <w:highlight w:val="none"/>
        </w:rPr>
        <w:t>深度融合发展</w:t>
      </w:r>
      <w:r>
        <w:rPr>
          <w:rFonts w:hint="eastAsia" w:ascii="仿宋_GB2312" w:hAnsi="仿宋_GB2312" w:eastAsia="仿宋_GB2312" w:cs="仿宋_GB2312"/>
          <w:b w:val="0"/>
          <w:bCs w:val="0"/>
          <w:sz w:val="32"/>
          <w:szCs w:val="32"/>
          <w:highlight w:val="none"/>
          <w:lang w:eastAsia="zh-CN"/>
        </w:rPr>
        <w:t>，构建协同一体的公共服务体系。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eastAsia="zh-CN"/>
        </w:rPr>
        <w:t>——实施贵阳</w:t>
      </w:r>
      <w:r>
        <w:rPr>
          <w:rFonts w:hint="eastAsia" w:ascii="仿宋_GB2312" w:hAnsi="仿宋_GB2312" w:eastAsia="仿宋_GB2312" w:cs="仿宋_GB2312"/>
          <w:b w:val="0"/>
          <w:bCs w:val="0"/>
          <w:sz w:val="32"/>
          <w:szCs w:val="32"/>
          <w:highlight w:val="none"/>
          <w:lang w:val="en-US" w:eastAsia="zh-CN"/>
        </w:rPr>
        <w:t>贵安工业融合发展。</w:t>
      </w:r>
      <w:r>
        <w:rPr>
          <w:rFonts w:hint="eastAsia" w:ascii="仿宋_GB2312" w:hAnsi="仿宋_GB2312" w:eastAsia="仿宋_GB2312" w:cs="仿宋_GB2312"/>
          <w:sz w:val="32"/>
          <w:szCs w:val="40"/>
          <w:highlight w:val="none"/>
        </w:rPr>
        <w:t>以贵阳贵安融合发展为契机，充分发挥贵安新型工业化主战场</w:t>
      </w:r>
      <w:r>
        <w:rPr>
          <w:rFonts w:hint="eastAsia" w:ascii="仿宋_GB2312" w:hAnsi="仿宋_GB2312" w:eastAsia="仿宋_GB2312" w:cs="仿宋_GB2312"/>
          <w:sz w:val="32"/>
          <w:szCs w:val="40"/>
        </w:rPr>
        <w:t>作用，</w:t>
      </w:r>
      <w:r>
        <w:rPr>
          <w:rFonts w:hint="eastAsia" w:ascii="仿宋_GB2312" w:hAnsi="仿宋_GB2312" w:eastAsia="仿宋_GB2312" w:cs="仿宋_GB2312"/>
          <w:sz w:val="32"/>
          <w:szCs w:val="40"/>
          <w:lang w:eastAsia="zh-CN"/>
        </w:rPr>
        <w:t>协同助力</w:t>
      </w:r>
      <w:r>
        <w:rPr>
          <w:rFonts w:hint="eastAsia" w:ascii="仿宋_GB2312" w:hAnsi="仿宋_GB2312" w:eastAsia="仿宋_GB2312" w:cs="仿宋_GB2312"/>
          <w:sz w:val="32"/>
          <w:szCs w:val="40"/>
        </w:rPr>
        <w:t>贵阳贵安国有经济在</w:t>
      </w:r>
      <w:r>
        <w:rPr>
          <w:rFonts w:hint="eastAsia" w:ascii="仿宋_GB2312" w:hAnsi="仿宋_GB2312" w:eastAsia="仿宋_GB2312" w:cs="仿宋_GB2312"/>
          <w:sz w:val="32"/>
          <w:szCs w:val="40"/>
          <w:lang w:val="en-US" w:eastAsia="zh-CN"/>
        </w:rPr>
        <w:t>工业</w:t>
      </w:r>
      <w:r>
        <w:rPr>
          <w:rFonts w:hint="eastAsia" w:ascii="仿宋_GB2312" w:hAnsi="仿宋_GB2312" w:eastAsia="仿宋_GB2312" w:cs="仿宋_GB2312"/>
          <w:sz w:val="32"/>
          <w:szCs w:val="40"/>
        </w:rPr>
        <w:t>领</w:t>
      </w:r>
      <w:r>
        <w:rPr>
          <w:rFonts w:hint="eastAsia" w:ascii="仿宋_GB2312" w:hAnsi="仿宋_GB2312" w:eastAsia="仿宋_GB2312" w:cs="仿宋_GB2312"/>
          <w:sz w:val="32"/>
          <w:szCs w:val="40"/>
          <w:highlight w:val="none"/>
        </w:rPr>
        <w:t>域项目落地生根</w:t>
      </w:r>
      <w:r>
        <w:rPr>
          <w:rFonts w:hint="eastAsia" w:ascii="仿宋_GB2312" w:hAnsi="仿宋_GB2312" w:eastAsia="仿宋_GB2312" w:cs="仿宋_GB2312"/>
          <w:sz w:val="32"/>
          <w:szCs w:val="40"/>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施基础设施互联互通建设。完成贵阳贵安轨道S1线、市域快铁西南环线、太金线、观潭大道等基础设施建设工程，提升交通转换效率，促进路网高水平融合，打造“半小时”通勤，形成便捷、绿色、集约的现代化综合立体交通网络全覆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实施贵阳贵安水务协同发展。按照“节水优先、空间均衡、系统治理、两手发力”的要求，实施南部水厂扩建工程、红枫湖至花溪水库连通工程等建设，有序推进规划协同、水源协同、供水协同，实现贵阳贵安水资源合理开发和优化配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val="0"/>
          <w:bCs w:val="0"/>
          <w:sz w:val="32"/>
          <w:szCs w:val="32"/>
          <w:lang w:eastAsia="zh-CN"/>
        </w:rPr>
        <w:t>——实施贵阳贵安农业产业化协同发展建设。推动</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农投集团与贵安新区在贵安新区实施5万亩保供基地、惠民生鲜超市、中央厨房和团餐配送、贵安新区粮食产业园、贵阳贵安30万亩蓝莓产业园等合作，有效激</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贵安农</w:t>
      </w:r>
      <w:r>
        <w:rPr>
          <w:rFonts w:hint="eastAsia" w:ascii="仿宋_GB2312" w:hAnsi="仿宋_GB2312" w:eastAsia="仿宋_GB2312" w:cs="仿宋_GB2312"/>
          <w:sz w:val="32"/>
          <w:szCs w:val="32"/>
          <w:lang w:eastAsia="zh-CN"/>
        </w:rPr>
        <w:t>产品建设</w:t>
      </w:r>
      <w:r>
        <w:rPr>
          <w:rFonts w:hint="eastAsia" w:ascii="仿宋_GB2312" w:hAnsi="仿宋_GB2312" w:eastAsia="仿宋_GB2312" w:cs="仿宋_GB2312"/>
          <w:sz w:val="32"/>
          <w:szCs w:val="32"/>
          <w:lang w:val="en-US" w:eastAsia="zh-CN"/>
        </w:rPr>
        <w:t>活力</w:t>
      </w:r>
      <w:r>
        <w:rPr>
          <w:rFonts w:hint="eastAsia" w:ascii="仿宋_GB2312" w:hAnsi="仿宋_GB2312" w:eastAsia="仿宋_GB2312" w:cs="仿宋_GB2312"/>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44" w:name="_Toc32018"/>
      <w:r>
        <w:rPr>
          <w:rFonts w:hint="eastAsia" w:ascii="黑体" w:hAnsi="黑体" w:eastAsia="黑体" w:cs="黑体"/>
          <w:b w:val="0"/>
          <w:bCs w:val="0"/>
          <w:sz w:val="32"/>
          <w:szCs w:val="32"/>
          <w:lang w:val="en-US" w:eastAsia="zh-CN"/>
        </w:rPr>
        <w:t>深化国有企业改革发展</w:t>
      </w:r>
      <w:bookmarkEnd w:id="44"/>
    </w:p>
    <w:p>
      <w:pPr>
        <w:rPr>
          <w:rFonts w:hint="eastAsia" w:ascii="黑体" w:hAnsi="黑体" w:eastAsia="黑体" w:cs="黑体"/>
          <w:b w:val="0"/>
          <w:bCs w:val="0"/>
          <w:sz w:val="21"/>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45" w:name="_Toc9839"/>
      <w:r>
        <w:rPr>
          <w:rFonts w:hint="eastAsia" w:ascii="楷体_GB2312" w:eastAsia="楷体_GB2312" w:cs="楷体"/>
          <w:sz w:val="32"/>
          <w:szCs w:val="32"/>
          <w:lang w:val="en-US" w:eastAsia="zh-CN"/>
        </w:rPr>
        <w:t>第一节 明确主责主业，调整国有企业的结构</w:t>
      </w:r>
      <w:bookmarkEnd w:id="45"/>
    </w:p>
    <w:p>
      <w:pPr>
        <w:rPr>
          <w:rFonts w:hint="eastAsia" w:ascii="仿宋_GB2312" w:eastAsia="仿宋_GB231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明确国有企业主责主业，企业主业原则上不能超过３个（除特殊情况外），调整国有企业之间产业布局，推动主业相同的二、三级（含）以下企业合并重组，避免同质化、同一化发展。指导企业盘活非经营性划拨用地，以国有建设用地使用权作价出资（入股）方式，提升国有企业资产价值。认真总结分析国有企业在全市经济建设中的地位与作用，以及存在的优势、不足和差距，补短板、强弱项，调整国有企业产业结构，使之更好地发挥国有企业在全市经济建设活动中的引领带动作用。</w:t>
      </w:r>
    </w:p>
    <w:p>
      <w:pPr>
        <w:rPr>
          <w:rFonts w:hint="eastAsia" w:ascii="楷体_GB2312" w:eastAsia="楷体_GB2312" w:cs="楷体"/>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eastAsia="zh-CN"/>
        </w:rPr>
      </w:pPr>
      <w:bookmarkStart w:id="46" w:name="_Toc31228"/>
      <w:r>
        <w:rPr>
          <w:rFonts w:hint="eastAsia" w:ascii="楷体_GB2312" w:eastAsia="楷体_GB2312" w:cs="楷体"/>
          <w:sz w:val="32"/>
          <w:szCs w:val="32"/>
          <w:lang w:val="en-US" w:eastAsia="zh-CN"/>
        </w:rPr>
        <w:t xml:space="preserve">第二节 </w:t>
      </w:r>
      <w:r>
        <w:rPr>
          <w:rFonts w:hint="eastAsia" w:ascii="楷体_GB2312" w:eastAsia="楷体_GB2312" w:cs="楷体"/>
          <w:sz w:val="32"/>
          <w:szCs w:val="32"/>
          <w:lang w:eastAsia="zh-CN"/>
        </w:rPr>
        <w:t>积极稳妥推进混合所有制改革</w:t>
      </w:r>
      <w:bookmarkEnd w:id="46"/>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分层分类深化混合所有制改革。</w:t>
      </w:r>
      <w:r>
        <w:rPr>
          <w:rFonts w:hint="eastAsia" w:ascii="仿宋_GB2312" w:eastAsia="仿宋_GB2312"/>
          <w:sz w:val="32"/>
          <w:szCs w:val="32"/>
          <w:lang w:eastAsia="zh-CN"/>
        </w:rPr>
        <w:t>对</w:t>
      </w:r>
      <w:r>
        <w:rPr>
          <w:rFonts w:hint="eastAsia" w:ascii="仿宋_GB2312" w:eastAsia="仿宋_GB2312"/>
          <w:sz w:val="32"/>
          <w:szCs w:val="32"/>
        </w:rPr>
        <w:t>国有企业二、三级</w:t>
      </w:r>
      <w:r>
        <w:rPr>
          <w:rFonts w:hint="eastAsia" w:ascii="仿宋_GB2312" w:eastAsia="仿宋_GB2312"/>
          <w:sz w:val="32"/>
          <w:szCs w:val="32"/>
          <w:lang w:eastAsia="zh-CN"/>
        </w:rPr>
        <w:t>以下（含）企业</w:t>
      </w:r>
      <w:r>
        <w:rPr>
          <w:rFonts w:hint="eastAsia" w:ascii="仿宋_GB2312" w:eastAsia="仿宋_GB2312"/>
          <w:sz w:val="32"/>
          <w:szCs w:val="32"/>
        </w:rPr>
        <w:t>混合所有制改革</w:t>
      </w:r>
      <w:r>
        <w:rPr>
          <w:rFonts w:hint="eastAsia" w:ascii="仿宋_GB2312" w:eastAsia="仿宋_GB2312"/>
          <w:sz w:val="32"/>
          <w:szCs w:val="32"/>
          <w:lang w:eastAsia="zh-CN"/>
        </w:rPr>
        <w:t>；</w:t>
      </w:r>
      <w:r>
        <w:rPr>
          <w:rFonts w:hint="eastAsia" w:ascii="仿宋_GB2312" w:eastAsia="仿宋_GB2312"/>
          <w:sz w:val="32"/>
          <w:szCs w:val="32"/>
        </w:rPr>
        <w:t>对主业处于关系国计民生的关键行业和重要领域、主要承担重大专项任务、承载特殊功能的商业类企业</w:t>
      </w:r>
      <w:r>
        <w:rPr>
          <w:rFonts w:hint="eastAsia" w:ascii="仿宋_GB2312" w:eastAsia="仿宋_GB2312"/>
          <w:sz w:val="32"/>
          <w:szCs w:val="32"/>
          <w:lang w:eastAsia="zh-CN"/>
        </w:rPr>
        <w:t>以及对完全处于竞争性行业的商业类企业所属的公益类企业，</w:t>
      </w:r>
      <w:r>
        <w:rPr>
          <w:rFonts w:hint="eastAsia" w:ascii="仿宋_GB2312" w:eastAsia="仿宋_GB2312"/>
          <w:sz w:val="32"/>
          <w:szCs w:val="32"/>
        </w:rPr>
        <w:t>要保持国有资本绝对控股地位。</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合理设计混合所有制企业股权比例。</w:t>
      </w:r>
      <w:r>
        <w:rPr>
          <w:rFonts w:hint="eastAsia" w:ascii="仿宋_GB2312" w:eastAsia="仿宋_GB2312"/>
          <w:sz w:val="32"/>
          <w:szCs w:val="32"/>
        </w:rPr>
        <w:t>对重大基础设施、重要行业、关键领域、公共服务等行业的企业，国有资本保持独资或绝对控股，国有股权不低于50%。对支柱产业和高新技术产业中的重要骨干企业，国有资本可以相对控股，国有股权一般不低于34%。对于充分市场竞争领域，根据市场竞争和发展情况，按照市场规则有序进退、合理流动。推动国有资本逐步从不具备竞争优势、经营效率低下的企业有序退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稳步推动企业上市。</w:t>
      </w:r>
      <w:r>
        <w:rPr>
          <w:rFonts w:hint="eastAsia" w:ascii="仿宋_GB2312" w:hAnsi="仿宋_GB2312" w:eastAsia="仿宋_GB2312" w:cs="仿宋_GB2312"/>
          <w:b w:val="0"/>
          <w:bCs w:val="0"/>
          <w:sz w:val="32"/>
          <w:szCs w:val="32"/>
          <w:lang w:val="en-US" w:eastAsia="zh-CN"/>
        </w:rPr>
        <w:t>逐步调整贵阳北控水务、贵阳文旅、南方乳业、贵阳永青等企业国有股权比例，</w:t>
      </w:r>
      <w:r>
        <w:rPr>
          <w:rFonts w:hint="eastAsia" w:ascii="仿宋_GB2312" w:hAnsi="仿宋_GB2312" w:eastAsia="仿宋_GB2312" w:cs="仿宋_GB2312"/>
          <w:b w:val="0"/>
          <w:bCs w:val="0"/>
          <w:kern w:val="2"/>
          <w:sz w:val="32"/>
          <w:szCs w:val="32"/>
          <w:lang w:val="en-US" w:eastAsia="zh-CN" w:bidi="ar-SA"/>
        </w:rPr>
        <w:t>注入优质资源，优化公司股权结构，以可持续发展和长期真实资本价值最大化的原则来配置资本，制定业务发展战略、投融资战略和价值分配策略。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探索实行混合所有制骨干员工持股试点。</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支持人才资本和技术要素贡献占比较高的技术企业、科技服务型企业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采取增资扩股、出资新设等方式开展员工持股试点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b w:val="0"/>
          <w:bCs w:val="0"/>
          <w:sz w:val="32"/>
          <w:szCs w:val="32"/>
          <w:lang w:val="en-US" w:eastAsia="zh-CN"/>
        </w:rPr>
        <w:t>贵阳永青员工持股试点企业建设，依法依规，严格履行相关审核程序，确保公开透明，防止利益输送。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探索混合所有制企业经营机制。</w:t>
      </w:r>
      <w:r>
        <w:rPr>
          <w:rFonts w:hint="eastAsia" w:ascii="仿宋_GB2312" w:hAnsi="仿宋_GB2312" w:eastAsia="仿宋_GB2312" w:cs="仿宋_GB2312"/>
          <w:b w:val="0"/>
          <w:bCs w:val="0"/>
          <w:sz w:val="32"/>
          <w:szCs w:val="32"/>
          <w:lang w:val="en-US" w:eastAsia="zh-CN"/>
        </w:rPr>
        <w:t>健全法人治理结构，以公司章程为基础，充分借鉴上市公司治理准则，实行人员、资产、财务分开，机构、业务独立，按照利益共享，风险均有的分配原则，切实维护各方股东权利。积极推动混合所有制企业全面建立灵活高效的市场化经营机制，在劳动、人事、分配三项制度改革上率先取得突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强化对混合所有制企业的监督。</w:t>
      </w:r>
      <w:r>
        <w:rPr>
          <w:rFonts w:hint="eastAsia" w:ascii="仿宋_GB2312" w:hAnsi="仿宋_GB2312" w:eastAsia="仿宋_GB2312" w:cs="仿宋_GB2312"/>
          <w:b w:val="0"/>
          <w:bCs w:val="0"/>
          <w:sz w:val="32"/>
          <w:szCs w:val="32"/>
          <w:lang w:val="en-US" w:eastAsia="zh-CN"/>
        </w:rPr>
        <w:t>规范国有企业参股投资，切实防止只投不管，切实防止国有资产流失。结合企业经营发展需要，合理确定持股比例，以资本为纽带、以产权为基础，依法约定各方股东权益。不得以约定固定分红等“名为参股合作、实为借贷融资”的方式开展参股合作。依法履行股东权责，在参股企业章程、议事规则等制度文件中，可结合实际明确对特定事项的否决权等条款，以维护国有股东权益。合理运用增持、减持或退出等方式加强价值管理，不断提高国有资本配置效率。加强外部监管，通过聘请中介机构对参股企业重大财务事项进行事中、事后监督。调动职工参与管理的积极性，保障职工对国有企业混合所有制改革的知情权和参与权，职工安置方案须经职工代表大会或者职工大会审议通过。</w:t>
      </w:r>
    </w:p>
    <w:p>
      <w:pPr>
        <w:rPr>
          <w:rFonts w:hint="eastAsia" w:ascii="楷体_GB2312" w:eastAsia="楷体_GB2312" w:cs="楷体"/>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eastAsia="zh-CN"/>
        </w:rPr>
      </w:pPr>
      <w:bookmarkStart w:id="47" w:name="_Toc7638"/>
      <w:r>
        <w:rPr>
          <w:rFonts w:hint="eastAsia" w:ascii="楷体_GB2312" w:eastAsia="楷体_GB2312" w:cs="楷体"/>
          <w:sz w:val="32"/>
          <w:szCs w:val="32"/>
          <w:lang w:val="en-US" w:eastAsia="zh-CN"/>
        </w:rPr>
        <w:t xml:space="preserve">第三节 </w:t>
      </w:r>
      <w:r>
        <w:rPr>
          <w:rFonts w:hint="eastAsia" w:ascii="楷体_GB2312" w:eastAsia="楷体_GB2312" w:cs="楷体"/>
          <w:sz w:val="32"/>
          <w:szCs w:val="32"/>
          <w:lang w:eastAsia="zh-CN"/>
        </w:rPr>
        <w:t>着力构建中国特色现代企业制度</w:t>
      </w:r>
      <w:bookmarkEnd w:id="47"/>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完善企业法人治理结构。</w:t>
      </w:r>
      <w:r>
        <w:rPr>
          <w:rFonts w:hint="eastAsia" w:ascii="仿宋_GB2312" w:hAnsi="仿宋_GB2312" w:eastAsia="仿宋_GB2312" w:cs="仿宋_GB2312"/>
          <w:b w:val="0"/>
          <w:bCs w:val="0"/>
          <w:sz w:val="32"/>
          <w:szCs w:val="32"/>
          <w:lang w:val="en-US" w:eastAsia="zh-CN"/>
        </w:rPr>
        <w:t>不断完善公司章程，明晰各方权利主体职责边界，不断增强党组织的领导作用、董事会的决策能力、监事会监督的有效性、经理层的经营管理效率，真正成为自主经营、自我约束、自负盈亏的市场主体。探索建立专职外部董事制度和建立国有独资公司“内部董事+兼职外部董事+专职外部董事”相结合的模式。逐步推进国有独资公司外部董事占多数，健全权力清单和责任清单，依法落实董事会重大决策、选人用人、薪酬分配等权力。规范和完善董事会、总经理议事规则、运行机制。完善企业监事会体制，增强监事会的权威性、独立性和专业性，切实落实出资人监督意图。完善董事、监事评价办法，加大董事、监事履职能力考评，严格责任追究制度。加强外部董事、监事队伍建设，拓宽来源渠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充分发挥市场机制在企业选人用人中的作用。</w:t>
      </w:r>
      <w:r>
        <w:rPr>
          <w:rFonts w:hint="eastAsia" w:ascii="仿宋_GB2312" w:hAnsi="仿宋_GB2312" w:eastAsia="仿宋_GB2312" w:cs="仿宋_GB2312"/>
          <w:b w:val="0"/>
          <w:bCs w:val="0"/>
          <w:sz w:val="32"/>
          <w:szCs w:val="32"/>
          <w:lang w:val="en-US" w:eastAsia="zh-CN"/>
        </w:rPr>
        <w:t>进一步完善组织选任与市场化选聘相结合的有效途径，扩大选人用人视野，有序推进市场化选聘。推进职业经理人队伍建设，实行内部培养和外部引进相结合，探索畅通经营管理者与职业经理人身份转换通道和建立职业经理人选聘、管理、考核、薪酬及退出等办法，在试点先行的基础上探索开展企业董事会按市场化方式选聘和管理职业经理人工作。建立分级分类的企业员工市场化公开招聘制度，切实做到信息公开、过程公开、结果公开，建立健全以合同管理为核心、以岗位管理为基础的市场化用工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完善市场化薪酬分配机制。</w:t>
      </w:r>
      <w:r>
        <w:rPr>
          <w:rFonts w:hint="eastAsia" w:ascii="仿宋_GB2312" w:hAnsi="仿宋_GB2312" w:eastAsia="仿宋_GB2312" w:cs="仿宋_GB2312"/>
          <w:b w:val="0"/>
          <w:bCs w:val="0"/>
          <w:sz w:val="32"/>
          <w:szCs w:val="32"/>
          <w:lang w:val="en-US" w:eastAsia="zh-CN"/>
        </w:rPr>
        <w:t>调整优化工资总额管理方式，建立健全工资决定和正常增长机制。全面开展国有企业工资决定机制改革，深化企业内部分配制度改革，推进商业一类国有企业和符合条件的商业二类国有企业工资总额备案制管理落实到位，探索实施周期预算管理。完善国有企业内部分配制度，建立健全按业绩贡献决定薪酬的分配机制，实行全员绩效考核，一岗一薪、易岗易薪，破除平均主义、“高水平大锅饭”。建立具有市场竞争优势的核心关键人才薪酬制度，推动薪酬分配向做出突出贡献的人才和一线关键岗位倾斜。建立健全国有企业工资内外收入监督检查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楷体_GB2312" w:cs="楷体"/>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48" w:name="_Toc28275"/>
      <w:r>
        <w:rPr>
          <w:rFonts w:hint="eastAsia" w:ascii="楷体_GB2312" w:eastAsia="楷体_GB2312" w:cs="楷体"/>
          <w:sz w:val="32"/>
          <w:szCs w:val="32"/>
          <w:lang w:val="en-US" w:eastAsia="zh-CN"/>
        </w:rPr>
        <w:t>第四节 实施高水平对外开放</w:t>
      </w:r>
      <w:bookmarkEnd w:id="48"/>
    </w:p>
    <w:p>
      <w:pPr>
        <w:rPr>
          <w:rFonts w:hint="eastAsia" w:ascii="仿宋_GB2312" w:hAnsi="仿宋_GB2312" w:eastAsia="仿宋_GB2312" w:cs="仿宋_GB2312"/>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推动市级国有企业与各级国有企业开放合作。</w:t>
      </w:r>
      <w:r>
        <w:rPr>
          <w:rFonts w:hint="eastAsia" w:ascii="仿宋_GB2312" w:hAnsi="仿宋_GB2312" w:eastAsia="仿宋_GB2312" w:cs="仿宋_GB2312"/>
          <w:b w:val="0"/>
          <w:bCs w:val="0"/>
          <w:sz w:val="32"/>
          <w:szCs w:val="32"/>
          <w:lang w:val="en-US" w:eastAsia="zh-CN"/>
        </w:rPr>
        <w:t>积极引导市级国有企业与中央（省级、区级）国企通过出资入股、收购股权、定向增发、认购可转债、股权置换、业务合作等多种方式，参与市级国企改制重组、国有控股上市公司增资扩股及企业经营管理，有效推动我市市级国企转型升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引导企业参与各项品牌推荐活动。</w:t>
      </w:r>
      <w:r>
        <w:rPr>
          <w:rFonts w:hint="eastAsia" w:ascii="仿宋_GB2312" w:hAnsi="仿宋_GB2312" w:eastAsia="仿宋_GB2312" w:cs="仿宋_GB2312"/>
          <w:b w:val="0"/>
          <w:bCs w:val="0"/>
          <w:sz w:val="32"/>
          <w:szCs w:val="32"/>
          <w:lang w:val="en-US" w:eastAsia="zh-CN"/>
        </w:rPr>
        <w:t>积极引导国有企业参加进口博览会、制博会、工博会、中国国际复合材料工业展销会等各类产品推荐活动，实现国企技术品牌立足贵阳，面向全国，走向世界，为推动国有企业转型升级注入强大动力。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推进区域性对外开放合作。</w:t>
      </w:r>
      <w:r>
        <w:rPr>
          <w:rFonts w:hint="eastAsia" w:ascii="仿宋_GB2312" w:hAnsi="仿宋_GB2312" w:eastAsia="仿宋_GB2312" w:cs="仿宋_GB2312"/>
          <w:b w:val="0"/>
          <w:bCs w:val="0"/>
          <w:sz w:val="32"/>
          <w:szCs w:val="32"/>
          <w:highlight w:val="none"/>
          <w:lang w:val="en-US" w:eastAsia="zh-CN"/>
        </w:rPr>
        <w:t>依托“一带一路”建设、贵阳内陆开放型经济试验区建设，大力发展“两地双园”、黔大门国际购物</w:t>
      </w:r>
      <w:r>
        <w:rPr>
          <w:rFonts w:hint="eastAsia" w:ascii="仿宋_GB2312" w:hAnsi="仿宋_GB2312" w:eastAsia="仿宋_GB2312" w:cs="仿宋_GB2312"/>
          <w:b w:val="0"/>
          <w:bCs w:val="0"/>
          <w:sz w:val="32"/>
          <w:szCs w:val="32"/>
          <w:highlight w:val="none"/>
          <w:lang w:val="en-US" w:eastAsia="zh-Hans"/>
        </w:rPr>
        <w:t>广场</w:t>
      </w:r>
      <w:r>
        <w:rPr>
          <w:rFonts w:hint="eastAsia" w:ascii="仿宋_GB2312" w:hAnsi="仿宋_GB2312" w:eastAsia="仿宋_GB2312" w:cs="仿宋_GB2312"/>
          <w:b w:val="0"/>
          <w:bCs w:val="0"/>
          <w:sz w:val="32"/>
          <w:szCs w:val="32"/>
          <w:highlight w:val="none"/>
          <w:lang w:val="en-US" w:eastAsia="zh-CN"/>
        </w:rPr>
        <w:t>、贵州轮胎在越南建厂、贵州轮胎在</w:t>
      </w:r>
      <w:r>
        <w:rPr>
          <w:rFonts w:hint="eastAsia" w:ascii="仿宋_GB2312" w:eastAsia="仿宋_GB2312"/>
          <w:sz w:val="32"/>
          <w:szCs w:val="32"/>
          <w:highlight w:val="none"/>
        </w:rPr>
        <w:t>俄罗斯成立子公司</w:t>
      </w:r>
      <w:r>
        <w:rPr>
          <w:rFonts w:hint="eastAsia" w:ascii="仿宋_GB2312" w:hAnsi="仿宋_GB2312" w:eastAsia="仿宋_GB2312" w:cs="仿宋_GB2312"/>
          <w:b w:val="0"/>
          <w:bCs w:val="0"/>
          <w:sz w:val="32"/>
          <w:szCs w:val="32"/>
          <w:highlight w:val="none"/>
          <w:lang w:val="en-US" w:eastAsia="zh-CN"/>
        </w:rPr>
        <w:t>等更高层次的开放型经济，有序推进中高端商业综合体、中高端商贸业发展，实现优势产业走出去。</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49" w:name="_Toc16657"/>
      <w:r>
        <w:rPr>
          <w:rFonts w:hint="eastAsia" w:ascii="楷体_GB2312" w:eastAsia="楷体_GB2312" w:cs="楷体"/>
          <w:sz w:val="32"/>
          <w:szCs w:val="32"/>
          <w:lang w:val="en-US" w:eastAsia="zh-CN"/>
        </w:rPr>
        <w:t>第五节 深化国资监管机构职能</w:t>
      </w:r>
      <w:bookmarkEnd w:id="49"/>
    </w:p>
    <w:p>
      <w:pPr>
        <w:rPr>
          <w:rFonts w:hint="eastAsia" w:ascii="仿宋_GB2312" w:hAnsi="仿宋_GB2312" w:eastAsia="仿宋_GB2312" w:cs="仿宋_GB2312"/>
          <w:b w:val="0"/>
          <w:bCs/>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以管资本为主的国有资产监管体制的要求，从监管理念、监管重点、监管方式、监管导向等方面作出全方位、根本性转变，切实维护国有资本的安全性，建立规范性文件定期清理制度，严格落实规范性文件合法性审查机制，持续完善国资监管法规制度体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b w:val="0"/>
          <w:bCs/>
          <w:sz w:val="32"/>
          <w:szCs w:val="32"/>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50" w:name="_Toc20748"/>
      <w:r>
        <w:rPr>
          <w:rFonts w:hint="eastAsia" w:ascii="黑体" w:hAnsi="黑体" w:eastAsia="黑体" w:cs="黑体"/>
          <w:b w:val="0"/>
          <w:bCs w:val="0"/>
          <w:sz w:val="32"/>
          <w:szCs w:val="32"/>
          <w:lang w:val="en-US" w:eastAsia="zh-CN"/>
        </w:rPr>
        <w:t>强化国有资本监管力度</w:t>
      </w:r>
      <w:bookmarkEnd w:id="50"/>
    </w:p>
    <w:p>
      <w:pPr>
        <w:rPr>
          <w:rFonts w:hint="eastAsia" w:ascii="黑体" w:hAnsi="黑体" w:eastAsia="黑体" w:cs="黑体"/>
          <w:b w:val="0"/>
          <w:bCs w:val="0"/>
          <w:sz w:val="21"/>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51" w:name="_Toc18953"/>
      <w:r>
        <w:rPr>
          <w:rFonts w:hint="eastAsia" w:ascii="楷体_GB2312" w:eastAsia="楷体_GB2312" w:cs="楷体"/>
          <w:sz w:val="32"/>
          <w:szCs w:val="32"/>
          <w:lang w:val="en-US" w:eastAsia="zh-CN"/>
        </w:rPr>
        <w:t>第一节 推动国有资本的运作能力</w:t>
      </w:r>
      <w:bookmarkEnd w:id="51"/>
    </w:p>
    <w:p>
      <w:pPr>
        <w:rPr>
          <w:rFonts w:hint="eastAsia" w:ascii="仿宋_GB2312" w:hAnsi="仿宋_GB2312" w:eastAsia="仿宋_GB2312" w:cs="仿宋_GB2312"/>
          <w:b w:val="0"/>
          <w:bCs/>
          <w:sz w:val="21"/>
          <w:szCs w:val="21"/>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rPr>
        <w:t>以贵阳产控集团</w:t>
      </w:r>
      <w:r>
        <w:rPr>
          <w:rFonts w:hint="eastAsia" w:ascii="仿宋_GB2312" w:hAnsi="仿宋_GB2312" w:eastAsia="仿宋_GB2312" w:cs="仿宋_GB2312"/>
          <w:color w:val="000000"/>
          <w:sz w:val="32"/>
          <w:szCs w:val="32"/>
        </w:rPr>
        <w:t>作为贵阳市国有资本运作平台</w:t>
      </w:r>
      <w:r>
        <w:rPr>
          <w:rFonts w:hint="eastAsia" w:ascii="仿宋_GB2312" w:hAnsi="仿宋_GB2312" w:eastAsia="仿宋_GB2312" w:cs="仿宋_GB2312"/>
          <w:b w:val="0"/>
          <w:bCs/>
          <w:sz w:val="32"/>
          <w:szCs w:val="32"/>
        </w:rPr>
        <w:t>，加快推进</w:t>
      </w:r>
      <w:r>
        <w:rPr>
          <w:rFonts w:hint="eastAsia" w:ascii="仿宋_GB2312" w:hAnsi="仿宋_GB2312" w:eastAsia="仿宋_GB2312" w:cs="仿宋_GB2312"/>
          <w:b w:val="0"/>
          <w:bCs/>
          <w:sz w:val="32"/>
          <w:szCs w:val="32"/>
          <w:lang w:val="en-US" w:eastAsia="zh-CN"/>
        </w:rPr>
        <w:t>提升</w:t>
      </w:r>
      <w:r>
        <w:rPr>
          <w:rFonts w:hint="eastAsia" w:ascii="仿宋_GB2312" w:hAnsi="仿宋_GB2312" w:eastAsia="仿宋_GB2312" w:cs="仿宋_GB2312"/>
          <w:b w:val="0"/>
          <w:bCs/>
          <w:sz w:val="32"/>
          <w:szCs w:val="32"/>
        </w:rPr>
        <w:t>金融服务能力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建立</w:t>
      </w:r>
      <w:r>
        <w:rPr>
          <w:rFonts w:hint="eastAsia" w:ascii="仿宋_GB2312" w:hAnsi="仿宋_GB2312" w:eastAsia="仿宋_GB2312" w:cs="仿宋_GB2312"/>
          <w:b w:val="0"/>
          <w:bCs/>
          <w:sz w:val="32"/>
          <w:szCs w:val="32"/>
        </w:rPr>
        <w:t>高效运转机制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做大做强产业投资基金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打造产业股份群</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rPr>
        <w:t>十大重点任务，</w:t>
      </w:r>
      <w:r>
        <w:rPr>
          <w:rFonts w:hint="eastAsia" w:ascii="仿宋_GB2312" w:hAnsi="仿宋_GB2312" w:eastAsia="仿宋_GB2312" w:cs="仿宋_GB2312"/>
          <w:color w:val="000000"/>
          <w:sz w:val="32"/>
          <w:szCs w:val="32"/>
        </w:rPr>
        <w:t>实现“产、融、投”协同一体化发展</w:t>
      </w:r>
      <w:r>
        <w:rPr>
          <w:rFonts w:hint="eastAsia" w:ascii="仿宋_GB2312" w:hAnsi="仿宋_GB2312" w:eastAsia="仿宋_GB2312" w:cs="仿宋_GB2312"/>
          <w:color w:val="000000"/>
          <w:sz w:val="32"/>
          <w:szCs w:val="32"/>
          <w:lang w:eastAsia="zh-CN"/>
        </w:rPr>
        <w:t>。</w:t>
      </w:r>
    </w:p>
    <w:p>
      <w:pPr>
        <w:pStyle w:val="2"/>
        <w:ind w:firstLine="0" w:firstLineChars="0"/>
        <w:rPr>
          <w:rFonts w:hint="eastAsia" w:ascii="仿宋" w:hAnsi="仿宋" w:eastAsia="仿宋" w:cs="仿宋"/>
          <w:b w:val="0"/>
          <w:bCs/>
          <w:i w:val="0"/>
          <w:color w:val="000000"/>
          <w:kern w:val="0"/>
          <w:sz w:val="24"/>
          <w:szCs w:val="24"/>
          <w:highlight w:val="none"/>
          <w:u w:val="none"/>
          <w:lang w:val="en-US" w:eastAsia="zh-CN" w:bidi="ar"/>
        </w:rPr>
      </w:pPr>
      <w:bookmarkStart w:id="52" w:name="_Toc25331"/>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r>
        <w:rPr>
          <w:rFonts w:hint="eastAsia" w:ascii="楷体_GB2312" w:eastAsia="楷体_GB2312" w:cs="楷体"/>
          <w:sz w:val="32"/>
          <w:szCs w:val="32"/>
          <w:lang w:val="en-US" w:eastAsia="zh-CN"/>
        </w:rPr>
        <w:t>第二节 实施有效管控，确保国有资本保值增值</w:t>
      </w:r>
      <w:bookmarkEnd w:id="52"/>
    </w:p>
    <w:p>
      <w:pPr>
        <w:rPr>
          <w:rFonts w:hint="eastAsia" w:ascii="仿宋_GB2312" w:hAnsi="仿宋_GB2312" w:eastAsia="仿宋_GB2312" w:cs="仿宋_GB2312"/>
          <w:b w:val="0"/>
          <w:bCs/>
          <w:sz w:val="21"/>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黑体"/>
          <w:b w:val="0"/>
          <w:bCs w:val="0"/>
          <w:sz w:val="32"/>
          <w:szCs w:val="32"/>
          <w:highlight w:val="none"/>
          <w:lang w:val="en-US" w:eastAsia="zh-CN"/>
        </w:rPr>
      </w:pPr>
      <w:bookmarkStart w:id="53" w:name="_Toc453862284"/>
      <w:bookmarkStart w:id="54" w:name="_Toc13586475"/>
      <w:r>
        <w:rPr>
          <w:rFonts w:hint="eastAsia" w:ascii="仿宋_GB2312" w:eastAsia="仿宋_GB2312" w:cs="黑体"/>
          <w:b w:val="0"/>
          <w:bCs w:val="0"/>
          <w:sz w:val="32"/>
          <w:szCs w:val="32"/>
          <w:lang w:val="en-US" w:eastAsia="zh-CN"/>
        </w:rPr>
        <w:t>完善和健全</w:t>
      </w:r>
      <w:r>
        <w:rPr>
          <w:rFonts w:hint="eastAsia" w:ascii="仿宋_GB2312" w:eastAsia="仿宋_GB2312" w:cs="黑体"/>
          <w:b/>
          <w:bCs/>
          <w:sz w:val="32"/>
          <w:szCs w:val="32"/>
          <w:lang w:val="en-US" w:eastAsia="zh-CN"/>
        </w:rPr>
        <w:t>四个机制</w:t>
      </w:r>
      <w:bookmarkEnd w:id="53"/>
      <w:bookmarkEnd w:id="54"/>
      <w:r>
        <w:rPr>
          <w:rFonts w:hint="eastAsia" w:ascii="仿宋_GB2312" w:eastAsia="仿宋_GB2312" w:cs="黑体"/>
          <w:b w:val="0"/>
          <w:bCs w:val="0"/>
          <w:sz w:val="32"/>
          <w:szCs w:val="32"/>
          <w:lang w:val="en-US" w:eastAsia="zh-CN"/>
        </w:rPr>
        <w:t>，加强监督管</w:t>
      </w:r>
      <w:r>
        <w:rPr>
          <w:rFonts w:hint="eastAsia" w:ascii="仿宋_GB2312" w:eastAsia="仿宋_GB2312" w:cs="黑体"/>
          <w:b w:val="0"/>
          <w:bCs w:val="0"/>
          <w:sz w:val="32"/>
          <w:szCs w:val="32"/>
          <w:highlight w:val="none"/>
          <w:lang w:val="en-US" w:eastAsia="zh-CN"/>
        </w:rPr>
        <w:t>理力度。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黑体"/>
          <w:b w:val="0"/>
          <w:bCs w:val="0"/>
          <w:sz w:val="32"/>
          <w:szCs w:val="32"/>
          <w:highlight w:val="none"/>
          <w:lang w:eastAsia="zh-CN"/>
        </w:rPr>
      </w:pPr>
      <w:r>
        <w:rPr>
          <w:rFonts w:hint="eastAsia" w:ascii="仿宋_GB2312" w:eastAsia="仿宋_GB2312" w:cs="黑体"/>
          <w:b w:val="0"/>
          <w:bCs w:val="0"/>
          <w:sz w:val="32"/>
          <w:szCs w:val="32"/>
          <w:highlight w:val="none"/>
          <w:lang w:val="en-US" w:eastAsia="zh-CN"/>
        </w:rPr>
        <w:t>——</w:t>
      </w:r>
      <w:r>
        <w:rPr>
          <w:rFonts w:hint="eastAsia" w:ascii="仿宋_GB2312" w:eastAsia="仿宋_GB2312" w:cs="黑体"/>
          <w:b w:val="0"/>
          <w:bCs w:val="0"/>
          <w:sz w:val="32"/>
          <w:szCs w:val="32"/>
          <w:highlight w:val="none"/>
          <w:lang w:eastAsia="zh-CN"/>
        </w:rPr>
        <w:t>反腐倡廉有效机制。坚持运用法治思维和法治方式反腐败，完善反腐倡廉制度体系。严格落实八项规定精神，持之以恒反“四风”，努力构筑企业领导人员不敢腐、不能腐、不想腐的有效机制。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黑体"/>
          <w:b w:val="0"/>
          <w:bCs w:val="0"/>
          <w:sz w:val="32"/>
          <w:szCs w:val="32"/>
          <w:lang w:eastAsia="zh-CN"/>
        </w:rPr>
      </w:pPr>
      <w:r>
        <w:rPr>
          <w:rFonts w:hint="eastAsia" w:ascii="仿宋_GB2312" w:eastAsia="仿宋_GB2312" w:cs="黑体"/>
          <w:b w:val="0"/>
          <w:bCs w:val="0"/>
          <w:sz w:val="32"/>
          <w:szCs w:val="32"/>
          <w:lang w:val="en-US" w:eastAsia="zh-CN"/>
        </w:rPr>
        <w:t>——问题倒查和责任追究机制。</w:t>
      </w:r>
      <w:r>
        <w:rPr>
          <w:rFonts w:hint="eastAsia" w:ascii="仿宋_GB2312" w:eastAsia="仿宋_GB2312" w:cs="黑体"/>
          <w:b w:val="0"/>
          <w:bCs w:val="0"/>
          <w:sz w:val="32"/>
          <w:szCs w:val="32"/>
          <w:lang w:eastAsia="zh-CN"/>
        </w:rPr>
        <w:t>明确企业作为维护国有资产安全、防止流失的责任主体，</w:t>
      </w:r>
      <w:r>
        <w:rPr>
          <w:rFonts w:hint="eastAsia" w:ascii="仿宋_GB2312" w:eastAsia="仿宋_GB2312" w:cs="黑体"/>
          <w:b w:val="0"/>
          <w:bCs w:val="0"/>
          <w:sz w:val="32"/>
          <w:szCs w:val="32"/>
          <w:lang w:val="en-US" w:eastAsia="zh-CN"/>
        </w:rPr>
        <w:t>对</w:t>
      </w:r>
      <w:r>
        <w:rPr>
          <w:rFonts w:hint="eastAsia" w:ascii="仿宋_GB2312" w:eastAsia="仿宋_GB2312" w:cs="黑体"/>
          <w:b w:val="0"/>
          <w:bCs w:val="0"/>
          <w:sz w:val="32"/>
          <w:szCs w:val="32"/>
          <w:lang w:eastAsia="zh-CN"/>
        </w:rPr>
        <w:t>市属国企违规投资、违规转让国有股权（资产）等违规经营</w:t>
      </w:r>
      <w:r>
        <w:rPr>
          <w:rFonts w:hint="eastAsia" w:ascii="仿宋_GB2312" w:eastAsia="仿宋_GB2312" w:cs="黑体"/>
          <w:b w:val="0"/>
          <w:bCs w:val="0"/>
          <w:sz w:val="32"/>
          <w:szCs w:val="32"/>
          <w:lang w:val="en-US" w:eastAsia="zh-CN"/>
        </w:rPr>
        <w:t>实行问题倒查</w:t>
      </w:r>
      <w:r>
        <w:rPr>
          <w:rFonts w:hint="eastAsia" w:ascii="仿宋_GB2312" w:eastAsia="仿宋_GB2312" w:cs="黑体"/>
          <w:b w:val="0"/>
          <w:bCs w:val="0"/>
          <w:sz w:val="32"/>
          <w:szCs w:val="32"/>
          <w:lang w:eastAsia="zh-CN"/>
        </w:rPr>
        <w:t>，</w:t>
      </w:r>
      <w:r>
        <w:rPr>
          <w:rFonts w:hint="eastAsia" w:ascii="仿宋_GB2312" w:eastAsia="仿宋_GB2312" w:cs="黑体"/>
          <w:b w:val="0"/>
          <w:bCs w:val="0"/>
          <w:sz w:val="32"/>
          <w:szCs w:val="32"/>
          <w:lang w:val="en-US" w:eastAsia="zh-CN"/>
        </w:rPr>
        <w:t>并对</w:t>
      </w:r>
      <w:r>
        <w:rPr>
          <w:rFonts w:hint="eastAsia" w:ascii="仿宋_GB2312" w:eastAsia="仿宋_GB2312" w:cs="黑体"/>
          <w:b w:val="0"/>
          <w:bCs w:val="0"/>
          <w:sz w:val="32"/>
          <w:szCs w:val="32"/>
          <w:lang w:eastAsia="zh-CN"/>
        </w:rPr>
        <w:t>导致国有资产重大损失的侵吞、贪污、输送、挥霍国有资产和逃废金融债务</w:t>
      </w:r>
      <w:r>
        <w:rPr>
          <w:rFonts w:hint="eastAsia" w:ascii="仿宋_GB2312" w:eastAsia="仿宋_GB2312" w:cs="黑体"/>
          <w:b w:val="0"/>
          <w:bCs w:val="0"/>
          <w:sz w:val="32"/>
          <w:szCs w:val="32"/>
          <w:lang w:val="en-US" w:eastAsia="zh-CN"/>
        </w:rPr>
        <w:t>等</w:t>
      </w:r>
      <w:r>
        <w:rPr>
          <w:rFonts w:hint="eastAsia" w:ascii="仿宋_GB2312" w:eastAsia="仿宋_GB2312" w:cs="黑体"/>
          <w:b w:val="0"/>
          <w:bCs w:val="0"/>
          <w:sz w:val="32"/>
          <w:szCs w:val="32"/>
          <w:lang w:eastAsia="zh-CN"/>
        </w:rPr>
        <w:t>行为，综合运用组织处理、经济处罚、禁入限制、纪律处分和追究刑事责任等手段严厉惩处、依法查办。建立</w:t>
      </w:r>
      <w:r>
        <w:rPr>
          <w:rFonts w:hint="eastAsia" w:ascii="仿宋_GB2312" w:eastAsia="仿宋_GB2312" w:cs="黑体"/>
          <w:b w:val="0"/>
          <w:bCs w:val="0"/>
          <w:sz w:val="32"/>
          <w:szCs w:val="32"/>
          <w:lang w:val="en-US" w:eastAsia="zh-CN"/>
        </w:rPr>
        <w:t>监督</w:t>
      </w:r>
      <w:r>
        <w:rPr>
          <w:rFonts w:hint="eastAsia" w:ascii="仿宋_GB2312" w:eastAsia="仿宋_GB2312" w:cs="黑体"/>
          <w:b w:val="0"/>
          <w:bCs w:val="0"/>
          <w:sz w:val="32"/>
          <w:szCs w:val="32"/>
          <w:lang w:eastAsia="zh-CN"/>
        </w:rPr>
        <w:t>工作台账，健全内控措施，完善重大违法违纪违规问题线索向纪检监察机关、司法机关移送机制。对企业重大违法违纪违规问题应当发现而未发现或敷衍不追、隐匿不报、查处不力的，严格追究有关人员在监督工作中失职渎职、违反纪律</w:t>
      </w:r>
      <w:r>
        <w:rPr>
          <w:rFonts w:hint="eastAsia" w:ascii="仿宋_GB2312" w:eastAsia="仿宋_GB2312" w:cs="黑体"/>
          <w:b w:val="0"/>
          <w:bCs w:val="0"/>
          <w:sz w:val="32"/>
          <w:szCs w:val="32"/>
          <w:lang w:val="en-US" w:eastAsia="zh-CN"/>
        </w:rPr>
        <w:t>的责任</w:t>
      </w:r>
      <w:r>
        <w:rPr>
          <w:rFonts w:hint="eastAsia" w:ascii="仿宋_GB2312" w:eastAsia="仿宋_GB2312" w:cs="黑体"/>
          <w:b w:val="0"/>
          <w:bCs w:val="0"/>
          <w:sz w:val="32"/>
          <w:szCs w:val="32"/>
          <w:lang w:eastAsia="zh-CN"/>
        </w:rPr>
        <w:t>，</w:t>
      </w:r>
      <w:r>
        <w:rPr>
          <w:rFonts w:hint="eastAsia" w:ascii="仿宋_GB2312" w:eastAsia="仿宋_GB2312" w:cs="黑体"/>
          <w:b w:val="0"/>
          <w:bCs w:val="0"/>
          <w:sz w:val="32"/>
          <w:szCs w:val="32"/>
          <w:lang w:val="en-US" w:eastAsia="zh-CN"/>
        </w:rPr>
        <w:t>并</w:t>
      </w:r>
      <w:r>
        <w:rPr>
          <w:rFonts w:hint="eastAsia" w:ascii="仿宋_GB2312" w:eastAsia="仿宋_GB2312" w:cs="黑体"/>
          <w:b w:val="0"/>
          <w:bCs w:val="0"/>
          <w:sz w:val="32"/>
          <w:szCs w:val="32"/>
          <w:lang w:eastAsia="zh-CN"/>
        </w:rPr>
        <w:t>视不同情形分别给予纪律处分或组织处理，构成犯罪的，依法追究刑事责任。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黑体"/>
          <w:b w:val="0"/>
          <w:bCs w:val="0"/>
          <w:sz w:val="32"/>
          <w:szCs w:val="32"/>
          <w:lang w:val="en-US" w:eastAsia="zh-CN"/>
        </w:rPr>
      </w:pPr>
      <w:r>
        <w:rPr>
          <w:rFonts w:hint="eastAsia" w:ascii="仿宋_GB2312" w:eastAsia="仿宋_GB2312" w:cs="黑体"/>
          <w:b w:val="0"/>
          <w:bCs w:val="0"/>
          <w:sz w:val="32"/>
          <w:szCs w:val="32"/>
          <w:lang w:eastAsia="zh-CN"/>
        </w:rPr>
        <w:t>——</w:t>
      </w:r>
      <w:r>
        <w:rPr>
          <w:rFonts w:hint="eastAsia" w:ascii="仿宋_GB2312" w:eastAsia="仿宋_GB2312" w:cs="黑体"/>
          <w:b w:val="0"/>
          <w:bCs w:val="0"/>
          <w:sz w:val="32"/>
          <w:szCs w:val="32"/>
          <w:lang w:val="en-US" w:eastAsia="zh-CN"/>
        </w:rPr>
        <w:t>企业社会责任机制。推动企业制定和完善企业履行劳动、环境、社会公益、扶贫、中华民族共同体意识等方面社会责任的制度体系，为企业履行社会责任提供制度保障。完善和健全国有企业业绩考核评价制度，把履行社会责任纳入企业业绩考核评价之中，增强企业履行社会责任的内在动力。到2025年，市级国有企业实现构建企业履行社会责任的标准化流程体系的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黑体"/>
          <w:sz w:val="32"/>
          <w:szCs w:val="32"/>
          <w:lang w:val="en-US" w:eastAsia="zh-CN"/>
        </w:rPr>
      </w:pPr>
      <w:r>
        <w:rPr>
          <w:rFonts w:hint="eastAsia" w:ascii="仿宋_GB2312" w:eastAsia="仿宋_GB2312" w:cs="黑体"/>
          <w:b w:val="0"/>
          <w:bCs w:val="0"/>
          <w:sz w:val="32"/>
          <w:szCs w:val="32"/>
          <w:lang w:eastAsia="zh-CN"/>
        </w:rPr>
        <w:t>——监督工作会商机制。强化出资人监管、纪检、监察、巡视等监督力量，建立监督工作会商机制。运用国有企业大数据监管平台、国资监管信息系统、“数据铁笼”等大数据信息化手段加强统筹，建立监督、整改及结果运用的多部门信息互通和协同机制，减少重复检查，提高监督</w:t>
      </w:r>
      <w:r>
        <w:rPr>
          <w:rFonts w:hint="eastAsia" w:ascii="仿宋_GB2312" w:eastAsia="仿宋_GB2312" w:cs="黑体"/>
          <w:sz w:val="32"/>
          <w:szCs w:val="32"/>
          <w:lang w:eastAsia="zh-CN"/>
        </w:rPr>
        <w:t>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黑体"/>
          <w:b w:val="0"/>
          <w:bCs w:val="0"/>
          <w:sz w:val="32"/>
          <w:szCs w:val="32"/>
          <w:highlight w:val="none"/>
          <w:lang w:val="en-US" w:eastAsia="zh-CN"/>
        </w:rPr>
      </w:pPr>
      <w:r>
        <w:rPr>
          <w:rFonts w:hint="eastAsia" w:ascii="仿宋_GB2312" w:eastAsia="仿宋_GB2312" w:cs="黑体"/>
          <w:b w:val="0"/>
          <w:bCs w:val="0"/>
          <w:sz w:val="32"/>
          <w:szCs w:val="32"/>
          <w:lang w:val="en-US" w:eastAsia="zh-CN"/>
        </w:rPr>
        <w:t>完善和健全</w:t>
      </w:r>
      <w:r>
        <w:rPr>
          <w:rFonts w:hint="eastAsia" w:ascii="仿宋_GB2312" w:eastAsia="仿宋_GB2312" w:cs="黑体"/>
          <w:b/>
          <w:bCs/>
          <w:sz w:val="32"/>
          <w:szCs w:val="32"/>
          <w:lang w:val="en-US" w:eastAsia="zh-CN"/>
        </w:rPr>
        <w:t>两个体系</w:t>
      </w:r>
      <w:r>
        <w:rPr>
          <w:rFonts w:hint="eastAsia" w:ascii="仿宋_GB2312" w:eastAsia="仿宋_GB2312" w:cs="黑体"/>
          <w:b w:val="0"/>
          <w:bCs w:val="0"/>
          <w:sz w:val="32"/>
          <w:szCs w:val="32"/>
          <w:lang w:val="en-US" w:eastAsia="zh-CN"/>
        </w:rPr>
        <w:t>，</w:t>
      </w:r>
      <w:r>
        <w:rPr>
          <w:rFonts w:hint="eastAsia" w:ascii="仿宋_GB2312" w:eastAsia="仿宋_GB2312" w:cs="黑体"/>
          <w:b w:val="0"/>
          <w:bCs w:val="0"/>
          <w:sz w:val="32"/>
          <w:szCs w:val="32"/>
          <w:highlight w:val="none"/>
          <w:lang w:val="en-US" w:eastAsia="zh-CN"/>
        </w:rPr>
        <w:t>推动责任有效落实。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黑体"/>
          <w:b w:val="0"/>
          <w:bCs w:val="0"/>
          <w:sz w:val="32"/>
          <w:szCs w:val="32"/>
          <w:lang w:eastAsia="zh-CN"/>
        </w:rPr>
      </w:pPr>
      <w:r>
        <w:rPr>
          <w:rFonts w:hint="eastAsia" w:ascii="仿宋_GB2312" w:eastAsia="仿宋_GB2312" w:cs="黑体"/>
          <w:b w:val="0"/>
          <w:bCs w:val="0"/>
          <w:sz w:val="32"/>
          <w:szCs w:val="32"/>
          <w:highlight w:val="none"/>
          <w:lang w:val="en-US" w:eastAsia="zh-CN"/>
        </w:rPr>
        <w:t>——</w:t>
      </w:r>
      <w:r>
        <w:rPr>
          <w:rFonts w:hint="eastAsia" w:ascii="仿宋_GB2312" w:eastAsia="仿宋_GB2312" w:cs="黑体"/>
          <w:b w:val="0"/>
          <w:bCs w:val="0"/>
          <w:sz w:val="32"/>
          <w:szCs w:val="32"/>
          <w:lang w:val="en-US" w:eastAsia="zh-CN"/>
        </w:rPr>
        <w:t>国有资产风险防控体系建设，推进企业管理现代化、规范化。落实企业法律风险防控体系建设，企业法律顾问参与企业全方位、全过程管理，企</w:t>
      </w:r>
      <w:r>
        <w:rPr>
          <w:rFonts w:hint="eastAsia" w:ascii="仿宋_GB2312" w:eastAsia="仿宋_GB2312" w:cs="黑体"/>
          <w:b w:val="0"/>
          <w:bCs w:val="0"/>
          <w:sz w:val="32"/>
          <w:szCs w:val="32"/>
          <w:lang w:eastAsia="zh-CN"/>
        </w:rPr>
        <w:t>业经营管理由“事后补救”变为“事前防范”。推进市级国有企业资产债务管理信息平台建设，强化企业资产、债务、融资、担保实施动态监管，坚决守住不发生区域性系统性债务风险的底线。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b w:val="0"/>
          <w:bCs w:val="0"/>
          <w:lang w:val="en-US" w:eastAsia="zh-CN"/>
        </w:rPr>
      </w:pPr>
      <w:r>
        <w:rPr>
          <w:rFonts w:hint="eastAsia" w:ascii="仿宋_GB2312" w:eastAsia="仿宋_GB2312" w:cs="黑体"/>
          <w:b w:val="0"/>
          <w:bCs w:val="0"/>
          <w:sz w:val="32"/>
          <w:szCs w:val="32"/>
          <w:lang w:eastAsia="zh-CN"/>
        </w:rPr>
        <w:t>——</w:t>
      </w:r>
      <w:r>
        <w:rPr>
          <w:rFonts w:hint="eastAsia" w:ascii="仿宋_GB2312" w:eastAsia="仿宋_GB2312" w:cs="黑体"/>
          <w:b w:val="0"/>
          <w:bCs w:val="0"/>
          <w:sz w:val="32"/>
          <w:szCs w:val="32"/>
          <w:highlight w:val="none"/>
          <w:lang w:val="en-US" w:eastAsia="zh-CN"/>
        </w:rPr>
        <w:t>国有企业应急管理体系。按照“党政同责、一岗双责、齐抓共管、失职追责”，全面落实企业安全生产主体责任，推动企业完善风险管控和隐患排查治理双重预防机制，实现企业安全风险自辨自控、隐患自查自治，形成企业责任落实、职工参与有序的工作格局，到2025年企业安全生产整体预控能力得到有效提升。</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_GB2312" w:eastAsia="仿宋_GB2312" w:cs="黑体"/>
          <w:b w:val="0"/>
          <w:bCs w:val="0"/>
          <w:sz w:val="32"/>
          <w:szCs w:val="32"/>
          <w:lang w:val="en-US" w:eastAsia="zh-CN"/>
        </w:rPr>
      </w:pPr>
    </w:p>
    <w:p>
      <w:pPr>
        <w:pStyle w:val="2"/>
        <w:rPr>
          <w:rFonts w:hint="eastAsia" w:ascii="仿宋_GB2312" w:eastAsia="仿宋_GB2312" w:cs="黑体"/>
          <w:sz w:val="21"/>
          <w:szCs w:val="21"/>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rPr>
          <w:rFonts w:hint="eastAsia" w:ascii="黑体" w:eastAsia="黑体" w:cs="黑体"/>
          <w:b/>
          <w:bCs/>
          <w:sz w:val="32"/>
          <w:szCs w:val="32"/>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55" w:name="_Toc20612"/>
      <w:r>
        <w:rPr>
          <w:rFonts w:hint="eastAsia" w:ascii="黑体" w:hAnsi="黑体" w:eastAsia="黑体" w:cs="黑体"/>
          <w:b w:val="0"/>
          <w:bCs w:val="0"/>
          <w:sz w:val="32"/>
          <w:szCs w:val="32"/>
          <w:lang w:val="en-US" w:eastAsia="zh-CN"/>
        </w:rPr>
        <w:t>全面加强国企党建工作</w:t>
      </w:r>
      <w:bookmarkEnd w:id="55"/>
    </w:p>
    <w:p>
      <w:pPr>
        <w:rPr>
          <w:rFonts w:hint="eastAsia" w:ascii="黑体" w:hAnsi="黑体" w:eastAsia="黑体" w:cs="黑体"/>
          <w:b w:val="0"/>
          <w:bCs w:val="0"/>
          <w:sz w:val="21"/>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56" w:name="_Toc21269"/>
      <w:r>
        <w:rPr>
          <w:rFonts w:hint="eastAsia" w:ascii="楷体_GB2312" w:eastAsia="楷体_GB2312" w:cs="楷体"/>
          <w:sz w:val="32"/>
          <w:szCs w:val="32"/>
          <w:lang w:val="en-US" w:eastAsia="zh-CN"/>
        </w:rPr>
        <w:t>第一节 加强党对国有企业的全面领导</w:t>
      </w:r>
      <w:bookmarkEnd w:id="56"/>
    </w:p>
    <w:p>
      <w:pPr>
        <w:rPr>
          <w:rFonts w:hint="eastAsia" w:ascii="仿宋_GB2312" w:hAnsi="仿宋_GB2312" w:eastAsia="仿宋_GB2312" w:cs="仿宋_GB2312"/>
          <w:b w:val="0"/>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40"/>
          <w:lang w:val="en-US" w:eastAsia="zh-CN"/>
        </w:rPr>
      </w:pPr>
      <w:r>
        <w:rPr>
          <w:rFonts w:hint="eastAsia" w:ascii="仿宋_GB2312" w:eastAsia="仿宋_GB2312" w:cs="黑体"/>
          <w:b/>
          <w:bCs/>
          <w:sz w:val="32"/>
          <w:szCs w:val="32"/>
          <w:lang w:val="en-US" w:eastAsia="zh-CN"/>
        </w:rPr>
        <w:t>全面落实党对企业的治理机制。</w:t>
      </w:r>
      <w:r>
        <w:rPr>
          <w:rFonts w:hint="eastAsia" w:ascii="仿宋_GB2312" w:hAnsi="仿宋_GB2312" w:eastAsia="仿宋_GB2312" w:cs="仿宋_GB2312"/>
          <w:sz w:val="32"/>
          <w:szCs w:val="40"/>
          <w:lang w:val="en-US" w:eastAsia="zh-CN"/>
        </w:rPr>
        <w:t>全面贯彻落实中央、省、市关于将国有企业党的领导融入公司治理的要求，研究制定国企党委落实党的领导融入公司治理制度，切实发挥企业党委把方向、管大局、保落实的领导作用，把党的领导融入企业治理各环节，把国有企业党组织内嵌到企业治理结构中。分层分类制定企业党组织前置研究讨论重大经营管理事项清单，厘清各治理主体权责边界。健全完善国有企业“三重一大”决策制度执行实施细则，科学合理划分“三重一大”事项权责，对事项清单进行动态管理，厘清权责边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cs="黑体"/>
          <w:sz w:val="32"/>
          <w:szCs w:val="32"/>
          <w:lang w:val="en-US" w:eastAsia="zh-CN"/>
        </w:rPr>
      </w:pPr>
      <w:r>
        <w:rPr>
          <w:rFonts w:hint="eastAsia" w:ascii="仿宋_GB2312" w:hAnsi="仿宋_GB2312" w:eastAsia="仿宋_GB2312" w:cs="仿宋_GB2312"/>
          <w:sz w:val="32"/>
          <w:szCs w:val="40"/>
          <w:lang w:val="en-US" w:eastAsia="zh-CN"/>
        </w:rPr>
        <w:t>加强党的政治建设。全面落实党委会、党委中心组学习、“三会一课”、主题党日活动等基本制度，推动习近平新时代中国特色社会主义思想进企业、进班组、进头脑。教育引导国企广大党员干部职工树牢“四个意识”，坚定“四个自信”，坚决做到“两个维护”。</w:t>
      </w:r>
    </w:p>
    <w:p>
      <w:pPr>
        <w:keepNext w:val="0"/>
        <w:keepLines w:val="0"/>
        <w:pageBreakBefore w:val="0"/>
        <w:kinsoku/>
        <w:wordWrap/>
        <w:overflowPunct/>
        <w:topLinePunct w:val="0"/>
        <w:autoSpaceDE/>
        <w:autoSpaceDN/>
        <w:bidi w:val="0"/>
        <w:adjustRightInd/>
        <w:snapToGrid/>
        <w:spacing w:line="580" w:lineRule="exact"/>
        <w:ind w:firstLine="643" w:firstLineChars="200"/>
        <w:jc w:val="both"/>
        <w:rPr>
          <w:rFonts w:hint="eastAsia" w:ascii="仿宋_GB2312" w:hAnsi="仿宋_GB2312" w:eastAsia="仿宋_GB2312" w:cs="仿宋_GB2312"/>
          <w:sz w:val="32"/>
          <w:szCs w:val="40"/>
          <w:lang w:val="en-US" w:eastAsia="zh-CN"/>
        </w:rPr>
      </w:pPr>
      <w:r>
        <w:rPr>
          <w:rFonts w:hint="eastAsia" w:ascii="仿宋_GB2312" w:eastAsia="仿宋_GB2312" w:cs="黑体"/>
          <w:b/>
          <w:bCs/>
          <w:sz w:val="32"/>
          <w:szCs w:val="32"/>
          <w:lang w:val="en-US" w:eastAsia="zh-CN"/>
        </w:rPr>
        <w:t>落实全面从严治党。</w:t>
      </w:r>
      <w:r>
        <w:rPr>
          <w:rFonts w:hint="eastAsia" w:ascii="仿宋_GB2312" w:hAnsi="仿宋_GB2312" w:eastAsia="仿宋_GB2312" w:cs="仿宋_GB2312"/>
          <w:sz w:val="32"/>
          <w:szCs w:val="40"/>
          <w:lang w:val="en-US" w:eastAsia="zh-CN"/>
        </w:rPr>
        <w:t>坚决贯彻落实全面从严治党主体责任制。加强对制度执行情况的监督力度，特别是对企业关键岗位、主要负责人的监督，强化对权力集中、资金集中、资源富集、资产聚集的重点部门的监督，以及“三重一大”决策和重点经营环节的监督。严格落实中央八项规定以及省市实施细则，纠治“四风”。持续保持高压态势，加大反腐败工作力度，构建一体推进不敢腐、不能腐、不想腐体制机制。</w:t>
      </w:r>
    </w:p>
    <w:p>
      <w:pPr>
        <w:rPr>
          <w:rFonts w:hint="eastAsia" w:ascii="黑体" w:hAnsi="黑体" w:eastAsia="黑体" w:cs="黑体"/>
          <w:b w:val="0"/>
          <w:bCs w:val="0"/>
          <w:sz w:val="21"/>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outlineLvl w:val="2"/>
        <w:rPr>
          <w:rFonts w:hint="eastAsia" w:ascii="楷体_GB2312" w:eastAsia="楷体_GB2312" w:cs="楷体"/>
          <w:sz w:val="32"/>
          <w:szCs w:val="32"/>
          <w:lang w:val="en-US" w:eastAsia="zh-CN"/>
        </w:rPr>
      </w:pPr>
      <w:bookmarkStart w:id="57" w:name="_Toc19723"/>
      <w:r>
        <w:rPr>
          <w:rFonts w:hint="eastAsia" w:ascii="楷体_GB2312" w:eastAsia="楷体_GB2312" w:cs="楷体"/>
          <w:sz w:val="32"/>
          <w:szCs w:val="32"/>
          <w:lang w:val="en-US" w:eastAsia="zh-CN"/>
        </w:rPr>
        <w:t>第二节 全面提高国有企业党的建设质量</w:t>
      </w:r>
      <w:bookmarkEnd w:id="57"/>
    </w:p>
    <w:p>
      <w:pPr>
        <w:rPr>
          <w:rFonts w:hint="eastAsia" w:ascii="仿宋_GB2312" w:hAnsi="仿宋_GB2312" w:eastAsia="仿宋_GB2312" w:cs="仿宋_GB2312"/>
          <w:b w:val="0"/>
          <w:bCs/>
          <w:sz w:val="21"/>
          <w:szCs w:val="21"/>
        </w:rPr>
      </w:pPr>
    </w:p>
    <w:p>
      <w:pPr>
        <w:keepNext w:val="0"/>
        <w:keepLines w:val="0"/>
        <w:pageBreakBefore w:val="0"/>
        <w:kinsoku/>
        <w:wordWrap/>
        <w:overflowPunct/>
        <w:topLinePunct w:val="0"/>
        <w:autoSpaceDE/>
        <w:autoSpaceDN/>
        <w:bidi w:val="0"/>
        <w:adjustRightInd/>
        <w:snapToGrid/>
        <w:spacing w:line="580" w:lineRule="exact"/>
        <w:ind w:firstLine="643" w:firstLineChars="200"/>
        <w:jc w:val="both"/>
        <w:rPr>
          <w:rFonts w:hint="eastAsia" w:ascii="仿宋_GB2312" w:hAnsi="仿宋_GB2312" w:eastAsia="仿宋_GB2312" w:cs="仿宋_GB2312"/>
          <w:sz w:val="32"/>
          <w:szCs w:val="40"/>
          <w:lang w:val="en-US" w:eastAsia="zh-CN"/>
        </w:rPr>
      </w:pPr>
      <w:r>
        <w:rPr>
          <w:rFonts w:hint="eastAsia" w:ascii="仿宋_GB2312" w:eastAsia="仿宋_GB2312" w:cs="黑体"/>
          <w:b/>
          <w:bCs/>
          <w:sz w:val="32"/>
          <w:szCs w:val="32"/>
          <w:lang w:val="en-US" w:eastAsia="zh-CN"/>
        </w:rPr>
        <w:t>推进党建工作与生产经营高质量融合发展。</w:t>
      </w:r>
      <w:r>
        <w:rPr>
          <w:rFonts w:hint="eastAsia" w:ascii="仿宋_GB2312" w:hAnsi="仿宋_GB2312" w:eastAsia="仿宋_GB2312" w:cs="仿宋_GB2312"/>
          <w:sz w:val="32"/>
          <w:szCs w:val="40"/>
          <w:lang w:val="en-US" w:eastAsia="zh-CN"/>
        </w:rPr>
        <w:t>坚持把提高企业效益、增强企业竞争力、实现国有资产保值增值作为国有企业党组织工作的出发点和落脚点，积极推动国有企业党建工作考核和经营业绩考核紧密结合，使党建工作责任制和生产经营责任制有效联动。以党建示范点创建、党支部标准化规范化建设为抓手，找准国有企业基层党组织服务生产经营、凝聚职工群众、参与基层治理的着力点，切实发挥基层党组织战斗堡垒作用和党员先锋模范作用。按照中央、省市的统筹部署，全面深入抓好加强混合所有制企业党建工作有关文件和重要会议精神的贯彻落实。</w:t>
      </w:r>
    </w:p>
    <w:p>
      <w:pPr>
        <w:keepNext w:val="0"/>
        <w:keepLines w:val="0"/>
        <w:pageBreakBefore w:val="0"/>
        <w:kinsoku/>
        <w:wordWrap/>
        <w:overflowPunct/>
        <w:topLinePunct w:val="0"/>
        <w:autoSpaceDE/>
        <w:autoSpaceDN/>
        <w:bidi w:val="0"/>
        <w:adjustRightInd/>
        <w:snapToGrid/>
        <w:spacing w:line="580" w:lineRule="exact"/>
        <w:ind w:firstLine="643" w:firstLineChars="200"/>
        <w:jc w:val="both"/>
        <w:rPr>
          <w:rFonts w:hint="eastAsia" w:ascii="仿宋_GB2312" w:hAnsi="仿宋_GB2312" w:eastAsia="仿宋_GB2312" w:cs="仿宋_GB2312"/>
          <w:sz w:val="32"/>
          <w:szCs w:val="40"/>
          <w:lang w:val="en-US" w:eastAsia="zh-CN"/>
        </w:rPr>
      </w:pPr>
      <w:r>
        <w:rPr>
          <w:rFonts w:hint="eastAsia" w:ascii="仿宋_GB2312" w:eastAsia="仿宋_GB2312" w:cs="黑体"/>
          <w:b/>
          <w:bCs/>
          <w:sz w:val="32"/>
          <w:szCs w:val="32"/>
          <w:lang w:val="en-US" w:eastAsia="zh-CN"/>
        </w:rPr>
        <w:t>强化国有企业领导班子和人才队伍建设。</w:t>
      </w:r>
      <w:r>
        <w:rPr>
          <w:rFonts w:hint="eastAsia" w:ascii="仿宋_GB2312" w:hAnsi="仿宋_GB2312" w:eastAsia="仿宋_GB2312" w:cs="仿宋_GB2312"/>
          <w:sz w:val="32"/>
          <w:szCs w:val="40"/>
          <w:lang w:val="en-US" w:eastAsia="zh-CN"/>
        </w:rPr>
        <w:t>修订《贵阳市市管企业领导人员管理办法》，明确市管企业领导人员管理的基本原则、基本要求和主要内容，实现市管企业领导人员全过程、全方位管理。充分发挥市场机制作用，扩大选人用人视野，完善与市场竞争相适应的企业领导人员管理机制。坚持问题导向，重点解决企业选人用人机制创新不够、领导人员管理失之于宽松软和领导人员管党治党意识不强、担当不够、“能上不能下”等问题。</w:t>
      </w:r>
    </w:p>
    <w:p>
      <w:pPr>
        <w:keepNext w:val="0"/>
        <w:keepLines w:val="0"/>
        <w:pageBreakBefore w:val="0"/>
        <w:kinsoku/>
        <w:wordWrap/>
        <w:overflowPunct/>
        <w:topLinePunct w:val="0"/>
        <w:autoSpaceDE/>
        <w:autoSpaceDN/>
        <w:bidi w:val="0"/>
        <w:adjustRightInd/>
        <w:snapToGrid/>
        <w:spacing w:line="580" w:lineRule="exact"/>
        <w:ind w:firstLine="643" w:firstLineChars="200"/>
        <w:jc w:val="both"/>
        <w:rPr>
          <w:rFonts w:hint="eastAsia" w:ascii="仿宋_GB2312" w:hAnsi="仿宋_GB2312" w:eastAsia="仿宋_GB2312" w:cs="仿宋_GB2312"/>
          <w:sz w:val="32"/>
          <w:szCs w:val="40"/>
          <w:lang w:val="en-US" w:eastAsia="zh-CN"/>
        </w:rPr>
      </w:pPr>
      <w:r>
        <w:rPr>
          <w:rFonts w:hint="eastAsia" w:ascii="仿宋_GB2312" w:eastAsia="仿宋_GB2312" w:cs="黑体"/>
          <w:b/>
          <w:bCs/>
          <w:sz w:val="32"/>
          <w:szCs w:val="32"/>
          <w:lang w:val="en-US" w:eastAsia="zh-CN"/>
        </w:rPr>
        <w:t>将激励企业领导干部担当作为国企改革发展的动力源泉。</w:t>
      </w:r>
      <w:r>
        <w:rPr>
          <w:rFonts w:hint="eastAsia" w:ascii="仿宋_GB2312" w:hAnsi="仿宋_GB2312" w:eastAsia="仿宋_GB2312" w:cs="仿宋_GB2312"/>
          <w:sz w:val="32"/>
          <w:szCs w:val="40"/>
          <w:lang w:val="en-US" w:eastAsia="zh-CN"/>
        </w:rPr>
        <w:t>按照建设高素质专业化干部队伍要求，营造人人成才的育人机制和良好生态，不断增强干部适应新时代新发展要求的本领能力。落实“三个区分开来”要求，制定尽职合规免责事项清单，综合评价企业领导人的综合能力水平。</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rPr>
          <w:rFonts w:hint="eastAsia" w:ascii="黑体" w:eastAsia="黑体" w:cs="黑体"/>
          <w:b/>
          <w:bCs/>
          <w:sz w:val="32"/>
          <w:szCs w:val="32"/>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jc w:val="center"/>
        <w:outlineLvl w:val="0"/>
        <w:rPr>
          <w:rFonts w:hint="default" w:ascii="黑体" w:eastAsia="方正小标宋简体" w:cs="黑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 xml:space="preserve"> </w:t>
      </w:r>
      <w:bookmarkStart w:id="58" w:name="_Toc28635"/>
      <w:r>
        <w:rPr>
          <w:rFonts w:hint="eastAsia" w:ascii="方正小标宋简体" w:hAnsi="方正小标宋简体" w:eastAsia="方正小标宋简体" w:cs="方正小标宋简体"/>
          <w:b/>
          <w:bCs/>
          <w:sz w:val="36"/>
          <w:szCs w:val="36"/>
          <w:lang w:val="en-US" w:eastAsia="zh-CN"/>
        </w:rPr>
        <w:t>组织和保障措施</w:t>
      </w:r>
      <w:bookmarkEnd w:id="58"/>
    </w:p>
    <w:p>
      <w:pPr>
        <w:rPr>
          <w:rFonts w:hint="eastAsia" w:ascii="仿宋_GB2312" w:hAnsi="仿宋_GB2312" w:eastAsia="仿宋_GB2312" w:cs="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59" w:name="_Toc21569"/>
      <w:r>
        <w:rPr>
          <w:rFonts w:hint="eastAsia" w:ascii="黑体" w:hAnsi="黑体" w:eastAsia="黑体" w:cs="黑体"/>
          <w:b w:val="0"/>
          <w:bCs w:val="0"/>
          <w:sz w:val="32"/>
          <w:szCs w:val="32"/>
          <w:lang w:val="en-US" w:eastAsia="zh-CN"/>
        </w:rPr>
        <w:t>强化组织领导，解决规划发展瓶颈</w:t>
      </w:r>
      <w:bookmarkEnd w:id="59"/>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全市深化国有企业改革工作领导小组的统一指导下，明确责任，切实落实各项改革措施。各部门要加强沟通协调，切实帮助国有企业解决实际问题。市发展改革委、市财政局、市工业和信息化局、市人力资源和社会保障局、市自然资源和规划局、市商务局、市市场监管局等单位，要从有利于降低企业成本、加快企业发展步伐出发，落实项目审批、职工安置、税费减免、特许经营等政策，并牵头解决事权范围内的企业合理诉求。</w:t>
      </w:r>
    </w:p>
    <w:p>
      <w:pPr>
        <w:rPr>
          <w:rFonts w:hint="eastAsia" w:ascii="仿宋_GB2312" w:hAnsi="仿宋_GB2312" w:eastAsia="仿宋_GB2312" w:cs="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60" w:name="_Toc954"/>
      <w:r>
        <w:rPr>
          <w:rFonts w:hint="eastAsia" w:ascii="黑体" w:hAnsi="黑体" w:eastAsia="黑体" w:cs="黑体"/>
          <w:b w:val="0"/>
          <w:bCs w:val="0"/>
          <w:sz w:val="32"/>
          <w:szCs w:val="32"/>
          <w:lang w:val="en-US" w:eastAsia="zh-CN"/>
        </w:rPr>
        <w:t>建立制度机制，推动规划有效实施</w:t>
      </w:r>
      <w:bookmarkEnd w:id="60"/>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市级国有企业要结合自身实际，积极稳妥推进各项改革，充分发挥国企改革主体作用，从企业实际出发，在摸清家底的基础上，坚持问题导向，突出规划引领，明确规划的目标、方式、措施、路线图和时间表，进一步完善国资资本布局、产业布局、空间布局，保障规划的落地实施。</w:t>
      </w:r>
    </w:p>
    <w:p>
      <w:pPr>
        <w:rPr>
          <w:rFonts w:hint="eastAsia" w:ascii="仿宋_GB2312" w:hAnsi="仿宋_GB2312" w:eastAsia="仿宋_GB2312" w:cs="仿宋_GB2312"/>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jc w:val="center"/>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61" w:name="_Toc21952"/>
      <w:r>
        <w:rPr>
          <w:rFonts w:hint="eastAsia" w:ascii="黑体" w:hAnsi="黑体" w:eastAsia="黑体" w:cs="黑体"/>
          <w:b w:val="0"/>
          <w:bCs w:val="0"/>
          <w:sz w:val="32"/>
          <w:szCs w:val="32"/>
          <w:lang w:val="en-US" w:eastAsia="zh-CN"/>
        </w:rPr>
        <w:t>实施战略规划绩效考核</w:t>
      </w:r>
      <w:bookmarkEnd w:id="61"/>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严格执行国资国企发展战略规划的导向性要求和相关规定，强化发展战略规划绩效考核。将贵阳市国资国企发展战略规划目标与企业目标任务挂钩，建立健全对市级国企发展战略规划实施绩效考核。</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rPr>
          <w:rFonts w:hint="default" w:hAnsi="仿宋_GB2312" w:cs="仿宋_GB2312"/>
          <w:sz w:val="32"/>
          <w:szCs w:val="40"/>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FangSong_GB2312">
    <w:altName w:val="仿宋_GB2312"/>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-9921875</wp:posOffset>
              </wp:positionV>
              <wp:extent cx="9525" cy="230505"/>
              <wp:effectExtent l="0" t="0" r="0" b="0"/>
              <wp:wrapNone/>
              <wp:docPr id="1" name="文本框"/>
              <wp:cNvGraphicFramePr/>
              <a:graphic xmlns:a="http://schemas.openxmlformats.org/drawingml/2006/main">
                <a:graphicData uri="http://schemas.microsoft.com/office/word/2010/wordprocessingShape">
                  <wps:wsp>
                    <wps:cNvSpPr/>
                    <wps:spPr>
                      <a:xfrm>
                        <a:off x="0" y="0"/>
                        <a:ext cx="9524" cy="230251"/>
                      </a:xfrm>
                      <a:prstGeom prst="rect">
                        <a:avLst/>
                      </a:prstGeom>
                      <a:noFill/>
                      <a:ln w="9525" cap="flat" cmpd="sng">
                        <a:noFill/>
                        <a:prstDash val="solid"/>
                        <a:miter/>
                      </a:ln>
                    </wps:spPr>
                    <wps:txbx>
                      <w:txbxContent>
                        <w:p>
                          <w:pPr>
                            <w:pStyle w:val="11"/>
                            <w:rPr>
                              <w:rFonts w:ascii="宋体" w:cs="宋体"/>
                              <w:sz w:val="28"/>
                              <w:szCs w:val="28"/>
                            </w:rPr>
                          </w:pPr>
                        </w:p>
                      </w:txbxContent>
                    </wps:txbx>
                    <wps:bodyPr vert="horz" wrap="none" lIns="0" tIns="0" rIns="0" bIns="0" anchor="t" anchorCtr="0" upright="1">
                      <a:spAutoFit/>
                    </wps:bodyPr>
                  </wps:wsp>
                </a:graphicData>
              </a:graphic>
            </wp:anchor>
          </w:drawing>
        </mc:Choice>
        <mc:Fallback>
          <w:pict>
            <v:rect id="文本框" o:spid="_x0000_s1026" o:spt="1" style="position:absolute;left:0pt;margin-top:-781.25pt;height:18.15pt;width:0.75pt;mso-position-horizontal:outside;mso-position-horizontal-relative:margin;mso-wrap-style:none;z-index:251659264;mso-width-relative:page;mso-height-relative:page;" filled="f" stroked="f" coordsize="21600,21600" o:gfxdata="UEsDBAoAAAAAAIdO4kAAAAAAAAAAAAAAAAAEAAAAZHJzL1BLAwQUAAAACACHTuJAjntrb9YAAAAK&#10;AQAADwAAAGRycy9kb3ducmV2LnhtbE2PzWrDMBCE74W+g9hCb4lkQUxwLOdQCLSllzh9AMVa/1Bp&#10;ZSQlTt++Si/tadmdYfaben9zll0xxMmTgmItgCF13kw0KPg8HVZbYDFpMtp6QgXfGGHfPD7UujJ+&#10;oSNe2zSwHEKx0grGlOaK89iN6HRc+xkpa70PTqe8hoGboJcc7iyXQpTc6Ynyh1HP+DJi99VenAJ+&#10;ag/LtrVB+HfZf9i312OPXqnnp0LsgCW8pT8z3PEzOjSZ6ewvZCKzCnKRpGBVbEq5AXY35HH+vchS&#10;Am9q/r9C8wNQSwMEFAAAAAgAh07iQIshn7n+AQAA8AMAAA4AAABkcnMvZTJvRG9jLnhtbK1TS44T&#10;MRDdI3EHy3vSnYYgaKUzGhENQkIw0sABHLfdbck/uZx0hwPADVixYc+5co4pu/MZDZtZzMZ+tsvP&#10;9V6Vl1ej0WQnAihnGzqflZQIy12rbNfQ799uXr2jBCKzLdPOiobuBdCr1csXy8HXonK9060IBEks&#10;1INvaB+jr4sCeC8Mg5nzwuKhdMGwiMvQFW1gA7IbXVRl+bYYXGh9cFwA4O56OqRHxvAUQiel4mLt&#10;+NYIGyfWIDSLKAl65YGucrZSCh6/SgkiEt1QVBrziI8g3qSxWC1Z3QXme8WPKbCnpPBIk2HK4qNn&#10;qjWLjGyD+o/KKB4cOBln3JliEpIdQRXz8pE3dz3zImtBq8GfTYfno+VfdreBqBY7gRLLDBb88PvX&#10;4c+/w9+fyZzBQ40xd/42HFeAMCkdZTBpRg1kzIbuz4aKMRKOm+8X1RtKOB5Ur8tqMU+MxeWqDxA/&#10;CmdIAg0NWK1sItt9hjiFnkLSS9bdKK1xn9XakiHTL5CeYRdKrD5C41EJ2C7TPIhPNGsGPdkxbARw&#10;WrVT6Y2KIinDrLTFKemdFCYUx82IhwluXLtHp/DjYKa9Cz8oGbBtGmrxl1CiP1msSuqwEwgnsDkB&#10;ZjlebCgmOsEPcerErQ+q65F3nvMGf72NqDVbcHn7mB02Qk732LSp0x6uc9Tlo67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7a2/WAAAACgEAAA8AAAAAAAAAAQAgAAAAIgAAAGRycy9kb3ducmV2&#10;LnhtbFBLAQIUABQAAAAIAIdO4kCLIZ+5/gEAAPADAAAOAAAAAAAAAAEAIAAAACUBAABkcnMvZTJv&#10;RG9jLnhtbFBLBQYAAAAABgAGAFkBAACVBQAAAAA=&#10;">
              <v:fill on="f" focussize="0,0"/>
              <v:stroke on="f" joinstyle="miter"/>
              <v:imagedata o:title=""/>
              <o:lock v:ext="edit" aspectratio="f"/>
              <v:textbox inset="0mm,0mm,0mm,0mm" style="mso-fit-shape-to-text:t;">
                <w:txbxContent>
                  <w:p>
                    <w:pPr>
                      <w:pStyle w:val="11"/>
                      <w:rPr>
                        <w:rFonts w:ascii="宋体" w:cs="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-9921875</wp:posOffset>
              </wp:positionV>
              <wp:extent cx="9525" cy="230505"/>
              <wp:effectExtent l="0" t="0" r="0" b="0"/>
              <wp:wrapNone/>
              <wp:docPr id="4" name="文本框"/>
              <wp:cNvGraphicFramePr/>
              <a:graphic xmlns:a="http://schemas.openxmlformats.org/drawingml/2006/main">
                <a:graphicData uri="http://schemas.microsoft.com/office/word/2010/wordprocessingShape">
                  <wps:wsp>
                    <wps:cNvSpPr/>
                    <wps:spPr>
                      <a:xfrm>
                        <a:off x="0" y="0"/>
                        <a:ext cx="9524" cy="230251"/>
                      </a:xfrm>
                      <a:prstGeom prst="rect">
                        <a:avLst/>
                      </a:prstGeom>
                      <a:noFill/>
                      <a:ln w="9525" cap="flat" cmpd="sng">
                        <a:noFill/>
                        <a:prstDash val="solid"/>
                        <a:miter/>
                      </a:ln>
                    </wps:spPr>
                    <wps:txbx>
                      <w:txbxContent>
                        <w:p>
                          <w:pPr>
                            <w:pStyle w:val="11"/>
                            <w:rPr>
                              <w:rFonts w:ascii="宋体" w:cs="宋体"/>
                              <w:sz w:val="28"/>
                              <w:szCs w:val="28"/>
                            </w:rPr>
                          </w:pPr>
                        </w:p>
                      </w:txbxContent>
                    </wps:txbx>
                    <wps:bodyPr vert="horz" wrap="none" lIns="0" tIns="0" rIns="0" bIns="0" anchor="t" anchorCtr="0" upright="1">
                      <a:spAutoFit/>
                    </wps:bodyPr>
                  </wps:wsp>
                </a:graphicData>
              </a:graphic>
            </wp:anchor>
          </w:drawing>
        </mc:Choice>
        <mc:Fallback>
          <w:pict>
            <v:rect id="文本框" o:spid="_x0000_s1026" o:spt="1" style="position:absolute;left:0pt;margin-top:-781.25pt;height:18.15pt;width:0.75pt;mso-position-horizontal:outside;mso-position-horizontal-relative:margin;mso-wrap-style:none;z-index:251659264;mso-width-relative:page;mso-height-relative:page;" filled="f" stroked="f" coordsize="21600,21600" o:gfxdata="UEsDBAoAAAAAAIdO4kAAAAAAAAAAAAAAAAAEAAAAZHJzL1BLAwQUAAAACACHTuJAjntrb9YAAAAK&#10;AQAADwAAAGRycy9kb3ducmV2LnhtbE2PzWrDMBCE74W+g9hCb4lkQUxwLOdQCLSllzh9AMVa/1Bp&#10;ZSQlTt++Si/tadmdYfaben9zll0xxMmTgmItgCF13kw0KPg8HVZbYDFpMtp6QgXfGGHfPD7UujJ+&#10;oSNe2zSwHEKx0grGlOaK89iN6HRc+xkpa70PTqe8hoGboJcc7iyXQpTc6Ynyh1HP+DJi99VenAJ+&#10;ag/LtrVB+HfZf9i312OPXqnnp0LsgCW8pT8z3PEzOjSZ6ewvZCKzCnKRpGBVbEq5AXY35HH+vchS&#10;Am9q/r9C8wNQSwMEFAAAAAgAh07iQFNpQ1z9AQAA8AMAAA4AAABkcnMvZTJvRG9jLnhtbK1TS44T&#10;MRDdI3EHy3vSnYYgaKUzGhENQkIw0sABHLfdbck/uZx0hwPADVixYc+5co4pu/MZDZtZzMZ+tsvP&#10;9V6Vl1ej0WQnAihnGzqflZQIy12rbNfQ799uXr2jBCKzLdPOiobuBdCr1csXy8HXonK9060IBEks&#10;1INvaB+jr4sCeC8Mg5nzwuKhdMGwiMvQFW1gA7IbXVRl+bYYXGh9cFwA4O56OqRHxvAUQiel4mLt&#10;+NYIGyfWIDSLKAl65YGucrZSCh6/SgkiEt1QVBrziI8g3qSxWC1Z3QXme8WPKbCnpPBIk2HK4qNn&#10;qjWLjGyD+o/KKB4cOBln3JliEpIdQRXz8pE3dz3zImtBq8GfTYfno+VfdreBqLahbyixzGDBD79/&#10;Hf78O/z9mcwZPNQYc+dvw3EFCJPSUQaTZtRAxmzo/myoGCPhuPl+USEtx4PqdVkt5omxuFz1AeJH&#10;4QxJoKEBq5VNZLvPEKfQU0h6ybobpTXus1pbMmT6BdIz7EKJ1UdoPCoB22WaB/GJZs2gJzuGjQBO&#10;q3YqvVFRJGWYlbY4Jb2TwoTiuBnxMMGNa/foFH4czLR34QclA7ZNQy3+Ekr0J4tVSR12AuEENifA&#10;LMeLDcVEJ/ghTp249UF1PfLOc97gr7cRtWYLLm8fs8NGyOkemzZ12sN1jrp81N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trb9YAAAAKAQAADwAAAAAAAAABACAAAAAiAAAAZHJzL2Rvd25yZXYu&#10;eG1sUEsBAhQAFAAAAAgAh07iQFNpQ1z9AQAA8AMAAA4AAAAAAAAAAQAgAAAAJQEAAGRycy9lMm9E&#10;b2MueG1sUEsFBgAAAAAGAAYAWQEAAJQFAAAAAA==&#10;">
              <v:fill on="f" focussize="0,0"/>
              <v:stroke on="f" joinstyle="miter"/>
              <v:imagedata o:title=""/>
              <o:lock v:ext="edit" aspectratio="f"/>
              <v:textbox inset="0mm,0mm,0mm,0mm" style="mso-fit-shape-to-text:t;">
                <w:txbxContent>
                  <w:p>
                    <w:pPr>
                      <w:pStyle w:val="11"/>
                      <w:rPr>
                        <w:rFonts w:ascii="宋体" w:cs="宋体"/>
                        <w:sz w:val="28"/>
                        <w:szCs w:val="28"/>
                      </w:rPr>
                    </w:pPr>
                  </w:p>
                </w:txbxContent>
              </v:textbox>
            </v:rect>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-9921875</wp:posOffset>
              </wp:positionV>
              <wp:extent cx="9525" cy="230505"/>
              <wp:effectExtent l="0" t="0" r="0" b="0"/>
              <wp:wrapNone/>
              <wp:docPr id="6" name="文本框"/>
              <wp:cNvGraphicFramePr/>
              <a:graphic xmlns:a="http://schemas.openxmlformats.org/drawingml/2006/main">
                <a:graphicData uri="http://schemas.microsoft.com/office/word/2010/wordprocessingShape">
                  <wps:wsp>
                    <wps:cNvSpPr/>
                    <wps:spPr>
                      <a:xfrm>
                        <a:off x="0" y="0"/>
                        <a:ext cx="9524" cy="230251"/>
                      </a:xfrm>
                      <a:prstGeom prst="rect">
                        <a:avLst/>
                      </a:prstGeom>
                      <a:noFill/>
                      <a:ln w="9525" cap="flat" cmpd="sng">
                        <a:noFill/>
                        <a:prstDash val="solid"/>
                        <a:miter/>
                      </a:ln>
                    </wps:spPr>
                    <wps:txbx>
                      <w:txbxContent>
                        <w:p>
                          <w:pPr>
                            <w:pStyle w:val="11"/>
                            <w:rPr>
                              <w:rFonts w:ascii="宋体" w:cs="宋体"/>
                              <w:sz w:val="28"/>
                              <w:szCs w:val="28"/>
                            </w:rPr>
                          </w:pPr>
                        </w:p>
                      </w:txbxContent>
                    </wps:txbx>
                    <wps:bodyPr vert="horz" wrap="none" lIns="0" tIns="0" rIns="0" bIns="0" anchor="t" anchorCtr="0" upright="1">
                      <a:spAutoFit/>
                    </wps:bodyPr>
                  </wps:wsp>
                </a:graphicData>
              </a:graphic>
            </wp:anchor>
          </w:drawing>
        </mc:Choice>
        <mc:Fallback>
          <w:pict>
            <v:rect id="文本框" o:spid="_x0000_s1026" o:spt="1" style="position:absolute;left:0pt;margin-top:-781.25pt;height:18.15pt;width:0.75pt;mso-position-horizontal:outside;mso-position-horizontal-relative:margin;mso-wrap-style:none;z-index:251659264;mso-width-relative:page;mso-height-relative:page;" filled="f" stroked="f" coordsize="21600,21600" o:gfxdata="UEsDBAoAAAAAAIdO4kAAAAAAAAAAAAAAAAAEAAAAZHJzL1BLAwQUAAAACACHTuJAjntrb9YAAAAK&#10;AQAADwAAAGRycy9kb3ducmV2LnhtbE2PzWrDMBCE74W+g9hCb4lkQUxwLOdQCLSllzh9AMVa/1Bp&#10;ZSQlTt++Si/tadmdYfaben9zll0xxMmTgmItgCF13kw0KPg8HVZbYDFpMtp6QgXfGGHfPD7UujJ+&#10;oSNe2zSwHEKx0grGlOaK89iN6HRc+xkpa70PTqe8hoGboJcc7iyXQpTc6Ynyh1HP+DJi99VenAJ+&#10;ag/LtrVB+HfZf9i312OPXqnnp0LsgCW8pT8z3PEzOjSZ6ewvZCKzCnKRpGBVbEq5AXY35HH+vchS&#10;Am9q/r9C8wNQSwMEFAAAAAgAh07iQBy7S4L+AQAA8AMAAA4AAABkcnMvZTJvRG9jLnhtbK1TS44T&#10;MRDdI3EHy3vSnYaMoJXOCBENQkIw0sABHLfdbck/uZx0hwPADVixYc+5cg7K7nxGM5tZzMZ+tsvP&#10;9V6Vl9ej0WQnAihnGzqflZQIy12rbNfQ799uXr2lBCKzLdPOiobuBdDr1csXy8HXonK9060IBEks&#10;1INvaB+jr4sCeC8Mg5nzwuKhdMGwiMvQFW1gA7IbXVRleVUMLrQ+OC4AcHc9HdIjY3gKoZNScbF2&#10;fGuEjRNrEJpFlAS98kBXOVspBY9fpQQRiW4oKo15xEcQb9JYrJas7gLzveLHFNhTUnigyTBl8dEz&#10;1ZpFRrZBPaIyigcHTsYZd6aYhGRHUMW8fODNXc+8yFrQavBn0+H5aPmX3W0gqm3oFSWWGSz44fev&#10;w59/h78/kzmDhxpj7vxtOK4AYVI6ymDSjBrImA3dnw0VYyQcN98tqjeUcDyoXpfVYp4Yi8tVHyB+&#10;FM6QBBoasFrZRLb7DHEKPYWkl6y7UVrjPqu1JUOmXyA9wy6UWH2ExqMSsF2muRefaNYMerJj2Ajg&#10;tGqn0hsVRVKGWWmLU9I7KUwojpsRDxPcuHaPTuHHwUx7F35QMmDbNNTiL6FEf7JYldRhJxBOYHMC&#10;zHK82FBMdIIf4tSJWx9U1yPvPOcN/v02otZsweXtY3bYCDndY9OmTru/zlGXj7r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7a2/WAAAACgEAAA8AAAAAAAAAAQAgAAAAIgAAAGRycy9kb3ducmV2&#10;LnhtbFBLAQIUABQAAAAIAIdO4kAcu0uC/gEAAPADAAAOAAAAAAAAAAEAIAAAACUBAABkcnMvZTJv&#10;RG9jLnhtbFBLBQYAAAAABgAGAFkBAACVBQAAAAA=&#10;">
              <v:fill on="f" focussize="0,0"/>
              <v:stroke on="f" joinstyle="miter"/>
              <v:imagedata o:title=""/>
              <o:lock v:ext="edit" aspectratio="f"/>
              <v:textbox inset="0mm,0mm,0mm,0mm" style="mso-fit-shape-to-text:t;">
                <w:txbxContent>
                  <w:p>
                    <w:pPr>
                      <w:pStyle w:val="11"/>
                      <w:rPr>
                        <w:rFonts w:ascii="宋体" w:cs="宋体"/>
                        <w:sz w:val="28"/>
                        <w:szCs w:val="28"/>
                      </w:rPr>
                    </w:pPr>
                  </w:p>
                </w:txbxContent>
              </v:textbox>
            </v:rect>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99EFE"/>
    <w:multiLevelType w:val="singleLevel"/>
    <w:tmpl w:val="A0A99EFE"/>
    <w:lvl w:ilvl="0" w:tentative="0">
      <w:start w:val="2"/>
      <w:numFmt w:val="chineseCounting"/>
      <w:suff w:val="space"/>
      <w:lvlText w:val="第%1篇"/>
      <w:lvlJc w:val="left"/>
      <w:rPr>
        <w:rFonts w:hint="eastAsia"/>
      </w:rPr>
    </w:lvl>
  </w:abstractNum>
  <w:abstractNum w:abstractNumId="1">
    <w:nsid w:val="F8807937"/>
    <w:multiLevelType w:val="singleLevel"/>
    <w:tmpl w:val="F8807937"/>
    <w:lvl w:ilvl="0" w:tentative="0">
      <w:start w:val="1"/>
      <w:numFmt w:val="chineseCounting"/>
      <w:suff w:val="space"/>
      <w:lvlText w:val="第%1章"/>
      <w:lvlJc w:val="left"/>
      <w:rPr>
        <w:rFonts w:hint="eastAsia"/>
      </w:rPr>
    </w:lvl>
  </w:abstractNum>
  <w:abstractNum w:abstractNumId="2">
    <w:nsid w:val="63ADBEBB"/>
    <w:multiLevelType w:val="singleLevel"/>
    <w:tmpl w:val="63ADBEBB"/>
    <w:lvl w:ilvl="0" w:tentative="0">
      <w:start w:val="1"/>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YwZmVhZDBkMjkxOTY1YmNmZDI0NmRjOWJlMWJlMTUifQ=="/>
  </w:docVars>
  <w:rsids>
    <w:rsidRoot w:val="008E1B1A"/>
    <w:rsid w:val="000A577D"/>
    <w:rsid w:val="001835D5"/>
    <w:rsid w:val="002136AA"/>
    <w:rsid w:val="00282871"/>
    <w:rsid w:val="00294D25"/>
    <w:rsid w:val="002C6858"/>
    <w:rsid w:val="002E07B7"/>
    <w:rsid w:val="003201B8"/>
    <w:rsid w:val="00360A15"/>
    <w:rsid w:val="003B76B0"/>
    <w:rsid w:val="0045363F"/>
    <w:rsid w:val="00455891"/>
    <w:rsid w:val="004A1738"/>
    <w:rsid w:val="004F4BC5"/>
    <w:rsid w:val="00503913"/>
    <w:rsid w:val="00505868"/>
    <w:rsid w:val="00521583"/>
    <w:rsid w:val="00540B81"/>
    <w:rsid w:val="005643ED"/>
    <w:rsid w:val="00572145"/>
    <w:rsid w:val="005A7FB0"/>
    <w:rsid w:val="005E2228"/>
    <w:rsid w:val="0060067A"/>
    <w:rsid w:val="00622B04"/>
    <w:rsid w:val="00624849"/>
    <w:rsid w:val="00630940"/>
    <w:rsid w:val="00692C31"/>
    <w:rsid w:val="006B65C8"/>
    <w:rsid w:val="00702E79"/>
    <w:rsid w:val="00712FA5"/>
    <w:rsid w:val="007150E4"/>
    <w:rsid w:val="007977B1"/>
    <w:rsid w:val="007D1278"/>
    <w:rsid w:val="00823050"/>
    <w:rsid w:val="00885A37"/>
    <w:rsid w:val="008863DD"/>
    <w:rsid w:val="008E1B1A"/>
    <w:rsid w:val="009368D2"/>
    <w:rsid w:val="0098039F"/>
    <w:rsid w:val="009A1EE5"/>
    <w:rsid w:val="009D1318"/>
    <w:rsid w:val="00B21353"/>
    <w:rsid w:val="00C075E1"/>
    <w:rsid w:val="00C72B4D"/>
    <w:rsid w:val="00CD1A72"/>
    <w:rsid w:val="00D07A53"/>
    <w:rsid w:val="00D14013"/>
    <w:rsid w:val="00D14C5F"/>
    <w:rsid w:val="00D479C9"/>
    <w:rsid w:val="00D518BE"/>
    <w:rsid w:val="00DD5BE8"/>
    <w:rsid w:val="00DE55C1"/>
    <w:rsid w:val="00E8799B"/>
    <w:rsid w:val="00F1235E"/>
    <w:rsid w:val="00F4508D"/>
    <w:rsid w:val="00FF118A"/>
    <w:rsid w:val="01297614"/>
    <w:rsid w:val="01B37CBE"/>
    <w:rsid w:val="01C64670"/>
    <w:rsid w:val="01D54296"/>
    <w:rsid w:val="021C0D11"/>
    <w:rsid w:val="022F7235"/>
    <w:rsid w:val="02C15AFD"/>
    <w:rsid w:val="032A0806"/>
    <w:rsid w:val="03341508"/>
    <w:rsid w:val="038F40A6"/>
    <w:rsid w:val="039F29BE"/>
    <w:rsid w:val="05263D5E"/>
    <w:rsid w:val="05270D73"/>
    <w:rsid w:val="0583363D"/>
    <w:rsid w:val="05ED20D8"/>
    <w:rsid w:val="064C1606"/>
    <w:rsid w:val="064C3166"/>
    <w:rsid w:val="06EE71A6"/>
    <w:rsid w:val="07090A57"/>
    <w:rsid w:val="075F2A80"/>
    <w:rsid w:val="07BD2669"/>
    <w:rsid w:val="07BF5DCC"/>
    <w:rsid w:val="084F693F"/>
    <w:rsid w:val="08A058A3"/>
    <w:rsid w:val="090C5D77"/>
    <w:rsid w:val="095C3959"/>
    <w:rsid w:val="097A142F"/>
    <w:rsid w:val="0A0E6B20"/>
    <w:rsid w:val="0A441178"/>
    <w:rsid w:val="0A7E2EE0"/>
    <w:rsid w:val="0AD44BED"/>
    <w:rsid w:val="0AE23E04"/>
    <w:rsid w:val="0B03569C"/>
    <w:rsid w:val="0B782962"/>
    <w:rsid w:val="0B7F444C"/>
    <w:rsid w:val="0C2B3F70"/>
    <w:rsid w:val="0C483BDC"/>
    <w:rsid w:val="0C9C7A03"/>
    <w:rsid w:val="0D226FBD"/>
    <w:rsid w:val="0D7C5C14"/>
    <w:rsid w:val="0D842967"/>
    <w:rsid w:val="0DA57551"/>
    <w:rsid w:val="0E1C4057"/>
    <w:rsid w:val="0EAE490F"/>
    <w:rsid w:val="0F033F81"/>
    <w:rsid w:val="0F4720BE"/>
    <w:rsid w:val="100A3C35"/>
    <w:rsid w:val="1092040A"/>
    <w:rsid w:val="11151E71"/>
    <w:rsid w:val="11597526"/>
    <w:rsid w:val="11AB5795"/>
    <w:rsid w:val="120F1D6D"/>
    <w:rsid w:val="12D07E39"/>
    <w:rsid w:val="135562E7"/>
    <w:rsid w:val="13805AFB"/>
    <w:rsid w:val="13971361"/>
    <w:rsid w:val="139A60DE"/>
    <w:rsid w:val="13CD7EF6"/>
    <w:rsid w:val="141F7479"/>
    <w:rsid w:val="14402D32"/>
    <w:rsid w:val="144B7FB6"/>
    <w:rsid w:val="15047110"/>
    <w:rsid w:val="15402B24"/>
    <w:rsid w:val="1595044A"/>
    <w:rsid w:val="167D69FD"/>
    <w:rsid w:val="168E6009"/>
    <w:rsid w:val="16966CF2"/>
    <w:rsid w:val="16F80464"/>
    <w:rsid w:val="175B5DB3"/>
    <w:rsid w:val="18A11D36"/>
    <w:rsid w:val="18E661A1"/>
    <w:rsid w:val="1AC04635"/>
    <w:rsid w:val="1BFC72C5"/>
    <w:rsid w:val="1C4D660D"/>
    <w:rsid w:val="1C655A6F"/>
    <w:rsid w:val="1C77523D"/>
    <w:rsid w:val="1D40515D"/>
    <w:rsid w:val="1DA00F97"/>
    <w:rsid w:val="1DB16479"/>
    <w:rsid w:val="1DBC5CDB"/>
    <w:rsid w:val="1E6612D7"/>
    <w:rsid w:val="1E7F5EA0"/>
    <w:rsid w:val="1EA5629B"/>
    <w:rsid w:val="1ECF18CF"/>
    <w:rsid w:val="1F5C1BEC"/>
    <w:rsid w:val="1FC252C3"/>
    <w:rsid w:val="1FD60205"/>
    <w:rsid w:val="1FDE5D0B"/>
    <w:rsid w:val="1FEA7907"/>
    <w:rsid w:val="20627279"/>
    <w:rsid w:val="20CB61E9"/>
    <w:rsid w:val="21AB218F"/>
    <w:rsid w:val="225B0A68"/>
    <w:rsid w:val="238D6CD9"/>
    <w:rsid w:val="23994DE7"/>
    <w:rsid w:val="23A14E1E"/>
    <w:rsid w:val="23EA3AFB"/>
    <w:rsid w:val="242E5ACC"/>
    <w:rsid w:val="244E5C56"/>
    <w:rsid w:val="2594557F"/>
    <w:rsid w:val="26114D5F"/>
    <w:rsid w:val="26431EC0"/>
    <w:rsid w:val="265C64DF"/>
    <w:rsid w:val="26691182"/>
    <w:rsid w:val="26890D38"/>
    <w:rsid w:val="269B36D7"/>
    <w:rsid w:val="26A44783"/>
    <w:rsid w:val="26CE4E19"/>
    <w:rsid w:val="27632193"/>
    <w:rsid w:val="27D321DE"/>
    <w:rsid w:val="28574DFE"/>
    <w:rsid w:val="285B7E9A"/>
    <w:rsid w:val="28B70DDD"/>
    <w:rsid w:val="292D03D4"/>
    <w:rsid w:val="293A31A9"/>
    <w:rsid w:val="2A0B38C7"/>
    <w:rsid w:val="2B866989"/>
    <w:rsid w:val="2B95206D"/>
    <w:rsid w:val="2BA809A8"/>
    <w:rsid w:val="2BD5ACEE"/>
    <w:rsid w:val="2C142A24"/>
    <w:rsid w:val="2C433DB4"/>
    <w:rsid w:val="2CB51BD1"/>
    <w:rsid w:val="2D312CE6"/>
    <w:rsid w:val="2D3A4081"/>
    <w:rsid w:val="2D3D37DE"/>
    <w:rsid w:val="2D833131"/>
    <w:rsid w:val="2D8C5E41"/>
    <w:rsid w:val="2DF47218"/>
    <w:rsid w:val="2E9A1B58"/>
    <w:rsid w:val="2EE464C0"/>
    <w:rsid w:val="2EEF2884"/>
    <w:rsid w:val="2FA40D7A"/>
    <w:rsid w:val="307227D3"/>
    <w:rsid w:val="30831B11"/>
    <w:rsid w:val="30BD7411"/>
    <w:rsid w:val="32D00796"/>
    <w:rsid w:val="33001258"/>
    <w:rsid w:val="331E67AD"/>
    <w:rsid w:val="34084700"/>
    <w:rsid w:val="340F45F5"/>
    <w:rsid w:val="344C7373"/>
    <w:rsid w:val="34682E0D"/>
    <w:rsid w:val="350573F5"/>
    <w:rsid w:val="35A15017"/>
    <w:rsid w:val="35A55947"/>
    <w:rsid w:val="360529BC"/>
    <w:rsid w:val="37516D40"/>
    <w:rsid w:val="37AF2989"/>
    <w:rsid w:val="38415C72"/>
    <w:rsid w:val="38777A63"/>
    <w:rsid w:val="38F84149"/>
    <w:rsid w:val="39316830"/>
    <w:rsid w:val="394F4EE8"/>
    <w:rsid w:val="395A75FD"/>
    <w:rsid w:val="39B57829"/>
    <w:rsid w:val="3BB4463C"/>
    <w:rsid w:val="3C1C44F9"/>
    <w:rsid w:val="3C706E4E"/>
    <w:rsid w:val="3D055C95"/>
    <w:rsid w:val="3D0D094C"/>
    <w:rsid w:val="3D6B042E"/>
    <w:rsid w:val="3DC74797"/>
    <w:rsid w:val="3DF03E63"/>
    <w:rsid w:val="3E154722"/>
    <w:rsid w:val="3E9919D9"/>
    <w:rsid w:val="3ECB4D3F"/>
    <w:rsid w:val="3FBF14DC"/>
    <w:rsid w:val="412B1EB1"/>
    <w:rsid w:val="41572116"/>
    <w:rsid w:val="41F77441"/>
    <w:rsid w:val="422B3169"/>
    <w:rsid w:val="42406668"/>
    <w:rsid w:val="425409C9"/>
    <w:rsid w:val="42587859"/>
    <w:rsid w:val="42A97790"/>
    <w:rsid w:val="42BF708C"/>
    <w:rsid w:val="43B60BFD"/>
    <w:rsid w:val="448443C2"/>
    <w:rsid w:val="44DB1060"/>
    <w:rsid w:val="44EE66F4"/>
    <w:rsid w:val="45363A30"/>
    <w:rsid w:val="45904C96"/>
    <w:rsid w:val="4592427F"/>
    <w:rsid w:val="45DF2130"/>
    <w:rsid w:val="460A3E82"/>
    <w:rsid w:val="468523B2"/>
    <w:rsid w:val="47003338"/>
    <w:rsid w:val="472E6CB4"/>
    <w:rsid w:val="473E447A"/>
    <w:rsid w:val="474B15E1"/>
    <w:rsid w:val="48416F94"/>
    <w:rsid w:val="484A4597"/>
    <w:rsid w:val="486C3F73"/>
    <w:rsid w:val="48747703"/>
    <w:rsid w:val="487B716B"/>
    <w:rsid w:val="48C25186"/>
    <w:rsid w:val="49560542"/>
    <w:rsid w:val="49CB6A63"/>
    <w:rsid w:val="49E97039"/>
    <w:rsid w:val="4A0D7AC2"/>
    <w:rsid w:val="4A2B1B5C"/>
    <w:rsid w:val="4A786FF0"/>
    <w:rsid w:val="4A9777AC"/>
    <w:rsid w:val="4AAB3CBA"/>
    <w:rsid w:val="4ABB3AB9"/>
    <w:rsid w:val="4B196D97"/>
    <w:rsid w:val="4BA75C73"/>
    <w:rsid w:val="4BD00C07"/>
    <w:rsid w:val="4C60218B"/>
    <w:rsid w:val="4C6E4151"/>
    <w:rsid w:val="4C781D2F"/>
    <w:rsid w:val="4C966F48"/>
    <w:rsid w:val="4D5C3DCA"/>
    <w:rsid w:val="4DAC66F5"/>
    <w:rsid w:val="4E370030"/>
    <w:rsid w:val="4E812963"/>
    <w:rsid w:val="4ED32E6E"/>
    <w:rsid w:val="4FA3781A"/>
    <w:rsid w:val="4FED5887"/>
    <w:rsid w:val="50702710"/>
    <w:rsid w:val="50B6028D"/>
    <w:rsid w:val="51364F75"/>
    <w:rsid w:val="51D204C1"/>
    <w:rsid w:val="523E67E5"/>
    <w:rsid w:val="534517AA"/>
    <w:rsid w:val="53A03065"/>
    <w:rsid w:val="54076DFD"/>
    <w:rsid w:val="541A3331"/>
    <w:rsid w:val="54D93970"/>
    <w:rsid w:val="54F16F78"/>
    <w:rsid w:val="555F5116"/>
    <w:rsid w:val="55843881"/>
    <w:rsid w:val="558B64E3"/>
    <w:rsid w:val="56162C2D"/>
    <w:rsid w:val="571D09ED"/>
    <w:rsid w:val="57317F4B"/>
    <w:rsid w:val="575042D7"/>
    <w:rsid w:val="57575E29"/>
    <w:rsid w:val="578529FC"/>
    <w:rsid w:val="578D6527"/>
    <w:rsid w:val="57DE1DA9"/>
    <w:rsid w:val="589F7754"/>
    <w:rsid w:val="59C42912"/>
    <w:rsid w:val="59D72C6E"/>
    <w:rsid w:val="59F67210"/>
    <w:rsid w:val="5A221706"/>
    <w:rsid w:val="5A3459E7"/>
    <w:rsid w:val="5A785EF7"/>
    <w:rsid w:val="5AC75963"/>
    <w:rsid w:val="5B3512F6"/>
    <w:rsid w:val="5B8A4052"/>
    <w:rsid w:val="5BCB5511"/>
    <w:rsid w:val="5BF50FE2"/>
    <w:rsid w:val="5C804F15"/>
    <w:rsid w:val="5CA71379"/>
    <w:rsid w:val="5CAA66BF"/>
    <w:rsid w:val="5CC7669C"/>
    <w:rsid w:val="5CF947FE"/>
    <w:rsid w:val="5D252840"/>
    <w:rsid w:val="5D451758"/>
    <w:rsid w:val="5F29222B"/>
    <w:rsid w:val="5F30537B"/>
    <w:rsid w:val="5F9E6F58"/>
    <w:rsid w:val="5FA0536D"/>
    <w:rsid w:val="5FA10938"/>
    <w:rsid w:val="5FB86B27"/>
    <w:rsid w:val="5FD646EF"/>
    <w:rsid w:val="60630448"/>
    <w:rsid w:val="608001F2"/>
    <w:rsid w:val="61190E99"/>
    <w:rsid w:val="6138296A"/>
    <w:rsid w:val="614A119A"/>
    <w:rsid w:val="614C66FC"/>
    <w:rsid w:val="61634C54"/>
    <w:rsid w:val="61A2632D"/>
    <w:rsid w:val="621019BC"/>
    <w:rsid w:val="62176AD6"/>
    <w:rsid w:val="62796B9B"/>
    <w:rsid w:val="628D315C"/>
    <w:rsid w:val="63114FCB"/>
    <w:rsid w:val="632765C2"/>
    <w:rsid w:val="646D73FB"/>
    <w:rsid w:val="64E2353D"/>
    <w:rsid w:val="66094092"/>
    <w:rsid w:val="66BE79C4"/>
    <w:rsid w:val="66BE7FB9"/>
    <w:rsid w:val="66D04ABC"/>
    <w:rsid w:val="67A80A83"/>
    <w:rsid w:val="67C424C8"/>
    <w:rsid w:val="685B7C26"/>
    <w:rsid w:val="69252843"/>
    <w:rsid w:val="695C168D"/>
    <w:rsid w:val="69804C44"/>
    <w:rsid w:val="699152EE"/>
    <w:rsid w:val="69E66354"/>
    <w:rsid w:val="69FB09DE"/>
    <w:rsid w:val="6A4D0D4F"/>
    <w:rsid w:val="6A640FF3"/>
    <w:rsid w:val="6A9547D5"/>
    <w:rsid w:val="6B615BD8"/>
    <w:rsid w:val="6BBE317F"/>
    <w:rsid w:val="6C3E5B75"/>
    <w:rsid w:val="6CDA116D"/>
    <w:rsid w:val="6CF56640"/>
    <w:rsid w:val="6D1F52F7"/>
    <w:rsid w:val="6D8C6C92"/>
    <w:rsid w:val="6F3C4559"/>
    <w:rsid w:val="6FAB2FE1"/>
    <w:rsid w:val="6FD72047"/>
    <w:rsid w:val="70064EED"/>
    <w:rsid w:val="707824D5"/>
    <w:rsid w:val="70A811E0"/>
    <w:rsid w:val="70AB4EE8"/>
    <w:rsid w:val="7156009D"/>
    <w:rsid w:val="71B70F97"/>
    <w:rsid w:val="72496680"/>
    <w:rsid w:val="737B219C"/>
    <w:rsid w:val="73DC1935"/>
    <w:rsid w:val="73F51A16"/>
    <w:rsid w:val="740D45EE"/>
    <w:rsid w:val="745800CD"/>
    <w:rsid w:val="74C33B60"/>
    <w:rsid w:val="75A3033B"/>
    <w:rsid w:val="760A7DC0"/>
    <w:rsid w:val="76231834"/>
    <w:rsid w:val="76A53C23"/>
    <w:rsid w:val="77C81414"/>
    <w:rsid w:val="77E6278B"/>
    <w:rsid w:val="78216C39"/>
    <w:rsid w:val="78F8137C"/>
    <w:rsid w:val="794A4626"/>
    <w:rsid w:val="79A56EF1"/>
    <w:rsid w:val="79D751C0"/>
    <w:rsid w:val="7A446473"/>
    <w:rsid w:val="7A5D61A7"/>
    <w:rsid w:val="7B03072B"/>
    <w:rsid w:val="7B3672D0"/>
    <w:rsid w:val="7BC55AC4"/>
    <w:rsid w:val="7BFA0A7A"/>
    <w:rsid w:val="7CD24BBF"/>
    <w:rsid w:val="7D135321"/>
    <w:rsid w:val="7D50271C"/>
    <w:rsid w:val="7E110441"/>
    <w:rsid w:val="7E4F6771"/>
    <w:rsid w:val="7E686A97"/>
    <w:rsid w:val="7EC92CC0"/>
    <w:rsid w:val="7F4B2B5B"/>
    <w:rsid w:val="BFCDF334"/>
    <w:rsid w:val="C57B0852"/>
    <w:rsid w:val="FD7B73EA"/>
    <w:rsid w:val="FF6568E1"/>
    <w:rsid w:val="FFBB8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Calibri Light" w:hAnsi="Calibri Light" w:cs="Times New Roman"/>
      <w:b/>
      <w:bCs/>
      <w:sz w:val="32"/>
      <w:szCs w:val="32"/>
    </w:rPr>
  </w:style>
  <w:style w:type="paragraph" w:styleId="7">
    <w:name w:val="heading 3"/>
    <w:basedOn w:val="1"/>
    <w:next w:val="1"/>
    <w:autoRedefine/>
    <w:qFormat/>
    <w:uiPriority w:val="0"/>
    <w:pPr>
      <w:spacing w:before="100" w:beforeAutospacing="1" w:after="100" w:afterAutospacing="1"/>
      <w:outlineLvl w:val="2"/>
    </w:pPr>
    <w:rPr>
      <w:rFonts w:ascii="宋体" w:hAnsi="Times New Roman" w:eastAsia="宋体" w:cs="Times New Roman"/>
      <w:b/>
      <w:sz w:val="27"/>
      <w:szCs w:val="21"/>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left="0" w:leftChars="0" w:firstLine="200" w:firstLineChars="200"/>
    </w:pPr>
    <w:rPr>
      <w:rFonts w:ascii="仿宋_GB2312" w:eastAsia="仿宋_GB2312" w:cs="仿宋_GB2312"/>
      <w:sz w:val="32"/>
      <w:szCs w:val="32"/>
    </w:rPr>
  </w:style>
  <w:style w:type="paragraph" w:styleId="3">
    <w:name w:val="Body Text Indent"/>
    <w:basedOn w:val="1"/>
    <w:next w:val="4"/>
    <w:autoRedefine/>
    <w:qFormat/>
    <w:uiPriority w:val="0"/>
    <w:pPr>
      <w:spacing w:after="120"/>
      <w:ind w:left="200" w:leftChars="200"/>
    </w:pPr>
  </w:style>
  <w:style w:type="paragraph" w:styleId="4">
    <w:name w:val="Body Text Indent 2"/>
    <w:basedOn w:val="1"/>
    <w:autoRedefine/>
    <w:qFormat/>
    <w:uiPriority w:val="0"/>
    <w:pPr>
      <w:ind w:firstLine="630"/>
    </w:pPr>
    <w:rPr>
      <w:b/>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toc 3"/>
    <w:basedOn w:val="1"/>
    <w:next w:val="1"/>
    <w:autoRedefine/>
    <w:qFormat/>
    <w:uiPriority w:val="0"/>
    <w:pPr>
      <w:ind w:left="840" w:leftChars="4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tabs>
        <w:tab w:val="center" w:pos="4153"/>
        <w:tab w:val="right" w:pos="8306"/>
      </w:tabs>
      <w:snapToGrid w:val="0"/>
    </w:pPr>
    <w:rPr>
      <w:sz w:val="18"/>
    </w:rPr>
  </w:style>
  <w:style w:type="paragraph" w:styleId="13">
    <w:name w:val="toc 1"/>
    <w:basedOn w:val="1"/>
    <w:next w:val="1"/>
    <w:autoRedefine/>
    <w:qFormat/>
    <w:uiPriority w:val="39"/>
  </w:style>
  <w:style w:type="paragraph" w:styleId="14">
    <w:name w:val="table of figures"/>
    <w:basedOn w:val="1"/>
    <w:next w:val="1"/>
    <w:autoRedefine/>
    <w:qFormat/>
    <w:uiPriority w:val="0"/>
    <w:pPr>
      <w:ind w:leftChars="200" w:hanging="200" w:hangingChars="200"/>
    </w:pPr>
  </w:style>
  <w:style w:type="paragraph" w:styleId="15">
    <w:name w:val="toc 2"/>
    <w:basedOn w:val="1"/>
    <w:next w:val="1"/>
    <w:autoRedefine/>
    <w:qFormat/>
    <w:uiPriority w:val="39"/>
    <w:pPr>
      <w:ind w:left="420" w:leftChars="200"/>
    </w:p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Title"/>
    <w:next w:val="12"/>
    <w:autoRedefine/>
    <w:qFormat/>
    <w:uiPriority w:val="0"/>
    <w:pPr>
      <w:spacing w:before="100" w:beforeLines="100" w:after="100" w:afterLines="100" w:line="360" w:lineRule="auto"/>
      <w:ind w:firstLine="200" w:firstLineChars="200"/>
      <w:outlineLvl w:val="0"/>
    </w:pPr>
    <w:rPr>
      <w:rFonts w:ascii="宋体" w:hAnsi="宋体" w:eastAsia="仿宋" w:cs="宋体"/>
      <w:b/>
      <w:bCs/>
      <w:sz w:val="30"/>
      <w:szCs w:val="48"/>
      <w:lang w:val="en-US" w:eastAsia="zh-CN" w:bidi="ar-SA"/>
    </w:rPr>
  </w:style>
  <w:style w:type="table" w:styleId="20">
    <w:name w:val="Table Grid"/>
    <w:basedOn w:val="19"/>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FollowedHyperlink"/>
    <w:basedOn w:val="21"/>
    <w:autoRedefine/>
    <w:qFormat/>
    <w:uiPriority w:val="0"/>
    <w:rPr>
      <w:color w:val="000000"/>
      <w:u w:val="none"/>
    </w:rPr>
  </w:style>
  <w:style w:type="character" w:styleId="25">
    <w:name w:val="Emphasis"/>
    <w:basedOn w:val="21"/>
    <w:autoRedefine/>
    <w:qFormat/>
    <w:uiPriority w:val="0"/>
    <w:rPr>
      <w:i/>
    </w:rPr>
  </w:style>
  <w:style w:type="character" w:styleId="26">
    <w:name w:val="Hyperlink"/>
    <w:basedOn w:val="21"/>
    <w:autoRedefine/>
    <w:qFormat/>
    <w:uiPriority w:val="0"/>
    <w:rPr>
      <w:color w:val="000000"/>
      <w:u w:val="none"/>
    </w:rPr>
  </w:style>
  <w:style w:type="character" w:styleId="27">
    <w:name w:val="HTML Code"/>
    <w:basedOn w:val="21"/>
    <w:autoRedefine/>
    <w:qFormat/>
    <w:uiPriority w:val="0"/>
    <w:rPr>
      <w:rFonts w:ascii="Courier New" w:hAnsi="Courier New"/>
      <w:sz w:val="20"/>
    </w:rPr>
  </w:style>
  <w:style w:type="paragraph" w:customStyle="1" w:styleId="28">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9">
    <w:name w:val="列出段落1"/>
    <w:basedOn w:val="1"/>
    <w:autoRedefine/>
    <w:qFormat/>
    <w:uiPriority w:val="0"/>
    <w:pPr>
      <w:ind w:firstLine="200" w:firstLineChars="200"/>
    </w:pPr>
  </w:style>
  <w:style w:type="paragraph" w:customStyle="1" w:styleId="30">
    <w:name w:val="列出段落2"/>
    <w:basedOn w:val="1"/>
    <w:autoRedefine/>
    <w:qFormat/>
    <w:uiPriority w:val="0"/>
    <w:pPr>
      <w:ind w:firstLine="200" w:firstLineChars="200"/>
    </w:pPr>
  </w:style>
  <w:style w:type="character" w:customStyle="1" w:styleId="31">
    <w:name w:val="active4"/>
    <w:basedOn w:val="21"/>
    <w:autoRedefine/>
    <w:qFormat/>
    <w:uiPriority w:val="0"/>
    <w:rPr>
      <w:color w:val="333333"/>
    </w:rPr>
  </w:style>
  <w:style w:type="character" w:customStyle="1" w:styleId="32">
    <w:name w:val="calendar-head__prev-range-btn"/>
    <w:basedOn w:val="21"/>
    <w:autoRedefine/>
    <w:qFormat/>
    <w:uiPriority w:val="0"/>
    <w:rPr>
      <w:vanish/>
    </w:rPr>
  </w:style>
  <w:style w:type="character" w:customStyle="1" w:styleId="33">
    <w:name w:val="calendar-head__text-display"/>
    <w:basedOn w:val="21"/>
    <w:autoRedefine/>
    <w:qFormat/>
    <w:uiPriority w:val="0"/>
    <w:rPr>
      <w:vanish/>
    </w:rPr>
  </w:style>
  <w:style w:type="character" w:customStyle="1" w:styleId="34">
    <w:name w:val="calendar-head__next-month-btn"/>
    <w:basedOn w:val="21"/>
    <w:autoRedefine/>
    <w:qFormat/>
    <w:uiPriority w:val="0"/>
  </w:style>
  <w:style w:type="character" w:customStyle="1" w:styleId="35">
    <w:name w:val="calendar-head__next-range-btn"/>
    <w:basedOn w:val="21"/>
    <w:autoRedefine/>
    <w:qFormat/>
    <w:uiPriority w:val="0"/>
    <w:rPr>
      <w:vanish/>
    </w:rPr>
  </w:style>
  <w:style w:type="character" w:customStyle="1" w:styleId="36">
    <w:name w:val="hover2"/>
    <w:basedOn w:val="21"/>
    <w:autoRedefine/>
    <w:qFormat/>
    <w:uiPriority w:val="0"/>
    <w:rPr>
      <w:color w:val="2F6EA2"/>
    </w:rPr>
  </w:style>
  <w:style w:type="character" w:customStyle="1" w:styleId="37">
    <w:name w:val="calendar-head__year-range"/>
    <w:basedOn w:val="21"/>
    <w:autoRedefine/>
    <w:qFormat/>
    <w:uiPriority w:val="0"/>
    <w:rPr>
      <w:vanish/>
    </w:rPr>
  </w:style>
  <w:style w:type="character" w:customStyle="1" w:styleId="38">
    <w:name w:val="calendar-head__next-year-btn"/>
    <w:basedOn w:val="21"/>
    <w:autoRedefine/>
    <w:qFormat/>
    <w:uiPriority w:val="0"/>
  </w:style>
  <w:style w:type="character" w:customStyle="1" w:styleId="39">
    <w:name w:val="font11"/>
    <w:basedOn w:val="21"/>
    <w:autoRedefine/>
    <w:qFormat/>
    <w:uiPriority w:val="0"/>
    <w:rPr>
      <w:rFonts w:hint="eastAsia" w:ascii="宋体" w:hAnsi="宋体" w:eastAsia="宋体" w:cs="宋体"/>
      <w:b/>
      <w:color w:val="000001"/>
      <w:sz w:val="22"/>
      <w:szCs w:val="22"/>
    </w:rPr>
  </w:style>
  <w:style w:type="character" w:customStyle="1" w:styleId="40">
    <w:name w:val="font21"/>
    <w:basedOn w:val="21"/>
    <w:autoRedefine/>
    <w:qFormat/>
    <w:uiPriority w:val="0"/>
    <w:rPr>
      <w:rFonts w:hint="eastAsia" w:ascii="宋体" w:hAnsi="宋体" w:eastAsia="宋体" w:cs="宋体"/>
      <w:color w:val="000001"/>
      <w:sz w:val="22"/>
      <w:szCs w:val="22"/>
    </w:rPr>
  </w:style>
  <w:style w:type="paragraph" w:customStyle="1" w:styleId="41">
    <w:name w:val="首行缩进"/>
    <w:basedOn w:val="1"/>
    <w:autoRedefine/>
    <w:qFormat/>
    <w:uiPriority w:val="0"/>
    <w:pPr>
      <w:ind w:firstLine="420"/>
    </w:pPr>
  </w:style>
  <w:style w:type="character" w:customStyle="1" w:styleId="42">
    <w:name w:val="font31"/>
    <w:basedOn w:val="21"/>
    <w:autoRedefine/>
    <w:qFormat/>
    <w:uiPriority w:val="0"/>
    <w:rPr>
      <w:rFonts w:hint="eastAsia" w:ascii="宋体" w:hAnsi="宋体" w:eastAsia="宋体" w:cs="宋体"/>
      <w:color w:val="000000"/>
      <w:sz w:val="21"/>
      <w:szCs w:val="21"/>
      <w:u w:val="none"/>
    </w:rPr>
  </w:style>
  <w:style w:type="character" w:customStyle="1" w:styleId="43">
    <w:name w:val="font01"/>
    <w:basedOn w:val="21"/>
    <w:autoRedefine/>
    <w:qFormat/>
    <w:uiPriority w:val="0"/>
    <w:rPr>
      <w:rFonts w:hint="eastAsia" w:ascii="宋体" w:hAnsi="宋体" w:eastAsia="宋体" w:cs="宋体"/>
      <w:color w:val="000000"/>
      <w:sz w:val="22"/>
      <w:szCs w:val="22"/>
      <w:u w:val="none"/>
    </w:rPr>
  </w:style>
  <w:style w:type="character" w:customStyle="1" w:styleId="44">
    <w:name w:val="font61"/>
    <w:basedOn w:val="21"/>
    <w:autoRedefine/>
    <w:qFormat/>
    <w:uiPriority w:val="0"/>
    <w:rPr>
      <w:rFonts w:hint="eastAsia" w:ascii="宋体" w:hAnsi="宋体" w:eastAsia="宋体" w:cs="宋体"/>
      <w:color w:val="000000"/>
      <w:sz w:val="21"/>
      <w:szCs w:val="21"/>
      <w:u w:val="none"/>
    </w:rPr>
  </w:style>
  <w:style w:type="character" w:customStyle="1" w:styleId="45">
    <w:name w:val="font71"/>
    <w:basedOn w:val="21"/>
    <w:autoRedefine/>
    <w:qFormat/>
    <w:uiPriority w:val="0"/>
    <w:rPr>
      <w:rFonts w:hint="eastAsia" w:ascii="宋体" w:hAnsi="宋体" w:eastAsia="宋体" w:cs="宋体"/>
      <w:color w:val="000000"/>
      <w:sz w:val="22"/>
      <w:szCs w:val="22"/>
      <w:u w:val="none"/>
    </w:rPr>
  </w:style>
  <w:style w:type="paragraph" w:customStyle="1" w:styleId="46">
    <w:name w:val="样式1"/>
    <w:basedOn w:val="13"/>
    <w:autoRedefine/>
    <w:qFormat/>
    <w:uiPriority w:val="0"/>
    <w:pPr>
      <w:jc w:val="left"/>
    </w:pPr>
    <w:rPr>
      <w:rFonts w:hint="eastAsia" w:ascii="仿宋_GB2312" w:hAnsi="仿宋_GB2312" w:eastAsia="仿宋_GB2312" w:cs="仿宋_GB2312"/>
      <w:sz w:val="32"/>
      <w:szCs w:val="32"/>
    </w:rPr>
  </w:style>
  <w:style w:type="paragraph" w:customStyle="1" w:styleId="47">
    <w:name w:val="TOC 标题1"/>
    <w:basedOn w:val="5"/>
    <w:next w:val="1"/>
    <w:autoRedefine/>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color w:val="376092" w:themeColor="accent1" w:themeShade="BF"/>
      <w:kern w:val="0"/>
      <w:szCs w:val="32"/>
    </w:rPr>
  </w:style>
  <w:style w:type="paragraph" w:customStyle="1" w:styleId="48">
    <w:name w:val="WPSOffice手动目录 1"/>
    <w:autoRedefine/>
    <w:qFormat/>
    <w:uiPriority w:val="0"/>
    <w:pPr>
      <w:ind w:leftChars="0"/>
    </w:pPr>
    <w:rPr>
      <w:rFonts w:ascii="Times New Roman" w:hAnsi="Times New Roman" w:eastAsia="宋体" w:cs="Times New Roman"/>
      <w:sz w:val="20"/>
      <w:szCs w:val="20"/>
    </w:r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WPSOffice手动目录 3"/>
    <w:autoRedefine/>
    <w:qFormat/>
    <w:uiPriority w:val="0"/>
    <w:pPr>
      <w:ind w:leftChars="400"/>
    </w:pPr>
    <w:rPr>
      <w:rFonts w:ascii="Times New Roman" w:hAnsi="Times New Roman" w:eastAsia="宋体" w:cs="Times New Roman"/>
      <w:sz w:val="20"/>
      <w:szCs w:val="20"/>
    </w:rPr>
  </w:style>
  <w:style w:type="paragraph" w:customStyle="1" w:styleId="51">
    <w:name w:val="样式2"/>
    <w:basedOn w:val="1"/>
    <w:autoRedefine/>
    <w:qFormat/>
    <w:uiPriority w:val="0"/>
  </w:style>
  <w:style w:type="paragraph" w:customStyle="1" w:styleId="52">
    <w:name w:val="刘塬琪"/>
    <w:basedOn w:val="1"/>
    <w:autoRedefine/>
    <w:qFormat/>
    <w:uiPriority w:val="0"/>
    <w:pPr>
      <w:ind w:firstLine="883" w:firstLineChars="200"/>
    </w:pPr>
    <w:rPr>
      <w:rFonts w:eastAsia="楷体"/>
      <w:sz w:val="32"/>
    </w:rPr>
  </w:style>
  <w:style w:type="character" w:customStyle="1" w:styleId="53">
    <w:name w:val="font51"/>
    <w:basedOn w:val="21"/>
    <w:autoRedefine/>
    <w:qFormat/>
    <w:uiPriority w:val="0"/>
    <w:rPr>
      <w:rFonts w:hint="eastAsia" w:ascii="宋体" w:hAnsi="宋体" w:eastAsia="宋体" w:cs="宋体"/>
      <w:b/>
      <w:color w:val="000000"/>
      <w:sz w:val="24"/>
      <w:szCs w:val="24"/>
      <w:u w:val="none"/>
    </w:rPr>
  </w:style>
  <w:style w:type="paragraph" w:customStyle="1" w:styleId="54">
    <w:name w:val="Body Text First Indent 21"/>
    <w:basedOn w:val="1"/>
    <w:autoRedefine/>
    <w:qFormat/>
    <w:uiPriority w:val="99"/>
    <w:pPr>
      <w:ind w:left="200" w:leftChars="200" w:firstLine="420"/>
    </w:pPr>
    <w:rPr>
      <w:rFonts w:ascii="仿宋_GB2312" w:hAnsi="等线"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15258</Words>
  <Characters>15377</Characters>
  <Lines>69</Lines>
  <Paragraphs>19</Paragraphs>
  <TotalTime>1</TotalTime>
  <ScaleCrop>false</ScaleCrop>
  <LinksUpToDate>false</LinksUpToDate>
  <CharactersWithSpaces>15481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2020-02-24T18:24:00Z</dcterms:created>
  <dc:creator>LENOVO</dc:creator>
  <cp:lastModifiedBy>Blinddate</cp:lastModifiedBy>
  <cp:lastPrinted>2022-12-12T10:54:00Z</cp:lastPrinted>
  <dcterms:modified xsi:type="dcterms:W3CDTF">2024-04-29T01:46:08Z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319B04879304442EAD340AE49962AFFA</vt:lpwstr>
  </property>
</Properties>
</file>