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52"/>
          <w:szCs w:val="52"/>
        </w:rPr>
      </w:pPr>
    </w:p>
    <w:p>
      <w:pPr>
        <w:jc w:val="center"/>
        <w:rPr>
          <w:rFonts w:ascii="方正小标宋简体" w:hAnsi="黑体" w:eastAsia="方正小标宋简体"/>
          <w:sz w:val="52"/>
          <w:szCs w:val="52"/>
        </w:rPr>
      </w:pPr>
      <w:r>
        <w:rPr>
          <w:rFonts w:hint="eastAsia" w:ascii="方正小标宋简体" w:hAnsi="黑体" w:eastAsia="方正小标宋简体"/>
          <w:sz w:val="52"/>
          <w:szCs w:val="52"/>
        </w:rPr>
        <w:t>贵阳市“十四五”就业和社会保障</w:t>
      </w:r>
    </w:p>
    <w:p>
      <w:pPr>
        <w:jc w:val="center"/>
        <w:rPr>
          <w:rFonts w:ascii="方正小标宋简体" w:hAnsi="黑体" w:eastAsia="方正小标宋简体"/>
          <w:sz w:val="52"/>
          <w:szCs w:val="52"/>
        </w:rPr>
      </w:pPr>
      <w:r>
        <w:rPr>
          <w:rFonts w:hint="eastAsia" w:ascii="方正小标宋简体" w:hAnsi="黑体" w:eastAsia="方正小标宋简体"/>
          <w:sz w:val="52"/>
          <w:szCs w:val="52"/>
        </w:rPr>
        <w:t>事业发展专项规划</w:t>
      </w:r>
    </w:p>
    <w:p>
      <w:pPr>
        <w:jc w:val="center"/>
        <w:rPr>
          <w:rFonts w:ascii="方正小标宋简体" w:hAnsi="宋体" w:eastAsia="方正小标宋简体"/>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方正小标宋简体" w:hAnsi="宋体" w:eastAsia="方正小标宋简体"/>
          <w:sz w:val="32"/>
          <w:szCs w:val="32"/>
        </w:rPr>
      </w:pPr>
      <w:r>
        <w:rPr>
          <w:rFonts w:hint="eastAsia" w:ascii="方正小标宋简体" w:hAnsi="宋体" w:eastAsia="方正小标宋简体"/>
          <w:sz w:val="32"/>
          <w:szCs w:val="32"/>
        </w:rPr>
        <w:t>贵阳市人力资源和社会保障局</w:t>
      </w:r>
    </w:p>
    <w:p>
      <w:pPr>
        <w:jc w:val="center"/>
        <w:rPr>
          <w:rFonts w:ascii="方正小标宋简体" w:hAnsi="宋体" w:eastAsia="方正小标宋简体"/>
          <w:sz w:val="32"/>
          <w:szCs w:val="32"/>
        </w:rPr>
        <w:sectPr>
          <w:footerReference r:id="rId3" w:type="default"/>
          <w:pgSz w:w="11906" w:h="16838"/>
          <w:pgMar w:top="1440" w:right="1800" w:bottom="1440" w:left="1800" w:header="851" w:footer="992" w:gutter="0"/>
          <w:pgNumType w:start="1"/>
          <w:cols w:space="425" w:num="1"/>
          <w:docGrid w:type="lines" w:linePitch="312" w:charSpace="0"/>
        </w:sectPr>
      </w:pPr>
      <w:r>
        <w:rPr>
          <w:rFonts w:hint="eastAsia" w:ascii="方正小标宋简体" w:hAnsi="宋体" w:eastAsia="方正小标宋简体"/>
          <w:sz w:val="32"/>
          <w:szCs w:val="32"/>
        </w:rPr>
        <w:t>2021年</w:t>
      </w:r>
      <w:r>
        <w:rPr>
          <w:rFonts w:hint="eastAsia" w:ascii="方正小标宋简体" w:hAnsi="宋体" w:eastAsia="方正小标宋简体"/>
          <w:sz w:val="32"/>
          <w:szCs w:val="32"/>
          <w:lang w:val="en-US" w:eastAsia="zh-CN"/>
        </w:rPr>
        <w:t>7</w:t>
      </w:r>
      <w:r>
        <w:rPr>
          <w:rFonts w:hint="eastAsia" w:ascii="方正小标宋简体" w:hAnsi="宋体" w:eastAsia="方正小标宋简体"/>
          <w:sz w:val="32"/>
          <w:szCs w:val="32"/>
        </w:rPr>
        <w:t>月</w:t>
      </w:r>
    </w:p>
    <w:p>
      <w:pPr>
        <w:pStyle w:val="11"/>
        <w:tabs>
          <w:tab w:val="clear" w:pos="8608"/>
        </w:tabs>
        <w:jc w:val="center"/>
        <w:rPr>
          <w:rFonts w:ascii="方正小标宋简体" w:hAnsi="微软雅黑" w:eastAsia="方正小标宋简体"/>
          <w:bCs/>
          <w:sz w:val="44"/>
          <w:szCs w:val="44"/>
        </w:rPr>
      </w:pPr>
      <w:r>
        <w:rPr>
          <w:rFonts w:hint="eastAsia" w:ascii="方正小标宋简体" w:hAnsi="微软雅黑" w:eastAsia="方正小标宋简体"/>
          <w:bCs/>
          <w:sz w:val="44"/>
          <w:szCs w:val="44"/>
        </w:rPr>
        <w:t>目 录</w:t>
      </w:r>
    </w:p>
    <w:p>
      <w:pPr>
        <w:pStyle w:val="9"/>
        <w:tabs>
          <w:tab w:val="right" w:leader="dot" w:pos="8845"/>
        </w:tabs>
        <w:rPr>
          <w:rFonts w:ascii="仿宋_GB2312" w:hAnsi="仿宋" w:eastAsia="仿宋_GB2312" w:cs="仿宋"/>
          <w:sz w:val="32"/>
          <w:szCs w:val="32"/>
        </w:rPr>
      </w:pPr>
      <w:r>
        <w:rPr>
          <w:rFonts w:hint="eastAsia" w:ascii="仿宋_GB2312" w:hAnsi="仿宋" w:eastAsia="仿宋_GB2312" w:cs="仿宋"/>
          <w:b/>
          <w:bCs/>
          <w:color w:val="3D3D3D"/>
          <w:sz w:val="32"/>
          <w:szCs w:val="32"/>
          <w:shd w:val="clear" w:color="auto" w:fill="FFFFFF"/>
        </w:rPr>
        <w:fldChar w:fldCharType="begin"/>
      </w:r>
      <w:r>
        <w:rPr>
          <w:rFonts w:hint="eastAsia" w:ascii="仿宋_GB2312" w:hAnsi="仿宋" w:eastAsia="仿宋_GB2312" w:cs="仿宋"/>
          <w:b/>
          <w:bCs/>
          <w:color w:val="3D3D3D"/>
          <w:sz w:val="32"/>
          <w:szCs w:val="32"/>
          <w:shd w:val="clear" w:color="auto" w:fill="FFFFFF"/>
        </w:rPr>
        <w:instrText xml:space="preserve">TOC \o "1-2" \h \u </w:instrText>
      </w:r>
      <w:r>
        <w:rPr>
          <w:rFonts w:hint="eastAsia" w:ascii="仿宋_GB2312" w:hAnsi="仿宋" w:eastAsia="仿宋_GB2312" w:cs="仿宋"/>
          <w:b/>
          <w:bCs/>
          <w:color w:val="3D3D3D"/>
          <w:sz w:val="32"/>
          <w:szCs w:val="32"/>
          <w:shd w:val="clear" w:color="auto" w:fill="FFFFFF"/>
        </w:rPr>
        <w:fldChar w:fldCharType="separate"/>
      </w:r>
      <w:r>
        <w:fldChar w:fldCharType="begin"/>
      </w:r>
      <w:r>
        <w:instrText xml:space="preserve"> HYPERLINK \l "_Toc15316" </w:instrText>
      </w:r>
      <w:r>
        <w:fldChar w:fldCharType="separate"/>
      </w:r>
      <w:r>
        <w:rPr>
          <w:rFonts w:hint="eastAsia" w:ascii="仿宋_GB2312" w:hAnsi="仿宋" w:eastAsia="仿宋_GB2312" w:cs="仿宋"/>
          <w:bCs/>
          <w:sz w:val="32"/>
          <w:szCs w:val="32"/>
          <w:shd w:val="clear" w:color="auto" w:fill="FFFFFF"/>
        </w:rPr>
        <w:t>前  言</w:t>
      </w:r>
      <w:r>
        <w:rPr>
          <w:rFonts w:hint="eastAsia" w:ascii="仿宋_GB2312" w:hAnsi="仿宋" w:eastAsia="仿宋_GB2312" w:cs="仿宋"/>
          <w:sz w:val="32"/>
          <w:szCs w:val="32"/>
        </w:rPr>
        <w:tab/>
      </w:r>
      <w:r>
        <w:rPr>
          <w:rFonts w:hint="eastAsia" w:ascii="仿宋_GB2312" w:hAnsi="仿宋" w:eastAsia="仿宋_GB2312" w:cs="仿宋"/>
          <w:sz w:val="32"/>
          <w:szCs w:val="32"/>
        </w:rPr>
        <w:fldChar w:fldCharType="begin"/>
      </w:r>
      <w:r>
        <w:rPr>
          <w:rFonts w:hint="eastAsia" w:ascii="仿宋_GB2312" w:hAnsi="仿宋" w:eastAsia="仿宋_GB2312" w:cs="仿宋"/>
          <w:sz w:val="32"/>
          <w:szCs w:val="32"/>
        </w:rPr>
        <w:instrText xml:space="preserve"> PAGEREF _Toc15316 \h </w:instrText>
      </w:r>
      <w:r>
        <w:rPr>
          <w:rFonts w:hint="eastAsia" w:ascii="仿宋_GB2312" w:hAnsi="仿宋" w:eastAsia="仿宋_GB2312" w:cs="仿宋"/>
          <w:sz w:val="32"/>
          <w:szCs w:val="32"/>
        </w:rPr>
        <w:fldChar w:fldCharType="separate"/>
      </w:r>
      <w:r>
        <w:rPr>
          <w:rFonts w:hint="eastAsia" w:ascii="仿宋_GB2312" w:hAnsi="仿宋" w:eastAsia="仿宋_GB2312" w:cs="仿宋"/>
          <w:sz w:val="32"/>
          <w:szCs w:val="32"/>
        </w:rPr>
        <w:t>1</w:t>
      </w:r>
      <w:r>
        <w:rPr>
          <w:rFonts w:hint="eastAsia" w:ascii="仿宋_GB2312" w:hAnsi="仿宋" w:eastAsia="仿宋_GB2312" w:cs="仿宋"/>
          <w:sz w:val="32"/>
          <w:szCs w:val="32"/>
        </w:rPr>
        <w:fldChar w:fldCharType="end"/>
      </w:r>
      <w:r>
        <w:rPr>
          <w:rFonts w:hint="eastAsia" w:ascii="仿宋_GB2312" w:hAnsi="仿宋" w:eastAsia="仿宋_GB2312" w:cs="仿宋"/>
          <w:sz w:val="32"/>
          <w:szCs w:val="32"/>
        </w:rPr>
        <w:fldChar w:fldCharType="end"/>
      </w:r>
    </w:p>
    <w:p>
      <w:pPr>
        <w:pStyle w:val="9"/>
        <w:tabs>
          <w:tab w:val="right" w:leader="dot" w:pos="8845"/>
        </w:tabs>
        <w:rPr>
          <w:rFonts w:ascii="仿宋_GB2312" w:hAnsi="仿宋" w:eastAsia="仿宋_GB2312" w:cs="仿宋"/>
          <w:sz w:val="32"/>
          <w:szCs w:val="32"/>
        </w:rPr>
      </w:pPr>
      <w:r>
        <w:fldChar w:fldCharType="begin"/>
      </w:r>
      <w:r>
        <w:instrText xml:space="preserve"> HYPERLINK \l "_Toc16505" </w:instrText>
      </w:r>
      <w:r>
        <w:fldChar w:fldCharType="separate"/>
      </w:r>
      <w:r>
        <w:rPr>
          <w:rFonts w:hint="eastAsia" w:ascii="仿宋_GB2312" w:hAnsi="仿宋" w:eastAsia="仿宋_GB2312" w:cs="仿宋"/>
          <w:sz w:val="32"/>
          <w:szCs w:val="32"/>
          <w:shd w:val="clear" w:color="auto" w:fill="FFFFFF"/>
        </w:rPr>
        <w:t xml:space="preserve">第一章  </w:t>
      </w:r>
      <w:r>
        <w:rPr>
          <w:rFonts w:hint="eastAsia" w:ascii="仿宋_GB2312" w:hAnsi="仿宋" w:eastAsia="仿宋_GB2312" w:cs="仿宋"/>
          <w:sz w:val="32"/>
          <w:szCs w:val="32"/>
        </w:rPr>
        <w:t>“十三五”时期主要成就</w:t>
      </w:r>
      <w:r>
        <w:rPr>
          <w:rFonts w:hint="eastAsia" w:ascii="仿宋_GB2312" w:hAnsi="仿宋" w:eastAsia="仿宋_GB2312" w:cs="仿宋"/>
          <w:sz w:val="32"/>
          <w:szCs w:val="32"/>
        </w:rPr>
        <w:tab/>
      </w:r>
      <w:r>
        <w:rPr>
          <w:rFonts w:hint="eastAsia" w:ascii="仿宋_GB2312" w:hAnsi="仿宋" w:eastAsia="仿宋_GB2312" w:cs="仿宋"/>
          <w:sz w:val="32"/>
          <w:szCs w:val="32"/>
        </w:rPr>
        <w:fldChar w:fldCharType="begin"/>
      </w:r>
      <w:r>
        <w:rPr>
          <w:rFonts w:hint="eastAsia" w:ascii="仿宋_GB2312" w:hAnsi="仿宋" w:eastAsia="仿宋_GB2312" w:cs="仿宋"/>
          <w:sz w:val="32"/>
          <w:szCs w:val="32"/>
        </w:rPr>
        <w:instrText xml:space="preserve"> PAGEREF _Toc16505 \h </w:instrText>
      </w:r>
      <w:r>
        <w:rPr>
          <w:rFonts w:hint="eastAsia" w:ascii="仿宋_GB2312" w:hAnsi="仿宋" w:eastAsia="仿宋_GB2312" w:cs="仿宋"/>
          <w:sz w:val="32"/>
          <w:szCs w:val="32"/>
        </w:rPr>
        <w:fldChar w:fldCharType="separate"/>
      </w:r>
      <w:r>
        <w:rPr>
          <w:rFonts w:hint="eastAsia" w:ascii="仿宋_GB2312" w:hAnsi="仿宋" w:eastAsia="仿宋_GB2312" w:cs="仿宋"/>
          <w:sz w:val="32"/>
          <w:szCs w:val="32"/>
        </w:rPr>
        <w:t>1</w:t>
      </w:r>
      <w:r>
        <w:rPr>
          <w:rFonts w:hint="eastAsia" w:ascii="仿宋_GB2312" w:hAnsi="仿宋" w:eastAsia="仿宋_GB2312" w:cs="仿宋"/>
          <w:sz w:val="32"/>
          <w:szCs w:val="32"/>
        </w:rPr>
        <w:fldChar w:fldCharType="end"/>
      </w:r>
      <w:r>
        <w:rPr>
          <w:rFonts w:hint="eastAsia" w:ascii="仿宋_GB2312" w:hAnsi="仿宋" w:eastAsia="仿宋_GB2312" w:cs="仿宋"/>
          <w:sz w:val="32"/>
          <w:szCs w:val="32"/>
        </w:rPr>
        <w:fldChar w:fldCharType="end"/>
      </w:r>
    </w:p>
    <w:p>
      <w:pPr>
        <w:pStyle w:val="11"/>
        <w:tabs>
          <w:tab w:val="right" w:leader="dot" w:pos="8845"/>
          <w:tab w:val="clear" w:pos="8608"/>
        </w:tabs>
        <w:rPr>
          <w:rFonts w:ascii="仿宋_GB2312" w:hAnsi="仿宋" w:eastAsia="仿宋_GB2312" w:cs="仿宋"/>
          <w:sz w:val="32"/>
          <w:szCs w:val="32"/>
        </w:rPr>
      </w:pPr>
      <w:r>
        <w:fldChar w:fldCharType="begin"/>
      </w:r>
      <w:r>
        <w:instrText xml:space="preserve"> HYPERLINK \l "_Toc14132" </w:instrText>
      </w:r>
      <w:r>
        <w:fldChar w:fldCharType="separate"/>
      </w:r>
      <w:r>
        <w:rPr>
          <w:rFonts w:hint="eastAsia" w:ascii="仿宋_GB2312" w:hAnsi="仿宋" w:eastAsia="仿宋_GB2312" w:cs="仿宋"/>
          <w:sz w:val="32"/>
          <w:szCs w:val="32"/>
          <w:shd w:val="clear" w:color="auto" w:fill="FFFFFF"/>
        </w:rPr>
        <w:t>第一节 城乡就业规模持续增长</w:t>
      </w:r>
      <w:r>
        <w:rPr>
          <w:rFonts w:hint="eastAsia" w:ascii="仿宋_GB2312" w:hAnsi="仿宋" w:eastAsia="仿宋_GB2312" w:cs="仿宋"/>
          <w:sz w:val="32"/>
          <w:szCs w:val="32"/>
        </w:rPr>
        <w:tab/>
      </w:r>
      <w:r>
        <w:rPr>
          <w:rFonts w:hint="eastAsia" w:ascii="仿宋_GB2312" w:hAnsi="仿宋" w:eastAsia="仿宋_GB2312" w:cs="仿宋"/>
          <w:sz w:val="32"/>
          <w:szCs w:val="32"/>
        </w:rPr>
        <w:fldChar w:fldCharType="begin"/>
      </w:r>
      <w:r>
        <w:rPr>
          <w:rFonts w:hint="eastAsia" w:ascii="仿宋_GB2312" w:hAnsi="仿宋" w:eastAsia="仿宋_GB2312" w:cs="仿宋"/>
          <w:sz w:val="32"/>
          <w:szCs w:val="32"/>
        </w:rPr>
        <w:instrText xml:space="preserve"> PAGEREF _Toc14132 \h </w:instrText>
      </w:r>
      <w:r>
        <w:rPr>
          <w:rFonts w:hint="eastAsia" w:ascii="仿宋_GB2312" w:hAnsi="仿宋" w:eastAsia="仿宋_GB2312" w:cs="仿宋"/>
          <w:sz w:val="32"/>
          <w:szCs w:val="32"/>
        </w:rPr>
        <w:fldChar w:fldCharType="separate"/>
      </w:r>
      <w:r>
        <w:rPr>
          <w:rFonts w:hint="eastAsia" w:ascii="仿宋_GB2312" w:hAnsi="仿宋" w:eastAsia="仿宋_GB2312" w:cs="仿宋"/>
          <w:sz w:val="32"/>
          <w:szCs w:val="32"/>
        </w:rPr>
        <w:t>1</w:t>
      </w:r>
      <w:r>
        <w:rPr>
          <w:rFonts w:hint="eastAsia" w:ascii="仿宋_GB2312" w:hAnsi="仿宋" w:eastAsia="仿宋_GB2312" w:cs="仿宋"/>
          <w:sz w:val="32"/>
          <w:szCs w:val="32"/>
        </w:rPr>
        <w:fldChar w:fldCharType="end"/>
      </w:r>
      <w:r>
        <w:rPr>
          <w:rFonts w:hint="eastAsia" w:ascii="仿宋_GB2312" w:hAnsi="仿宋" w:eastAsia="仿宋_GB2312" w:cs="仿宋"/>
          <w:sz w:val="32"/>
          <w:szCs w:val="32"/>
        </w:rPr>
        <w:fldChar w:fldCharType="end"/>
      </w:r>
    </w:p>
    <w:p>
      <w:pPr>
        <w:pStyle w:val="11"/>
        <w:tabs>
          <w:tab w:val="right" w:leader="dot" w:pos="8845"/>
          <w:tab w:val="clear" w:pos="8608"/>
        </w:tabs>
        <w:rPr>
          <w:rFonts w:ascii="仿宋_GB2312" w:hAnsi="仿宋" w:eastAsia="仿宋_GB2312" w:cs="仿宋"/>
          <w:sz w:val="32"/>
          <w:szCs w:val="32"/>
        </w:rPr>
      </w:pPr>
      <w:r>
        <w:fldChar w:fldCharType="begin"/>
      </w:r>
      <w:r>
        <w:instrText xml:space="preserve"> HYPERLINK \l "_Toc6515" </w:instrText>
      </w:r>
      <w:r>
        <w:fldChar w:fldCharType="separate"/>
      </w:r>
      <w:r>
        <w:rPr>
          <w:rFonts w:hint="eastAsia" w:ascii="仿宋_GB2312" w:hAnsi="仿宋" w:eastAsia="仿宋_GB2312" w:cs="仿宋"/>
          <w:sz w:val="32"/>
          <w:szCs w:val="32"/>
          <w:shd w:val="clear" w:color="auto" w:fill="FFFFFF"/>
        </w:rPr>
        <w:t>第二节 创业带动就业成效逐步显现</w:t>
      </w:r>
      <w:r>
        <w:rPr>
          <w:rFonts w:hint="eastAsia" w:ascii="仿宋_GB2312" w:hAnsi="仿宋" w:eastAsia="仿宋_GB2312" w:cs="仿宋"/>
          <w:sz w:val="32"/>
          <w:szCs w:val="32"/>
        </w:rPr>
        <w:tab/>
      </w:r>
      <w:r>
        <w:rPr>
          <w:rFonts w:hint="eastAsia" w:ascii="仿宋_GB2312" w:hAnsi="仿宋" w:eastAsia="仿宋_GB2312" w:cs="仿宋"/>
          <w:sz w:val="32"/>
          <w:szCs w:val="32"/>
        </w:rPr>
        <w:fldChar w:fldCharType="begin"/>
      </w:r>
      <w:r>
        <w:rPr>
          <w:rFonts w:hint="eastAsia" w:ascii="仿宋_GB2312" w:hAnsi="仿宋" w:eastAsia="仿宋_GB2312" w:cs="仿宋"/>
          <w:sz w:val="32"/>
          <w:szCs w:val="32"/>
        </w:rPr>
        <w:instrText xml:space="preserve"> PAGEREF _Toc6515 \h </w:instrText>
      </w:r>
      <w:r>
        <w:rPr>
          <w:rFonts w:hint="eastAsia" w:ascii="仿宋_GB2312" w:hAnsi="仿宋" w:eastAsia="仿宋_GB2312" w:cs="仿宋"/>
          <w:sz w:val="32"/>
          <w:szCs w:val="32"/>
        </w:rPr>
        <w:fldChar w:fldCharType="separate"/>
      </w:r>
      <w:r>
        <w:rPr>
          <w:rFonts w:hint="eastAsia" w:ascii="仿宋_GB2312" w:hAnsi="仿宋" w:eastAsia="仿宋_GB2312" w:cs="仿宋"/>
          <w:sz w:val="32"/>
          <w:szCs w:val="32"/>
        </w:rPr>
        <w:t>2</w:t>
      </w:r>
      <w:r>
        <w:rPr>
          <w:rFonts w:hint="eastAsia" w:ascii="仿宋_GB2312" w:hAnsi="仿宋" w:eastAsia="仿宋_GB2312" w:cs="仿宋"/>
          <w:sz w:val="32"/>
          <w:szCs w:val="32"/>
        </w:rPr>
        <w:fldChar w:fldCharType="end"/>
      </w:r>
      <w:r>
        <w:rPr>
          <w:rFonts w:hint="eastAsia" w:ascii="仿宋_GB2312" w:hAnsi="仿宋" w:eastAsia="仿宋_GB2312" w:cs="仿宋"/>
          <w:sz w:val="32"/>
          <w:szCs w:val="32"/>
        </w:rPr>
        <w:fldChar w:fldCharType="end"/>
      </w:r>
    </w:p>
    <w:p>
      <w:pPr>
        <w:pStyle w:val="11"/>
        <w:tabs>
          <w:tab w:val="right" w:leader="dot" w:pos="8845"/>
          <w:tab w:val="clear" w:pos="8608"/>
        </w:tabs>
        <w:rPr>
          <w:rFonts w:ascii="仿宋_GB2312" w:hAnsi="仿宋" w:eastAsia="仿宋_GB2312" w:cs="仿宋"/>
          <w:sz w:val="32"/>
          <w:szCs w:val="32"/>
        </w:rPr>
      </w:pPr>
      <w:r>
        <w:fldChar w:fldCharType="begin"/>
      </w:r>
      <w:r>
        <w:instrText xml:space="preserve"> HYPERLINK \l "_Toc25106" </w:instrText>
      </w:r>
      <w:r>
        <w:fldChar w:fldCharType="separate"/>
      </w:r>
      <w:r>
        <w:rPr>
          <w:rFonts w:hint="eastAsia" w:ascii="仿宋_GB2312" w:hAnsi="仿宋" w:eastAsia="仿宋_GB2312" w:cs="仿宋"/>
          <w:sz w:val="32"/>
          <w:szCs w:val="32"/>
          <w:shd w:val="clear" w:color="auto" w:fill="FFFFFF"/>
        </w:rPr>
        <w:t>第三节 社会保障水平快速提高</w:t>
      </w:r>
      <w:r>
        <w:rPr>
          <w:rFonts w:hint="eastAsia" w:ascii="仿宋_GB2312" w:hAnsi="仿宋" w:eastAsia="仿宋_GB2312" w:cs="仿宋"/>
          <w:sz w:val="32"/>
          <w:szCs w:val="32"/>
        </w:rPr>
        <w:tab/>
      </w:r>
      <w:r>
        <w:rPr>
          <w:rFonts w:hint="eastAsia" w:ascii="仿宋_GB2312" w:hAnsi="仿宋" w:eastAsia="仿宋_GB2312" w:cs="仿宋"/>
          <w:sz w:val="32"/>
          <w:szCs w:val="32"/>
        </w:rPr>
        <w:fldChar w:fldCharType="begin"/>
      </w:r>
      <w:r>
        <w:rPr>
          <w:rFonts w:hint="eastAsia" w:ascii="仿宋_GB2312" w:hAnsi="仿宋" w:eastAsia="仿宋_GB2312" w:cs="仿宋"/>
          <w:sz w:val="32"/>
          <w:szCs w:val="32"/>
        </w:rPr>
        <w:instrText xml:space="preserve"> PAGEREF _Toc25106 \h </w:instrText>
      </w:r>
      <w:r>
        <w:rPr>
          <w:rFonts w:hint="eastAsia" w:ascii="仿宋_GB2312" w:hAnsi="仿宋" w:eastAsia="仿宋_GB2312" w:cs="仿宋"/>
          <w:sz w:val="32"/>
          <w:szCs w:val="32"/>
        </w:rPr>
        <w:fldChar w:fldCharType="separate"/>
      </w:r>
      <w:r>
        <w:rPr>
          <w:rFonts w:hint="eastAsia" w:ascii="仿宋_GB2312" w:hAnsi="仿宋" w:eastAsia="仿宋_GB2312" w:cs="仿宋"/>
          <w:sz w:val="32"/>
          <w:szCs w:val="32"/>
        </w:rPr>
        <w:t>2</w:t>
      </w:r>
      <w:r>
        <w:rPr>
          <w:rFonts w:hint="eastAsia" w:ascii="仿宋_GB2312" w:hAnsi="仿宋" w:eastAsia="仿宋_GB2312" w:cs="仿宋"/>
          <w:sz w:val="32"/>
          <w:szCs w:val="32"/>
        </w:rPr>
        <w:fldChar w:fldCharType="end"/>
      </w:r>
      <w:r>
        <w:rPr>
          <w:rFonts w:hint="eastAsia" w:ascii="仿宋_GB2312" w:hAnsi="仿宋" w:eastAsia="仿宋_GB2312" w:cs="仿宋"/>
          <w:sz w:val="32"/>
          <w:szCs w:val="32"/>
        </w:rPr>
        <w:fldChar w:fldCharType="end"/>
      </w:r>
    </w:p>
    <w:p>
      <w:pPr>
        <w:pStyle w:val="11"/>
        <w:tabs>
          <w:tab w:val="right" w:leader="dot" w:pos="8845"/>
          <w:tab w:val="clear" w:pos="8608"/>
        </w:tabs>
        <w:rPr>
          <w:rFonts w:ascii="仿宋_GB2312" w:hAnsi="仿宋" w:eastAsia="仿宋_GB2312" w:cs="仿宋"/>
          <w:sz w:val="32"/>
          <w:szCs w:val="32"/>
        </w:rPr>
      </w:pPr>
      <w:r>
        <w:fldChar w:fldCharType="begin"/>
      </w:r>
      <w:r>
        <w:instrText xml:space="preserve"> HYPERLINK \l "_Toc12813" </w:instrText>
      </w:r>
      <w:r>
        <w:fldChar w:fldCharType="separate"/>
      </w:r>
      <w:r>
        <w:rPr>
          <w:rFonts w:hint="eastAsia" w:ascii="仿宋_GB2312" w:hAnsi="仿宋" w:eastAsia="仿宋_GB2312" w:cs="仿宋"/>
          <w:sz w:val="32"/>
          <w:szCs w:val="32"/>
          <w:shd w:val="clear" w:color="auto" w:fill="FFFFFF"/>
        </w:rPr>
        <w:t>第四节 劳动关系保持和谐稳定</w:t>
      </w:r>
      <w:r>
        <w:rPr>
          <w:rFonts w:hint="eastAsia" w:ascii="仿宋_GB2312" w:hAnsi="仿宋" w:eastAsia="仿宋_GB2312" w:cs="仿宋"/>
          <w:sz w:val="32"/>
          <w:szCs w:val="32"/>
        </w:rPr>
        <w:tab/>
      </w:r>
      <w:r>
        <w:rPr>
          <w:rFonts w:hint="eastAsia" w:ascii="仿宋_GB2312" w:hAnsi="仿宋" w:eastAsia="仿宋_GB2312" w:cs="仿宋"/>
          <w:sz w:val="32"/>
          <w:szCs w:val="32"/>
        </w:rPr>
        <w:fldChar w:fldCharType="begin"/>
      </w:r>
      <w:r>
        <w:rPr>
          <w:rFonts w:hint="eastAsia" w:ascii="仿宋_GB2312" w:hAnsi="仿宋" w:eastAsia="仿宋_GB2312" w:cs="仿宋"/>
          <w:sz w:val="32"/>
          <w:szCs w:val="32"/>
        </w:rPr>
        <w:instrText xml:space="preserve"> PAGEREF _Toc12813 \h </w:instrText>
      </w:r>
      <w:r>
        <w:rPr>
          <w:rFonts w:hint="eastAsia" w:ascii="仿宋_GB2312" w:hAnsi="仿宋" w:eastAsia="仿宋_GB2312" w:cs="仿宋"/>
          <w:sz w:val="32"/>
          <w:szCs w:val="32"/>
        </w:rPr>
        <w:fldChar w:fldCharType="separate"/>
      </w:r>
      <w:r>
        <w:rPr>
          <w:rFonts w:hint="eastAsia" w:ascii="仿宋_GB2312" w:hAnsi="仿宋" w:eastAsia="仿宋_GB2312" w:cs="仿宋"/>
          <w:sz w:val="32"/>
          <w:szCs w:val="32"/>
        </w:rPr>
        <w:t>3</w:t>
      </w:r>
      <w:r>
        <w:rPr>
          <w:rFonts w:hint="eastAsia" w:ascii="仿宋_GB2312" w:hAnsi="仿宋" w:eastAsia="仿宋_GB2312" w:cs="仿宋"/>
          <w:sz w:val="32"/>
          <w:szCs w:val="32"/>
        </w:rPr>
        <w:fldChar w:fldCharType="end"/>
      </w:r>
      <w:r>
        <w:rPr>
          <w:rFonts w:hint="eastAsia" w:ascii="仿宋_GB2312" w:hAnsi="仿宋" w:eastAsia="仿宋_GB2312" w:cs="仿宋"/>
          <w:sz w:val="32"/>
          <w:szCs w:val="32"/>
        </w:rPr>
        <w:fldChar w:fldCharType="end"/>
      </w:r>
    </w:p>
    <w:p>
      <w:pPr>
        <w:pStyle w:val="11"/>
        <w:tabs>
          <w:tab w:val="right" w:leader="dot" w:pos="8845"/>
          <w:tab w:val="clear" w:pos="8608"/>
        </w:tabs>
        <w:rPr>
          <w:rFonts w:ascii="仿宋_GB2312" w:hAnsi="仿宋" w:eastAsia="仿宋_GB2312" w:cs="仿宋"/>
          <w:sz w:val="32"/>
          <w:szCs w:val="32"/>
        </w:rPr>
      </w:pPr>
      <w:r>
        <w:fldChar w:fldCharType="begin"/>
      </w:r>
      <w:r>
        <w:instrText xml:space="preserve"> HYPERLINK \l "_Toc7364" </w:instrText>
      </w:r>
      <w:r>
        <w:fldChar w:fldCharType="separate"/>
      </w:r>
      <w:r>
        <w:rPr>
          <w:rFonts w:hint="eastAsia" w:ascii="仿宋_GB2312" w:hAnsi="仿宋" w:eastAsia="仿宋_GB2312" w:cs="仿宋"/>
          <w:sz w:val="32"/>
          <w:szCs w:val="32"/>
          <w:shd w:val="clear" w:color="auto" w:fill="FFFFFF"/>
        </w:rPr>
        <w:t>第五节 政策体系逐步健全</w:t>
      </w:r>
      <w:r>
        <w:rPr>
          <w:rFonts w:hint="eastAsia" w:ascii="仿宋_GB2312" w:hAnsi="仿宋" w:eastAsia="仿宋_GB2312" w:cs="仿宋"/>
          <w:sz w:val="32"/>
          <w:szCs w:val="32"/>
        </w:rPr>
        <w:tab/>
      </w:r>
      <w:r>
        <w:rPr>
          <w:rFonts w:hint="eastAsia" w:ascii="仿宋_GB2312" w:hAnsi="仿宋" w:eastAsia="仿宋_GB2312" w:cs="仿宋"/>
          <w:sz w:val="32"/>
          <w:szCs w:val="32"/>
        </w:rPr>
        <w:fldChar w:fldCharType="begin"/>
      </w:r>
      <w:r>
        <w:rPr>
          <w:rFonts w:hint="eastAsia" w:ascii="仿宋_GB2312" w:hAnsi="仿宋" w:eastAsia="仿宋_GB2312" w:cs="仿宋"/>
          <w:sz w:val="32"/>
          <w:szCs w:val="32"/>
        </w:rPr>
        <w:instrText xml:space="preserve"> PAGEREF _Toc7364 \h </w:instrText>
      </w:r>
      <w:r>
        <w:rPr>
          <w:rFonts w:hint="eastAsia" w:ascii="仿宋_GB2312" w:hAnsi="仿宋" w:eastAsia="仿宋_GB2312" w:cs="仿宋"/>
          <w:sz w:val="32"/>
          <w:szCs w:val="32"/>
        </w:rPr>
        <w:fldChar w:fldCharType="separate"/>
      </w:r>
      <w:r>
        <w:rPr>
          <w:rFonts w:hint="eastAsia" w:ascii="仿宋_GB2312" w:hAnsi="仿宋" w:eastAsia="仿宋_GB2312" w:cs="仿宋"/>
          <w:sz w:val="32"/>
          <w:szCs w:val="32"/>
        </w:rPr>
        <w:t>4</w:t>
      </w:r>
      <w:r>
        <w:rPr>
          <w:rFonts w:hint="eastAsia" w:ascii="仿宋_GB2312" w:hAnsi="仿宋" w:eastAsia="仿宋_GB2312" w:cs="仿宋"/>
          <w:sz w:val="32"/>
          <w:szCs w:val="32"/>
        </w:rPr>
        <w:fldChar w:fldCharType="end"/>
      </w:r>
      <w:r>
        <w:rPr>
          <w:rFonts w:hint="eastAsia" w:ascii="仿宋_GB2312" w:hAnsi="仿宋" w:eastAsia="仿宋_GB2312" w:cs="仿宋"/>
          <w:sz w:val="32"/>
          <w:szCs w:val="32"/>
        </w:rPr>
        <w:fldChar w:fldCharType="end"/>
      </w:r>
    </w:p>
    <w:p>
      <w:pPr>
        <w:pStyle w:val="9"/>
        <w:tabs>
          <w:tab w:val="right" w:leader="dot" w:pos="8845"/>
        </w:tabs>
        <w:rPr>
          <w:rFonts w:ascii="仿宋_GB2312" w:hAnsi="仿宋" w:eastAsia="仿宋_GB2312" w:cs="仿宋"/>
          <w:sz w:val="32"/>
          <w:szCs w:val="32"/>
        </w:rPr>
      </w:pPr>
      <w:r>
        <w:fldChar w:fldCharType="begin"/>
      </w:r>
      <w:r>
        <w:instrText xml:space="preserve"> HYPERLINK \l "_Toc1051" </w:instrText>
      </w:r>
      <w:r>
        <w:fldChar w:fldCharType="separate"/>
      </w:r>
      <w:r>
        <w:rPr>
          <w:rFonts w:hint="eastAsia" w:ascii="仿宋_GB2312" w:hAnsi="仿宋" w:eastAsia="仿宋_GB2312" w:cs="仿宋"/>
          <w:sz w:val="32"/>
          <w:szCs w:val="32"/>
          <w:shd w:val="clear" w:color="auto" w:fill="FFFFFF"/>
        </w:rPr>
        <w:t>第二章  机遇和挑战</w:t>
      </w:r>
      <w:r>
        <w:rPr>
          <w:rFonts w:hint="eastAsia" w:ascii="仿宋_GB2312" w:hAnsi="仿宋" w:eastAsia="仿宋_GB2312" w:cs="仿宋"/>
          <w:sz w:val="32"/>
          <w:szCs w:val="32"/>
        </w:rPr>
        <w:tab/>
      </w:r>
      <w:r>
        <w:rPr>
          <w:rFonts w:hint="eastAsia" w:ascii="仿宋_GB2312" w:hAnsi="仿宋" w:eastAsia="仿宋_GB2312" w:cs="仿宋"/>
          <w:sz w:val="32"/>
          <w:szCs w:val="32"/>
        </w:rPr>
        <w:fldChar w:fldCharType="begin"/>
      </w:r>
      <w:r>
        <w:rPr>
          <w:rFonts w:hint="eastAsia" w:ascii="仿宋_GB2312" w:hAnsi="仿宋" w:eastAsia="仿宋_GB2312" w:cs="仿宋"/>
          <w:sz w:val="32"/>
          <w:szCs w:val="32"/>
        </w:rPr>
        <w:instrText xml:space="preserve"> PAGEREF _Toc1051 \h </w:instrText>
      </w:r>
      <w:r>
        <w:rPr>
          <w:rFonts w:hint="eastAsia" w:ascii="仿宋_GB2312" w:hAnsi="仿宋" w:eastAsia="仿宋_GB2312" w:cs="仿宋"/>
          <w:sz w:val="32"/>
          <w:szCs w:val="32"/>
        </w:rPr>
        <w:fldChar w:fldCharType="separate"/>
      </w:r>
      <w:r>
        <w:rPr>
          <w:rFonts w:hint="eastAsia" w:ascii="仿宋_GB2312" w:hAnsi="仿宋" w:eastAsia="仿宋_GB2312" w:cs="仿宋"/>
          <w:sz w:val="32"/>
          <w:szCs w:val="32"/>
        </w:rPr>
        <w:t>5</w:t>
      </w:r>
      <w:r>
        <w:rPr>
          <w:rFonts w:hint="eastAsia" w:ascii="仿宋_GB2312" w:hAnsi="仿宋" w:eastAsia="仿宋_GB2312" w:cs="仿宋"/>
          <w:sz w:val="32"/>
          <w:szCs w:val="32"/>
        </w:rPr>
        <w:fldChar w:fldCharType="end"/>
      </w:r>
      <w:r>
        <w:rPr>
          <w:rFonts w:hint="eastAsia" w:ascii="仿宋_GB2312" w:hAnsi="仿宋" w:eastAsia="仿宋_GB2312" w:cs="仿宋"/>
          <w:sz w:val="32"/>
          <w:szCs w:val="32"/>
        </w:rPr>
        <w:fldChar w:fldCharType="end"/>
      </w:r>
    </w:p>
    <w:p>
      <w:pPr>
        <w:pStyle w:val="11"/>
        <w:tabs>
          <w:tab w:val="right" w:leader="dot" w:pos="8845"/>
          <w:tab w:val="clear" w:pos="8608"/>
        </w:tabs>
        <w:rPr>
          <w:rFonts w:ascii="仿宋_GB2312" w:hAnsi="仿宋" w:eastAsia="仿宋_GB2312" w:cs="仿宋"/>
          <w:sz w:val="32"/>
          <w:szCs w:val="32"/>
        </w:rPr>
      </w:pPr>
      <w:r>
        <w:fldChar w:fldCharType="begin"/>
      </w:r>
      <w:r>
        <w:instrText xml:space="preserve"> HYPERLINK \l "_Toc29013" </w:instrText>
      </w:r>
      <w:r>
        <w:fldChar w:fldCharType="separate"/>
      </w:r>
      <w:r>
        <w:rPr>
          <w:rFonts w:hint="eastAsia" w:ascii="仿宋_GB2312" w:hAnsi="仿宋" w:eastAsia="仿宋_GB2312" w:cs="仿宋"/>
          <w:sz w:val="32"/>
          <w:szCs w:val="32"/>
          <w:shd w:val="clear" w:color="auto" w:fill="FFFFFF"/>
        </w:rPr>
        <w:t>第一节 面临挑战</w:t>
      </w:r>
      <w:r>
        <w:rPr>
          <w:rFonts w:hint="eastAsia" w:ascii="仿宋_GB2312" w:hAnsi="仿宋" w:eastAsia="仿宋_GB2312" w:cs="仿宋"/>
          <w:sz w:val="32"/>
          <w:szCs w:val="32"/>
        </w:rPr>
        <w:tab/>
      </w:r>
      <w:r>
        <w:rPr>
          <w:rFonts w:hint="eastAsia" w:ascii="仿宋_GB2312" w:hAnsi="仿宋" w:eastAsia="仿宋_GB2312" w:cs="仿宋"/>
          <w:sz w:val="32"/>
          <w:szCs w:val="32"/>
        </w:rPr>
        <w:fldChar w:fldCharType="begin"/>
      </w:r>
      <w:r>
        <w:rPr>
          <w:rFonts w:hint="eastAsia" w:ascii="仿宋_GB2312" w:hAnsi="仿宋" w:eastAsia="仿宋_GB2312" w:cs="仿宋"/>
          <w:sz w:val="32"/>
          <w:szCs w:val="32"/>
        </w:rPr>
        <w:instrText xml:space="preserve"> PAGEREF _Toc29013 \h </w:instrText>
      </w:r>
      <w:r>
        <w:rPr>
          <w:rFonts w:hint="eastAsia" w:ascii="仿宋_GB2312" w:hAnsi="仿宋" w:eastAsia="仿宋_GB2312" w:cs="仿宋"/>
          <w:sz w:val="32"/>
          <w:szCs w:val="32"/>
        </w:rPr>
        <w:fldChar w:fldCharType="separate"/>
      </w:r>
      <w:r>
        <w:rPr>
          <w:rFonts w:hint="eastAsia" w:ascii="仿宋_GB2312" w:hAnsi="仿宋" w:eastAsia="仿宋_GB2312" w:cs="仿宋"/>
          <w:sz w:val="32"/>
          <w:szCs w:val="32"/>
        </w:rPr>
        <w:t>5</w:t>
      </w:r>
      <w:r>
        <w:rPr>
          <w:rFonts w:hint="eastAsia" w:ascii="仿宋_GB2312" w:hAnsi="仿宋" w:eastAsia="仿宋_GB2312" w:cs="仿宋"/>
          <w:sz w:val="32"/>
          <w:szCs w:val="32"/>
        </w:rPr>
        <w:fldChar w:fldCharType="end"/>
      </w:r>
      <w:r>
        <w:rPr>
          <w:rFonts w:hint="eastAsia" w:ascii="仿宋_GB2312" w:hAnsi="仿宋" w:eastAsia="仿宋_GB2312" w:cs="仿宋"/>
          <w:sz w:val="32"/>
          <w:szCs w:val="32"/>
        </w:rPr>
        <w:fldChar w:fldCharType="end"/>
      </w:r>
    </w:p>
    <w:p>
      <w:pPr>
        <w:pStyle w:val="11"/>
        <w:tabs>
          <w:tab w:val="right" w:leader="dot" w:pos="8845"/>
          <w:tab w:val="clear" w:pos="8608"/>
        </w:tabs>
        <w:rPr>
          <w:rFonts w:ascii="仿宋_GB2312" w:hAnsi="仿宋" w:eastAsia="仿宋_GB2312" w:cs="仿宋"/>
          <w:sz w:val="32"/>
          <w:szCs w:val="32"/>
        </w:rPr>
      </w:pPr>
      <w:r>
        <w:fldChar w:fldCharType="begin"/>
      </w:r>
      <w:r>
        <w:instrText xml:space="preserve"> HYPERLINK \l "_Toc13016" </w:instrText>
      </w:r>
      <w:r>
        <w:fldChar w:fldCharType="separate"/>
      </w:r>
      <w:r>
        <w:rPr>
          <w:rFonts w:hint="eastAsia" w:ascii="仿宋_GB2312" w:hAnsi="仿宋" w:eastAsia="仿宋_GB2312" w:cs="仿宋"/>
          <w:sz w:val="32"/>
          <w:szCs w:val="32"/>
          <w:shd w:val="clear" w:color="auto" w:fill="FFFFFF"/>
        </w:rPr>
        <w:t>第二节 发展机遇</w:t>
      </w:r>
      <w:r>
        <w:rPr>
          <w:rFonts w:hint="eastAsia" w:ascii="仿宋_GB2312" w:hAnsi="仿宋" w:eastAsia="仿宋_GB2312" w:cs="仿宋"/>
          <w:sz w:val="32"/>
          <w:szCs w:val="32"/>
        </w:rPr>
        <w:tab/>
      </w:r>
      <w:r>
        <w:rPr>
          <w:rFonts w:hint="eastAsia" w:ascii="仿宋_GB2312" w:hAnsi="仿宋" w:eastAsia="仿宋_GB2312" w:cs="仿宋"/>
          <w:sz w:val="32"/>
          <w:szCs w:val="32"/>
        </w:rPr>
        <w:fldChar w:fldCharType="begin"/>
      </w:r>
      <w:r>
        <w:rPr>
          <w:rFonts w:hint="eastAsia" w:ascii="仿宋_GB2312" w:hAnsi="仿宋" w:eastAsia="仿宋_GB2312" w:cs="仿宋"/>
          <w:sz w:val="32"/>
          <w:szCs w:val="32"/>
        </w:rPr>
        <w:instrText xml:space="preserve"> PAGEREF _Toc13016 \h </w:instrText>
      </w:r>
      <w:r>
        <w:rPr>
          <w:rFonts w:hint="eastAsia" w:ascii="仿宋_GB2312" w:hAnsi="仿宋" w:eastAsia="仿宋_GB2312" w:cs="仿宋"/>
          <w:sz w:val="32"/>
          <w:szCs w:val="32"/>
        </w:rPr>
        <w:fldChar w:fldCharType="separate"/>
      </w:r>
      <w:r>
        <w:rPr>
          <w:rFonts w:hint="eastAsia" w:ascii="仿宋_GB2312" w:hAnsi="仿宋" w:eastAsia="仿宋_GB2312" w:cs="仿宋"/>
          <w:sz w:val="32"/>
          <w:szCs w:val="32"/>
        </w:rPr>
        <w:t>7</w:t>
      </w:r>
      <w:r>
        <w:rPr>
          <w:rFonts w:hint="eastAsia" w:ascii="仿宋_GB2312" w:hAnsi="仿宋" w:eastAsia="仿宋_GB2312" w:cs="仿宋"/>
          <w:sz w:val="32"/>
          <w:szCs w:val="32"/>
        </w:rPr>
        <w:fldChar w:fldCharType="end"/>
      </w:r>
      <w:r>
        <w:rPr>
          <w:rFonts w:hint="eastAsia" w:ascii="仿宋_GB2312" w:hAnsi="仿宋" w:eastAsia="仿宋_GB2312" w:cs="仿宋"/>
          <w:sz w:val="32"/>
          <w:szCs w:val="32"/>
        </w:rPr>
        <w:fldChar w:fldCharType="end"/>
      </w:r>
    </w:p>
    <w:p>
      <w:pPr>
        <w:pStyle w:val="9"/>
        <w:tabs>
          <w:tab w:val="right" w:leader="dot" w:pos="8845"/>
        </w:tabs>
        <w:rPr>
          <w:rFonts w:ascii="仿宋_GB2312" w:hAnsi="仿宋" w:eastAsia="仿宋_GB2312" w:cs="仿宋"/>
          <w:sz w:val="32"/>
          <w:szCs w:val="32"/>
        </w:rPr>
      </w:pPr>
      <w:r>
        <w:fldChar w:fldCharType="begin"/>
      </w:r>
      <w:r>
        <w:instrText xml:space="preserve"> HYPERLINK \l "_Toc14830" </w:instrText>
      </w:r>
      <w:r>
        <w:fldChar w:fldCharType="separate"/>
      </w:r>
      <w:r>
        <w:rPr>
          <w:rFonts w:hint="eastAsia" w:ascii="仿宋_GB2312" w:hAnsi="仿宋" w:eastAsia="仿宋_GB2312" w:cs="仿宋"/>
          <w:bCs/>
          <w:sz w:val="32"/>
          <w:szCs w:val="32"/>
        </w:rPr>
        <w:t>第三章  指导思想和主要目标</w:t>
      </w:r>
      <w:r>
        <w:rPr>
          <w:rFonts w:hint="eastAsia" w:ascii="仿宋_GB2312" w:hAnsi="仿宋" w:eastAsia="仿宋_GB2312" w:cs="仿宋"/>
          <w:sz w:val="32"/>
          <w:szCs w:val="32"/>
        </w:rPr>
        <w:tab/>
      </w:r>
      <w:r>
        <w:rPr>
          <w:rFonts w:hint="eastAsia" w:ascii="仿宋_GB2312" w:hAnsi="仿宋" w:eastAsia="仿宋_GB2312" w:cs="仿宋"/>
          <w:sz w:val="32"/>
          <w:szCs w:val="32"/>
        </w:rPr>
        <w:fldChar w:fldCharType="begin"/>
      </w:r>
      <w:r>
        <w:rPr>
          <w:rFonts w:hint="eastAsia" w:ascii="仿宋_GB2312" w:hAnsi="仿宋" w:eastAsia="仿宋_GB2312" w:cs="仿宋"/>
          <w:sz w:val="32"/>
          <w:szCs w:val="32"/>
        </w:rPr>
        <w:instrText xml:space="preserve"> PAGEREF _Toc14830 \h </w:instrText>
      </w:r>
      <w:r>
        <w:rPr>
          <w:rFonts w:hint="eastAsia" w:ascii="仿宋_GB2312" w:hAnsi="仿宋" w:eastAsia="仿宋_GB2312" w:cs="仿宋"/>
          <w:sz w:val="32"/>
          <w:szCs w:val="32"/>
        </w:rPr>
        <w:fldChar w:fldCharType="separate"/>
      </w:r>
      <w:r>
        <w:rPr>
          <w:rFonts w:hint="eastAsia" w:ascii="仿宋_GB2312" w:hAnsi="仿宋" w:eastAsia="仿宋_GB2312" w:cs="仿宋"/>
          <w:sz w:val="32"/>
          <w:szCs w:val="32"/>
        </w:rPr>
        <w:t>10</w:t>
      </w:r>
      <w:r>
        <w:rPr>
          <w:rFonts w:hint="eastAsia" w:ascii="仿宋_GB2312" w:hAnsi="仿宋" w:eastAsia="仿宋_GB2312" w:cs="仿宋"/>
          <w:sz w:val="32"/>
          <w:szCs w:val="32"/>
        </w:rPr>
        <w:fldChar w:fldCharType="end"/>
      </w:r>
      <w:r>
        <w:rPr>
          <w:rFonts w:hint="eastAsia" w:ascii="仿宋_GB2312" w:hAnsi="仿宋" w:eastAsia="仿宋_GB2312" w:cs="仿宋"/>
          <w:sz w:val="32"/>
          <w:szCs w:val="32"/>
        </w:rPr>
        <w:fldChar w:fldCharType="end"/>
      </w:r>
    </w:p>
    <w:p>
      <w:pPr>
        <w:pStyle w:val="11"/>
        <w:tabs>
          <w:tab w:val="right" w:leader="dot" w:pos="8845"/>
          <w:tab w:val="clear" w:pos="8608"/>
        </w:tabs>
        <w:rPr>
          <w:rFonts w:ascii="仿宋_GB2312" w:hAnsi="仿宋" w:eastAsia="仿宋_GB2312" w:cs="仿宋"/>
          <w:sz w:val="32"/>
          <w:szCs w:val="32"/>
        </w:rPr>
      </w:pPr>
      <w:r>
        <w:fldChar w:fldCharType="begin"/>
      </w:r>
      <w:r>
        <w:instrText xml:space="preserve"> HYPERLINK \l "_Toc19516" </w:instrText>
      </w:r>
      <w:r>
        <w:fldChar w:fldCharType="separate"/>
      </w:r>
      <w:r>
        <w:rPr>
          <w:rFonts w:hint="eastAsia" w:ascii="仿宋_GB2312" w:hAnsi="仿宋" w:eastAsia="仿宋_GB2312" w:cs="仿宋"/>
          <w:sz w:val="32"/>
          <w:szCs w:val="32"/>
          <w:shd w:val="clear" w:color="auto" w:fill="FFFFFF"/>
        </w:rPr>
        <w:t>第一节 指导思想</w:t>
      </w:r>
      <w:r>
        <w:rPr>
          <w:rFonts w:hint="eastAsia" w:ascii="仿宋_GB2312" w:hAnsi="仿宋" w:eastAsia="仿宋_GB2312" w:cs="仿宋"/>
          <w:sz w:val="32"/>
          <w:szCs w:val="32"/>
        </w:rPr>
        <w:tab/>
      </w:r>
      <w:r>
        <w:rPr>
          <w:rFonts w:hint="eastAsia" w:ascii="仿宋_GB2312" w:hAnsi="仿宋" w:eastAsia="仿宋_GB2312" w:cs="仿宋"/>
          <w:sz w:val="32"/>
          <w:szCs w:val="32"/>
        </w:rPr>
        <w:fldChar w:fldCharType="begin"/>
      </w:r>
      <w:r>
        <w:rPr>
          <w:rFonts w:hint="eastAsia" w:ascii="仿宋_GB2312" w:hAnsi="仿宋" w:eastAsia="仿宋_GB2312" w:cs="仿宋"/>
          <w:sz w:val="32"/>
          <w:szCs w:val="32"/>
        </w:rPr>
        <w:instrText xml:space="preserve"> PAGEREF _Toc19516 \h </w:instrText>
      </w:r>
      <w:r>
        <w:rPr>
          <w:rFonts w:hint="eastAsia" w:ascii="仿宋_GB2312" w:hAnsi="仿宋" w:eastAsia="仿宋_GB2312" w:cs="仿宋"/>
          <w:sz w:val="32"/>
          <w:szCs w:val="32"/>
        </w:rPr>
        <w:fldChar w:fldCharType="separate"/>
      </w:r>
      <w:r>
        <w:rPr>
          <w:rFonts w:hint="eastAsia" w:ascii="仿宋_GB2312" w:hAnsi="仿宋" w:eastAsia="仿宋_GB2312" w:cs="仿宋"/>
          <w:sz w:val="32"/>
          <w:szCs w:val="32"/>
        </w:rPr>
        <w:t>10</w:t>
      </w:r>
      <w:r>
        <w:rPr>
          <w:rFonts w:hint="eastAsia" w:ascii="仿宋_GB2312" w:hAnsi="仿宋" w:eastAsia="仿宋_GB2312" w:cs="仿宋"/>
          <w:sz w:val="32"/>
          <w:szCs w:val="32"/>
        </w:rPr>
        <w:fldChar w:fldCharType="end"/>
      </w:r>
      <w:r>
        <w:rPr>
          <w:rFonts w:hint="eastAsia" w:ascii="仿宋_GB2312" w:hAnsi="仿宋" w:eastAsia="仿宋_GB2312" w:cs="仿宋"/>
          <w:sz w:val="32"/>
          <w:szCs w:val="32"/>
        </w:rPr>
        <w:fldChar w:fldCharType="end"/>
      </w:r>
    </w:p>
    <w:p>
      <w:pPr>
        <w:pStyle w:val="11"/>
        <w:tabs>
          <w:tab w:val="right" w:leader="dot" w:pos="8845"/>
          <w:tab w:val="clear" w:pos="8608"/>
        </w:tabs>
        <w:rPr>
          <w:rFonts w:ascii="仿宋_GB2312" w:hAnsi="仿宋" w:eastAsia="仿宋_GB2312" w:cs="仿宋"/>
          <w:sz w:val="32"/>
          <w:szCs w:val="32"/>
        </w:rPr>
      </w:pPr>
      <w:r>
        <w:fldChar w:fldCharType="begin"/>
      </w:r>
      <w:r>
        <w:instrText xml:space="preserve"> HYPERLINK \l "_Toc16207" </w:instrText>
      </w:r>
      <w:r>
        <w:fldChar w:fldCharType="separate"/>
      </w:r>
      <w:r>
        <w:rPr>
          <w:rFonts w:hint="eastAsia" w:ascii="仿宋_GB2312" w:hAnsi="仿宋" w:eastAsia="仿宋_GB2312" w:cs="仿宋"/>
          <w:sz w:val="32"/>
          <w:szCs w:val="32"/>
          <w:shd w:val="clear" w:color="auto" w:fill="FFFFFF"/>
        </w:rPr>
        <w:t>第二节 基本原则</w:t>
      </w:r>
      <w:r>
        <w:rPr>
          <w:rFonts w:hint="eastAsia" w:ascii="仿宋_GB2312" w:hAnsi="仿宋" w:eastAsia="仿宋_GB2312" w:cs="仿宋"/>
          <w:sz w:val="32"/>
          <w:szCs w:val="32"/>
        </w:rPr>
        <w:tab/>
      </w:r>
      <w:r>
        <w:rPr>
          <w:rFonts w:hint="eastAsia" w:ascii="仿宋_GB2312" w:hAnsi="仿宋" w:eastAsia="仿宋_GB2312" w:cs="仿宋"/>
          <w:sz w:val="32"/>
          <w:szCs w:val="32"/>
        </w:rPr>
        <w:fldChar w:fldCharType="begin"/>
      </w:r>
      <w:r>
        <w:rPr>
          <w:rFonts w:hint="eastAsia" w:ascii="仿宋_GB2312" w:hAnsi="仿宋" w:eastAsia="仿宋_GB2312" w:cs="仿宋"/>
          <w:sz w:val="32"/>
          <w:szCs w:val="32"/>
        </w:rPr>
        <w:instrText xml:space="preserve"> PAGEREF _Toc16207 \h </w:instrText>
      </w:r>
      <w:r>
        <w:rPr>
          <w:rFonts w:hint="eastAsia" w:ascii="仿宋_GB2312" w:hAnsi="仿宋" w:eastAsia="仿宋_GB2312" w:cs="仿宋"/>
          <w:sz w:val="32"/>
          <w:szCs w:val="32"/>
        </w:rPr>
        <w:fldChar w:fldCharType="separate"/>
      </w:r>
      <w:r>
        <w:rPr>
          <w:rFonts w:hint="eastAsia" w:ascii="仿宋_GB2312" w:hAnsi="仿宋" w:eastAsia="仿宋_GB2312" w:cs="仿宋"/>
          <w:sz w:val="32"/>
          <w:szCs w:val="32"/>
        </w:rPr>
        <w:t>11</w:t>
      </w:r>
      <w:r>
        <w:rPr>
          <w:rFonts w:hint="eastAsia" w:ascii="仿宋_GB2312" w:hAnsi="仿宋" w:eastAsia="仿宋_GB2312" w:cs="仿宋"/>
          <w:sz w:val="32"/>
          <w:szCs w:val="32"/>
        </w:rPr>
        <w:fldChar w:fldCharType="end"/>
      </w:r>
      <w:r>
        <w:rPr>
          <w:rFonts w:hint="eastAsia" w:ascii="仿宋_GB2312" w:hAnsi="仿宋" w:eastAsia="仿宋_GB2312" w:cs="仿宋"/>
          <w:sz w:val="32"/>
          <w:szCs w:val="32"/>
        </w:rPr>
        <w:fldChar w:fldCharType="end"/>
      </w:r>
    </w:p>
    <w:p>
      <w:pPr>
        <w:pStyle w:val="11"/>
        <w:tabs>
          <w:tab w:val="right" w:leader="dot" w:pos="8845"/>
          <w:tab w:val="clear" w:pos="8608"/>
        </w:tabs>
        <w:rPr>
          <w:rFonts w:ascii="仿宋_GB2312" w:hAnsi="仿宋" w:eastAsia="仿宋_GB2312" w:cs="仿宋"/>
          <w:sz w:val="32"/>
          <w:szCs w:val="32"/>
        </w:rPr>
      </w:pPr>
      <w:r>
        <w:fldChar w:fldCharType="begin"/>
      </w:r>
      <w:r>
        <w:instrText xml:space="preserve"> HYPERLINK \l "_Toc17930" </w:instrText>
      </w:r>
      <w:r>
        <w:fldChar w:fldCharType="separate"/>
      </w:r>
      <w:r>
        <w:rPr>
          <w:rFonts w:hint="eastAsia" w:ascii="仿宋_GB2312" w:hAnsi="仿宋" w:eastAsia="仿宋_GB2312" w:cs="仿宋"/>
          <w:sz w:val="32"/>
          <w:szCs w:val="32"/>
        </w:rPr>
        <w:t>第三节 主要目标</w:t>
      </w:r>
      <w:r>
        <w:rPr>
          <w:rFonts w:hint="eastAsia" w:ascii="仿宋_GB2312" w:hAnsi="仿宋" w:eastAsia="仿宋_GB2312" w:cs="仿宋"/>
          <w:sz w:val="32"/>
          <w:szCs w:val="32"/>
        </w:rPr>
        <w:tab/>
      </w:r>
      <w:r>
        <w:rPr>
          <w:rFonts w:hint="eastAsia" w:ascii="仿宋_GB2312" w:hAnsi="仿宋" w:eastAsia="仿宋_GB2312" w:cs="仿宋"/>
          <w:sz w:val="32"/>
          <w:szCs w:val="32"/>
        </w:rPr>
        <w:fldChar w:fldCharType="begin"/>
      </w:r>
      <w:r>
        <w:rPr>
          <w:rFonts w:hint="eastAsia" w:ascii="仿宋_GB2312" w:hAnsi="仿宋" w:eastAsia="仿宋_GB2312" w:cs="仿宋"/>
          <w:sz w:val="32"/>
          <w:szCs w:val="32"/>
        </w:rPr>
        <w:instrText xml:space="preserve"> PAGEREF _Toc17930 \h </w:instrText>
      </w:r>
      <w:r>
        <w:rPr>
          <w:rFonts w:hint="eastAsia" w:ascii="仿宋_GB2312" w:hAnsi="仿宋" w:eastAsia="仿宋_GB2312" w:cs="仿宋"/>
          <w:sz w:val="32"/>
          <w:szCs w:val="32"/>
        </w:rPr>
        <w:fldChar w:fldCharType="separate"/>
      </w:r>
      <w:r>
        <w:rPr>
          <w:rFonts w:hint="eastAsia" w:ascii="仿宋_GB2312" w:hAnsi="仿宋" w:eastAsia="仿宋_GB2312" w:cs="仿宋"/>
          <w:sz w:val="32"/>
          <w:szCs w:val="32"/>
        </w:rPr>
        <w:t>12</w:t>
      </w:r>
      <w:r>
        <w:rPr>
          <w:rFonts w:hint="eastAsia" w:ascii="仿宋_GB2312" w:hAnsi="仿宋" w:eastAsia="仿宋_GB2312" w:cs="仿宋"/>
          <w:sz w:val="32"/>
          <w:szCs w:val="32"/>
        </w:rPr>
        <w:fldChar w:fldCharType="end"/>
      </w:r>
      <w:r>
        <w:rPr>
          <w:rFonts w:hint="eastAsia" w:ascii="仿宋_GB2312" w:hAnsi="仿宋" w:eastAsia="仿宋_GB2312" w:cs="仿宋"/>
          <w:sz w:val="32"/>
          <w:szCs w:val="32"/>
        </w:rPr>
        <w:fldChar w:fldCharType="end"/>
      </w:r>
    </w:p>
    <w:p>
      <w:pPr>
        <w:pStyle w:val="9"/>
        <w:tabs>
          <w:tab w:val="right" w:leader="dot" w:pos="8845"/>
        </w:tabs>
        <w:rPr>
          <w:rFonts w:ascii="仿宋_GB2312" w:hAnsi="仿宋" w:eastAsia="仿宋_GB2312" w:cs="仿宋"/>
          <w:sz w:val="32"/>
          <w:szCs w:val="32"/>
        </w:rPr>
      </w:pPr>
      <w:r>
        <w:fldChar w:fldCharType="begin"/>
      </w:r>
      <w:r>
        <w:instrText xml:space="preserve"> HYPERLINK \l "_Toc14382" </w:instrText>
      </w:r>
      <w:r>
        <w:fldChar w:fldCharType="separate"/>
      </w:r>
      <w:r>
        <w:rPr>
          <w:rFonts w:hint="eastAsia" w:ascii="仿宋_GB2312" w:hAnsi="仿宋" w:eastAsia="仿宋_GB2312" w:cs="仿宋"/>
          <w:sz w:val="32"/>
          <w:szCs w:val="32"/>
          <w:shd w:val="clear" w:color="auto" w:fill="FFFFFF"/>
        </w:rPr>
        <w:t>第四章  重点任务</w:t>
      </w:r>
      <w:r>
        <w:rPr>
          <w:rFonts w:hint="eastAsia" w:ascii="仿宋_GB2312" w:hAnsi="仿宋" w:eastAsia="仿宋_GB2312" w:cs="仿宋"/>
          <w:sz w:val="32"/>
          <w:szCs w:val="32"/>
        </w:rPr>
        <w:tab/>
      </w:r>
      <w:r>
        <w:rPr>
          <w:rFonts w:hint="eastAsia" w:ascii="仿宋_GB2312" w:hAnsi="仿宋" w:eastAsia="仿宋_GB2312" w:cs="仿宋"/>
          <w:sz w:val="32"/>
          <w:szCs w:val="32"/>
        </w:rPr>
        <w:fldChar w:fldCharType="begin"/>
      </w:r>
      <w:r>
        <w:rPr>
          <w:rFonts w:hint="eastAsia" w:ascii="仿宋_GB2312" w:hAnsi="仿宋" w:eastAsia="仿宋_GB2312" w:cs="仿宋"/>
          <w:sz w:val="32"/>
          <w:szCs w:val="32"/>
        </w:rPr>
        <w:instrText xml:space="preserve"> PAGEREF _Toc14382 \h </w:instrText>
      </w:r>
      <w:r>
        <w:rPr>
          <w:rFonts w:hint="eastAsia" w:ascii="仿宋_GB2312" w:hAnsi="仿宋" w:eastAsia="仿宋_GB2312" w:cs="仿宋"/>
          <w:sz w:val="32"/>
          <w:szCs w:val="32"/>
        </w:rPr>
        <w:fldChar w:fldCharType="separate"/>
      </w:r>
      <w:r>
        <w:rPr>
          <w:rFonts w:hint="eastAsia" w:ascii="仿宋_GB2312" w:hAnsi="仿宋" w:eastAsia="仿宋_GB2312" w:cs="仿宋"/>
          <w:sz w:val="32"/>
          <w:szCs w:val="32"/>
        </w:rPr>
        <w:t>15</w:t>
      </w:r>
      <w:r>
        <w:rPr>
          <w:rFonts w:hint="eastAsia" w:ascii="仿宋_GB2312" w:hAnsi="仿宋" w:eastAsia="仿宋_GB2312" w:cs="仿宋"/>
          <w:sz w:val="32"/>
          <w:szCs w:val="32"/>
        </w:rPr>
        <w:fldChar w:fldCharType="end"/>
      </w:r>
      <w:r>
        <w:rPr>
          <w:rFonts w:hint="eastAsia" w:ascii="仿宋_GB2312" w:hAnsi="仿宋" w:eastAsia="仿宋_GB2312" w:cs="仿宋"/>
          <w:sz w:val="32"/>
          <w:szCs w:val="32"/>
        </w:rPr>
        <w:fldChar w:fldCharType="end"/>
      </w:r>
    </w:p>
    <w:p>
      <w:pPr>
        <w:pStyle w:val="11"/>
        <w:tabs>
          <w:tab w:val="right" w:leader="dot" w:pos="8845"/>
          <w:tab w:val="clear" w:pos="8608"/>
        </w:tabs>
        <w:rPr>
          <w:rFonts w:ascii="仿宋_GB2312" w:hAnsi="仿宋" w:eastAsia="仿宋_GB2312" w:cs="仿宋"/>
          <w:sz w:val="32"/>
          <w:szCs w:val="32"/>
        </w:rPr>
      </w:pPr>
      <w:r>
        <w:fldChar w:fldCharType="begin"/>
      </w:r>
      <w:r>
        <w:instrText xml:space="preserve"> HYPERLINK \l "_Toc7221" </w:instrText>
      </w:r>
      <w:r>
        <w:fldChar w:fldCharType="separate"/>
      </w:r>
      <w:r>
        <w:rPr>
          <w:rFonts w:hint="eastAsia" w:ascii="仿宋_GB2312" w:hAnsi="仿宋" w:eastAsia="仿宋_GB2312" w:cs="仿宋"/>
          <w:sz w:val="32"/>
          <w:szCs w:val="32"/>
          <w:shd w:val="clear" w:color="auto" w:fill="FFFFFF"/>
        </w:rPr>
        <w:t>第一节 拓展就业机会促进更加充分就业</w:t>
      </w:r>
      <w:r>
        <w:rPr>
          <w:rFonts w:hint="eastAsia" w:ascii="仿宋_GB2312" w:hAnsi="仿宋" w:eastAsia="仿宋_GB2312" w:cs="仿宋"/>
          <w:sz w:val="32"/>
          <w:szCs w:val="32"/>
        </w:rPr>
        <w:tab/>
      </w:r>
      <w:r>
        <w:rPr>
          <w:rFonts w:hint="eastAsia" w:ascii="仿宋_GB2312" w:hAnsi="仿宋" w:eastAsia="仿宋_GB2312" w:cs="仿宋"/>
          <w:sz w:val="32"/>
          <w:szCs w:val="32"/>
        </w:rPr>
        <w:fldChar w:fldCharType="begin"/>
      </w:r>
      <w:r>
        <w:rPr>
          <w:rFonts w:hint="eastAsia" w:ascii="仿宋_GB2312" w:hAnsi="仿宋" w:eastAsia="仿宋_GB2312" w:cs="仿宋"/>
          <w:sz w:val="32"/>
          <w:szCs w:val="32"/>
        </w:rPr>
        <w:instrText xml:space="preserve"> PAGEREF _Toc7221 \h </w:instrText>
      </w:r>
      <w:r>
        <w:rPr>
          <w:rFonts w:hint="eastAsia" w:ascii="仿宋_GB2312" w:hAnsi="仿宋" w:eastAsia="仿宋_GB2312" w:cs="仿宋"/>
          <w:sz w:val="32"/>
          <w:szCs w:val="32"/>
        </w:rPr>
        <w:fldChar w:fldCharType="separate"/>
      </w:r>
      <w:r>
        <w:rPr>
          <w:rFonts w:hint="eastAsia" w:ascii="仿宋_GB2312" w:hAnsi="仿宋" w:eastAsia="仿宋_GB2312" w:cs="仿宋"/>
          <w:sz w:val="32"/>
          <w:szCs w:val="32"/>
        </w:rPr>
        <w:t>15</w:t>
      </w:r>
      <w:r>
        <w:rPr>
          <w:rFonts w:hint="eastAsia" w:ascii="仿宋_GB2312" w:hAnsi="仿宋" w:eastAsia="仿宋_GB2312" w:cs="仿宋"/>
          <w:sz w:val="32"/>
          <w:szCs w:val="32"/>
        </w:rPr>
        <w:fldChar w:fldCharType="end"/>
      </w:r>
      <w:r>
        <w:rPr>
          <w:rFonts w:hint="eastAsia" w:ascii="仿宋_GB2312" w:hAnsi="仿宋" w:eastAsia="仿宋_GB2312" w:cs="仿宋"/>
          <w:sz w:val="32"/>
          <w:szCs w:val="32"/>
        </w:rPr>
        <w:fldChar w:fldCharType="end"/>
      </w:r>
    </w:p>
    <w:p>
      <w:pPr>
        <w:pStyle w:val="11"/>
        <w:tabs>
          <w:tab w:val="right" w:leader="dot" w:pos="8845"/>
          <w:tab w:val="clear" w:pos="8608"/>
        </w:tabs>
        <w:rPr>
          <w:rFonts w:ascii="仿宋_GB2312" w:hAnsi="仿宋" w:eastAsia="仿宋_GB2312" w:cs="仿宋"/>
          <w:sz w:val="32"/>
          <w:szCs w:val="32"/>
        </w:rPr>
      </w:pPr>
      <w:r>
        <w:fldChar w:fldCharType="begin"/>
      </w:r>
      <w:r>
        <w:instrText xml:space="preserve"> HYPERLINK \l "_Toc6266" </w:instrText>
      </w:r>
      <w:r>
        <w:fldChar w:fldCharType="separate"/>
      </w:r>
      <w:r>
        <w:rPr>
          <w:rFonts w:hint="eastAsia" w:ascii="仿宋_GB2312" w:hAnsi="仿宋" w:eastAsia="仿宋_GB2312" w:cs="仿宋"/>
          <w:sz w:val="32"/>
          <w:szCs w:val="32"/>
          <w:shd w:val="clear" w:color="auto" w:fill="FFFFFF"/>
        </w:rPr>
        <w:t>第二节 促进扶贫搬迁劳动力更高质量就业</w:t>
      </w:r>
      <w:r>
        <w:rPr>
          <w:rFonts w:hint="eastAsia" w:ascii="仿宋_GB2312" w:hAnsi="仿宋" w:eastAsia="仿宋_GB2312" w:cs="仿宋"/>
          <w:sz w:val="32"/>
          <w:szCs w:val="32"/>
        </w:rPr>
        <w:tab/>
      </w:r>
      <w:r>
        <w:rPr>
          <w:rFonts w:hint="eastAsia" w:ascii="仿宋_GB2312" w:hAnsi="仿宋" w:eastAsia="仿宋_GB2312" w:cs="仿宋"/>
          <w:sz w:val="32"/>
          <w:szCs w:val="32"/>
        </w:rPr>
        <w:fldChar w:fldCharType="begin"/>
      </w:r>
      <w:r>
        <w:rPr>
          <w:rFonts w:hint="eastAsia" w:ascii="仿宋_GB2312" w:hAnsi="仿宋" w:eastAsia="仿宋_GB2312" w:cs="仿宋"/>
          <w:sz w:val="32"/>
          <w:szCs w:val="32"/>
        </w:rPr>
        <w:instrText xml:space="preserve"> PAGEREF _Toc6266 \h </w:instrText>
      </w:r>
      <w:r>
        <w:rPr>
          <w:rFonts w:hint="eastAsia" w:ascii="仿宋_GB2312" w:hAnsi="仿宋" w:eastAsia="仿宋_GB2312" w:cs="仿宋"/>
          <w:sz w:val="32"/>
          <w:szCs w:val="32"/>
        </w:rPr>
        <w:fldChar w:fldCharType="separate"/>
      </w:r>
      <w:r>
        <w:rPr>
          <w:rFonts w:hint="eastAsia" w:ascii="仿宋_GB2312" w:hAnsi="仿宋" w:eastAsia="仿宋_GB2312" w:cs="仿宋"/>
          <w:sz w:val="32"/>
          <w:szCs w:val="32"/>
        </w:rPr>
        <w:t>15</w:t>
      </w:r>
      <w:r>
        <w:rPr>
          <w:rFonts w:hint="eastAsia" w:ascii="仿宋_GB2312" w:hAnsi="仿宋" w:eastAsia="仿宋_GB2312" w:cs="仿宋"/>
          <w:sz w:val="32"/>
          <w:szCs w:val="32"/>
        </w:rPr>
        <w:fldChar w:fldCharType="end"/>
      </w:r>
      <w:r>
        <w:rPr>
          <w:rFonts w:hint="eastAsia" w:ascii="仿宋_GB2312" w:hAnsi="仿宋" w:eastAsia="仿宋_GB2312" w:cs="仿宋"/>
          <w:sz w:val="32"/>
          <w:szCs w:val="32"/>
        </w:rPr>
        <w:fldChar w:fldCharType="end"/>
      </w:r>
    </w:p>
    <w:p>
      <w:pPr>
        <w:pStyle w:val="11"/>
        <w:tabs>
          <w:tab w:val="right" w:leader="dot" w:pos="8845"/>
          <w:tab w:val="clear" w:pos="8608"/>
        </w:tabs>
        <w:rPr>
          <w:rFonts w:ascii="仿宋_GB2312" w:hAnsi="仿宋" w:eastAsia="仿宋_GB2312" w:cs="仿宋"/>
          <w:sz w:val="32"/>
          <w:szCs w:val="32"/>
        </w:rPr>
      </w:pPr>
      <w:r>
        <w:fldChar w:fldCharType="begin"/>
      </w:r>
      <w:r>
        <w:instrText xml:space="preserve"> HYPERLINK \l "_Toc25487" </w:instrText>
      </w:r>
      <w:r>
        <w:fldChar w:fldCharType="separate"/>
      </w:r>
      <w:r>
        <w:rPr>
          <w:rFonts w:hint="eastAsia" w:ascii="仿宋_GB2312" w:hAnsi="仿宋" w:eastAsia="仿宋_GB2312" w:cs="仿宋"/>
          <w:sz w:val="32"/>
          <w:szCs w:val="32"/>
          <w:shd w:val="clear" w:color="auto" w:fill="FFFFFF"/>
        </w:rPr>
        <w:t>第三节 完善困难群体就业保障体系</w:t>
      </w:r>
      <w:r>
        <w:rPr>
          <w:rFonts w:hint="eastAsia" w:ascii="仿宋_GB2312" w:hAnsi="仿宋" w:eastAsia="仿宋_GB2312" w:cs="仿宋"/>
          <w:sz w:val="32"/>
          <w:szCs w:val="32"/>
        </w:rPr>
        <w:tab/>
      </w:r>
      <w:r>
        <w:rPr>
          <w:rFonts w:hint="eastAsia" w:ascii="仿宋_GB2312" w:hAnsi="仿宋" w:eastAsia="仿宋_GB2312" w:cs="仿宋"/>
          <w:sz w:val="32"/>
          <w:szCs w:val="32"/>
        </w:rPr>
        <w:fldChar w:fldCharType="begin"/>
      </w:r>
      <w:r>
        <w:rPr>
          <w:rFonts w:hint="eastAsia" w:ascii="仿宋_GB2312" w:hAnsi="仿宋" w:eastAsia="仿宋_GB2312" w:cs="仿宋"/>
          <w:sz w:val="32"/>
          <w:szCs w:val="32"/>
        </w:rPr>
        <w:instrText xml:space="preserve"> PAGEREF _Toc25487 \h </w:instrText>
      </w:r>
      <w:r>
        <w:rPr>
          <w:rFonts w:hint="eastAsia" w:ascii="仿宋_GB2312" w:hAnsi="仿宋" w:eastAsia="仿宋_GB2312" w:cs="仿宋"/>
          <w:sz w:val="32"/>
          <w:szCs w:val="32"/>
        </w:rPr>
        <w:fldChar w:fldCharType="separate"/>
      </w:r>
      <w:r>
        <w:rPr>
          <w:rFonts w:hint="eastAsia" w:ascii="仿宋_GB2312" w:hAnsi="仿宋" w:eastAsia="仿宋_GB2312" w:cs="仿宋"/>
          <w:sz w:val="32"/>
          <w:szCs w:val="32"/>
        </w:rPr>
        <w:t>16</w:t>
      </w:r>
      <w:r>
        <w:rPr>
          <w:rFonts w:hint="eastAsia" w:ascii="仿宋_GB2312" w:hAnsi="仿宋" w:eastAsia="仿宋_GB2312" w:cs="仿宋"/>
          <w:sz w:val="32"/>
          <w:szCs w:val="32"/>
        </w:rPr>
        <w:fldChar w:fldCharType="end"/>
      </w:r>
      <w:r>
        <w:rPr>
          <w:rFonts w:hint="eastAsia" w:ascii="仿宋_GB2312" w:hAnsi="仿宋" w:eastAsia="仿宋_GB2312" w:cs="仿宋"/>
          <w:sz w:val="32"/>
          <w:szCs w:val="32"/>
        </w:rPr>
        <w:fldChar w:fldCharType="end"/>
      </w:r>
    </w:p>
    <w:p>
      <w:pPr>
        <w:pStyle w:val="11"/>
        <w:tabs>
          <w:tab w:val="right" w:leader="dot" w:pos="8845"/>
          <w:tab w:val="clear" w:pos="8608"/>
        </w:tabs>
        <w:rPr>
          <w:rFonts w:ascii="仿宋_GB2312" w:hAnsi="仿宋" w:eastAsia="仿宋_GB2312" w:cs="仿宋"/>
          <w:sz w:val="32"/>
          <w:szCs w:val="32"/>
        </w:rPr>
      </w:pPr>
      <w:r>
        <w:fldChar w:fldCharType="begin"/>
      </w:r>
      <w:r>
        <w:instrText xml:space="preserve"> HYPERLINK \l "_Toc22484" </w:instrText>
      </w:r>
      <w:r>
        <w:fldChar w:fldCharType="separate"/>
      </w:r>
      <w:r>
        <w:rPr>
          <w:rFonts w:hint="eastAsia" w:ascii="仿宋_GB2312" w:hAnsi="仿宋" w:eastAsia="仿宋_GB2312" w:cs="仿宋"/>
          <w:sz w:val="32"/>
          <w:szCs w:val="32"/>
          <w:shd w:val="clear" w:color="auto" w:fill="FFFFFF"/>
        </w:rPr>
        <w:t>第四节 提升就业培训质量</w:t>
      </w:r>
      <w:r>
        <w:rPr>
          <w:rFonts w:hint="eastAsia" w:ascii="仿宋_GB2312" w:hAnsi="仿宋" w:eastAsia="仿宋_GB2312" w:cs="仿宋"/>
          <w:sz w:val="32"/>
          <w:szCs w:val="32"/>
        </w:rPr>
        <w:tab/>
      </w:r>
      <w:r>
        <w:rPr>
          <w:rFonts w:hint="eastAsia" w:ascii="仿宋_GB2312" w:hAnsi="仿宋" w:eastAsia="仿宋_GB2312" w:cs="仿宋"/>
          <w:sz w:val="32"/>
          <w:szCs w:val="32"/>
        </w:rPr>
        <w:fldChar w:fldCharType="begin"/>
      </w:r>
      <w:r>
        <w:rPr>
          <w:rFonts w:hint="eastAsia" w:ascii="仿宋_GB2312" w:hAnsi="仿宋" w:eastAsia="仿宋_GB2312" w:cs="仿宋"/>
          <w:sz w:val="32"/>
          <w:szCs w:val="32"/>
        </w:rPr>
        <w:instrText xml:space="preserve"> PAGEREF _Toc22484 \h </w:instrText>
      </w:r>
      <w:r>
        <w:rPr>
          <w:rFonts w:hint="eastAsia" w:ascii="仿宋_GB2312" w:hAnsi="仿宋" w:eastAsia="仿宋_GB2312" w:cs="仿宋"/>
          <w:sz w:val="32"/>
          <w:szCs w:val="32"/>
        </w:rPr>
        <w:fldChar w:fldCharType="separate"/>
      </w:r>
      <w:r>
        <w:rPr>
          <w:rFonts w:hint="eastAsia" w:ascii="仿宋_GB2312" w:hAnsi="仿宋" w:eastAsia="仿宋_GB2312" w:cs="仿宋"/>
          <w:sz w:val="32"/>
          <w:szCs w:val="32"/>
        </w:rPr>
        <w:t>17</w:t>
      </w:r>
      <w:r>
        <w:rPr>
          <w:rFonts w:hint="eastAsia" w:ascii="仿宋_GB2312" w:hAnsi="仿宋" w:eastAsia="仿宋_GB2312" w:cs="仿宋"/>
          <w:sz w:val="32"/>
          <w:szCs w:val="32"/>
        </w:rPr>
        <w:fldChar w:fldCharType="end"/>
      </w:r>
      <w:r>
        <w:rPr>
          <w:rFonts w:hint="eastAsia" w:ascii="仿宋_GB2312" w:hAnsi="仿宋" w:eastAsia="仿宋_GB2312" w:cs="仿宋"/>
          <w:sz w:val="32"/>
          <w:szCs w:val="32"/>
        </w:rPr>
        <w:fldChar w:fldCharType="end"/>
      </w:r>
    </w:p>
    <w:p>
      <w:pPr>
        <w:pStyle w:val="11"/>
        <w:tabs>
          <w:tab w:val="right" w:leader="dot" w:pos="8845"/>
          <w:tab w:val="clear" w:pos="8608"/>
        </w:tabs>
        <w:rPr>
          <w:rFonts w:ascii="仿宋_GB2312" w:hAnsi="仿宋" w:eastAsia="仿宋_GB2312" w:cs="仿宋"/>
          <w:sz w:val="32"/>
          <w:szCs w:val="32"/>
        </w:rPr>
      </w:pPr>
      <w:r>
        <w:fldChar w:fldCharType="begin"/>
      </w:r>
      <w:r>
        <w:instrText xml:space="preserve"> HYPERLINK \l "_Toc31462" </w:instrText>
      </w:r>
      <w:r>
        <w:fldChar w:fldCharType="separate"/>
      </w:r>
      <w:r>
        <w:rPr>
          <w:rFonts w:hint="eastAsia" w:ascii="仿宋_GB2312" w:hAnsi="仿宋" w:eastAsia="仿宋_GB2312" w:cs="仿宋"/>
          <w:sz w:val="32"/>
          <w:szCs w:val="32"/>
          <w:shd w:val="clear" w:color="auto" w:fill="FFFFFF"/>
        </w:rPr>
        <w:t>第五节 服务乡村振兴战略</w:t>
      </w:r>
      <w:r>
        <w:rPr>
          <w:rFonts w:hint="eastAsia" w:ascii="仿宋_GB2312" w:hAnsi="仿宋" w:eastAsia="仿宋_GB2312" w:cs="仿宋"/>
          <w:sz w:val="32"/>
          <w:szCs w:val="32"/>
        </w:rPr>
        <w:tab/>
      </w:r>
      <w:r>
        <w:rPr>
          <w:rFonts w:hint="eastAsia" w:ascii="仿宋_GB2312" w:hAnsi="仿宋" w:eastAsia="仿宋_GB2312" w:cs="仿宋"/>
          <w:sz w:val="32"/>
          <w:szCs w:val="32"/>
        </w:rPr>
        <w:fldChar w:fldCharType="begin"/>
      </w:r>
      <w:r>
        <w:rPr>
          <w:rFonts w:hint="eastAsia" w:ascii="仿宋_GB2312" w:hAnsi="仿宋" w:eastAsia="仿宋_GB2312" w:cs="仿宋"/>
          <w:sz w:val="32"/>
          <w:szCs w:val="32"/>
        </w:rPr>
        <w:instrText xml:space="preserve"> PAGEREF _Toc31462 \h </w:instrText>
      </w:r>
      <w:r>
        <w:rPr>
          <w:rFonts w:hint="eastAsia" w:ascii="仿宋_GB2312" w:hAnsi="仿宋" w:eastAsia="仿宋_GB2312" w:cs="仿宋"/>
          <w:sz w:val="32"/>
          <w:szCs w:val="32"/>
        </w:rPr>
        <w:fldChar w:fldCharType="separate"/>
      </w:r>
      <w:r>
        <w:rPr>
          <w:rFonts w:hint="eastAsia" w:ascii="仿宋_GB2312" w:hAnsi="仿宋" w:eastAsia="仿宋_GB2312" w:cs="仿宋"/>
          <w:sz w:val="32"/>
          <w:szCs w:val="32"/>
        </w:rPr>
        <w:t>17</w:t>
      </w:r>
      <w:r>
        <w:rPr>
          <w:rFonts w:hint="eastAsia" w:ascii="仿宋_GB2312" w:hAnsi="仿宋" w:eastAsia="仿宋_GB2312" w:cs="仿宋"/>
          <w:sz w:val="32"/>
          <w:szCs w:val="32"/>
        </w:rPr>
        <w:fldChar w:fldCharType="end"/>
      </w:r>
      <w:r>
        <w:rPr>
          <w:rFonts w:hint="eastAsia" w:ascii="仿宋_GB2312" w:hAnsi="仿宋" w:eastAsia="仿宋_GB2312" w:cs="仿宋"/>
          <w:sz w:val="32"/>
          <w:szCs w:val="32"/>
        </w:rPr>
        <w:fldChar w:fldCharType="end"/>
      </w:r>
    </w:p>
    <w:p>
      <w:pPr>
        <w:pStyle w:val="11"/>
        <w:tabs>
          <w:tab w:val="right" w:leader="dot" w:pos="8845"/>
          <w:tab w:val="clear" w:pos="8608"/>
        </w:tabs>
        <w:rPr>
          <w:rFonts w:ascii="仿宋_GB2312" w:hAnsi="仿宋" w:eastAsia="仿宋_GB2312" w:cs="仿宋"/>
          <w:sz w:val="32"/>
          <w:szCs w:val="32"/>
        </w:rPr>
      </w:pPr>
      <w:r>
        <w:fldChar w:fldCharType="begin"/>
      </w:r>
      <w:r>
        <w:instrText xml:space="preserve"> HYPERLINK \l "_Toc20673" </w:instrText>
      </w:r>
      <w:r>
        <w:fldChar w:fldCharType="separate"/>
      </w:r>
      <w:r>
        <w:rPr>
          <w:rFonts w:hint="eastAsia" w:ascii="仿宋_GB2312" w:hAnsi="仿宋" w:eastAsia="仿宋_GB2312" w:cs="仿宋"/>
          <w:sz w:val="32"/>
          <w:szCs w:val="32"/>
          <w:shd w:val="clear" w:color="auto" w:fill="FFFFFF"/>
        </w:rPr>
        <w:t>第六节 完善社会保障政策体系</w:t>
      </w:r>
      <w:r>
        <w:rPr>
          <w:rFonts w:hint="eastAsia" w:ascii="仿宋_GB2312" w:hAnsi="仿宋" w:eastAsia="仿宋_GB2312" w:cs="仿宋"/>
          <w:sz w:val="32"/>
          <w:szCs w:val="32"/>
        </w:rPr>
        <w:tab/>
      </w:r>
      <w:r>
        <w:rPr>
          <w:rFonts w:hint="eastAsia" w:ascii="仿宋_GB2312" w:hAnsi="仿宋" w:eastAsia="仿宋_GB2312" w:cs="仿宋"/>
          <w:sz w:val="32"/>
          <w:szCs w:val="32"/>
        </w:rPr>
        <w:fldChar w:fldCharType="begin"/>
      </w:r>
      <w:r>
        <w:rPr>
          <w:rFonts w:hint="eastAsia" w:ascii="仿宋_GB2312" w:hAnsi="仿宋" w:eastAsia="仿宋_GB2312" w:cs="仿宋"/>
          <w:sz w:val="32"/>
          <w:szCs w:val="32"/>
        </w:rPr>
        <w:instrText xml:space="preserve"> PAGEREF _Toc20673 \h </w:instrText>
      </w:r>
      <w:r>
        <w:rPr>
          <w:rFonts w:hint="eastAsia" w:ascii="仿宋_GB2312" w:hAnsi="仿宋" w:eastAsia="仿宋_GB2312" w:cs="仿宋"/>
          <w:sz w:val="32"/>
          <w:szCs w:val="32"/>
        </w:rPr>
        <w:fldChar w:fldCharType="separate"/>
      </w:r>
      <w:r>
        <w:rPr>
          <w:rFonts w:hint="eastAsia" w:ascii="仿宋_GB2312" w:hAnsi="仿宋" w:eastAsia="仿宋_GB2312" w:cs="仿宋"/>
          <w:sz w:val="32"/>
          <w:szCs w:val="32"/>
        </w:rPr>
        <w:t>18</w:t>
      </w:r>
      <w:r>
        <w:rPr>
          <w:rFonts w:hint="eastAsia" w:ascii="仿宋_GB2312" w:hAnsi="仿宋" w:eastAsia="仿宋_GB2312" w:cs="仿宋"/>
          <w:sz w:val="32"/>
          <w:szCs w:val="32"/>
        </w:rPr>
        <w:fldChar w:fldCharType="end"/>
      </w:r>
      <w:r>
        <w:rPr>
          <w:rFonts w:hint="eastAsia" w:ascii="仿宋_GB2312" w:hAnsi="仿宋" w:eastAsia="仿宋_GB2312" w:cs="仿宋"/>
          <w:sz w:val="32"/>
          <w:szCs w:val="32"/>
        </w:rPr>
        <w:fldChar w:fldCharType="end"/>
      </w:r>
    </w:p>
    <w:p>
      <w:pPr>
        <w:pStyle w:val="11"/>
        <w:tabs>
          <w:tab w:val="right" w:leader="dot" w:pos="8845"/>
          <w:tab w:val="clear" w:pos="8608"/>
        </w:tabs>
        <w:rPr>
          <w:rFonts w:ascii="仿宋_GB2312" w:hAnsi="仿宋" w:eastAsia="仿宋_GB2312" w:cs="仿宋"/>
          <w:sz w:val="32"/>
          <w:szCs w:val="32"/>
        </w:rPr>
      </w:pPr>
      <w:r>
        <w:fldChar w:fldCharType="begin"/>
      </w:r>
      <w:r>
        <w:instrText xml:space="preserve"> HYPERLINK \l "_Toc5615" </w:instrText>
      </w:r>
      <w:r>
        <w:fldChar w:fldCharType="separate"/>
      </w:r>
      <w:r>
        <w:rPr>
          <w:rFonts w:hint="eastAsia" w:ascii="仿宋_GB2312" w:hAnsi="仿宋" w:eastAsia="仿宋_GB2312" w:cs="仿宋"/>
          <w:sz w:val="32"/>
          <w:szCs w:val="32"/>
          <w:shd w:val="clear" w:color="auto" w:fill="FFFFFF"/>
        </w:rPr>
        <w:t>第七节 提升公共服务能力</w:t>
      </w:r>
      <w:r>
        <w:rPr>
          <w:rFonts w:hint="eastAsia" w:ascii="仿宋_GB2312" w:hAnsi="仿宋" w:eastAsia="仿宋_GB2312" w:cs="仿宋"/>
          <w:sz w:val="32"/>
          <w:szCs w:val="32"/>
        </w:rPr>
        <w:tab/>
      </w:r>
      <w:r>
        <w:rPr>
          <w:rFonts w:hint="eastAsia" w:ascii="仿宋_GB2312" w:hAnsi="仿宋" w:eastAsia="仿宋_GB2312" w:cs="仿宋"/>
          <w:sz w:val="32"/>
          <w:szCs w:val="32"/>
        </w:rPr>
        <w:fldChar w:fldCharType="begin"/>
      </w:r>
      <w:r>
        <w:rPr>
          <w:rFonts w:hint="eastAsia" w:ascii="仿宋_GB2312" w:hAnsi="仿宋" w:eastAsia="仿宋_GB2312" w:cs="仿宋"/>
          <w:sz w:val="32"/>
          <w:szCs w:val="32"/>
        </w:rPr>
        <w:instrText xml:space="preserve"> PAGEREF _Toc5615 \h </w:instrText>
      </w:r>
      <w:r>
        <w:rPr>
          <w:rFonts w:hint="eastAsia" w:ascii="仿宋_GB2312" w:hAnsi="仿宋" w:eastAsia="仿宋_GB2312" w:cs="仿宋"/>
          <w:sz w:val="32"/>
          <w:szCs w:val="32"/>
        </w:rPr>
        <w:fldChar w:fldCharType="separate"/>
      </w:r>
      <w:r>
        <w:rPr>
          <w:rFonts w:hint="eastAsia" w:ascii="仿宋_GB2312" w:hAnsi="仿宋" w:eastAsia="仿宋_GB2312" w:cs="仿宋"/>
          <w:sz w:val="32"/>
          <w:szCs w:val="32"/>
        </w:rPr>
        <w:t>19</w:t>
      </w:r>
      <w:r>
        <w:rPr>
          <w:rFonts w:hint="eastAsia" w:ascii="仿宋_GB2312" w:hAnsi="仿宋" w:eastAsia="仿宋_GB2312" w:cs="仿宋"/>
          <w:sz w:val="32"/>
          <w:szCs w:val="32"/>
        </w:rPr>
        <w:fldChar w:fldCharType="end"/>
      </w:r>
      <w:r>
        <w:rPr>
          <w:rFonts w:hint="eastAsia" w:ascii="仿宋_GB2312" w:hAnsi="仿宋" w:eastAsia="仿宋_GB2312" w:cs="仿宋"/>
          <w:sz w:val="32"/>
          <w:szCs w:val="32"/>
        </w:rPr>
        <w:fldChar w:fldCharType="end"/>
      </w:r>
    </w:p>
    <w:p>
      <w:pPr>
        <w:pStyle w:val="11"/>
        <w:tabs>
          <w:tab w:val="right" w:leader="dot" w:pos="8845"/>
          <w:tab w:val="clear" w:pos="8608"/>
        </w:tabs>
        <w:rPr>
          <w:rFonts w:ascii="仿宋_GB2312" w:hAnsi="仿宋" w:eastAsia="仿宋_GB2312" w:cs="仿宋"/>
          <w:sz w:val="32"/>
          <w:szCs w:val="32"/>
        </w:rPr>
      </w:pPr>
      <w:r>
        <w:fldChar w:fldCharType="begin"/>
      </w:r>
      <w:r>
        <w:instrText xml:space="preserve"> HYPERLINK \l "_Toc9816" </w:instrText>
      </w:r>
      <w:r>
        <w:fldChar w:fldCharType="separate"/>
      </w:r>
      <w:r>
        <w:rPr>
          <w:rFonts w:hint="eastAsia" w:ascii="仿宋_GB2312" w:hAnsi="仿宋" w:eastAsia="仿宋_GB2312" w:cs="仿宋"/>
          <w:sz w:val="32"/>
          <w:szCs w:val="32"/>
          <w:shd w:val="clear" w:color="auto" w:fill="FFFFFF"/>
        </w:rPr>
        <w:t>第八节 提升信息化水平</w:t>
      </w:r>
      <w:r>
        <w:rPr>
          <w:rFonts w:hint="eastAsia" w:ascii="仿宋_GB2312" w:hAnsi="仿宋" w:eastAsia="仿宋_GB2312" w:cs="仿宋"/>
          <w:sz w:val="32"/>
          <w:szCs w:val="32"/>
        </w:rPr>
        <w:tab/>
      </w:r>
      <w:r>
        <w:rPr>
          <w:rFonts w:hint="eastAsia" w:ascii="仿宋_GB2312" w:hAnsi="仿宋" w:eastAsia="仿宋_GB2312" w:cs="仿宋"/>
          <w:sz w:val="32"/>
          <w:szCs w:val="32"/>
        </w:rPr>
        <w:fldChar w:fldCharType="begin"/>
      </w:r>
      <w:r>
        <w:rPr>
          <w:rFonts w:hint="eastAsia" w:ascii="仿宋_GB2312" w:hAnsi="仿宋" w:eastAsia="仿宋_GB2312" w:cs="仿宋"/>
          <w:sz w:val="32"/>
          <w:szCs w:val="32"/>
        </w:rPr>
        <w:instrText xml:space="preserve"> PAGEREF _Toc9816 \h </w:instrText>
      </w:r>
      <w:r>
        <w:rPr>
          <w:rFonts w:hint="eastAsia" w:ascii="仿宋_GB2312" w:hAnsi="仿宋" w:eastAsia="仿宋_GB2312" w:cs="仿宋"/>
          <w:sz w:val="32"/>
          <w:szCs w:val="32"/>
        </w:rPr>
        <w:fldChar w:fldCharType="separate"/>
      </w:r>
      <w:r>
        <w:rPr>
          <w:rFonts w:hint="eastAsia" w:ascii="仿宋_GB2312" w:hAnsi="仿宋" w:eastAsia="仿宋_GB2312" w:cs="仿宋"/>
          <w:sz w:val="32"/>
          <w:szCs w:val="32"/>
        </w:rPr>
        <w:t>21</w:t>
      </w:r>
      <w:r>
        <w:rPr>
          <w:rFonts w:hint="eastAsia" w:ascii="仿宋_GB2312" w:hAnsi="仿宋" w:eastAsia="仿宋_GB2312" w:cs="仿宋"/>
          <w:sz w:val="32"/>
          <w:szCs w:val="32"/>
        </w:rPr>
        <w:fldChar w:fldCharType="end"/>
      </w:r>
      <w:r>
        <w:rPr>
          <w:rFonts w:hint="eastAsia" w:ascii="仿宋_GB2312" w:hAnsi="仿宋" w:eastAsia="仿宋_GB2312" w:cs="仿宋"/>
          <w:sz w:val="32"/>
          <w:szCs w:val="32"/>
        </w:rPr>
        <w:fldChar w:fldCharType="end"/>
      </w:r>
    </w:p>
    <w:p>
      <w:pPr>
        <w:pStyle w:val="9"/>
        <w:tabs>
          <w:tab w:val="right" w:leader="dot" w:pos="8845"/>
        </w:tabs>
        <w:rPr>
          <w:rFonts w:ascii="仿宋_GB2312" w:hAnsi="仿宋" w:eastAsia="仿宋_GB2312" w:cs="仿宋"/>
          <w:sz w:val="32"/>
          <w:szCs w:val="32"/>
        </w:rPr>
      </w:pPr>
      <w:r>
        <w:fldChar w:fldCharType="begin"/>
      </w:r>
      <w:r>
        <w:instrText xml:space="preserve"> HYPERLINK \l "_Toc30903" </w:instrText>
      </w:r>
      <w:r>
        <w:fldChar w:fldCharType="separate"/>
      </w:r>
      <w:r>
        <w:rPr>
          <w:rFonts w:hint="eastAsia" w:ascii="仿宋_GB2312" w:hAnsi="仿宋" w:eastAsia="仿宋_GB2312" w:cs="仿宋"/>
          <w:sz w:val="32"/>
          <w:szCs w:val="32"/>
          <w:shd w:val="clear" w:color="auto" w:fill="FFFFFF"/>
        </w:rPr>
        <w:t>第五章  重点工程</w:t>
      </w:r>
      <w:r>
        <w:rPr>
          <w:rFonts w:hint="eastAsia" w:ascii="仿宋_GB2312" w:hAnsi="仿宋" w:eastAsia="仿宋_GB2312" w:cs="仿宋"/>
          <w:sz w:val="32"/>
          <w:szCs w:val="32"/>
        </w:rPr>
        <w:tab/>
      </w:r>
      <w:r>
        <w:rPr>
          <w:rFonts w:hint="eastAsia" w:ascii="仿宋_GB2312" w:hAnsi="仿宋" w:eastAsia="仿宋_GB2312" w:cs="仿宋"/>
          <w:sz w:val="32"/>
          <w:szCs w:val="32"/>
        </w:rPr>
        <w:fldChar w:fldCharType="begin"/>
      </w:r>
      <w:r>
        <w:rPr>
          <w:rFonts w:hint="eastAsia" w:ascii="仿宋_GB2312" w:hAnsi="仿宋" w:eastAsia="仿宋_GB2312" w:cs="仿宋"/>
          <w:sz w:val="32"/>
          <w:szCs w:val="32"/>
        </w:rPr>
        <w:instrText xml:space="preserve"> PAGEREF _Toc30903 \h </w:instrText>
      </w:r>
      <w:r>
        <w:rPr>
          <w:rFonts w:hint="eastAsia" w:ascii="仿宋_GB2312" w:hAnsi="仿宋" w:eastAsia="仿宋_GB2312" w:cs="仿宋"/>
          <w:sz w:val="32"/>
          <w:szCs w:val="32"/>
        </w:rPr>
        <w:fldChar w:fldCharType="separate"/>
      </w:r>
      <w:r>
        <w:rPr>
          <w:rFonts w:hint="eastAsia" w:ascii="仿宋_GB2312" w:hAnsi="仿宋" w:eastAsia="仿宋_GB2312" w:cs="仿宋"/>
          <w:sz w:val="32"/>
          <w:szCs w:val="32"/>
        </w:rPr>
        <w:t>22</w:t>
      </w:r>
      <w:r>
        <w:rPr>
          <w:rFonts w:hint="eastAsia" w:ascii="仿宋_GB2312" w:hAnsi="仿宋" w:eastAsia="仿宋_GB2312" w:cs="仿宋"/>
          <w:sz w:val="32"/>
          <w:szCs w:val="32"/>
        </w:rPr>
        <w:fldChar w:fldCharType="end"/>
      </w:r>
      <w:r>
        <w:rPr>
          <w:rFonts w:hint="eastAsia" w:ascii="仿宋_GB2312" w:hAnsi="仿宋" w:eastAsia="仿宋_GB2312" w:cs="仿宋"/>
          <w:sz w:val="32"/>
          <w:szCs w:val="32"/>
        </w:rPr>
        <w:fldChar w:fldCharType="end"/>
      </w:r>
    </w:p>
    <w:p>
      <w:pPr>
        <w:pStyle w:val="11"/>
        <w:tabs>
          <w:tab w:val="right" w:leader="dot" w:pos="8845"/>
          <w:tab w:val="clear" w:pos="8608"/>
        </w:tabs>
        <w:rPr>
          <w:rFonts w:ascii="仿宋_GB2312" w:hAnsi="仿宋" w:eastAsia="仿宋_GB2312" w:cs="仿宋"/>
          <w:sz w:val="32"/>
          <w:szCs w:val="32"/>
        </w:rPr>
      </w:pPr>
      <w:r>
        <w:fldChar w:fldCharType="begin"/>
      </w:r>
      <w:r>
        <w:instrText xml:space="preserve"> HYPERLINK \l "_Toc19580" </w:instrText>
      </w:r>
      <w:r>
        <w:fldChar w:fldCharType="separate"/>
      </w:r>
      <w:r>
        <w:rPr>
          <w:rFonts w:hint="eastAsia" w:ascii="仿宋_GB2312" w:hAnsi="仿宋" w:eastAsia="仿宋_GB2312" w:cs="仿宋"/>
          <w:sz w:val="32"/>
          <w:szCs w:val="32"/>
          <w:shd w:val="clear" w:color="auto" w:fill="FFFFFF"/>
        </w:rPr>
        <w:t>第一节 大中专毕业生就业促进工程</w:t>
      </w:r>
      <w:r>
        <w:rPr>
          <w:rFonts w:hint="eastAsia" w:ascii="仿宋_GB2312" w:hAnsi="仿宋" w:eastAsia="仿宋_GB2312" w:cs="仿宋"/>
          <w:sz w:val="32"/>
          <w:szCs w:val="32"/>
        </w:rPr>
        <w:tab/>
      </w:r>
      <w:r>
        <w:rPr>
          <w:rFonts w:hint="eastAsia" w:ascii="仿宋_GB2312" w:hAnsi="仿宋" w:eastAsia="仿宋_GB2312" w:cs="仿宋"/>
          <w:sz w:val="32"/>
          <w:szCs w:val="32"/>
        </w:rPr>
        <w:fldChar w:fldCharType="begin"/>
      </w:r>
      <w:r>
        <w:rPr>
          <w:rFonts w:hint="eastAsia" w:ascii="仿宋_GB2312" w:hAnsi="仿宋" w:eastAsia="仿宋_GB2312" w:cs="仿宋"/>
          <w:sz w:val="32"/>
          <w:szCs w:val="32"/>
        </w:rPr>
        <w:instrText xml:space="preserve"> PAGEREF _Toc19580 \h </w:instrText>
      </w:r>
      <w:r>
        <w:rPr>
          <w:rFonts w:hint="eastAsia" w:ascii="仿宋_GB2312" w:hAnsi="仿宋" w:eastAsia="仿宋_GB2312" w:cs="仿宋"/>
          <w:sz w:val="32"/>
          <w:szCs w:val="32"/>
        </w:rPr>
        <w:fldChar w:fldCharType="separate"/>
      </w:r>
      <w:r>
        <w:rPr>
          <w:rFonts w:hint="eastAsia" w:ascii="仿宋_GB2312" w:hAnsi="仿宋" w:eastAsia="仿宋_GB2312" w:cs="仿宋"/>
          <w:sz w:val="32"/>
          <w:szCs w:val="32"/>
        </w:rPr>
        <w:t>22</w:t>
      </w:r>
      <w:r>
        <w:rPr>
          <w:rFonts w:hint="eastAsia" w:ascii="仿宋_GB2312" w:hAnsi="仿宋" w:eastAsia="仿宋_GB2312" w:cs="仿宋"/>
          <w:sz w:val="32"/>
          <w:szCs w:val="32"/>
        </w:rPr>
        <w:fldChar w:fldCharType="end"/>
      </w:r>
      <w:r>
        <w:rPr>
          <w:rFonts w:hint="eastAsia" w:ascii="仿宋_GB2312" w:hAnsi="仿宋" w:eastAsia="仿宋_GB2312" w:cs="仿宋"/>
          <w:sz w:val="32"/>
          <w:szCs w:val="32"/>
        </w:rPr>
        <w:fldChar w:fldCharType="end"/>
      </w:r>
    </w:p>
    <w:p>
      <w:pPr>
        <w:pStyle w:val="11"/>
        <w:tabs>
          <w:tab w:val="right" w:leader="dot" w:pos="8845"/>
          <w:tab w:val="clear" w:pos="8608"/>
        </w:tabs>
        <w:rPr>
          <w:rFonts w:ascii="仿宋_GB2312" w:hAnsi="仿宋" w:eastAsia="仿宋_GB2312" w:cs="仿宋"/>
          <w:sz w:val="32"/>
          <w:szCs w:val="32"/>
        </w:rPr>
      </w:pPr>
      <w:r>
        <w:fldChar w:fldCharType="begin"/>
      </w:r>
      <w:r>
        <w:instrText xml:space="preserve"> HYPERLINK \l "_Toc12146" </w:instrText>
      </w:r>
      <w:r>
        <w:fldChar w:fldCharType="separate"/>
      </w:r>
      <w:r>
        <w:rPr>
          <w:rFonts w:hint="eastAsia" w:ascii="仿宋_GB2312" w:hAnsi="仿宋" w:eastAsia="仿宋_GB2312" w:cs="仿宋"/>
          <w:sz w:val="32"/>
          <w:szCs w:val="32"/>
          <w:shd w:val="clear" w:color="auto" w:fill="FFFFFF"/>
        </w:rPr>
        <w:t>第二节 农民工就业创业促进工程</w:t>
      </w:r>
      <w:r>
        <w:rPr>
          <w:rFonts w:hint="eastAsia" w:ascii="仿宋_GB2312" w:hAnsi="仿宋" w:eastAsia="仿宋_GB2312" w:cs="仿宋"/>
          <w:sz w:val="32"/>
          <w:szCs w:val="32"/>
        </w:rPr>
        <w:tab/>
      </w:r>
      <w:r>
        <w:rPr>
          <w:rFonts w:hint="eastAsia" w:ascii="仿宋_GB2312" w:hAnsi="仿宋" w:eastAsia="仿宋_GB2312" w:cs="仿宋"/>
          <w:sz w:val="32"/>
          <w:szCs w:val="32"/>
        </w:rPr>
        <w:fldChar w:fldCharType="begin"/>
      </w:r>
      <w:r>
        <w:rPr>
          <w:rFonts w:hint="eastAsia" w:ascii="仿宋_GB2312" w:hAnsi="仿宋" w:eastAsia="仿宋_GB2312" w:cs="仿宋"/>
          <w:sz w:val="32"/>
          <w:szCs w:val="32"/>
        </w:rPr>
        <w:instrText xml:space="preserve"> PAGEREF _Toc12146 \h </w:instrText>
      </w:r>
      <w:r>
        <w:rPr>
          <w:rFonts w:hint="eastAsia" w:ascii="仿宋_GB2312" w:hAnsi="仿宋" w:eastAsia="仿宋_GB2312" w:cs="仿宋"/>
          <w:sz w:val="32"/>
          <w:szCs w:val="32"/>
        </w:rPr>
        <w:fldChar w:fldCharType="separate"/>
      </w:r>
      <w:r>
        <w:rPr>
          <w:rFonts w:hint="eastAsia" w:ascii="仿宋_GB2312" w:hAnsi="仿宋" w:eastAsia="仿宋_GB2312" w:cs="仿宋"/>
          <w:sz w:val="32"/>
          <w:szCs w:val="32"/>
        </w:rPr>
        <w:t>23</w:t>
      </w:r>
      <w:r>
        <w:rPr>
          <w:rFonts w:hint="eastAsia" w:ascii="仿宋_GB2312" w:hAnsi="仿宋" w:eastAsia="仿宋_GB2312" w:cs="仿宋"/>
          <w:sz w:val="32"/>
          <w:szCs w:val="32"/>
        </w:rPr>
        <w:fldChar w:fldCharType="end"/>
      </w:r>
      <w:r>
        <w:rPr>
          <w:rFonts w:hint="eastAsia" w:ascii="仿宋_GB2312" w:hAnsi="仿宋" w:eastAsia="仿宋_GB2312" w:cs="仿宋"/>
          <w:sz w:val="32"/>
          <w:szCs w:val="32"/>
        </w:rPr>
        <w:fldChar w:fldCharType="end"/>
      </w:r>
    </w:p>
    <w:p>
      <w:pPr>
        <w:pStyle w:val="11"/>
        <w:tabs>
          <w:tab w:val="right" w:leader="dot" w:pos="8845"/>
          <w:tab w:val="clear" w:pos="8608"/>
        </w:tabs>
        <w:rPr>
          <w:rFonts w:ascii="仿宋_GB2312" w:hAnsi="仿宋" w:eastAsia="仿宋_GB2312" w:cs="仿宋"/>
          <w:sz w:val="32"/>
          <w:szCs w:val="32"/>
        </w:rPr>
      </w:pPr>
      <w:r>
        <w:fldChar w:fldCharType="begin"/>
      </w:r>
      <w:r>
        <w:instrText xml:space="preserve"> HYPERLINK \l "_Toc28397" </w:instrText>
      </w:r>
      <w:r>
        <w:fldChar w:fldCharType="separate"/>
      </w:r>
      <w:r>
        <w:rPr>
          <w:rFonts w:hint="eastAsia" w:ascii="仿宋_GB2312" w:hAnsi="仿宋" w:eastAsia="仿宋_GB2312" w:cs="仿宋"/>
          <w:sz w:val="32"/>
          <w:szCs w:val="32"/>
          <w:shd w:val="clear" w:color="auto" w:fill="FFFFFF"/>
        </w:rPr>
        <w:t>第三节 就业培训见习基地建设工程</w:t>
      </w:r>
      <w:r>
        <w:rPr>
          <w:rFonts w:hint="eastAsia" w:ascii="仿宋_GB2312" w:hAnsi="仿宋" w:eastAsia="仿宋_GB2312" w:cs="仿宋"/>
          <w:sz w:val="32"/>
          <w:szCs w:val="32"/>
        </w:rPr>
        <w:tab/>
      </w:r>
      <w:r>
        <w:rPr>
          <w:rFonts w:hint="eastAsia" w:ascii="仿宋_GB2312" w:hAnsi="仿宋" w:eastAsia="仿宋_GB2312" w:cs="仿宋"/>
          <w:sz w:val="32"/>
          <w:szCs w:val="32"/>
        </w:rPr>
        <w:fldChar w:fldCharType="begin"/>
      </w:r>
      <w:r>
        <w:rPr>
          <w:rFonts w:hint="eastAsia" w:ascii="仿宋_GB2312" w:hAnsi="仿宋" w:eastAsia="仿宋_GB2312" w:cs="仿宋"/>
          <w:sz w:val="32"/>
          <w:szCs w:val="32"/>
        </w:rPr>
        <w:instrText xml:space="preserve"> PAGEREF _Toc28397 \h </w:instrText>
      </w:r>
      <w:r>
        <w:rPr>
          <w:rFonts w:hint="eastAsia" w:ascii="仿宋_GB2312" w:hAnsi="仿宋" w:eastAsia="仿宋_GB2312" w:cs="仿宋"/>
          <w:sz w:val="32"/>
          <w:szCs w:val="32"/>
        </w:rPr>
        <w:fldChar w:fldCharType="separate"/>
      </w:r>
      <w:r>
        <w:rPr>
          <w:rFonts w:hint="eastAsia" w:ascii="仿宋_GB2312" w:hAnsi="仿宋" w:eastAsia="仿宋_GB2312" w:cs="仿宋"/>
          <w:sz w:val="32"/>
          <w:szCs w:val="32"/>
        </w:rPr>
        <w:t>24</w:t>
      </w:r>
      <w:r>
        <w:rPr>
          <w:rFonts w:hint="eastAsia" w:ascii="仿宋_GB2312" w:hAnsi="仿宋" w:eastAsia="仿宋_GB2312" w:cs="仿宋"/>
          <w:sz w:val="32"/>
          <w:szCs w:val="32"/>
        </w:rPr>
        <w:fldChar w:fldCharType="end"/>
      </w:r>
      <w:r>
        <w:rPr>
          <w:rFonts w:hint="eastAsia" w:ascii="仿宋_GB2312" w:hAnsi="仿宋" w:eastAsia="仿宋_GB2312" w:cs="仿宋"/>
          <w:sz w:val="32"/>
          <w:szCs w:val="32"/>
        </w:rPr>
        <w:fldChar w:fldCharType="end"/>
      </w:r>
    </w:p>
    <w:p>
      <w:pPr>
        <w:pStyle w:val="11"/>
        <w:tabs>
          <w:tab w:val="right" w:leader="dot" w:pos="8845"/>
          <w:tab w:val="clear" w:pos="8608"/>
        </w:tabs>
        <w:rPr>
          <w:rFonts w:ascii="仿宋_GB2312" w:hAnsi="仿宋" w:eastAsia="仿宋_GB2312" w:cs="仿宋"/>
          <w:sz w:val="32"/>
          <w:szCs w:val="32"/>
        </w:rPr>
      </w:pPr>
      <w:r>
        <w:fldChar w:fldCharType="begin"/>
      </w:r>
      <w:r>
        <w:instrText xml:space="preserve"> HYPERLINK \l "_Toc11739" </w:instrText>
      </w:r>
      <w:r>
        <w:fldChar w:fldCharType="separate"/>
      </w:r>
      <w:r>
        <w:rPr>
          <w:rFonts w:hint="eastAsia" w:ascii="仿宋_GB2312" w:hAnsi="仿宋" w:eastAsia="仿宋_GB2312" w:cs="仿宋"/>
          <w:sz w:val="32"/>
          <w:szCs w:val="32"/>
          <w:shd w:val="clear" w:color="auto" w:fill="FFFFFF"/>
        </w:rPr>
        <w:t>第四节 职业技能培训工程</w:t>
      </w:r>
      <w:r>
        <w:rPr>
          <w:rFonts w:hint="eastAsia" w:ascii="仿宋_GB2312" w:hAnsi="仿宋" w:eastAsia="仿宋_GB2312" w:cs="仿宋"/>
          <w:sz w:val="32"/>
          <w:szCs w:val="32"/>
        </w:rPr>
        <w:tab/>
      </w:r>
      <w:r>
        <w:rPr>
          <w:rFonts w:hint="eastAsia" w:ascii="仿宋_GB2312" w:hAnsi="仿宋" w:eastAsia="仿宋_GB2312" w:cs="仿宋"/>
          <w:sz w:val="32"/>
          <w:szCs w:val="32"/>
        </w:rPr>
        <w:fldChar w:fldCharType="begin"/>
      </w:r>
      <w:r>
        <w:rPr>
          <w:rFonts w:hint="eastAsia" w:ascii="仿宋_GB2312" w:hAnsi="仿宋" w:eastAsia="仿宋_GB2312" w:cs="仿宋"/>
          <w:sz w:val="32"/>
          <w:szCs w:val="32"/>
        </w:rPr>
        <w:instrText xml:space="preserve"> PAGEREF _Toc11739 \h </w:instrText>
      </w:r>
      <w:r>
        <w:rPr>
          <w:rFonts w:hint="eastAsia" w:ascii="仿宋_GB2312" w:hAnsi="仿宋" w:eastAsia="仿宋_GB2312" w:cs="仿宋"/>
          <w:sz w:val="32"/>
          <w:szCs w:val="32"/>
        </w:rPr>
        <w:fldChar w:fldCharType="separate"/>
      </w:r>
      <w:r>
        <w:rPr>
          <w:rFonts w:hint="eastAsia" w:ascii="仿宋_GB2312" w:hAnsi="仿宋" w:eastAsia="仿宋_GB2312" w:cs="仿宋"/>
          <w:sz w:val="32"/>
          <w:szCs w:val="32"/>
        </w:rPr>
        <w:t>25</w:t>
      </w:r>
      <w:r>
        <w:rPr>
          <w:rFonts w:hint="eastAsia" w:ascii="仿宋_GB2312" w:hAnsi="仿宋" w:eastAsia="仿宋_GB2312" w:cs="仿宋"/>
          <w:sz w:val="32"/>
          <w:szCs w:val="32"/>
        </w:rPr>
        <w:fldChar w:fldCharType="end"/>
      </w:r>
      <w:r>
        <w:rPr>
          <w:rFonts w:hint="eastAsia" w:ascii="仿宋_GB2312" w:hAnsi="仿宋" w:eastAsia="仿宋_GB2312" w:cs="仿宋"/>
          <w:sz w:val="32"/>
          <w:szCs w:val="32"/>
        </w:rPr>
        <w:fldChar w:fldCharType="end"/>
      </w:r>
    </w:p>
    <w:p>
      <w:pPr>
        <w:pStyle w:val="11"/>
        <w:tabs>
          <w:tab w:val="right" w:leader="dot" w:pos="8845"/>
          <w:tab w:val="clear" w:pos="8608"/>
        </w:tabs>
        <w:rPr>
          <w:rFonts w:ascii="仿宋_GB2312" w:hAnsi="仿宋" w:eastAsia="仿宋_GB2312" w:cs="仿宋"/>
          <w:sz w:val="32"/>
          <w:szCs w:val="32"/>
        </w:rPr>
      </w:pPr>
      <w:r>
        <w:fldChar w:fldCharType="begin"/>
      </w:r>
      <w:r>
        <w:instrText xml:space="preserve"> HYPERLINK \l "_Toc5538" </w:instrText>
      </w:r>
      <w:r>
        <w:fldChar w:fldCharType="separate"/>
      </w:r>
      <w:r>
        <w:rPr>
          <w:rFonts w:hint="eastAsia" w:ascii="仿宋_GB2312" w:hAnsi="仿宋" w:eastAsia="仿宋_GB2312" w:cs="仿宋"/>
          <w:sz w:val="32"/>
          <w:szCs w:val="32"/>
          <w:shd w:val="clear" w:color="auto" w:fill="FFFFFF"/>
        </w:rPr>
        <w:t>第五节 人力资源服务产业建设工程</w:t>
      </w:r>
      <w:r>
        <w:rPr>
          <w:rFonts w:hint="eastAsia" w:ascii="仿宋_GB2312" w:hAnsi="仿宋" w:eastAsia="仿宋_GB2312" w:cs="仿宋"/>
          <w:sz w:val="32"/>
          <w:szCs w:val="32"/>
        </w:rPr>
        <w:tab/>
      </w:r>
      <w:r>
        <w:rPr>
          <w:rFonts w:hint="eastAsia" w:ascii="仿宋_GB2312" w:hAnsi="仿宋" w:eastAsia="仿宋_GB2312" w:cs="仿宋"/>
          <w:sz w:val="32"/>
          <w:szCs w:val="32"/>
        </w:rPr>
        <w:fldChar w:fldCharType="begin"/>
      </w:r>
      <w:r>
        <w:rPr>
          <w:rFonts w:hint="eastAsia" w:ascii="仿宋_GB2312" w:hAnsi="仿宋" w:eastAsia="仿宋_GB2312" w:cs="仿宋"/>
          <w:sz w:val="32"/>
          <w:szCs w:val="32"/>
        </w:rPr>
        <w:instrText xml:space="preserve"> PAGEREF _Toc5538 \h </w:instrText>
      </w:r>
      <w:r>
        <w:rPr>
          <w:rFonts w:hint="eastAsia" w:ascii="仿宋_GB2312" w:hAnsi="仿宋" w:eastAsia="仿宋_GB2312" w:cs="仿宋"/>
          <w:sz w:val="32"/>
          <w:szCs w:val="32"/>
        </w:rPr>
        <w:fldChar w:fldCharType="separate"/>
      </w:r>
      <w:r>
        <w:rPr>
          <w:rFonts w:hint="eastAsia" w:ascii="仿宋_GB2312" w:hAnsi="仿宋" w:eastAsia="仿宋_GB2312" w:cs="仿宋"/>
          <w:sz w:val="32"/>
          <w:szCs w:val="32"/>
        </w:rPr>
        <w:t>26</w:t>
      </w:r>
      <w:r>
        <w:rPr>
          <w:rFonts w:hint="eastAsia" w:ascii="仿宋_GB2312" w:hAnsi="仿宋" w:eastAsia="仿宋_GB2312" w:cs="仿宋"/>
          <w:sz w:val="32"/>
          <w:szCs w:val="32"/>
        </w:rPr>
        <w:fldChar w:fldCharType="end"/>
      </w:r>
      <w:r>
        <w:rPr>
          <w:rFonts w:hint="eastAsia" w:ascii="仿宋_GB2312" w:hAnsi="仿宋" w:eastAsia="仿宋_GB2312" w:cs="仿宋"/>
          <w:sz w:val="32"/>
          <w:szCs w:val="32"/>
        </w:rPr>
        <w:fldChar w:fldCharType="end"/>
      </w:r>
    </w:p>
    <w:p>
      <w:pPr>
        <w:pStyle w:val="11"/>
        <w:tabs>
          <w:tab w:val="right" w:leader="dot" w:pos="8845"/>
          <w:tab w:val="clear" w:pos="8608"/>
        </w:tabs>
        <w:rPr>
          <w:rFonts w:ascii="仿宋_GB2312" w:hAnsi="仿宋" w:eastAsia="仿宋_GB2312" w:cs="仿宋"/>
          <w:sz w:val="32"/>
          <w:szCs w:val="32"/>
        </w:rPr>
      </w:pPr>
      <w:r>
        <w:fldChar w:fldCharType="begin"/>
      </w:r>
      <w:r>
        <w:instrText xml:space="preserve"> HYPERLINK \l "_Toc23175" </w:instrText>
      </w:r>
      <w:r>
        <w:fldChar w:fldCharType="separate"/>
      </w:r>
      <w:r>
        <w:rPr>
          <w:rFonts w:hint="eastAsia" w:ascii="仿宋_GB2312" w:hAnsi="仿宋" w:eastAsia="仿宋_GB2312" w:cs="仿宋"/>
          <w:sz w:val="32"/>
          <w:szCs w:val="32"/>
          <w:shd w:val="clear" w:color="auto" w:fill="FFFFFF"/>
        </w:rPr>
        <w:t>第六节 和谐劳动关系建设工程</w:t>
      </w:r>
      <w:r>
        <w:rPr>
          <w:rFonts w:hint="eastAsia" w:ascii="仿宋_GB2312" w:hAnsi="仿宋" w:eastAsia="仿宋_GB2312" w:cs="仿宋"/>
          <w:sz w:val="32"/>
          <w:szCs w:val="32"/>
        </w:rPr>
        <w:tab/>
      </w:r>
      <w:r>
        <w:rPr>
          <w:rFonts w:hint="eastAsia" w:ascii="仿宋_GB2312" w:hAnsi="仿宋" w:eastAsia="仿宋_GB2312" w:cs="仿宋"/>
          <w:sz w:val="32"/>
          <w:szCs w:val="32"/>
        </w:rPr>
        <w:fldChar w:fldCharType="begin"/>
      </w:r>
      <w:r>
        <w:rPr>
          <w:rFonts w:hint="eastAsia" w:ascii="仿宋_GB2312" w:hAnsi="仿宋" w:eastAsia="仿宋_GB2312" w:cs="仿宋"/>
          <w:sz w:val="32"/>
          <w:szCs w:val="32"/>
        </w:rPr>
        <w:instrText xml:space="preserve"> PAGEREF _Toc23175 \h </w:instrText>
      </w:r>
      <w:r>
        <w:rPr>
          <w:rFonts w:hint="eastAsia" w:ascii="仿宋_GB2312" w:hAnsi="仿宋" w:eastAsia="仿宋_GB2312" w:cs="仿宋"/>
          <w:sz w:val="32"/>
          <w:szCs w:val="32"/>
        </w:rPr>
        <w:fldChar w:fldCharType="separate"/>
      </w:r>
      <w:r>
        <w:rPr>
          <w:rFonts w:hint="eastAsia" w:ascii="仿宋_GB2312" w:hAnsi="仿宋" w:eastAsia="仿宋_GB2312" w:cs="仿宋"/>
          <w:sz w:val="32"/>
          <w:szCs w:val="32"/>
        </w:rPr>
        <w:t>26</w:t>
      </w:r>
      <w:r>
        <w:rPr>
          <w:rFonts w:hint="eastAsia" w:ascii="仿宋_GB2312" w:hAnsi="仿宋" w:eastAsia="仿宋_GB2312" w:cs="仿宋"/>
          <w:sz w:val="32"/>
          <w:szCs w:val="32"/>
        </w:rPr>
        <w:fldChar w:fldCharType="end"/>
      </w:r>
      <w:r>
        <w:rPr>
          <w:rFonts w:hint="eastAsia" w:ascii="仿宋_GB2312" w:hAnsi="仿宋" w:eastAsia="仿宋_GB2312" w:cs="仿宋"/>
          <w:sz w:val="32"/>
          <w:szCs w:val="32"/>
        </w:rPr>
        <w:fldChar w:fldCharType="end"/>
      </w:r>
    </w:p>
    <w:p>
      <w:pPr>
        <w:pStyle w:val="11"/>
        <w:tabs>
          <w:tab w:val="right" w:leader="dot" w:pos="8845"/>
          <w:tab w:val="clear" w:pos="8608"/>
        </w:tabs>
        <w:rPr>
          <w:rFonts w:ascii="仿宋_GB2312" w:hAnsi="仿宋" w:eastAsia="仿宋_GB2312" w:cs="仿宋"/>
          <w:sz w:val="32"/>
          <w:szCs w:val="32"/>
        </w:rPr>
      </w:pPr>
      <w:r>
        <w:fldChar w:fldCharType="begin"/>
      </w:r>
      <w:r>
        <w:instrText xml:space="preserve"> HYPERLINK \l "_Toc6488" </w:instrText>
      </w:r>
      <w:r>
        <w:fldChar w:fldCharType="separate"/>
      </w:r>
      <w:r>
        <w:rPr>
          <w:rFonts w:hint="eastAsia" w:ascii="仿宋_GB2312" w:hAnsi="仿宋" w:eastAsia="仿宋_GB2312" w:cs="仿宋"/>
          <w:sz w:val="32"/>
          <w:szCs w:val="32"/>
          <w:shd w:val="clear" w:color="auto" w:fill="FFFFFF"/>
        </w:rPr>
        <w:t>第七节 “幸福贵阳”保障工程</w:t>
      </w:r>
      <w:r>
        <w:rPr>
          <w:rFonts w:hint="eastAsia" w:ascii="仿宋_GB2312" w:hAnsi="仿宋" w:eastAsia="仿宋_GB2312" w:cs="仿宋"/>
          <w:sz w:val="32"/>
          <w:szCs w:val="32"/>
        </w:rPr>
        <w:tab/>
      </w:r>
      <w:r>
        <w:rPr>
          <w:rFonts w:hint="eastAsia" w:ascii="仿宋_GB2312" w:hAnsi="仿宋" w:eastAsia="仿宋_GB2312" w:cs="仿宋"/>
          <w:sz w:val="32"/>
          <w:szCs w:val="32"/>
        </w:rPr>
        <w:fldChar w:fldCharType="begin"/>
      </w:r>
      <w:r>
        <w:rPr>
          <w:rFonts w:hint="eastAsia" w:ascii="仿宋_GB2312" w:hAnsi="仿宋" w:eastAsia="仿宋_GB2312" w:cs="仿宋"/>
          <w:sz w:val="32"/>
          <w:szCs w:val="32"/>
        </w:rPr>
        <w:instrText xml:space="preserve"> PAGEREF _Toc6488 \h </w:instrText>
      </w:r>
      <w:r>
        <w:rPr>
          <w:rFonts w:hint="eastAsia" w:ascii="仿宋_GB2312" w:hAnsi="仿宋" w:eastAsia="仿宋_GB2312" w:cs="仿宋"/>
          <w:sz w:val="32"/>
          <w:szCs w:val="32"/>
        </w:rPr>
        <w:fldChar w:fldCharType="separate"/>
      </w:r>
      <w:r>
        <w:rPr>
          <w:rFonts w:hint="eastAsia" w:ascii="仿宋_GB2312" w:hAnsi="仿宋" w:eastAsia="仿宋_GB2312" w:cs="仿宋"/>
          <w:sz w:val="32"/>
          <w:szCs w:val="32"/>
        </w:rPr>
        <w:t>28</w:t>
      </w:r>
      <w:r>
        <w:rPr>
          <w:rFonts w:hint="eastAsia" w:ascii="仿宋_GB2312" w:hAnsi="仿宋" w:eastAsia="仿宋_GB2312" w:cs="仿宋"/>
          <w:sz w:val="32"/>
          <w:szCs w:val="32"/>
        </w:rPr>
        <w:fldChar w:fldCharType="end"/>
      </w:r>
      <w:r>
        <w:rPr>
          <w:rFonts w:hint="eastAsia" w:ascii="仿宋_GB2312" w:hAnsi="仿宋" w:eastAsia="仿宋_GB2312" w:cs="仿宋"/>
          <w:sz w:val="32"/>
          <w:szCs w:val="32"/>
        </w:rPr>
        <w:fldChar w:fldCharType="end"/>
      </w:r>
    </w:p>
    <w:p>
      <w:pPr>
        <w:pStyle w:val="9"/>
        <w:tabs>
          <w:tab w:val="right" w:leader="dot" w:pos="8845"/>
        </w:tabs>
        <w:rPr>
          <w:rFonts w:ascii="仿宋_GB2312" w:hAnsi="仿宋" w:eastAsia="仿宋_GB2312" w:cs="仿宋"/>
          <w:sz w:val="32"/>
          <w:szCs w:val="32"/>
        </w:rPr>
      </w:pPr>
      <w:r>
        <w:fldChar w:fldCharType="begin"/>
      </w:r>
      <w:r>
        <w:instrText xml:space="preserve"> HYPERLINK \l "_Toc28118" </w:instrText>
      </w:r>
      <w:r>
        <w:fldChar w:fldCharType="separate"/>
      </w:r>
      <w:r>
        <w:rPr>
          <w:rFonts w:hint="eastAsia" w:ascii="仿宋_GB2312" w:hAnsi="仿宋" w:eastAsia="仿宋_GB2312" w:cs="仿宋"/>
          <w:sz w:val="32"/>
          <w:szCs w:val="32"/>
          <w:shd w:val="clear" w:color="auto" w:fill="FFFFFF"/>
        </w:rPr>
        <w:t>第六章  实施保障</w:t>
      </w:r>
      <w:r>
        <w:rPr>
          <w:rFonts w:hint="eastAsia" w:ascii="仿宋_GB2312" w:hAnsi="仿宋" w:eastAsia="仿宋_GB2312" w:cs="仿宋"/>
          <w:sz w:val="32"/>
          <w:szCs w:val="32"/>
        </w:rPr>
        <w:tab/>
      </w:r>
      <w:r>
        <w:rPr>
          <w:rFonts w:hint="eastAsia" w:ascii="仿宋_GB2312" w:hAnsi="仿宋" w:eastAsia="仿宋_GB2312" w:cs="仿宋"/>
          <w:sz w:val="32"/>
          <w:szCs w:val="32"/>
        </w:rPr>
        <w:fldChar w:fldCharType="begin"/>
      </w:r>
      <w:r>
        <w:rPr>
          <w:rFonts w:hint="eastAsia" w:ascii="仿宋_GB2312" w:hAnsi="仿宋" w:eastAsia="仿宋_GB2312" w:cs="仿宋"/>
          <w:sz w:val="32"/>
          <w:szCs w:val="32"/>
        </w:rPr>
        <w:instrText xml:space="preserve"> PAGEREF _Toc28118 \h </w:instrText>
      </w:r>
      <w:r>
        <w:rPr>
          <w:rFonts w:hint="eastAsia" w:ascii="仿宋_GB2312" w:hAnsi="仿宋" w:eastAsia="仿宋_GB2312" w:cs="仿宋"/>
          <w:sz w:val="32"/>
          <w:szCs w:val="32"/>
        </w:rPr>
        <w:fldChar w:fldCharType="separate"/>
      </w:r>
      <w:r>
        <w:rPr>
          <w:rFonts w:hint="eastAsia" w:ascii="仿宋_GB2312" w:hAnsi="仿宋" w:eastAsia="仿宋_GB2312" w:cs="仿宋"/>
          <w:sz w:val="32"/>
          <w:szCs w:val="32"/>
        </w:rPr>
        <w:t>29</w:t>
      </w:r>
      <w:r>
        <w:rPr>
          <w:rFonts w:hint="eastAsia" w:ascii="仿宋_GB2312" w:hAnsi="仿宋" w:eastAsia="仿宋_GB2312" w:cs="仿宋"/>
          <w:sz w:val="32"/>
          <w:szCs w:val="32"/>
        </w:rPr>
        <w:fldChar w:fldCharType="end"/>
      </w:r>
      <w:r>
        <w:rPr>
          <w:rFonts w:hint="eastAsia" w:ascii="仿宋_GB2312" w:hAnsi="仿宋" w:eastAsia="仿宋_GB2312" w:cs="仿宋"/>
          <w:sz w:val="32"/>
          <w:szCs w:val="32"/>
        </w:rPr>
        <w:fldChar w:fldCharType="end"/>
      </w:r>
    </w:p>
    <w:p>
      <w:pPr>
        <w:pStyle w:val="11"/>
        <w:tabs>
          <w:tab w:val="right" w:leader="dot" w:pos="8845"/>
          <w:tab w:val="clear" w:pos="8608"/>
        </w:tabs>
        <w:rPr>
          <w:rFonts w:ascii="仿宋_GB2312" w:hAnsi="仿宋" w:eastAsia="仿宋_GB2312" w:cs="仿宋"/>
          <w:sz w:val="32"/>
          <w:szCs w:val="32"/>
        </w:rPr>
      </w:pPr>
      <w:r>
        <w:fldChar w:fldCharType="begin"/>
      </w:r>
      <w:r>
        <w:instrText xml:space="preserve"> HYPERLINK \l "_Toc20794" </w:instrText>
      </w:r>
      <w:r>
        <w:fldChar w:fldCharType="separate"/>
      </w:r>
      <w:r>
        <w:rPr>
          <w:rFonts w:hint="eastAsia" w:ascii="仿宋_GB2312" w:hAnsi="仿宋" w:eastAsia="仿宋_GB2312" w:cs="仿宋"/>
          <w:sz w:val="32"/>
          <w:szCs w:val="32"/>
          <w:shd w:val="clear" w:color="auto" w:fill="FFFFFF"/>
        </w:rPr>
        <w:t>第一节 强化责任，狠抓落实</w:t>
      </w:r>
      <w:r>
        <w:rPr>
          <w:rFonts w:hint="eastAsia" w:ascii="仿宋_GB2312" w:hAnsi="仿宋" w:eastAsia="仿宋_GB2312" w:cs="仿宋"/>
          <w:sz w:val="32"/>
          <w:szCs w:val="32"/>
        </w:rPr>
        <w:tab/>
      </w:r>
      <w:r>
        <w:rPr>
          <w:rFonts w:hint="eastAsia" w:ascii="仿宋_GB2312" w:hAnsi="仿宋" w:eastAsia="仿宋_GB2312" w:cs="仿宋"/>
          <w:sz w:val="32"/>
          <w:szCs w:val="32"/>
        </w:rPr>
        <w:fldChar w:fldCharType="begin"/>
      </w:r>
      <w:r>
        <w:rPr>
          <w:rFonts w:hint="eastAsia" w:ascii="仿宋_GB2312" w:hAnsi="仿宋" w:eastAsia="仿宋_GB2312" w:cs="仿宋"/>
          <w:sz w:val="32"/>
          <w:szCs w:val="32"/>
        </w:rPr>
        <w:instrText xml:space="preserve"> PAGEREF _Toc20794 \h </w:instrText>
      </w:r>
      <w:r>
        <w:rPr>
          <w:rFonts w:hint="eastAsia" w:ascii="仿宋_GB2312" w:hAnsi="仿宋" w:eastAsia="仿宋_GB2312" w:cs="仿宋"/>
          <w:sz w:val="32"/>
          <w:szCs w:val="32"/>
        </w:rPr>
        <w:fldChar w:fldCharType="separate"/>
      </w:r>
      <w:r>
        <w:rPr>
          <w:rFonts w:hint="eastAsia" w:ascii="仿宋_GB2312" w:hAnsi="仿宋" w:eastAsia="仿宋_GB2312" w:cs="仿宋"/>
          <w:sz w:val="32"/>
          <w:szCs w:val="32"/>
        </w:rPr>
        <w:t>29</w:t>
      </w:r>
      <w:r>
        <w:rPr>
          <w:rFonts w:hint="eastAsia" w:ascii="仿宋_GB2312" w:hAnsi="仿宋" w:eastAsia="仿宋_GB2312" w:cs="仿宋"/>
          <w:sz w:val="32"/>
          <w:szCs w:val="32"/>
        </w:rPr>
        <w:fldChar w:fldCharType="end"/>
      </w:r>
      <w:r>
        <w:rPr>
          <w:rFonts w:hint="eastAsia" w:ascii="仿宋_GB2312" w:hAnsi="仿宋" w:eastAsia="仿宋_GB2312" w:cs="仿宋"/>
          <w:sz w:val="32"/>
          <w:szCs w:val="32"/>
        </w:rPr>
        <w:fldChar w:fldCharType="end"/>
      </w:r>
    </w:p>
    <w:p>
      <w:pPr>
        <w:pStyle w:val="11"/>
        <w:tabs>
          <w:tab w:val="right" w:leader="dot" w:pos="8845"/>
          <w:tab w:val="clear" w:pos="8608"/>
        </w:tabs>
        <w:rPr>
          <w:rFonts w:ascii="仿宋_GB2312" w:hAnsi="仿宋" w:eastAsia="仿宋_GB2312" w:cs="仿宋"/>
          <w:sz w:val="32"/>
          <w:szCs w:val="32"/>
        </w:rPr>
      </w:pPr>
      <w:r>
        <w:fldChar w:fldCharType="begin"/>
      </w:r>
      <w:r>
        <w:instrText xml:space="preserve"> HYPERLINK \l "_Toc2406" </w:instrText>
      </w:r>
      <w:r>
        <w:fldChar w:fldCharType="separate"/>
      </w:r>
      <w:r>
        <w:rPr>
          <w:rFonts w:hint="eastAsia" w:ascii="仿宋_GB2312" w:hAnsi="仿宋" w:eastAsia="仿宋_GB2312" w:cs="仿宋"/>
          <w:sz w:val="32"/>
          <w:szCs w:val="32"/>
          <w:shd w:val="clear" w:color="auto" w:fill="FFFFFF"/>
        </w:rPr>
        <w:t>第二节 加强协调，明确责任</w:t>
      </w:r>
      <w:r>
        <w:rPr>
          <w:rFonts w:hint="eastAsia" w:ascii="仿宋_GB2312" w:hAnsi="仿宋" w:eastAsia="仿宋_GB2312" w:cs="仿宋"/>
          <w:sz w:val="32"/>
          <w:szCs w:val="32"/>
        </w:rPr>
        <w:tab/>
      </w:r>
      <w:r>
        <w:rPr>
          <w:rFonts w:hint="eastAsia" w:ascii="仿宋_GB2312" w:hAnsi="仿宋" w:eastAsia="仿宋_GB2312" w:cs="仿宋"/>
          <w:sz w:val="32"/>
          <w:szCs w:val="32"/>
        </w:rPr>
        <w:fldChar w:fldCharType="begin"/>
      </w:r>
      <w:r>
        <w:rPr>
          <w:rFonts w:hint="eastAsia" w:ascii="仿宋_GB2312" w:hAnsi="仿宋" w:eastAsia="仿宋_GB2312" w:cs="仿宋"/>
          <w:sz w:val="32"/>
          <w:szCs w:val="32"/>
        </w:rPr>
        <w:instrText xml:space="preserve"> PAGEREF _Toc2406 \h </w:instrText>
      </w:r>
      <w:r>
        <w:rPr>
          <w:rFonts w:hint="eastAsia" w:ascii="仿宋_GB2312" w:hAnsi="仿宋" w:eastAsia="仿宋_GB2312" w:cs="仿宋"/>
          <w:sz w:val="32"/>
          <w:szCs w:val="32"/>
        </w:rPr>
        <w:fldChar w:fldCharType="separate"/>
      </w:r>
      <w:r>
        <w:rPr>
          <w:rFonts w:hint="eastAsia" w:ascii="仿宋_GB2312" w:hAnsi="仿宋" w:eastAsia="仿宋_GB2312" w:cs="仿宋"/>
          <w:sz w:val="32"/>
          <w:szCs w:val="32"/>
        </w:rPr>
        <w:t>29</w:t>
      </w:r>
      <w:r>
        <w:rPr>
          <w:rFonts w:hint="eastAsia" w:ascii="仿宋_GB2312" w:hAnsi="仿宋" w:eastAsia="仿宋_GB2312" w:cs="仿宋"/>
          <w:sz w:val="32"/>
          <w:szCs w:val="32"/>
        </w:rPr>
        <w:fldChar w:fldCharType="end"/>
      </w:r>
      <w:r>
        <w:rPr>
          <w:rFonts w:hint="eastAsia" w:ascii="仿宋_GB2312" w:hAnsi="仿宋" w:eastAsia="仿宋_GB2312" w:cs="仿宋"/>
          <w:sz w:val="32"/>
          <w:szCs w:val="32"/>
        </w:rPr>
        <w:fldChar w:fldCharType="end"/>
      </w:r>
    </w:p>
    <w:p>
      <w:pPr>
        <w:pStyle w:val="11"/>
        <w:tabs>
          <w:tab w:val="right" w:leader="dot" w:pos="8845"/>
          <w:tab w:val="clear" w:pos="8608"/>
        </w:tabs>
        <w:rPr>
          <w:rFonts w:ascii="仿宋_GB2312" w:hAnsi="仿宋" w:eastAsia="仿宋_GB2312" w:cs="仿宋"/>
          <w:sz w:val="32"/>
          <w:szCs w:val="32"/>
        </w:rPr>
      </w:pPr>
      <w:r>
        <w:fldChar w:fldCharType="begin"/>
      </w:r>
      <w:r>
        <w:instrText xml:space="preserve"> HYPERLINK \l "_Toc27395" </w:instrText>
      </w:r>
      <w:r>
        <w:fldChar w:fldCharType="separate"/>
      </w:r>
      <w:r>
        <w:rPr>
          <w:rFonts w:hint="eastAsia" w:ascii="仿宋_GB2312" w:hAnsi="仿宋" w:eastAsia="仿宋_GB2312" w:cs="仿宋"/>
          <w:sz w:val="32"/>
          <w:szCs w:val="32"/>
          <w:shd w:val="clear" w:color="auto" w:fill="FFFFFF"/>
        </w:rPr>
        <w:t>第三节 加强监测，适时预警</w:t>
      </w:r>
      <w:r>
        <w:rPr>
          <w:rFonts w:hint="eastAsia" w:ascii="仿宋_GB2312" w:hAnsi="仿宋" w:eastAsia="仿宋_GB2312" w:cs="仿宋"/>
          <w:sz w:val="32"/>
          <w:szCs w:val="32"/>
        </w:rPr>
        <w:tab/>
      </w:r>
      <w:r>
        <w:rPr>
          <w:rFonts w:hint="eastAsia" w:ascii="仿宋_GB2312" w:hAnsi="仿宋" w:eastAsia="仿宋_GB2312" w:cs="仿宋"/>
          <w:sz w:val="32"/>
          <w:szCs w:val="32"/>
        </w:rPr>
        <w:fldChar w:fldCharType="begin"/>
      </w:r>
      <w:r>
        <w:rPr>
          <w:rFonts w:hint="eastAsia" w:ascii="仿宋_GB2312" w:hAnsi="仿宋" w:eastAsia="仿宋_GB2312" w:cs="仿宋"/>
          <w:sz w:val="32"/>
          <w:szCs w:val="32"/>
        </w:rPr>
        <w:instrText xml:space="preserve"> PAGEREF _Toc27395 \h </w:instrText>
      </w:r>
      <w:r>
        <w:rPr>
          <w:rFonts w:hint="eastAsia" w:ascii="仿宋_GB2312" w:hAnsi="仿宋" w:eastAsia="仿宋_GB2312" w:cs="仿宋"/>
          <w:sz w:val="32"/>
          <w:szCs w:val="32"/>
        </w:rPr>
        <w:fldChar w:fldCharType="separate"/>
      </w:r>
      <w:r>
        <w:rPr>
          <w:rFonts w:hint="eastAsia" w:ascii="仿宋_GB2312" w:hAnsi="仿宋" w:eastAsia="仿宋_GB2312" w:cs="仿宋"/>
          <w:sz w:val="32"/>
          <w:szCs w:val="32"/>
        </w:rPr>
        <w:t>30</w:t>
      </w:r>
      <w:r>
        <w:rPr>
          <w:rFonts w:hint="eastAsia" w:ascii="仿宋_GB2312" w:hAnsi="仿宋" w:eastAsia="仿宋_GB2312" w:cs="仿宋"/>
          <w:sz w:val="32"/>
          <w:szCs w:val="32"/>
        </w:rPr>
        <w:fldChar w:fldCharType="end"/>
      </w:r>
      <w:r>
        <w:rPr>
          <w:rFonts w:hint="eastAsia" w:ascii="仿宋_GB2312" w:hAnsi="仿宋" w:eastAsia="仿宋_GB2312" w:cs="仿宋"/>
          <w:sz w:val="32"/>
          <w:szCs w:val="32"/>
        </w:rPr>
        <w:fldChar w:fldCharType="end"/>
      </w:r>
    </w:p>
    <w:p>
      <w:pPr>
        <w:pStyle w:val="11"/>
        <w:tabs>
          <w:tab w:val="right" w:leader="dot" w:pos="8845"/>
          <w:tab w:val="clear" w:pos="8608"/>
        </w:tabs>
        <w:rPr>
          <w:rFonts w:ascii="仿宋_GB2312" w:hAnsi="仿宋" w:eastAsia="仿宋_GB2312" w:cs="仿宋"/>
          <w:sz w:val="32"/>
          <w:szCs w:val="32"/>
        </w:rPr>
      </w:pPr>
      <w:r>
        <w:fldChar w:fldCharType="begin"/>
      </w:r>
      <w:r>
        <w:instrText xml:space="preserve"> HYPERLINK \l "_Toc21564" </w:instrText>
      </w:r>
      <w:r>
        <w:fldChar w:fldCharType="separate"/>
      </w:r>
      <w:r>
        <w:rPr>
          <w:rFonts w:hint="eastAsia" w:ascii="仿宋_GB2312" w:hAnsi="仿宋" w:eastAsia="仿宋_GB2312" w:cs="仿宋"/>
          <w:sz w:val="32"/>
          <w:szCs w:val="32"/>
          <w:shd w:val="clear" w:color="auto" w:fill="FFFFFF"/>
        </w:rPr>
        <w:t>第四节 完善考核，加强督查</w:t>
      </w:r>
      <w:r>
        <w:rPr>
          <w:rFonts w:hint="eastAsia" w:ascii="仿宋_GB2312" w:hAnsi="仿宋" w:eastAsia="仿宋_GB2312" w:cs="仿宋"/>
          <w:sz w:val="32"/>
          <w:szCs w:val="32"/>
        </w:rPr>
        <w:tab/>
      </w:r>
      <w:r>
        <w:rPr>
          <w:rFonts w:hint="eastAsia" w:ascii="仿宋_GB2312" w:hAnsi="仿宋" w:eastAsia="仿宋_GB2312" w:cs="仿宋"/>
          <w:sz w:val="32"/>
          <w:szCs w:val="32"/>
        </w:rPr>
        <w:fldChar w:fldCharType="begin"/>
      </w:r>
      <w:r>
        <w:rPr>
          <w:rFonts w:hint="eastAsia" w:ascii="仿宋_GB2312" w:hAnsi="仿宋" w:eastAsia="仿宋_GB2312" w:cs="仿宋"/>
          <w:sz w:val="32"/>
          <w:szCs w:val="32"/>
        </w:rPr>
        <w:instrText xml:space="preserve"> PAGEREF _Toc21564 \h </w:instrText>
      </w:r>
      <w:r>
        <w:rPr>
          <w:rFonts w:hint="eastAsia" w:ascii="仿宋_GB2312" w:hAnsi="仿宋" w:eastAsia="仿宋_GB2312" w:cs="仿宋"/>
          <w:sz w:val="32"/>
          <w:szCs w:val="32"/>
        </w:rPr>
        <w:fldChar w:fldCharType="separate"/>
      </w:r>
      <w:r>
        <w:rPr>
          <w:rFonts w:hint="eastAsia" w:ascii="仿宋_GB2312" w:hAnsi="仿宋" w:eastAsia="仿宋_GB2312" w:cs="仿宋"/>
          <w:sz w:val="32"/>
          <w:szCs w:val="32"/>
        </w:rPr>
        <w:t>30</w:t>
      </w:r>
      <w:r>
        <w:rPr>
          <w:rFonts w:hint="eastAsia" w:ascii="仿宋_GB2312" w:hAnsi="仿宋" w:eastAsia="仿宋_GB2312" w:cs="仿宋"/>
          <w:sz w:val="32"/>
          <w:szCs w:val="32"/>
        </w:rPr>
        <w:fldChar w:fldCharType="end"/>
      </w:r>
      <w:r>
        <w:rPr>
          <w:rFonts w:hint="eastAsia" w:ascii="仿宋_GB2312" w:hAnsi="仿宋" w:eastAsia="仿宋_GB2312" w:cs="仿宋"/>
          <w:sz w:val="32"/>
          <w:szCs w:val="32"/>
        </w:rPr>
        <w:fldChar w:fldCharType="end"/>
      </w:r>
    </w:p>
    <w:p>
      <w:pPr>
        <w:ind w:firstLine="640" w:firstLineChars="200"/>
        <w:jc w:val="center"/>
        <w:rPr>
          <w:rFonts w:ascii="仿宋_GB2312" w:hAnsi="仿宋" w:eastAsia="仿宋_GB2312" w:cs="仿宋"/>
          <w:b/>
          <w:bCs/>
          <w:color w:val="3D3D3D"/>
          <w:sz w:val="32"/>
          <w:szCs w:val="32"/>
          <w:shd w:val="clear" w:color="auto" w:fill="FFFFFF"/>
        </w:rPr>
      </w:pPr>
      <w:r>
        <w:rPr>
          <w:rFonts w:hint="eastAsia" w:ascii="仿宋_GB2312" w:hAnsi="仿宋" w:eastAsia="仿宋_GB2312" w:cs="仿宋"/>
          <w:bCs/>
          <w:color w:val="3D3D3D"/>
          <w:sz w:val="32"/>
          <w:szCs w:val="32"/>
          <w:shd w:val="clear" w:color="auto" w:fill="FFFFFF"/>
        </w:rPr>
        <w:fldChar w:fldCharType="end"/>
      </w:r>
    </w:p>
    <w:p>
      <w:pPr>
        <w:rPr>
          <w:rFonts w:ascii="仿宋" w:hAnsi="仿宋" w:eastAsia="仿宋" w:cs="仿宋_GB2312"/>
          <w:sz w:val="32"/>
          <w:szCs w:val="32"/>
          <w:shd w:val="clear" w:color="auto" w:fill="FFFFFF"/>
        </w:rPr>
      </w:pPr>
    </w:p>
    <w:p>
      <w:pPr>
        <w:ind w:firstLine="480" w:firstLineChars="200"/>
        <w:jc w:val="center"/>
        <w:rPr>
          <w:rFonts w:ascii="微软雅黑" w:hAnsi="微软雅黑" w:eastAsia="微软雅黑" w:cs="微软雅黑"/>
          <w:b/>
          <w:bCs/>
          <w:color w:val="3D3D3D"/>
          <w:sz w:val="24"/>
          <w:shd w:val="clear" w:color="auto" w:fill="FFFFFF"/>
        </w:rPr>
      </w:pPr>
    </w:p>
    <w:p>
      <w:pPr>
        <w:jc w:val="center"/>
        <w:outlineLvl w:val="0"/>
        <w:rPr>
          <w:rFonts w:ascii="黑体" w:hAnsi="黑体" w:eastAsia="黑体" w:cs="黑体"/>
          <w:bCs/>
          <w:color w:val="3D3D3D"/>
          <w:sz w:val="32"/>
          <w:szCs w:val="32"/>
          <w:shd w:val="clear" w:color="auto" w:fill="FFFFFF"/>
        </w:rPr>
        <w:sectPr>
          <w:footerReference r:id="rId4" w:type="default"/>
          <w:pgSz w:w="11906" w:h="16838"/>
          <w:pgMar w:top="2098" w:right="1474" w:bottom="1984" w:left="1587" w:header="851" w:footer="992" w:gutter="0"/>
          <w:pgNumType w:fmt="upperRoman" w:start="1"/>
          <w:cols w:space="425" w:num="1"/>
          <w:docGrid w:type="lines" w:linePitch="312" w:charSpace="0"/>
        </w:sectPr>
      </w:pPr>
    </w:p>
    <w:p>
      <w:pPr>
        <w:jc w:val="center"/>
        <w:outlineLvl w:val="0"/>
        <w:rPr>
          <w:rFonts w:ascii="黑体" w:hAnsi="黑体" w:eastAsia="黑体" w:cs="黑体"/>
          <w:bCs/>
          <w:color w:val="3D3D3D"/>
          <w:sz w:val="32"/>
          <w:szCs w:val="32"/>
          <w:shd w:val="clear" w:color="auto" w:fill="FFFFFF"/>
        </w:rPr>
      </w:pPr>
      <w:bookmarkStart w:id="0" w:name="_Toc15316"/>
      <w:r>
        <w:rPr>
          <w:rFonts w:hint="eastAsia" w:ascii="黑体" w:hAnsi="黑体" w:eastAsia="黑体" w:cs="黑体"/>
          <w:bCs/>
          <w:color w:val="3D3D3D"/>
          <w:sz w:val="32"/>
          <w:szCs w:val="32"/>
          <w:shd w:val="clear" w:color="auto" w:fill="FFFFFF"/>
        </w:rPr>
        <w:t>前  言</w:t>
      </w:r>
      <w:bookmarkEnd w:id="0"/>
    </w:p>
    <w:p>
      <w:pPr>
        <w:ind w:firstLine="640" w:firstLineChars="200"/>
        <w:rPr>
          <w:rFonts w:ascii="仿宋" w:hAnsi="仿宋" w:eastAsia="仿宋" w:cs="仿宋_GB2312"/>
          <w:color w:val="3D3D3D"/>
          <w:sz w:val="32"/>
          <w:szCs w:val="32"/>
          <w:shd w:val="clear" w:color="auto" w:fill="FFFFFF"/>
        </w:rPr>
      </w:pPr>
    </w:p>
    <w:p>
      <w:pPr>
        <w:ind w:firstLine="640" w:firstLineChars="200"/>
        <w:rPr>
          <w:rFonts w:ascii="仿宋_GB2312" w:hAnsi="黑体" w:eastAsia="仿宋_GB2312" w:cs="仿宋"/>
          <w:sz w:val="32"/>
          <w:szCs w:val="32"/>
        </w:rPr>
      </w:pPr>
      <w:r>
        <w:rPr>
          <w:rFonts w:hint="eastAsia" w:ascii="仿宋_GB2312" w:hAnsi="仿宋_GB2312" w:eastAsia="仿宋_GB2312" w:cs="仿宋_GB2312"/>
          <w:color w:val="000000"/>
          <w:sz w:val="32"/>
          <w:szCs w:val="32"/>
        </w:rPr>
        <w:t>为贯彻</w:t>
      </w:r>
      <w:r>
        <w:rPr>
          <w:rFonts w:hint="eastAsia" w:ascii="仿宋_GB2312" w:hAnsi="仿宋_GB2312" w:eastAsia="仿宋_GB2312" w:cs="仿宋_GB2312"/>
          <w:color w:val="000000"/>
          <w:sz w:val="32"/>
          <w:szCs w:val="32"/>
          <w:lang w:eastAsia="zh-CN"/>
        </w:rPr>
        <w:t>落实党中央、国务院</w:t>
      </w:r>
      <w:r>
        <w:rPr>
          <w:rFonts w:hint="eastAsia" w:ascii="仿宋_GB2312" w:hAnsi="仿宋_GB2312" w:eastAsia="仿宋_GB2312" w:cs="仿宋_GB2312"/>
          <w:color w:val="000000"/>
          <w:sz w:val="32"/>
          <w:szCs w:val="32"/>
        </w:rPr>
        <w:t>和省委省政府、市委市政府对就业创业、社会保障事业工作的一系列部署，</w:t>
      </w:r>
      <w:r>
        <w:rPr>
          <w:rFonts w:hint="eastAsia" w:ascii="仿宋_GB2312" w:hAnsi="仿宋_GB2312" w:eastAsia="仿宋_GB2312" w:cs="仿宋_GB2312"/>
          <w:bCs/>
          <w:color w:val="000000"/>
          <w:sz w:val="32"/>
          <w:szCs w:val="32"/>
        </w:rPr>
        <w:t>切实保障和改善民生，实现更加充分更高质量就业，完善覆盖全民的社会保障体系，</w:t>
      </w:r>
      <w:r>
        <w:rPr>
          <w:rFonts w:hint="eastAsia" w:ascii="仿宋_GB2312" w:hAnsi="仿宋" w:eastAsia="仿宋_GB2312" w:cs="仿宋"/>
          <w:sz w:val="32"/>
          <w:szCs w:val="32"/>
        </w:rPr>
        <w:t>按照市委、市政府提出的“强省会”战略部署，根据《贵州省“十四五”促进城乡就业创业发展规划》《贵州省“十四五”社会保障事业发展规划》和《贵阳市国民经济和社会发展第十四个五年规划和二O三五年远景目标纲要》等总体工作部署，结合工作实际，编制本规划</w:t>
      </w:r>
      <w:r>
        <w:rPr>
          <w:rFonts w:hint="eastAsia" w:ascii="仿宋_GB2312" w:hAnsi="仿宋" w:eastAsia="仿宋_GB2312" w:cs="仿宋_GB2312"/>
          <w:sz w:val="32"/>
          <w:szCs w:val="32"/>
          <w:shd w:val="clear" w:color="auto" w:fill="FFFFFF"/>
        </w:rPr>
        <w:t>。</w:t>
      </w:r>
    </w:p>
    <w:p>
      <w:pPr>
        <w:spacing w:line="560" w:lineRule="exact"/>
        <w:jc w:val="center"/>
        <w:outlineLvl w:val="0"/>
        <w:rPr>
          <w:rFonts w:ascii="仿宋" w:hAnsi="仿宋" w:eastAsia="仿宋" w:cs="微软雅黑"/>
          <w:color w:val="3D3D3D"/>
          <w:sz w:val="32"/>
          <w:szCs w:val="32"/>
          <w:shd w:val="clear" w:color="auto" w:fill="FFFFFF"/>
        </w:rPr>
      </w:pPr>
      <w:bookmarkStart w:id="1" w:name="_Toc16505"/>
      <w:bookmarkStart w:id="2" w:name="_Toc770"/>
      <w:r>
        <w:rPr>
          <w:rFonts w:hint="eastAsia" w:ascii="黑体" w:hAnsi="黑体" w:eastAsia="黑体" w:cs="微软雅黑"/>
          <w:sz w:val="32"/>
          <w:szCs w:val="32"/>
          <w:shd w:val="clear" w:color="auto" w:fill="FFFFFF"/>
        </w:rPr>
        <w:t>第一章  “</w:t>
      </w:r>
      <w:r>
        <w:rPr>
          <w:rFonts w:hint="eastAsia" w:ascii="黑体" w:hAnsi="黑体" w:eastAsia="黑体" w:cs="微软雅黑"/>
          <w:sz w:val="32"/>
          <w:szCs w:val="32"/>
        </w:rPr>
        <w:t>十三五”时期主要成就</w:t>
      </w:r>
      <w:bookmarkEnd w:id="1"/>
      <w:bookmarkEnd w:id="2"/>
    </w:p>
    <w:p>
      <w:pPr>
        <w:ind w:firstLine="640" w:firstLineChars="200"/>
        <w:rPr>
          <w:rFonts w:ascii="仿宋_GB2312" w:hAnsi="仿宋" w:eastAsia="仿宋_GB2312" w:cs="仿宋_GB2312"/>
          <w:sz w:val="32"/>
          <w:szCs w:val="32"/>
          <w:shd w:val="clear" w:color="auto" w:fill="FFFFFF"/>
        </w:rPr>
      </w:pPr>
      <w:r>
        <w:rPr>
          <w:rFonts w:hint="eastAsia" w:ascii="仿宋_GB2312" w:hAnsi="仿宋" w:eastAsia="仿宋_GB2312" w:cs="仿宋_GB2312"/>
          <w:sz w:val="32"/>
          <w:szCs w:val="32"/>
          <w:shd w:val="clear" w:color="auto" w:fill="FFFFFF"/>
        </w:rPr>
        <w:t>“十三五”时期，贵阳市全市上下坚持以习近平新时代中国特色社会主义思想为指导，围绕高标准要求、高水平开放、高质量发展，坚持创新、协调、绿色、开放、共享发展理念，把加快推进城乡就业创业作为经济社会发展的优先目标，将完善社会保障体系和改善民生作为提升人民幸福指数的头等大事，已初步建成覆盖全民的就业创业和社会保障服务体系。</w:t>
      </w:r>
      <w:bookmarkStart w:id="3" w:name="_Toc17119"/>
      <w:bookmarkStart w:id="4" w:name="_Toc14132"/>
    </w:p>
    <w:p>
      <w:pPr>
        <w:jc w:val="center"/>
        <w:rPr>
          <w:rFonts w:ascii="黑体" w:hAnsi="黑体" w:eastAsia="黑体" w:cs="微软雅黑"/>
          <w:sz w:val="32"/>
          <w:szCs w:val="32"/>
          <w:shd w:val="clear" w:color="auto" w:fill="FFFFFF"/>
        </w:rPr>
      </w:pPr>
      <w:r>
        <w:rPr>
          <w:rFonts w:hint="eastAsia" w:ascii="黑体" w:hAnsi="黑体" w:eastAsia="黑体" w:cs="微软雅黑"/>
          <w:sz w:val="32"/>
          <w:szCs w:val="32"/>
          <w:shd w:val="clear" w:color="auto" w:fill="FFFFFF"/>
        </w:rPr>
        <w:t>第一节 城乡就业规模持续增长</w:t>
      </w:r>
      <w:bookmarkEnd w:id="3"/>
      <w:bookmarkEnd w:id="4"/>
    </w:p>
    <w:p>
      <w:pPr>
        <w:ind w:firstLine="640" w:firstLineChars="200"/>
        <w:rPr>
          <w:rFonts w:ascii="仿宋_GB2312" w:hAnsi="仿宋" w:eastAsia="仿宋_GB2312" w:cs="仿宋_GB2312"/>
          <w:sz w:val="32"/>
          <w:szCs w:val="32"/>
          <w:shd w:val="clear" w:color="auto" w:fill="FFFFFF"/>
        </w:rPr>
      </w:pPr>
      <w:r>
        <w:rPr>
          <w:rFonts w:hint="eastAsia" w:ascii="仿宋_GB2312" w:hAnsi="仿宋" w:eastAsia="仿宋_GB2312" w:cs="仿宋_GB2312"/>
          <w:sz w:val="32"/>
          <w:szCs w:val="32"/>
          <w:shd w:val="clear" w:color="auto" w:fill="FFFFFF"/>
        </w:rPr>
        <w:t>“十三五”期间，全市累计实现城镇新增就业101万人，失业人员再就业24万人，就业困难对象就业5.76万人，农村劳动力转移就业19万人。城镇登记失业率控制在5%以内。全市持续开展“零就业家庭”就业援助和充分就业社区创建工作，按照“产生一户、认定一户、消除一户、稳定一户”的总体要求，抓好城镇“零就业家庭”和农村“零转移就业家庭”就业援助工作，确保城镇“零就业家庭”动态为零。</w:t>
      </w:r>
    </w:p>
    <w:p>
      <w:pPr>
        <w:ind w:firstLine="640" w:firstLineChars="200"/>
        <w:jc w:val="center"/>
        <w:outlineLvl w:val="1"/>
        <w:rPr>
          <w:rFonts w:ascii="黑体" w:hAnsi="黑体" w:eastAsia="黑体" w:cs="微软雅黑"/>
          <w:color w:val="3D3D3D"/>
          <w:sz w:val="32"/>
          <w:szCs w:val="32"/>
          <w:shd w:val="clear" w:color="auto" w:fill="FFFFFF"/>
        </w:rPr>
      </w:pPr>
      <w:bookmarkStart w:id="5" w:name="_Toc6515"/>
      <w:r>
        <w:rPr>
          <w:rFonts w:hint="eastAsia" w:ascii="黑体" w:hAnsi="黑体" w:eastAsia="黑体" w:cs="微软雅黑"/>
          <w:color w:val="3D3D3D"/>
          <w:sz w:val="32"/>
          <w:szCs w:val="32"/>
          <w:shd w:val="clear" w:color="auto" w:fill="FFFFFF"/>
        </w:rPr>
        <w:t>第二节 创业带动就业成效逐步显现</w:t>
      </w:r>
      <w:bookmarkEnd w:id="5"/>
    </w:p>
    <w:p>
      <w:pPr>
        <w:ind w:firstLine="640" w:firstLineChars="200"/>
        <w:rPr>
          <w:rFonts w:ascii="仿宋_GB2312" w:hAnsi="仿宋" w:eastAsia="仿宋_GB2312" w:cs="仿宋_GB2312"/>
          <w:sz w:val="32"/>
          <w:szCs w:val="32"/>
          <w:shd w:val="clear" w:color="auto" w:fill="FFFFFF"/>
        </w:rPr>
      </w:pPr>
      <w:r>
        <w:rPr>
          <w:rFonts w:hint="eastAsia" w:ascii="仿宋_GB2312" w:hAnsi="仿宋" w:eastAsia="仿宋_GB2312" w:cs="仿宋_GB2312"/>
          <w:sz w:val="32"/>
          <w:szCs w:val="32"/>
          <w:shd w:val="clear" w:color="auto" w:fill="FFFFFF"/>
        </w:rPr>
        <w:t>“十三五”期间，全市累计建成1家国家级创业孵化基地，8家省级创业孵化基地，7家市级创业孵化基地，2家农民工创业示范基地，现有入驻企业2563户，直接带动就业1.4万人。先后制定了自主创业补贴资金申领、创业场所租赁补贴资金申领、创业孵化基地管理等政策文件，全面落实“双百工程”，征集及推广创业项目；实施“雁归兴贵”创业计划，鼓励支持在外务工农民返乡创业；加强劳务协作，推动输出就业，开展贫困劳动力全员培训，探索居家就业，推进就地就近转移就业，举办创业“金点子”大赛，实施大学生创业引领计划，</w:t>
      </w:r>
      <w:bookmarkStart w:id="6" w:name="_Toc12968"/>
      <w:r>
        <w:rPr>
          <w:rFonts w:hint="eastAsia" w:ascii="仿宋_GB2312" w:hAnsi="仿宋" w:eastAsia="仿宋_GB2312" w:cs="仿宋_GB2312"/>
          <w:sz w:val="32"/>
          <w:szCs w:val="32"/>
          <w:shd w:val="clear" w:color="auto" w:fill="FFFFFF"/>
        </w:rPr>
        <w:t>推动开展贵阳市小微企业创业创新基地城市示范工作，充分发挥创业带动就业的倍增效应。</w:t>
      </w:r>
      <w:bookmarkStart w:id="7" w:name="_Toc25106"/>
    </w:p>
    <w:p>
      <w:pPr>
        <w:jc w:val="center"/>
        <w:rPr>
          <w:rFonts w:ascii="黑体" w:hAnsi="黑体" w:eastAsia="黑体" w:cs="微软雅黑"/>
          <w:sz w:val="32"/>
          <w:szCs w:val="32"/>
          <w:shd w:val="clear" w:color="auto" w:fill="FFFFFF"/>
        </w:rPr>
      </w:pPr>
      <w:r>
        <w:rPr>
          <w:rFonts w:hint="eastAsia" w:ascii="黑体" w:hAnsi="黑体" w:eastAsia="黑体" w:cs="微软雅黑"/>
          <w:sz w:val="32"/>
          <w:szCs w:val="32"/>
          <w:shd w:val="clear" w:color="auto" w:fill="FFFFFF"/>
        </w:rPr>
        <w:t>第三节 社会保障水平快速提高</w:t>
      </w:r>
      <w:bookmarkEnd w:id="6"/>
      <w:bookmarkEnd w:id="7"/>
    </w:p>
    <w:p>
      <w:pPr>
        <w:ind w:firstLine="640" w:firstLineChars="200"/>
        <w:rPr>
          <w:rFonts w:ascii="仿宋_GB2312" w:hAnsi="仿宋" w:eastAsia="仿宋_GB2312" w:cs="仿宋_GB2312"/>
          <w:sz w:val="32"/>
          <w:szCs w:val="32"/>
          <w:shd w:val="clear" w:color="auto" w:fill="FFFFFF"/>
        </w:rPr>
      </w:pPr>
      <w:r>
        <w:rPr>
          <w:rFonts w:hint="eastAsia" w:ascii="仿宋_GB2312" w:hAnsi="仿宋" w:eastAsia="仿宋_GB2312" w:cs="仿宋_GB2312"/>
          <w:sz w:val="32"/>
          <w:szCs w:val="32"/>
          <w:shd w:val="clear" w:color="auto" w:fill="FFFFFF"/>
        </w:rPr>
        <w:t>截至“十三五”期末，全市城镇职工基本养老保险参保规模达到252万人，失业保险参保规模达到90万人，工伤保险参保规模达到160万人，基本实现应保尽保的社会保障目标；企业退休人员基本养老金待遇从2042元/月提高到2524元/月，失业人员保险待遇从875元/人</w:t>
      </w:r>
      <w:r>
        <w:rPr>
          <w:rFonts w:hint="eastAsia" w:ascii="仿宋_GB2312" w:hAnsi="宋体" w:eastAsia="宋体" w:cs="宋体"/>
          <w:sz w:val="32"/>
          <w:szCs w:val="32"/>
          <w:shd w:val="clear" w:color="auto" w:fill="FFFFFF"/>
        </w:rPr>
        <w:t>•</w:t>
      </w:r>
      <w:r>
        <w:rPr>
          <w:rFonts w:hint="eastAsia" w:ascii="仿宋_GB2312" w:hAnsi="仿宋" w:eastAsia="仿宋_GB2312" w:cs="仿宋"/>
          <w:sz w:val="32"/>
          <w:szCs w:val="32"/>
          <w:shd w:val="clear" w:color="auto" w:fill="FFFFFF"/>
        </w:rPr>
        <w:t>月提高到</w:t>
      </w:r>
      <w:r>
        <w:rPr>
          <w:rFonts w:hint="eastAsia" w:ascii="仿宋_GB2312" w:hAnsi="仿宋" w:eastAsia="仿宋_GB2312" w:cs="仿宋_GB2312"/>
          <w:sz w:val="32"/>
          <w:szCs w:val="32"/>
          <w:shd w:val="clear" w:color="auto" w:fill="FFFFFF"/>
        </w:rPr>
        <w:t>1611元/人</w:t>
      </w:r>
      <w:r>
        <w:rPr>
          <w:rFonts w:hint="eastAsia" w:ascii="仿宋_GB2312" w:hAnsi="宋体" w:eastAsia="宋体" w:cs="宋体"/>
          <w:sz w:val="32"/>
          <w:szCs w:val="32"/>
          <w:shd w:val="clear" w:color="auto" w:fill="FFFFFF"/>
        </w:rPr>
        <w:t>•</w:t>
      </w:r>
      <w:r>
        <w:rPr>
          <w:rFonts w:hint="eastAsia" w:ascii="仿宋_GB2312" w:hAnsi="仿宋" w:eastAsia="仿宋_GB2312" w:cs="仿宋"/>
          <w:sz w:val="32"/>
          <w:szCs w:val="32"/>
          <w:shd w:val="clear" w:color="auto" w:fill="FFFFFF"/>
        </w:rPr>
        <w:t>月，</w:t>
      </w:r>
      <w:r>
        <w:rPr>
          <w:rFonts w:hint="eastAsia" w:ascii="仿宋_GB2312" w:hAnsi="仿宋" w:eastAsia="仿宋_GB2312" w:cs="仿宋_GB2312"/>
          <w:sz w:val="32"/>
          <w:szCs w:val="32"/>
          <w:shd w:val="clear" w:color="auto" w:fill="FFFFFF"/>
        </w:rPr>
        <w:t>城乡居民基本养老保险基础养老金从140元提高到168元，实现60周岁以上老年人应保尽保。推进“全民参保”登记，持续调整城乡居民基本养老保险基础养老金与失业保障金标准，适时适度降低社会保险费率，统筹城乡的社会保险覆盖范围进一步扩大，社会保障水平进一步提高</w:t>
      </w:r>
      <w:bookmarkStart w:id="8" w:name="_Toc21047"/>
      <w:r>
        <w:rPr>
          <w:rFonts w:hint="eastAsia" w:ascii="仿宋_GB2312" w:hAnsi="仿宋" w:eastAsia="仿宋_GB2312" w:cs="仿宋_GB2312"/>
          <w:sz w:val="32"/>
          <w:szCs w:val="32"/>
          <w:shd w:val="clear" w:color="auto" w:fill="FFFFFF"/>
        </w:rPr>
        <w:t>，社会保障制度进一步完善。</w:t>
      </w:r>
      <w:bookmarkStart w:id="9" w:name="_Toc12813"/>
    </w:p>
    <w:p>
      <w:pPr>
        <w:jc w:val="center"/>
        <w:rPr>
          <w:rFonts w:ascii="黑体" w:hAnsi="黑体" w:eastAsia="黑体" w:cs="微软雅黑"/>
          <w:sz w:val="32"/>
          <w:szCs w:val="32"/>
          <w:shd w:val="clear" w:color="auto" w:fill="FFFFFF"/>
        </w:rPr>
      </w:pPr>
      <w:r>
        <w:rPr>
          <w:rFonts w:hint="eastAsia" w:ascii="黑体" w:hAnsi="黑体" w:eastAsia="黑体" w:cs="微软雅黑"/>
          <w:sz w:val="32"/>
          <w:szCs w:val="32"/>
          <w:shd w:val="clear" w:color="auto" w:fill="FFFFFF"/>
        </w:rPr>
        <w:t>第四节 劳动关系保持和谐稳定</w:t>
      </w:r>
      <w:bookmarkEnd w:id="8"/>
      <w:bookmarkEnd w:id="9"/>
    </w:p>
    <w:p>
      <w:pPr>
        <w:ind w:firstLine="640" w:firstLineChars="200"/>
        <w:rPr>
          <w:rFonts w:ascii="仿宋_GB2312" w:hAnsi="仿宋" w:eastAsia="仿宋_GB2312" w:cs="仿宋_GB2312"/>
          <w:sz w:val="32"/>
          <w:szCs w:val="32"/>
          <w:shd w:val="clear" w:color="auto" w:fill="FFFFFF"/>
        </w:rPr>
      </w:pPr>
      <w:r>
        <w:rPr>
          <w:rFonts w:hint="eastAsia" w:ascii="仿宋_GB2312" w:hAnsi="仿宋" w:eastAsia="仿宋_GB2312" w:cs="仿宋_GB2312"/>
          <w:sz w:val="32"/>
          <w:szCs w:val="32"/>
          <w:shd w:val="clear" w:color="auto" w:fill="FFFFFF"/>
        </w:rPr>
        <w:t>截至“十三五”期末，全市共受理劳动人事争议仲裁案件2.02万件，追发劳动者工资15.78亿元，案件调解成功率为62.55%，结案率为96.22%。持续推进和谐劳动关系建设，规范企业工资分配秩序，全面推进劳动保障监察“两网化”管理。加强仲裁队伍专业化建设，不断提高劳动人事争议仲裁标准化、专业化、信息化水平；开展创建示范仲裁院活动评选，逐步实现仲裁受理范围一致化、审理程序标准化、裁审衔接机制长效化；持续完善“智能仲裁院”、“数字仲裁庭”建设，实现案件办理过程和结果的信息共享、流程管理和办案监督数字化；加强基层劳动争议预防调解工作，加快构建多元化劳动争议调解机制，健全防控机制，促进劳动关系和谐稳定。</w:t>
      </w:r>
      <w:bookmarkStart w:id="10" w:name="_Toc11267"/>
      <w:bookmarkStart w:id="11" w:name="_Toc7364"/>
    </w:p>
    <w:p>
      <w:pPr>
        <w:jc w:val="center"/>
        <w:rPr>
          <w:rFonts w:ascii="黑体" w:hAnsi="黑体" w:eastAsia="黑体" w:cs="微软雅黑"/>
          <w:sz w:val="32"/>
          <w:szCs w:val="32"/>
          <w:shd w:val="clear" w:color="auto" w:fill="FFFFFF"/>
        </w:rPr>
      </w:pPr>
      <w:r>
        <w:rPr>
          <w:rFonts w:hint="eastAsia" w:ascii="黑体" w:hAnsi="黑体" w:eastAsia="黑体" w:cs="微软雅黑"/>
          <w:sz w:val="32"/>
          <w:szCs w:val="32"/>
          <w:shd w:val="clear" w:color="auto" w:fill="FFFFFF"/>
        </w:rPr>
        <w:t>第五节 政策体系逐步健全</w:t>
      </w:r>
      <w:bookmarkEnd w:id="10"/>
      <w:bookmarkEnd w:id="11"/>
    </w:p>
    <w:p>
      <w:pPr>
        <w:ind w:firstLine="640" w:firstLineChars="200"/>
        <w:rPr>
          <w:rFonts w:ascii="仿宋_GB2312" w:hAnsi="仿宋" w:eastAsia="仿宋_GB2312" w:cs="仿宋_GB2312"/>
          <w:sz w:val="32"/>
          <w:szCs w:val="32"/>
          <w:shd w:val="clear" w:color="auto" w:fill="FFFFFF"/>
        </w:rPr>
      </w:pPr>
      <w:r>
        <w:rPr>
          <w:rFonts w:hint="eastAsia" w:ascii="仿宋_GB2312" w:hAnsi="仿宋" w:eastAsia="仿宋_GB2312" w:cs="仿宋_GB2312"/>
          <w:sz w:val="32"/>
          <w:szCs w:val="32"/>
          <w:shd w:val="clear" w:color="auto" w:fill="FFFFFF"/>
        </w:rPr>
        <w:t>“十三五”时期，全市先后出台了创建充分就业城市、深挖就业岗位助力全省脱贫、精准推进就业扶贫、推进居家就业促进脱贫工作、就业补助资金管理等系列文件，就业岗位开发与就业资金管理逐步规范，就业扶贫效能与就业服务水平逐步提升；出台了推进全民参保、调整城镇职工社会保险缴费基数、统一城镇职工基本医疗保险缴费年限、扩大城镇职工基本医疗保险个人账户适用范围、落实被征地农民参加基本养老保险、支持企业稳岗、全面治理拖欠农民工工资等一系列政策措施，全民社会保障水平进一步提高，重点群体劳动权益保障力度进一步加强。</w:t>
      </w:r>
    </w:p>
    <w:tbl>
      <w:tblPr>
        <w:tblStyle w:val="14"/>
        <w:tblW w:w="7916" w:type="dxa"/>
        <w:jc w:val="center"/>
        <w:tblLayout w:type="fixed"/>
        <w:tblCellMar>
          <w:top w:w="0" w:type="dxa"/>
          <w:left w:w="0" w:type="dxa"/>
          <w:bottom w:w="0" w:type="dxa"/>
          <w:right w:w="0" w:type="dxa"/>
        </w:tblCellMar>
      </w:tblPr>
      <w:tblGrid>
        <w:gridCol w:w="750"/>
        <w:gridCol w:w="3183"/>
        <w:gridCol w:w="763"/>
        <w:gridCol w:w="2113"/>
        <w:gridCol w:w="1107"/>
      </w:tblGrid>
      <w:tr>
        <w:tblPrEx>
          <w:tblCellMar>
            <w:top w:w="0" w:type="dxa"/>
            <w:left w:w="0" w:type="dxa"/>
            <w:bottom w:w="0" w:type="dxa"/>
            <w:right w:w="0" w:type="dxa"/>
          </w:tblCellMar>
        </w:tblPrEx>
        <w:trPr>
          <w:trHeight w:val="748" w:hRule="atLeast"/>
          <w:jc w:val="center"/>
        </w:trPr>
        <w:tc>
          <w:tcPr>
            <w:tcW w:w="7916" w:type="dxa"/>
            <w:gridSpan w:val="5"/>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pStyle w:val="24"/>
              <w:tabs>
                <w:tab w:val="left" w:pos="1393"/>
              </w:tabs>
              <w:spacing w:line="360" w:lineRule="auto"/>
              <w:ind w:firstLine="643" w:firstLineChars="200"/>
              <w:jc w:val="center"/>
              <w:rPr>
                <w:rFonts w:ascii="黑体" w:hAnsi="黑体" w:eastAsia="黑体"/>
                <w:b/>
                <w:sz w:val="24"/>
              </w:rPr>
            </w:pPr>
            <w:r>
              <w:rPr>
                <w:rFonts w:hint="eastAsia" w:ascii="楷体_GB2312" w:hAnsi="楷体_GB2312" w:eastAsia="楷体_GB2312" w:cs="楷体_GB2312"/>
                <w:b/>
                <w:bCs/>
                <w:color w:val="3D3D3D"/>
                <w:sz w:val="32"/>
                <w:szCs w:val="32"/>
                <w:shd w:val="clear" w:color="auto" w:fill="FFFFFF"/>
              </w:rPr>
              <w:t>专栏1  贵阳市“十三五”时期规划目标完成情况</w:t>
            </w:r>
          </w:p>
        </w:tc>
      </w:tr>
      <w:tr>
        <w:tblPrEx>
          <w:tblCellMar>
            <w:top w:w="0" w:type="dxa"/>
            <w:left w:w="0" w:type="dxa"/>
            <w:bottom w:w="0" w:type="dxa"/>
            <w:right w:w="0" w:type="dxa"/>
          </w:tblCellMar>
        </w:tblPrEx>
        <w:trPr>
          <w:trHeight w:val="680" w:hRule="atLeast"/>
          <w:jc w:val="center"/>
        </w:trPr>
        <w:tc>
          <w:tcPr>
            <w:tcW w:w="3933"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pacing w:line="360" w:lineRule="auto"/>
              <w:jc w:val="center"/>
              <w:rPr>
                <w:rFonts w:ascii="黑体" w:hAnsi="黑体" w:eastAsia="黑体"/>
                <w:b/>
                <w:sz w:val="24"/>
              </w:rPr>
            </w:pPr>
            <w:r>
              <w:rPr>
                <w:rFonts w:ascii="黑体" w:hAnsi="黑体" w:eastAsia="黑体"/>
                <w:b/>
                <w:sz w:val="24"/>
              </w:rPr>
              <w:t>指  标</w:t>
            </w:r>
          </w:p>
        </w:tc>
        <w:tc>
          <w:tcPr>
            <w:tcW w:w="76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pacing w:line="360" w:lineRule="auto"/>
              <w:jc w:val="center"/>
              <w:rPr>
                <w:rFonts w:ascii="黑体" w:hAnsi="黑体" w:eastAsia="黑体"/>
                <w:b/>
                <w:sz w:val="24"/>
              </w:rPr>
            </w:pPr>
            <w:r>
              <w:rPr>
                <w:rFonts w:ascii="黑体" w:hAnsi="黑体" w:eastAsia="黑体"/>
                <w:b/>
                <w:sz w:val="24"/>
              </w:rPr>
              <w:t>单位</w:t>
            </w:r>
          </w:p>
        </w:tc>
        <w:tc>
          <w:tcPr>
            <w:tcW w:w="211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pacing w:line="360" w:lineRule="auto"/>
              <w:jc w:val="center"/>
              <w:rPr>
                <w:rFonts w:ascii="黑体" w:hAnsi="黑体" w:eastAsia="黑体"/>
                <w:b/>
                <w:sz w:val="24"/>
              </w:rPr>
            </w:pPr>
            <w:r>
              <w:rPr>
                <w:rFonts w:hint="eastAsia" w:ascii="黑体" w:hAnsi="黑体" w:eastAsia="黑体"/>
                <w:b/>
                <w:sz w:val="24"/>
              </w:rPr>
              <w:t>“十三五”</w:t>
            </w:r>
            <w:r>
              <w:rPr>
                <w:rFonts w:ascii="黑体" w:hAnsi="黑体" w:eastAsia="黑体"/>
                <w:b/>
                <w:sz w:val="24"/>
              </w:rPr>
              <w:t>规划目标</w:t>
            </w:r>
          </w:p>
        </w:tc>
        <w:tc>
          <w:tcPr>
            <w:tcW w:w="1107"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pacing w:line="360" w:lineRule="auto"/>
              <w:jc w:val="center"/>
              <w:rPr>
                <w:rFonts w:ascii="黑体" w:hAnsi="黑体" w:eastAsia="黑体"/>
                <w:b/>
                <w:sz w:val="24"/>
              </w:rPr>
            </w:pPr>
            <w:r>
              <w:rPr>
                <w:rFonts w:hint="eastAsia" w:ascii="黑体" w:hAnsi="黑体" w:eastAsia="黑体"/>
                <w:b/>
                <w:sz w:val="24"/>
              </w:rPr>
              <w:t>完成情况</w:t>
            </w:r>
          </w:p>
        </w:tc>
      </w:tr>
      <w:tr>
        <w:tblPrEx>
          <w:tblCellMar>
            <w:top w:w="0" w:type="dxa"/>
            <w:left w:w="0" w:type="dxa"/>
            <w:bottom w:w="0" w:type="dxa"/>
            <w:right w:w="0" w:type="dxa"/>
          </w:tblCellMar>
        </w:tblPrEx>
        <w:trPr>
          <w:trHeight w:val="51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pacing w:line="360" w:lineRule="auto"/>
              <w:jc w:val="center"/>
              <w:rPr>
                <w:rFonts w:ascii="宋体" w:hAnsi="宋体"/>
                <w:szCs w:val="21"/>
              </w:rPr>
            </w:pPr>
            <w:r>
              <w:rPr>
                <w:rFonts w:hint="eastAsia" w:ascii="宋体" w:hAnsi="宋体"/>
                <w:szCs w:val="21"/>
              </w:rPr>
              <w:t>社会</w:t>
            </w:r>
          </w:p>
          <w:p>
            <w:pPr>
              <w:widowControl/>
              <w:spacing w:line="360" w:lineRule="auto"/>
              <w:jc w:val="center"/>
              <w:rPr>
                <w:rFonts w:ascii="宋体" w:hAnsi="宋体"/>
                <w:szCs w:val="21"/>
              </w:rPr>
            </w:pPr>
            <w:r>
              <w:rPr>
                <w:rFonts w:hint="eastAsia" w:ascii="宋体" w:hAnsi="宋体"/>
                <w:szCs w:val="21"/>
              </w:rPr>
              <w:t>保障</w:t>
            </w:r>
          </w:p>
          <w:p>
            <w:pPr>
              <w:widowControl/>
              <w:spacing w:line="360" w:lineRule="auto"/>
              <w:jc w:val="center"/>
              <w:rPr>
                <w:rFonts w:ascii="宋体" w:hAnsi="宋体"/>
                <w:szCs w:val="21"/>
              </w:rPr>
            </w:pPr>
          </w:p>
        </w:tc>
        <w:tc>
          <w:tcPr>
            <w:tcW w:w="318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pacing w:line="360" w:lineRule="auto"/>
              <w:rPr>
                <w:rFonts w:ascii="宋体" w:hAnsi="宋体"/>
                <w:szCs w:val="21"/>
              </w:rPr>
            </w:pPr>
            <w:r>
              <w:rPr>
                <w:rFonts w:hint="eastAsia" w:ascii="宋体" w:hAnsi="宋体"/>
                <w:szCs w:val="21"/>
              </w:rPr>
              <w:t>城镇职工基本养老保险</w:t>
            </w:r>
          </w:p>
        </w:tc>
        <w:tc>
          <w:tcPr>
            <w:tcW w:w="76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pacing w:line="360" w:lineRule="auto"/>
              <w:jc w:val="center"/>
              <w:rPr>
                <w:rFonts w:ascii="宋体" w:hAnsi="宋体"/>
                <w:szCs w:val="21"/>
              </w:rPr>
            </w:pPr>
            <w:r>
              <w:rPr>
                <w:rFonts w:hint="eastAsia" w:ascii="宋体" w:hAnsi="宋体"/>
                <w:szCs w:val="21"/>
              </w:rPr>
              <w:t>万人</w:t>
            </w:r>
          </w:p>
        </w:tc>
        <w:tc>
          <w:tcPr>
            <w:tcW w:w="211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pacing w:line="360" w:lineRule="auto"/>
              <w:jc w:val="center"/>
              <w:rPr>
                <w:rFonts w:ascii="宋体" w:hAnsi="宋体"/>
                <w:szCs w:val="21"/>
              </w:rPr>
            </w:pPr>
            <w:r>
              <w:rPr>
                <w:rFonts w:hint="eastAsia" w:ascii="宋体" w:hAnsi="宋体"/>
                <w:szCs w:val="21"/>
              </w:rPr>
              <w:t>180</w:t>
            </w:r>
          </w:p>
        </w:tc>
        <w:tc>
          <w:tcPr>
            <w:tcW w:w="1107"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pacing w:line="360" w:lineRule="auto"/>
              <w:jc w:val="center"/>
              <w:rPr>
                <w:rFonts w:ascii="宋体" w:hAnsi="宋体"/>
                <w:szCs w:val="21"/>
              </w:rPr>
            </w:pPr>
            <w:r>
              <w:rPr>
                <w:rFonts w:hint="eastAsia" w:ascii="宋体" w:hAnsi="宋体"/>
                <w:szCs w:val="21"/>
              </w:rPr>
              <w:t>252</w:t>
            </w:r>
          </w:p>
        </w:tc>
      </w:tr>
      <w:tr>
        <w:tblPrEx>
          <w:tblCellMar>
            <w:top w:w="0" w:type="dxa"/>
            <w:left w:w="0" w:type="dxa"/>
            <w:bottom w:w="0" w:type="dxa"/>
            <w:right w:w="0" w:type="dxa"/>
          </w:tblCellMar>
        </w:tblPrEx>
        <w:trPr>
          <w:trHeight w:val="51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360"/>
              <w:jc w:val="center"/>
              <w:rPr>
                <w:rFonts w:ascii="宋体" w:hAnsi="宋体"/>
                <w:szCs w:val="21"/>
              </w:rPr>
            </w:pPr>
          </w:p>
        </w:tc>
        <w:tc>
          <w:tcPr>
            <w:tcW w:w="318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pacing w:line="360" w:lineRule="auto"/>
              <w:rPr>
                <w:rFonts w:ascii="宋体" w:hAnsi="宋体"/>
                <w:szCs w:val="21"/>
              </w:rPr>
            </w:pPr>
            <w:r>
              <w:rPr>
                <w:rFonts w:hint="eastAsia" w:ascii="宋体" w:hAnsi="宋体"/>
                <w:szCs w:val="21"/>
              </w:rPr>
              <w:t xml:space="preserve">城乡居民基本养老保险 </w:t>
            </w:r>
          </w:p>
        </w:tc>
        <w:tc>
          <w:tcPr>
            <w:tcW w:w="76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pacing w:line="360" w:lineRule="auto"/>
              <w:jc w:val="center"/>
              <w:rPr>
                <w:rFonts w:ascii="宋体" w:hAnsi="宋体"/>
                <w:szCs w:val="21"/>
              </w:rPr>
            </w:pPr>
            <w:r>
              <w:rPr>
                <w:rFonts w:hint="eastAsia" w:ascii="宋体" w:hAnsi="宋体"/>
                <w:szCs w:val="21"/>
              </w:rPr>
              <w:t>万人</w:t>
            </w:r>
          </w:p>
        </w:tc>
        <w:tc>
          <w:tcPr>
            <w:tcW w:w="211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pacing w:line="360" w:lineRule="auto"/>
              <w:jc w:val="center"/>
              <w:rPr>
                <w:rFonts w:ascii="宋体" w:hAnsi="宋体"/>
                <w:szCs w:val="21"/>
              </w:rPr>
            </w:pPr>
            <w:r>
              <w:rPr>
                <w:rFonts w:hint="eastAsia" w:ascii="宋体" w:hAnsi="宋体"/>
                <w:szCs w:val="21"/>
              </w:rPr>
              <w:t>80</w:t>
            </w:r>
          </w:p>
        </w:tc>
        <w:tc>
          <w:tcPr>
            <w:tcW w:w="1107"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pacing w:line="360" w:lineRule="auto"/>
              <w:jc w:val="center"/>
              <w:rPr>
                <w:rFonts w:ascii="宋体" w:hAnsi="宋体"/>
                <w:szCs w:val="21"/>
              </w:rPr>
            </w:pPr>
            <w:r>
              <w:rPr>
                <w:rFonts w:hint="eastAsia" w:ascii="宋体" w:hAnsi="宋体"/>
                <w:szCs w:val="21"/>
              </w:rPr>
              <w:t>80</w:t>
            </w:r>
          </w:p>
        </w:tc>
      </w:tr>
      <w:tr>
        <w:tblPrEx>
          <w:tblCellMar>
            <w:top w:w="0" w:type="dxa"/>
            <w:left w:w="0" w:type="dxa"/>
            <w:bottom w:w="0" w:type="dxa"/>
            <w:right w:w="0" w:type="dxa"/>
          </w:tblCellMar>
        </w:tblPrEx>
        <w:trPr>
          <w:trHeight w:val="51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360"/>
              <w:jc w:val="center"/>
              <w:rPr>
                <w:rFonts w:ascii="宋体" w:hAnsi="宋体"/>
                <w:szCs w:val="21"/>
              </w:rPr>
            </w:pPr>
          </w:p>
        </w:tc>
        <w:tc>
          <w:tcPr>
            <w:tcW w:w="318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pacing w:line="360" w:lineRule="auto"/>
              <w:rPr>
                <w:rFonts w:ascii="宋体" w:hAnsi="宋体"/>
                <w:szCs w:val="21"/>
              </w:rPr>
            </w:pPr>
            <w:r>
              <w:rPr>
                <w:rFonts w:hint="eastAsia" w:ascii="宋体" w:hAnsi="宋体"/>
                <w:szCs w:val="21"/>
              </w:rPr>
              <w:t>失业保险</w:t>
            </w:r>
          </w:p>
        </w:tc>
        <w:tc>
          <w:tcPr>
            <w:tcW w:w="76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pacing w:line="360" w:lineRule="auto"/>
              <w:jc w:val="center"/>
              <w:rPr>
                <w:rFonts w:ascii="宋体" w:hAnsi="宋体"/>
                <w:szCs w:val="21"/>
              </w:rPr>
            </w:pPr>
            <w:r>
              <w:rPr>
                <w:rFonts w:hint="eastAsia" w:ascii="宋体" w:hAnsi="宋体"/>
                <w:szCs w:val="21"/>
              </w:rPr>
              <w:t>万人</w:t>
            </w:r>
          </w:p>
        </w:tc>
        <w:tc>
          <w:tcPr>
            <w:tcW w:w="211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pacing w:line="360" w:lineRule="auto"/>
              <w:jc w:val="center"/>
              <w:rPr>
                <w:rFonts w:ascii="宋体" w:hAnsi="宋体"/>
                <w:szCs w:val="21"/>
              </w:rPr>
            </w:pPr>
            <w:r>
              <w:rPr>
                <w:rFonts w:hint="eastAsia" w:ascii="宋体" w:hAnsi="宋体"/>
                <w:szCs w:val="21"/>
              </w:rPr>
              <w:t>74</w:t>
            </w:r>
          </w:p>
        </w:tc>
        <w:tc>
          <w:tcPr>
            <w:tcW w:w="1107"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pacing w:line="360" w:lineRule="auto"/>
              <w:jc w:val="center"/>
              <w:rPr>
                <w:rFonts w:ascii="宋体" w:hAnsi="宋体"/>
                <w:szCs w:val="21"/>
              </w:rPr>
            </w:pPr>
            <w:r>
              <w:rPr>
                <w:rFonts w:hint="eastAsia" w:ascii="宋体" w:hAnsi="宋体"/>
                <w:szCs w:val="21"/>
              </w:rPr>
              <w:t>90</w:t>
            </w:r>
          </w:p>
        </w:tc>
      </w:tr>
      <w:tr>
        <w:tblPrEx>
          <w:tblCellMar>
            <w:top w:w="0" w:type="dxa"/>
            <w:left w:w="0" w:type="dxa"/>
            <w:bottom w:w="0" w:type="dxa"/>
            <w:right w:w="0" w:type="dxa"/>
          </w:tblCellMar>
        </w:tblPrEx>
        <w:trPr>
          <w:trHeight w:val="51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360"/>
              <w:jc w:val="center"/>
              <w:rPr>
                <w:rFonts w:ascii="宋体" w:hAnsi="宋体"/>
                <w:szCs w:val="21"/>
              </w:rPr>
            </w:pPr>
          </w:p>
        </w:tc>
        <w:tc>
          <w:tcPr>
            <w:tcW w:w="318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pacing w:line="360" w:lineRule="auto"/>
              <w:rPr>
                <w:rFonts w:ascii="宋体" w:hAnsi="宋体"/>
                <w:szCs w:val="21"/>
              </w:rPr>
            </w:pPr>
            <w:r>
              <w:rPr>
                <w:rFonts w:hint="eastAsia" w:ascii="宋体" w:hAnsi="宋体"/>
                <w:szCs w:val="21"/>
              </w:rPr>
              <w:t>工伤保险</w:t>
            </w:r>
          </w:p>
        </w:tc>
        <w:tc>
          <w:tcPr>
            <w:tcW w:w="76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pacing w:line="360" w:lineRule="auto"/>
              <w:jc w:val="center"/>
              <w:rPr>
                <w:rFonts w:ascii="宋体" w:hAnsi="宋体"/>
                <w:szCs w:val="21"/>
              </w:rPr>
            </w:pPr>
            <w:r>
              <w:rPr>
                <w:rFonts w:hint="eastAsia" w:ascii="宋体" w:hAnsi="宋体"/>
                <w:szCs w:val="21"/>
              </w:rPr>
              <w:t>万人</w:t>
            </w:r>
          </w:p>
        </w:tc>
        <w:tc>
          <w:tcPr>
            <w:tcW w:w="211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pacing w:line="360" w:lineRule="auto"/>
              <w:jc w:val="center"/>
              <w:rPr>
                <w:rFonts w:ascii="宋体" w:hAnsi="宋体"/>
                <w:szCs w:val="21"/>
              </w:rPr>
            </w:pPr>
            <w:r>
              <w:rPr>
                <w:rFonts w:hint="eastAsia" w:ascii="宋体" w:hAnsi="宋体"/>
                <w:szCs w:val="21"/>
              </w:rPr>
              <w:t>89.5</w:t>
            </w:r>
          </w:p>
        </w:tc>
        <w:tc>
          <w:tcPr>
            <w:tcW w:w="1107"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pacing w:line="360" w:lineRule="auto"/>
              <w:jc w:val="center"/>
              <w:rPr>
                <w:rFonts w:ascii="宋体" w:hAnsi="宋体"/>
                <w:szCs w:val="21"/>
              </w:rPr>
            </w:pPr>
            <w:r>
              <w:rPr>
                <w:rFonts w:hint="eastAsia" w:ascii="宋体" w:hAnsi="宋体"/>
                <w:szCs w:val="21"/>
              </w:rPr>
              <w:t>160</w:t>
            </w:r>
          </w:p>
        </w:tc>
      </w:tr>
      <w:tr>
        <w:tblPrEx>
          <w:tblCellMar>
            <w:top w:w="0" w:type="dxa"/>
            <w:left w:w="0" w:type="dxa"/>
            <w:bottom w:w="0" w:type="dxa"/>
            <w:right w:w="0" w:type="dxa"/>
          </w:tblCellMar>
        </w:tblPrEx>
        <w:trPr>
          <w:trHeight w:val="510" w:hRule="atLeast"/>
          <w:jc w:val="center"/>
        </w:trPr>
        <w:tc>
          <w:tcPr>
            <w:tcW w:w="750" w:type="dxa"/>
            <w:vMerge w:val="restart"/>
            <w:tcBorders>
              <w:top w:val="single" w:color="000000" w:sz="4" w:space="0"/>
              <w:left w:val="single" w:color="000000" w:sz="4" w:space="0"/>
              <w:right w:val="single" w:color="000000" w:sz="4" w:space="0"/>
            </w:tcBorders>
            <w:vAlign w:val="center"/>
          </w:tcPr>
          <w:p>
            <w:pPr>
              <w:widowControl/>
              <w:spacing w:line="360" w:lineRule="auto"/>
              <w:ind w:firstLine="210" w:firstLineChars="100"/>
              <w:rPr>
                <w:rFonts w:ascii="宋体" w:hAnsi="宋体"/>
                <w:szCs w:val="21"/>
              </w:rPr>
            </w:pPr>
            <w:r>
              <w:rPr>
                <w:rFonts w:hint="eastAsia" w:ascii="宋体" w:hAnsi="宋体"/>
                <w:szCs w:val="21"/>
              </w:rPr>
              <w:t>就业</w:t>
            </w:r>
          </w:p>
        </w:tc>
        <w:tc>
          <w:tcPr>
            <w:tcW w:w="318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pacing w:line="360" w:lineRule="auto"/>
              <w:rPr>
                <w:rFonts w:ascii="宋体" w:hAnsi="宋体"/>
                <w:szCs w:val="21"/>
              </w:rPr>
            </w:pPr>
            <w:r>
              <w:rPr>
                <w:rFonts w:hint="eastAsia" w:ascii="宋体" w:hAnsi="宋体"/>
                <w:szCs w:val="21"/>
              </w:rPr>
              <w:t>城乡统筹就业人数</w:t>
            </w:r>
          </w:p>
        </w:tc>
        <w:tc>
          <w:tcPr>
            <w:tcW w:w="76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pacing w:line="360" w:lineRule="auto"/>
              <w:jc w:val="center"/>
              <w:rPr>
                <w:rFonts w:ascii="宋体" w:hAnsi="宋体"/>
                <w:szCs w:val="21"/>
              </w:rPr>
            </w:pPr>
            <w:r>
              <w:rPr>
                <w:rFonts w:hint="eastAsia" w:ascii="宋体" w:hAnsi="宋体"/>
                <w:szCs w:val="21"/>
              </w:rPr>
              <w:t>万人</w:t>
            </w:r>
          </w:p>
        </w:tc>
        <w:tc>
          <w:tcPr>
            <w:tcW w:w="211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pacing w:line="360" w:lineRule="auto"/>
              <w:jc w:val="center"/>
              <w:rPr>
                <w:rFonts w:ascii="宋体" w:hAnsi="宋体"/>
                <w:szCs w:val="21"/>
              </w:rPr>
            </w:pPr>
            <w:r>
              <w:rPr>
                <w:rFonts w:hint="eastAsia" w:ascii="宋体" w:hAnsi="宋体"/>
                <w:szCs w:val="21"/>
              </w:rPr>
              <w:t>116</w:t>
            </w:r>
          </w:p>
        </w:tc>
        <w:tc>
          <w:tcPr>
            <w:tcW w:w="1107"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pacing w:line="360" w:lineRule="auto"/>
              <w:jc w:val="center"/>
              <w:rPr>
                <w:rFonts w:ascii="宋体" w:hAnsi="宋体"/>
                <w:szCs w:val="21"/>
              </w:rPr>
            </w:pPr>
            <w:r>
              <w:rPr>
                <w:rFonts w:hint="eastAsia" w:ascii="宋体" w:hAnsi="宋体"/>
                <w:szCs w:val="21"/>
              </w:rPr>
              <w:t>120</w:t>
            </w:r>
          </w:p>
        </w:tc>
      </w:tr>
      <w:tr>
        <w:tblPrEx>
          <w:tblCellMar>
            <w:top w:w="0" w:type="dxa"/>
            <w:left w:w="0" w:type="dxa"/>
            <w:bottom w:w="0" w:type="dxa"/>
            <w:right w:w="0" w:type="dxa"/>
          </w:tblCellMar>
        </w:tblPrEx>
        <w:trPr>
          <w:trHeight w:val="510" w:hRule="atLeast"/>
          <w:jc w:val="center"/>
        </w:trPr>
        <w:tc>
          <w:tcPr>
            <w:tcW w:w="750" w:type="dxa"/>
            <w:vMerge w:val="continue"/>
            <w:tcBorders>
              <w:left w:val="single" w:color="000000" w:sz="4" w:space="0"/>
              <w:right w:val="single" w:color="000000" w:sz="4" w:space="0"/>
            </w:tcBorders>
            <w:vAlign w:val="center"/>
          </w:tcPr>
          <w:p>
            <w:pPr>
              <w:widowControl/>
              <w:spacing w:line="360" w:lineRule="auto"/>
              <w:rPr>
                <w:rFonts w:ascii="宋体" w:hAnsi="宋体"/>
                <w:szCs w:val="21"/>
              </w:rPr>
            </w:pPr>
          </w:p>
        </w:tc>
        <w:tc>
          <w:tcPr>
            <w:tcW w:w="318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pacing w:line="360" w:lineRule="auto"/>
              <w:ind w:firstLine="420" w:firstLineChars="200"/>
              <w:rPr>
                <w:rFonts w:ascii="宋体" w:hAnsi="宋体"/>
                <w:szCs w:val="21"/>
              </w:rPr>
            </w:pPr>
            <w:r>
              <w:rPr>
                <w:rFonts w:hint="eastAsia" w:ascii="宋体" w:hAnsi="宋体"/>
                <w:szCs w:val="21"/>
              </w:rPr>
              <w:t>其中：城镇新增就业人数</w:t>
            </w:r>
          </w:p>
        </w:tc>
        <w:tc>
          <w:tcPr>
            <w:tcW w:w="76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pacing w:line="360" w:lineRule="auto"/>
              <w:jc w:val="center"/>
              <w:rPr>
                <w:rFonts w:ascii="宋体" w:hAnsi="宋体"/>
                <w:szCs w:val="21"/>
              </w:rPr>
            </w:pPr>
            <w:r>
              <w:rPr>
                <w:rFonts w:hint="eastAsia" w:ascii="宋体" w:hAnsi="宋体"/>
                <w:szCs w:val="21"/>
              </w:rPr>
              <w:t>万人</w:t>
            </w:r>
          </w:p>
        </w:tc>
        <w:tc>
          <w:tcPr>
            <w:tcW w:w="211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pacing w:line="360" w:lineRule="auto"/>
              <w:jc w:val="center"/>
              <w:rPr>
                <w:rFonts w:ascii="宋体" w:hAnsi="宋体"/>
                <w:szCs w:val="21"/>
              </w:rPr>
            </w:pPr>
            <w:r>
              <w:rPr>
                <w:rFonts w:hint="eastAsia" w:ascii="宋体" w:hAnsi="宋体"/>
                <w:szCs w:val="21"/>
              </w:rPr>
              <w:t>102</w:t>
            </w:r>
          </w:p>
        </w:tc>
        <w:tc>
          <w:tcPr>
            <w:tcW w:w="1107"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pacing w:line="360" w:lineRule="auto"/>
              <w:jc w:val="center"/>
              <w:rPr>
                <w:rFonts w:ascii="宋体" w:hAnsi="宋体"/>
                <w:szCs w:val="21"/>
              </w:rPr>
            </w:pPr>
            <w:r>
              <w:rPr>
                <w:rFonts w:hint="eastAsia" w:ascii="宋体" w:hAnsi="宋体"/>
                <w:szCs w:val="21"/>
              </w:rPr>
              <w:t>101</w:t>
            </w:r>
          </w:p>
        </w:tc>
      </w:tr>
      <w:tr>
        <w:tblPrEx>
          <w:tblCellMar>
            <w:top w:w="0" w:type="dxa"/>
            <w:left w:w="0" w:type="dxa"/>
            <w:bottom w:w="0" w:type="dxa"/>
            <w:right w:w="0" w:type="dxa"/>
          </w:tblCellMar>
        </w:tblPrEx>
        <w:trPr>
          <w:trHeight w:val="510" w:hRule="atLeast"/>
          <w:jc w:val="center"/>
        </w:trPr>
        <w:tc>
          <w:tcPr>
            <w:tcW w:w="750" w:type="dxa"/>
            <w:vMerge w:val="continue"/>
            <w:tcBorders>
              <w:left w:val="single" w:color="000000" w:sz="4" w:space="0"/>
              <w:right w:val="single" w:color="000000" w:sz="4" w:space="0"/>
            </w:tcBorders>
            <w:vAlign w:val="center"/>
          </w:tcPr>
          <w:p>
            <w:pPr>
              <w:widowControl/>
              <w:spacing w:line="360" w:lineRule="auto"/>
              <w:rPr>
                <w:rFonts w:ascii="宋体" w:hAnsi="宋体"/>
                <w:szCs w:val="21"/>
              </w:rPr>
            </w:pPr>
          </w:p>
        </w:tc>
        <w:tc>
          <w:tcPr>
            <w:tcW w:w="318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pacing w:line="360" w:lineRule="auto"/>
              <w:rPr>
                <w:rFonts w:ascii="宋体" w:hAnsi="宋体"/>
                <w:szCs w:val="21"/>
              </w:rPr>
            </w:pPr>
            <w:r>
              <w:rPr>
                <w:rFonts w:hint="eastAsia" w:ascii="宋体" w:hAnsi="宋体"/>
                <w:szCs w:val="21"/>
              </w:rPr>
              <w:t>职业技能培训人数</w:t>
            </w:r>
          </w:p>
        </w:tc>
        <w:tc>
          <w:tcPr>
            <w:tcW w:w="76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pacing w:line="360" w:lineRule="auto"/>
              <w:jc w:val="center"/>
              <w:rPr>
                <w:rFonts w:ascii="宋体" w:hAnsi="宋体"/>
                <w:szCs w:val="21"/>
              </w:rPr>
            </w:pPr>
            <w:r>
              <w:rPr>
                <w:rFonts w:hint="eastAsia" w:ascii="宋体" w:hAnsi="宋体"/>
                <w:szCs w:val="21"/>
              </w:rPr>
              <w:t>万人</w:t>
            </w:r>
          </w:p>
        </w:tc>
        <w:tc>
          <w:tcPr>
            <w:tcW w:w="211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pacing w:line="360" w:lineRule="auto"/>
              <w:jc w:val="center"/>
              <w:rPr>
                <w:rFonts w:ascii="宋体" w:hAnsi="宋体"/>
                <w:szCs w:val="21"/>
              </w:rPr>
            </w:pPr>
            <w:r>
              <w:rPr>
                <w:rFonts w:hint="eastAsia" w:ascii="宋体" w:hAnsi="宋体"/>
                <w:szCs w:val="21"/>
              </w:rPr>
              <w:t>15</w:t>
            </w:r>
          </w:p>
        </w:tc>
        <w:tc>
          <w:tcPr>
            <w:tcW w:w="1107"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pacing w:line="360" w:lineRule="auto"/>
              <w:jc w:val="center"/>
              <w:rPr>
                <w:rFonts w:ascii="宋体" w:hAnsi="宋体"/>
                <w:szCs w:val="21"/>
              </w:rPr>
            </w:pPr>
            <w:r>
              <w:rPr>
                <w:rFonts w:hint="eastAsia" w:ascii="宋体" w:hAnsi="宋体"/>
                <w:szCs w:val="21"/>
              </w:rPr>
              <w:t>22</w:t>
            </w:r>
          </w:p>
        </w:tc>
      </w:tr>
      <w:tr>
        <w:tblPrEx>
          <w:tblCellMar>
            <w:top w:w="0" w:type="dxa"/>
            <w:left w:w="0" w:type="dxa"/>
            <w:bottom w:w="0" w:type="dxa"/>
            <w:right w:w="0" w:type="dxa"/>
          </w:tblCellMar>
        </w:tblPrEx>
        <w:trPr>
          <w:trHeight w:val="510" w:hRule="atLeast"/>
          <w:jc w:val="center"/>
        </w:trPr>
        <w:tc>
          <w:tcPr>
            <w:tcW w:w="750" w:type="dxa"/>
            <w:vMerge w:val="continue"/>
            <w:tcBorders>
              <w:left w:val="single" w:color="000000" w:sz="4" w:space="0"/>
              <w:bottom w:val="single" w:color="000000" w:sz="4" w:space="0"/>
              <w:right w:val="single" w:color="000000" w:sz="4" w:space="0"/>
            </w:tcBorders>
            <w:vAlign w:val="center"/>
          </w:tcPr>
          <w:p>
            <w:pPr>
              <w:widowControl/>
              <w:spacing w:line="360" w:lineRule="auto"/>
              <w:rPr>
                <w:rFonts w:ascii="宋体" w:hAnsi="宋体"/>
                <w:szCs w:val="21"/>
              </w:rPr>
            </w:pPr>
          </w:p>
        </w:tc>
        <w:tc>
          <w:tcPr>
            <w:tcW w:w="318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pacing w:line="360" w:lineRule="auto"/>
              <w:rPr>
                <w:rFonts w:ascii="宋体" w:hAnsi="宋体"/>
                <w:szCs w:val="21"/>
              </w:rPr>
            </w:pPr>
            <w:r>
              <w:rPr>
                <w:rFonts w:hint="eastAsia" w:ascii="宋体" w:hAnsi="宋体"/>
                <w:szCs w:val="21"/>
              </w:rPr>
              <w:t>城镇登记失业率</w:t>
            </w:r>
          </w:p>
        </w:tc>
        <w:tc>
          <w:tcPr>
            <w:tcW w:w="76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pacing w:line="360" w:lineRule="auto"/>
              <w:jc w:val="center"/>
              <w:rPr>
                <w:rFonts w:ascii="宋体" w:hAnsi="宋体"/>
                <w:szCs w:val="21"/>
              </w:rPr>
            </w:pPr>
            <w:r>
              <w:rPr>
                <w:rFonts w:hint="eastAsia" w:ascii="宋体" w:hAnsi="宋体"/>
                <w:szCs w:val="21"/>
              </w:rPr>
              <w:t>%</w:t>
            </w:r>
          </w:p>
        </w:tc>
        <w:tc>
          <w:tcPr>
            <w:tcW w:w="211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pacing w:line="360" w:lineRule="auto"/>
              <w:jc w:val="center"/>
              <w:rPr>
                <w:rFonts w:ascii="宋体" w:hAnsi="宋体"/>
                <w:szCs w:val="21"/>
              </w:rPr>
            </w:pPr>
            <w:r>
              <w:rPr>
                <w:rFonts w:hint="eastAsia" w:ascii="宋体" w:hAnsi="宋体"/>
                <w:szCs w:val="21"/>
              </w:rPr>
              <w:t>≤4.5</w:t>
            </w:r>
          </w:p>
        </w:tc>
        <w:tc>
          <w:tcPr>
            <w:tcW w:w="1107"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pacing w:line="360" w:lineRule="auto"/>
              <w:jc w:val="center"/>
              <w:rPr>
                <w:rFonts w:ascii="宋体" w:hAnsi="宋体"/>
                <w:szCs w:val="21"/>
              </w:rPr>
            </w:pPr>
            <w:r>
              <w:rPr>
                <w:rFonts w:hint="eastAsia" w:ascii="宋体" w:hAnsi="宋体"/>
                <w:szCs w:val="21"/>
              </w:rPr>
              <w:t>≤4.19</w:t>
            </w:r>
          </w:p>
        </w:tc>
      </w:tr>
    </w:tbl>
    <w:p>
      <w:pPr>
        <w:ind w:firstLine="640" w:firstLineChars="200"/>
        <w:rPr>
          <w:rFonts w:ascii="仿宋" w:hAnsi="仿宋" w:eastAsia="仿宋" w:cs="仿宋_GB2312"/>
          <w:sz w:val="32"/>
          <w:szCs w:val="32"/>
          <w:shd w:val="clear" w:color="auto" w:fill="FFFFFF"/>
        </w:rPr>
      </w:pPr>
      <w:bookmarkStart w:id="12" w:name="_Toc5795"/>
    </w:p>
    <w:p>
      <w:pPr>
        <w:jc w:val="center"/>
        <w:outlineLvl w:val="0"/>
        <w:rPr>
          <w:rFonts w:ascii="黑体" w:hAnsi="黑体" w:eastAsia="黑体" w:cs="仿宋_GB2312"/>
          <w:sz w:val="32"/>
          <w:szCs w:val="32"/>
          <w:shd w:val="clear" w:color="auto" w:fill="FFFFFF"/>
        </w:rPr>
      </w:pPr>
      <w:bookmarkStart w:id="13" w:name="_Toc1051"/>
      <w:r>
        <w:rPr>
          <w:rFonts w:hint="eastAsia" w:ascii="黑体" w:hAnsi="黑体" w:eastAsia="黑体" w:cs="仿宋_GB2312"/>
          <w:sz w:val="32"/>
          <w:szCs w:val="32"/>
          <w:shd w:val="clear" w:color="auto" w:fill="FFFFFF"/>
        </w:rPr>
        <w:t xml:space="preserve">第二章  </w:t>
      </w:r>
      <w:bookmarkEnd w:id="12"/>
      <w:r>
        <w:rPr>
          <w:rFonts w:hint="eastAsia" w:ascii="黑体" w:hAnsi="黑体" w:eastAsia="黑体" w:cs="仿宋_GB2312"/>
          <w:sz w:val="32"/>
          <w:szCs w:val="32"/>
          <w:shd w:val="clear" w:color="auto" w:fill="FFFFFF"/>
        </w:rPr>
        <w:t>机遇和挑战</w:t>
      </w:r>
      <w:bookmarkEnd w:id="13"/>
    </w:p>
    <w:p>
      <w:pPr>
        <w:ind w:firstLine="640" w:firstLineChars="200"/>
        <w:jc w:val="center"/>
        <w:outlineLvl w:val="1"/>
        <w:rPr>
          <w:rFonts w:ascii="黑体" w:hAnsi="黑体" w:eastAsia="黑体" w:cs="仿宋_GB2312"/>
          <w:sz w:val="32"/>
          <w:szCs w:val="32"/>
          <w:shd w:val="clear" w:color="auto" w:fill="FFFFFF"/>
        </w:rPr>
      </w:pPr>
      <w:bookmarkStart w:id="14" w:name="_Toc29013"/>
      <w:r>
        <w:rPr>
          <w:rFonts w:hint="eastAsia" w:ascii="黑体" w:hAnsi="黑体" w:eastAsia="黑体" w:cs="仿宋_GB2312"/>
          <w:sz w:val="32"/>
          <w:szCs w:val="32"/>
          <w:shd w:val="clear" w:color="auto" w:fill="FFFFFF"/>
        </w:rPr>
        <w:t>第一节 面临挑战</w:t>
      </w:r>
      <w:bookmarkEnd w:id="14"/>
    </w:p>
    <w:p>
      <w:pPr>
        <w:ind w:firstLine="640" w:firstLineChars="200"/>
        <w:rPr>
          <w:rFonts w:ascii="仿宋_GB2312" w:hAnsi="仿宋" w:eastAsia="仿宋_GB2312" w:cs="仿宋_GB2312"/>
          <w:sz w:val="32"/>
          <w:szCs w:val="32"/>
          <w:shd w:val="clear" w:color="auto" w:fill="FFFFFF"/>
        </w:rPr>
      </w:pPr>
      <w:bookmarkStart w:id="15" w:name="_Toc30402"/>
      <w:bookmarkStart w:id="16" w:name="_Toc38258042"/>
      <w:bookmarkStart w:id="17" w:name="_Toc7899"/>
      <w:bookmarkStart w:id="18" w:name="_Toc7803038"/>
      <w:r>
        <w:rPr>
          <w:rFonts w:hint="eastAsia" w:ascii="仿宋_GB2312" w:hAnsi="仿宋" w:eastAsia="仿宋_GB2312" w:cs="仿宋_GB2312"/>
          <w:sz w:val="32"/>
          <w:szCs w:val="32"/>
          <w:shd w:val="clear" w:color="auto" w:fill="FFFFFF"/>
        </w:rPr>
        <w:t>“十四五”时期，国内经济下行压力加大，全省经济增速放缓，外部不确定因素增多，人口老龄化加深、结构调整推进、人工智能技术发展等，传统产业工人面临转型升级，城镇化转移就业需要安置，大中专毕业生规模持续增长，农民工返乡回流创业就业规模压力持续增大，劳动力总量供大于求，全市就业结构性矛盾更加突出，制约就业的制度性障碍更加凸显，就业形势依然复杂严峻。</w:t>
      </w:r>
    </w:p>
    <w:p>
      <w:pPr>
        <w:ind w:firstLine="640" w:firstLineChars="200"/>
        <w:rPr>
          <w:rFonts w:ascii="仿宋_GB2312" w:hAnsi="仿宋" w:eastAsia="仿宋_GB2312" w:cs="仿宋_GB2312"/>
          <w:sz w:val="32"/>
          <w:szCs w:val="32"/>
          <w:shd w:val="clear" w:color="auto" w:fill="FFFFFF"/>
        </w:rPr>
      </w:pPr>
      <w:r>
        <w:rPr>
          <w:rFonts w:hint="eastAsia" w:ascii="楷体_GB2312" w:hAnsi="仿宋" w:eastAsia="楷体_GB2312" w:cs="仿宋_GB2312"/>
          <w:sz w:val="32"/>
          <w:szCs w:val="32"/>
          <w:shd w:val="clear" w:color="auto" w:fill="FFFFFF"/>
        </w:rPr>
        <w:t>经济增速放缓加剧就业的不确定性。</w:t>
      </w:r>
      <w:r>
        <w:rPr>
          <w:rFonts w:hint="eastAsia" w:ascii="仿宋_GB2312" w:hAnsi="仿宋" w:eastAsia="仿宋_GB2312" w:cs="仿宋_GB2312"/>
          <w:sz w:val="32"/>
          <w:szCs w:val="32"/>
          <w:shd w:val="clear" w:color="auto" w:fill="FFFFFF"/>
        </w:rPr>
        <w:t>“十四五”时期，全球经济增长速度放缓，单边主义、国际贸易保护主义持续升温，地缘政治风险仍然较高，全球疫情形势依然严峻，中美经贸摩擦将对我国经济运行、产业转型升级产生冲击，加剧部分企业外迁风险；国内经济运行中长期积累的风险尚未消除，居民收入增速放缓、外需不足、预期不稳，企业投资意愿不高；国内外风险矛盾交织叠加，可能导致我市部分区县、行业与企业受到冲击，引发劳动力市场波动，部分劳动者面临失业风险。</w:t>
      </w:r>
    </w:p>
    <w:p>
      <w:pPr>
        <w:ind w:firstLine="640" w:firstLineChars="200"/>
        <w:rPr>
          <w:rFonts w:ascii="仿宋_GB2312" w:hAnsi="仿宋" w:eastAsia="仿宋_GB2312" w:cs="仿宋_GB2312"/>
          <w:sz w:val="32"/>
          <w:szCs w:val="32"/>
          <w:shd w:val="clear" w:color="auto" w:fill="FFFFFF"/>
        </w:rPr>
      </w:pPr>
      <w:r>
        <w:rPr>
          <w:rFonts w:hint="eastAsia" w:ascii="楷体_GB2312" w:hAnsi="仿宋" w:eastAsia="楷体_GB2312" w:cs="仿宋_GB2312"/>
          <w:sz w:val="32"/>
          <w:szCs w:val="32"/>
          <w:shd w:val="clear" w:color="auto" w:fill="FFFFFF"/>
        </w:rPr>
        <w:t>技术进步对就业影响加深。</w:t>
      </w:r>
      <w:r>
        <w:rPr>
          <w:rFonts w:hint="eastAsia" w:ascii="仿宋_GB2312" w:hAnsi="仿宋" w:eastAsia="仿宋_GB2312" w:cs="仿宋_GB2312"/>
          <w:sz w:val="32"/>
          <w:szCs w:val="32"/>
          <w:shd w:val="clear" w:color="auto" w:fill="FFFFFF"/>
        </w:rPr>
        <w:t>“十四五”期间，我国产业加速向中高端迈进，人工智能及其相关技术应用加快，对就业产生总量替代效应；工业自动化程度逐步提升，传统岗位大量减少，将导致省外务工的大批农村劳动力回流选择在筑就业；“人机协作”的工作模式逐步推广，导致程序性、规则性岗位持续减少，生产工人、行政文员、律师、研究助理等工作岗位将受到冲击；传统产业转型升级对就业岗位的挤压，导致失业人员被迫寻求更低端的工作岗位，进而加剧社会分层风险。</w:t>
      </w:r>
    </w:p>
    <w:p>
      <w:pPr>
        <w:ind w:firstLine="640" w:firstLineChars="200"/>
        <w:rPr>
          <w:rFonts w:ascii="仿宋_GB2312" w:hAnsi="仿宋" w:eastAsia="仿宋_GB2312" w:cs="仿宋_GB2312"/>
          <w:sz w:val="32"/>
          <w:szCs w:val="32"/>
          <w:shd w:val="clear" w:color="auto" w:fill="FFFFFF"/>
        </w:rPr>
      </w:pPr>
      <w:r>
        <w:rPr>
          <w:rFonts w:hint="eastAsia" w:ascii="楷体_GB2312" w:hAnsi="仿宋" w:eastAsia="楷体_GB2312" w:cs="仿宋_GB2312"/>
          <w:sz w:val="32"/>
          <w:szCs w:val="32"/>
          <w:shd w:val="clear" w:color="auto" w:fill="FFFFFF"/>
        </w:rPr>
        <w:t>劳动力规模持续增长。</w:t>
      </w:r>
      <w:r>
        <w:rPr>
          <w:rFonts w:hint="eastAsia" w:ascii="仿宋_GB2312" w:hAnsi="仿宋" w:eastAsia="仿宋_GB2312" w:cs="仿宋_GB2312"/>
          <w:sz w:val="32"/>
          <w:szCs w:val="32"/>
          <w:shd w:val="clear" w:color="auto" w:fill="FFFFFF"/>
        </w:rPr>
        <w:t>“十四五”期间，16-59岁劳动年龄人口数量仍然保持高位，劳动力供给规模持续增大，增幅呈现“前低后高”；全市有100万左右的大中专毕业生、30万左右的新增农村转移劳动力、50万左右省外净回流劳动力需要安置，就业压力持续加大。</w:t>
      </w:r>
    </w:p>
    <w:p>
      <w:pPr>
        <w:ind w:firstLine="640" w:firstLineChars="200"/>
        <w:rPr>
          <w:rFonts w:ascii="仿宋_GB2312" w:hAnsi="仿宋" w:eastAsia="仿宋_GB2312" w:cs="仿宋_GB2312"/>
          <w:sz w:val="32"/>
          <w:szCs w:val="32"/>
          <w:shd w:val="clear" w:color="auto" w:fill="FFFFFF"/>
        </w:rPr>
      </w:pPr>
      <w:r>
        <w:rPr>
          <w:rFonts w:hint="eastAsia" w:ascii="楷体_GB2312" w:hAnsi="仿宋" w:eastAsia="楷体_GB2312" w:cs="仿宋_GB2312"/>
          <w:sz w:val="32"/>
          <w:szCs w:val="32"/>
          <w:shd w:val="clear" w:color="auto" w:fill="FFFFFF"/>
        </w:rPr>
        <w:t>就业制度性障碍亟待破解</w:t>
      </w:r>
      <w:r>
        <w:rPr>
          <w:rFonts w:hint="eastAsia" w:ascii="仿宋_GB2312" w:hAnsi="仿宋" w:eastAsia="仿宋_GB2312" w:cs="仿宋_GB2312"/>
          <w:b/>
          <w:sz w:val="32"/>
          <w:szCs w:val="32"/>
          <w:shd w:val="clear" w:color="auto" w:fill="FFFFFF"/>
        </w:rPr>
        <w:t>。</w:t>
      </w:r>
      <w:r>
        <w:rPr>
          <w:rFonts w:hint="eastAsia" w:ascii="仿宋_GB2312" w:hAnsi="仿宋" w:eastAsia="仿宋_GB2312" w:cs="仿宋_GB2312"/>
          <w:sz w:val="32"/>
          <w:szCs w:val="32"/>
          <w:shd w:val="clear" w:color="auto" w:fill="FFFFFF"/>
        </w:rPr>
        <w:t>劳动力流动加快，教育、住房、社保等公共服务仍与户籍挂钩，劳动力流动障碍依然存在。新型业态蓬勃发展，新的就业形态不断涌现，劳动关系日趋复杂，劳动关系认定更加困难；对平台企业用工监管不足，劳动者权益保障更加困难；从事新型就业的劳动者参保意愿较低，参与保险种类较少，部分普通服务行业职业伤害风险仍然较高；企业合规成本较高，用工稳定性较弱；就业服务信息化程度较低，基层就业创业服务能力有待提升，教育和培训的课程设置、办学模式仍显滞后，与市场需求结合不够紧密。</w:t>
      </w:r>
    </w:p>
    <w:p>
      <w:pPr>
        <w:ind w:firstLine="640" w:firstLineChars="200"/>
        <w:rPr>
          <w:rFonts w:ascii="仿宋_GB2312" w:hAnsi="仿宋" w:eastAsia="仿宋_GB2312" w:cs="仿宋_GB2312"/>
          <w:sz w:val="32"/>
          <w:szCs w:val="32"/>
          <w:shd w:val="clear" w:color="auto" w:fill="FFFFFF"/>
        </w:rPr>
      </w:pPr>
      <w:r>
        <w:rPr>
          <w:rFonts w:hint="eastAsia" w:ascii="楷体_GB2312" w:hAnsi="仿宋" w:eastAsia="楷体_GB2312" w:cs="仿宋_GB2312"/>
          <w:sz w:val="32"/>
          <w:szCs w:val="32"/>
          <w:shd w:val="clear" w:color="auto" w:fill="FFFFFF"/>
        </w:rPr>
        <w:t>社保扩面征缴压力较大。</w:t>
      </w:r>
      <w:r>
        <w:rPr>
          <w:rFonts w:hint="eastAsia" w:ascii="仿宋_GB2312" w:hAnsi="仿宋" w:eastAsia="仿宋_GB2312" w:cs="仿宋_GB2312"/>
          <w:sz w:val="32"/>
          <w:szCs w:val="32"/>
          <w:shd w:val="clear" w:color="auto" w:fill="FFFFFF"/>
        </w:rPr>
        <w:t>全市社会保障事业处于重要发展期，城镇化、老龄化对社会保障事业发展带来巨大挑战，60岁及以上户籍老年人规模超过80万人，多数已退休人员实际缴费年限较短，基金长期支付压力较大，养老金支付负担不断加重；城乡社会保障机构不完善、工作经费投入不足、管理服务水平较低、服务队伍力量薄弱，与困难群众的实际需求匹配度较低。</w:t>
      </w:r>
    </w:p>
    <w:bookmarkEnd w:id="15"/>
    <w:bookmarkEnd w:id="16"/>
    <w:bookmarkEnd w:id="17"/>
    <w:bookmarkEnd w:id="18"/>
    <w:p>
      <w:pPr>
        <w:ind w:firstLine="640" w:firstLineChars="200"/>
        <w:rPr>
          <w:rFonts w:ascii="仿宋_GB2312" w:hAnsi="仿宋" w:eastAsia="仿宋_GB2312" w:cs="仿宋_GB2312"/>
          <w:sz w:val="32"/>
          <w:szCs w:val="32"/>
          <w:shd w:val="clear" w:color="auto" w:fill="FFFFFF"/>
        </w:rPr>
      </w:pPr>
      <w:bookmarkStart w:id="19" w:name="_Toc7988"/>
      <w:r>
        <w:rPr>
          <w:rFonts w:hint="eastAsia" w:ascii="仿宋_GB2312" w:hAnsi="仿宋" w:eastAsia="仿宋_GB2312" w:cs="仿宋_GB2312"/>
          <w:sz w:val="32"/>
          <w:szCs w:val="32"/>
          <w:shd w:val="clear" w:color="auto" w:fill="FFFFFF"/>
        </w:rPr>
        <w:t>同时，全市私营企业从业人员规模偏小，就业吸纳能力偏弱。安置就业的劳动力年龄偏大、文化程度低、技能水平不高、就业培训意愿不强、就业稳定性弱，促进就业创业难度较大。新冠肺炎疫情使国内外经济形势发生巨大变化，沿海地区企业用工需求收窄，省外就业的农民将加速回流，省内就业安置压力增大。此外，解决就业结构性矛盾的政策措施不够灵活有效,创业活力有待进一步激发，就业监测和预警体系不够健全，社会保险全国统筹与转移体系尚未完成，企业职工工资正常增长机制尚待完善，信息化升级改造任务艰巨，就业服务、创业支持、社会保障协同服务机制有待优化,“十四五”时期促进就业创业和社会保障事业发展面临诸多挑战。</w:t>
      </w:r>
      <w:bookmarkEnd w:id="19"/>
      <w:bookmarkStart w:id="20" w:name="_Toc270"/>
      <w:bookmarkStart w:id="21" w:name="_Toc13016"/>
    </w:p>
    <w:p>
      <w:pPr>
        <w:jc w:val="center"/>
        <w:rPr>
          <w:rFonts w:ascii="黑体" w:hAnsi="黑体" w:eastAsia="黑体" w:cs="仿宋_GB2312"/>
          <w:sz w:val="32"/>
          <w:szCs w:val="32"/>
          <w:shd w:val="clear" w:color="auto" w:fill="FFFFFF"/>
        </w:rPr>
      </w:pPr>
      <w:r>
        <w:rPr>
          <w:rFonts w:hint="eastAsia" w:ascii="黑体" w:hAnsi="黑体" w:eastAsia="黑体" w:cs="仿宋_GB2312"/>
          <w:sz w:val="32"/>
          <w:szCs w:val="32"/>
          <w:shd w:val="clear" w:color="auto" w:fill="FFFFFF"/>
        </w:rPr>
        <w:t>第二节 发展机遇</w:t>
      </w:r>
      <w:bookmarkEnd w:id="20"/>
      <w:bookmarkEnd w:id="21"/>
    </w:p>
    <w:p>
      <w:pPr>
        <w:ind w:firstLine="640" w:firstLineChars="200"/>
        <w:rPr>
          <w:rFonts w:ascii="仿宋_GB2312" w:hAnsi="仿宋" w:eastAsia="仿宋_GB2312" w:cs="仿宋_GB2312"/>
          <w:sz w:val="32"/>
          <w:szCs w:val="32"/>
          <w:shd w:val="clear" w:color="auto" w:fill="FFFFFF"/>
        </w:rPr>
      </w:pPr>
      <w:bookmarkStart w:id="22" w:name="_Toc4651"/>
      <w:bookmarkStart w:id="23" w:name="_Toc20296"/>
      <w:bookmarkStart w:id="24" w:name="_Toc38258047"/>
      <w:bookmarkStart w:id="25" w:name="_Toc7803042"/>
      <w:r>
        <w:rPr>
          <w:rFonts w:hint="eastAsia" w:ascii="仿宋_GB2312" w:hAnsi="仿宋" w:eastAsia="仿宋_GB2312" w:cs="仿宋_GB2312"/>
          <w:sz w:val="32"/>
          <w:szCs w:val="32"/>
          <w:shd w:val="clear" w:color="auto" w:fill="FFFFFF"/>
        </w:rPr>
        <w:t>全球数字经济持续与传统产业融合，大数据产业将持续快速发展；全省数字经济增速连续四年排名全国第一，数字经济吸纳就业增速连续两年排名全国第一，对经济增长的贡献率超过20%，数字经济与传统产业融合发展将为就业带来重大发展机遇；全市将奋力推进新型工业化、新型城镇化、农业现代化、旅游产业化，以加快工业化进程为重点，着力固根基、扬优势、补短板、强弱项，推动经济发展质量变革、效率变革、动力变革，全力盘活存量、做优增量、做大总量，经济增长速度将保持中高速增长，有望成为吸纳农村转移劳动力、返乡回流农民工等群体就业创业的稳定器，成为吸纳就业的主阵地。</w:t>
      </w:r>
      <w:bookmarkEnd w:id="22"/>
      <w:bookmarkStart w:id="26" w:name="_Toc27488"/>
      <w:r>
        <w:rPr>
          <w:rFonts w:hint="eastAsia" w:ascii="仿宋_GB2312" w:hAnsi="仿宋" w:eastAsia="仿宋_GB2312" w:cs="仿宋_GB2312"/>
          <w:sz w:val="32"/>
          <w:szCs w:val="32"/>
          <w:shd w:val="clear" w:color="auto" w:fill="FFFFFF"/>
        </w:rPr>
        <w:t>截至“十三五”期末，全市常住人口城镇化率为75%，到2025年预计达到80%左右，将催生大批就业岗位。</w:t>
      </w:r>
      <w:bookmarkEnd w:id="26"/>
      <w:r>
        <w:rPr>
          <w:rFonts w:hint="eastAsia" w:ascii="仿宋_GB2312" w:hAnsi="仿宋" w:eastAsia="仿宋_GB2312" w:cs="仿宋_GB2312"/>
          <w:sz w:val="32"/>
          <w:szCs w:val="32"/>
          <w:shd w:val="clear" w:color="auto" w:fill="FFFFFF"/>
        </w:rPr>
        <w:t>“十四五”期间，全国老龄人口快速增长，社会保险全国统筹与城乡一体化加速，全省老年人口将超过600万人，全市将超过100万人，健康养老与生物医药产业有望迎来爆发式增长，为增加就业岗位提供了新动能。</w:t>
      </w:r>
    </w:p>
    <w:p>
      <w:pPr>
        <w:ind w:firstLine="640" w:firstLineChars="200"/>
        <w:rPr>
          <w:rFonts w:ascii="仿宋_GB2312" w:hAnsi="仿宋" w:eastAsia="仿宋_GB2312" w:cs="仿宋_GB2312"/>
          <w:sz w:val="32"/>
          <w:szCs w:val="32"/>
          <w:shd w:val="clear" w:color="auto" w:fill="FFFFFF"/>
        </w:rPr>
      </w:pPr>
      <w:r>
        <w:rPr>
          <w:rFonts w:hint="eastAsia" w:ascii="仿宋_GB2312" w:hAnsi="仿宋" w:eastAsia="仿宋_GB2312" w:cs="仿宋_GB2312"/>
          <w:sz w:val="32"/>
          <w:szCs w:val="32"/>
          <w:shd w:val="clear" w:color="auto" w:fill="FFFFFF"/>
        </w:rPr>
        <w:t>数字经济、体验式经济、特色农业产业发展战略持续推进，有望推动一、二、三产加速融合，新的就业形式与就业岗位不断涌现；全市正处在工业化中前期加速发展阶段，从业人员规模有望逆向增长；服务业规模在经济总规模中的比重逐步提升，服务业新增就业规模将保持快速增长，有望成为全市新增就业岗位的主要领域。“十四五”期间，全省大中专毕业生规模预计达到200万，省内毕业生期望在市内就业愿望较为强烈，大中专毕业生占全市新增就业劳动力的比重逐步提升，劳动年龄段人口平均受教育年限不断提升；外出回流劳动力具有一定就业技能，劳动力自主就业能力逐步提升，就业质量逐步提高。</w:t>
      </w:r>
      <w:bookmarkStart w:id="27" w:name="_Toc38258057"/>
      <w:bookmarkStart w:id="28" w:name="_Toc15058"/>
      <w:r>
        <w:rPr>
          <w:rFonts w:hint="eastAsia" w:ascii="仿宋_GB2312" w:hAnsi="仿宋" w:eastAsia="仿宋_GB2312" w:cs="仿宋_GB2312"/>
          <w:sz w:val="32"/>
          <w:szCs w:val="32"/>
          <w:shd w:val="clear" w:color="auto" w:fill="FFFFFF"/>
        </w:rPr>
        <w:t>消费方式转型升级，个性化需求突显，有助于壮大服务业就业规模；电商新业态快速发展，实体零售业转型加快，线上线下协同发展，消费场景化、带货平台、网络主播等体验式经济与网红经济不断涌现，有望成为全市灵活就业发展的下一个增长点。</w:t>
      </w:r>
      <w:bookmarkEnd w:id="23"/>
      <w:bookmarkEnd w:id="24"/>
      <w:bookmarkEnd w:id="25"/>
      <w:bookmarkEnd w:id="27"/>
      <w:bookmarkEnd w:id="28"/>
    </w:p>
    <w:p>
      <w:pPr>
        <w:ind w:firstLine="640" w:firstLineChars="200"/>
        <w:rPr>
          <w:rFonts w:ascii="仿宋_GB2312" w:hAnsi="仿宋" w:eastAsia="仿宋_GB2312" w:cs="仿宋_GB2312"/>
          <w:sz w:val="32"/>
          <w:szCs w:val="32"/>
          <w:shd w:val="clear" w:color="auto" w:fill="FFFFFF"/>
        </w:rPr>
      </w:pPr>
      <w:r>
        <w:rPr>
          <w:rFonts w:hint="eastAsia" w:ascii="仿宋_GB2312" w:hAnsi="仿宋" w:eastAsia="仿宋_GB2312" w:cs="仿宋_GB2312"/>
          <w:sz w:val="32"/>
          <w:szCs w:val="32"/>
          <w:shd w:val="clear" w:color="auto" w:fill="FFFFFF"/>
        </w:rPr>
        <w:t xml:space="preserve">“十四五”时期是我国全面建成小康社会、实现第一个百年奋斗目标之后，乘势而上开启全面建设社会主义现代化国家新征程、向第二个百年奋斗目标进军的第一个五年；是贵阳贵安坚持以新发展理念为引领、加快实现高质量发展的关键时期，乘势而上开启建设经济体量大能级城市、打造西部地区重要经济增长极和国家战略回旋空间的第一个五年。“一带一路”、推进西部大开发形成新格局、西部陆海新通道、粤港澳大湾区、成渝地区双城经济圈等重大战略的深入实施，围绕大数据综合创新试验区、生态文明试验区、高铁经济带、临空经济区、黔中经济区、创新型中心城市建设，全市基本面仍然长期向好,就业创业和社会保障事业的发展面临新的机遇。加快新旧动能转换，补齐经济短板，全力推进以中高端消费品制造产业、先进装备制造产业、新能源产业、新材料产业、数字经济产业、健康医药产业等六大新产业发展行动计划，为加快就业创业和社会保障事业改革、扩大就业岗位、创新管理服务提供了重要发展契机。 </w:t>
      </w:r>
    </w:p>
    <w:p>
      <w:pPr>
        <w:ind w:firstLine="640" w:firstLineChars="200"/>
        <w:rPr>
          <w:rFonts w:ascii="仿宋_GB2312" w:hAnsi="仿宋" w:eastAsia="仿宋_GB2312" w:cs="仿宋_GB2312"/>
          <w:sz w:val="32"/>
          <w:szCs w:val="32"/>
          <w:shd w:val="clear" w:color="auto" w:fill="FFFFFF"/>
        </w:rPr>
      </w:pPr>
      <w:r>
        <w:rPr>
          <w:rFonts w:hint="eastAsia" w:ascii="仿宋_GB2312" w:hAnsi="仿宋" w:eastAsia="仿宋_GB2312" w:cs="仿宋_GB2312"/>
          <w:sz w:val="32"/>
          <w:szCs w:val="32"/>
          <w:shd w:val="clear" w:color="auto" w:fill="FFFFFF"/>
        </w:rPr>
        <w:t>经济发展环境复杂性与不确定性增加，“六稳”“六保”工作可能成为贯穿“十四五”时期贵阳市就业创业与社会保障工作全周期。新产业、新业态、新技术和新模式的发展,对就业创业工作提出了新要求。城乡发展一体化的持续推进，外来人口规模持续增长，劳动群体对就业创业与社会保障服务的便捷化、差异化、个性化、信息化的需求逐步增加，对进一步提高基本公共服务均等化水平的期望更加迫切。</w:t>
      </w:r>
      <w:bookmarkStart w:id="29" w:name="_Toc8286"/>
      <w:bookmarkStart w:id="30" w:name="_Toc14830"/>
    </w:p>
    <w:p>
      <w:pPr>
        <w:jc w:val="center"/>
        <w:rPr>
          <w:rFonts w:ascii="黑体" w:hAnsi="黑体" w:eastAsia="黑体" w:cs="黑体"/>
          <w:b/>
          <w:bCs/>
          <w:sz w:val="32"/>
          <w:szCs w:val="32"/>
        </w:rPr>
      </w:pPr>
      <w:r>
        <w:rPr>
          <w:rFonts w:hint="eastAsia" w:ascii="黑体" w:hAnsi="黑体" w:eastAsia="黑体" w:cs="黑体"/>
          <w:bCs/>
          <w:sz w:val="32"/>
          <w:szCs w:val="32"/>
        </w:rPr>
        <w:t>第三章  指导思想和主要目标</w:t>
      </w:r>
      <w:bookmarkEnd w:id="29"/>
      <w:bookmarkEnd w:id="30"/>
    </w:p>
    <w:p>
      <w:pPr>
        <w:ind w:firstLine="640" w:firstLineChars="200"/>
        <w:jc w:val="center"/>
        <w:outlineLvl w:val="1"/>
        <w:rPr>
          <w:rFonts w:ascii="黑体" w:hAnsi="黑体" w:eastAsia="黑体" w:cs="仿宋_GB2312"/>
          <w:sz w:val="32"/>
          <w:szCs w:val="32"/>
          <w:shd w:val="clear" w:color="auto" w:fill="FFFFFF"/>
        </w:rPr>
      </w:pPr>
      <w:bookmarkStart w:id="31" w:name="_Toc3375"/>
      <w:bookmarkStart w:id="32" w:name="_Toc19516"/>
      <w:r>
        <w:rPr>
          <w:rFonts w:hint="eastAsia" w:ascii="黑体" w:hAnsi="黑体" w:eastAsia="黑体" w:cs="仿宋_GB2312"/>
          <w:sz w:val="32"/>
          <w:szCs w:val="32"/>
          <w:shd w:val="clear" w:color="auto" w:fill="FFFFFF"/>
        </w:rPr>
        <w:t>第一节 指导思</w:t>
      </w:r>
      <w:bookmarkEnd w:id="31"/>
      <w:r>
        <w:rPr>
          <w:rFonts w:hint="eastAsia" w:ascii="黑体" w:hAnsi="黑体" w:eastAsia="黑体" w:cs="仿宋_GB2312"/>
          <w:sz w:val="32"/>
          <w:szCs w:val="32"/>
          <w:shd w:val="clear" w:color="auto" w:fill="FFFFFF"/>
        </w:rPr>
        <w:t>想</w:t>
      </w:r>
      <w:bookmarkEnd w:id="32"/>
    </w:p>
    <w:p>
      <w:pPr>
        <w:ind w:firstLine="640" w:firstLineChars="200"/>
        <w:rPr>
          <w:rFonts w:ascii="仿宋_GB2312" w:hAnsi="仿宋" w:eastAsia="仿宋_GB2312" w:cs="仿宋_GB2312"/>
          <w:sz w:val="32"/>
          <w:szCs w:val="32"/>
          <w:shd w:val="clear" w:color="auto" w:fill="FFFFFF"/>
        </w:rPr>
      </w:pPr>
      <w:r>
        <w:rPr>
          <w:rFonts w:hint="eastAsia" w:ascii="仿宋_GB2312" w:hAnsi="仿宋" w:eastAsia="仿宋_GB2312" w:cs="仿宋_GB2312"/>
          <w:sz w:val="32"/>
          <w:szCs w:val="32"/>
          <w:shd w:val="clear" w:color="auto" w:fill="FFFFFF"/>
        </w:rPr>
        <w:t>以习近平新时代中国特色社会主义思想为指导，深入贯彻党的十九大和十九届二中、三中、四中、五中全会精神，</w:t>
      </w:r>
      <w:r>
        <w:rPr>
          <w:rFonts w:hint="eastAsia" w:ascii="仿宋_GB2312" w:hAnsi="仿宋" w:eastAsia="仿宋_GB2312" w:cs="仿宋_GB2312"/>
          <w:sz w:val="32"/>
          <w:szCs w:val="32"/>
          <w:shd w:val="clear" w:color="auto" w:fill="FFFFFF"/>
          <w:lang w:eastAsia="zh-CN"/>
        </w:rPr>
        <w:t>增强“四个意识”、坚定“四个自信”、做到“两个维护”</w:t>
      </w:r>
      <w:r>
        <w:rPr>
          <w:rFonts w:hint="eastAsia" w:ascii="仿宋_GB2312" w:hAnsi="仿宋" w:eastAsia="仿宋_GB2312" w:cs="仿宋_GB2312"/>
          <w:sz w:val="32"/>
          <w:szCs w:val="32"/>
          <w:shd w:val="clear" w:color="auto" w:fill="FFFFFF"/>
        </w:rPr>
        <w:t>，全面贯彻创新、协调、绿色、开放、共享五大发展理念,坚持高标准要求、加快高水平开放、推动高质量发展，坚持“民生为本、就业优先”，贯彻劳动者自主就业、市场调节就业、政府促进就业和鼓励创业的方针，着力稳定和扩大就业，不断完善社会保障体系，全面实现“应保尽保”，构建和谐劳动关系，优化城乡公共就业服务体系，全面提升公共服务能力，扎实推进“六稳”“六保”，推动全市就业创业和社会保障事业更高质量、更有效率、更加公平、更可持续发展，着力建成创新创业集聚发展的重要区域性中心城市、就业示范性城市、社会保障制度创新引领型城市,努力增强人民群众的获得感、幸福感、安全感。</w:t>
      </w:r>
      <w:bookmarkStart w:id="33" w:name="_Toc26922"/>
      <w:bookmarkStart w:id="34" w:name="_Toc16207"/>
    </w:p>
    <w:p>
      <w:pPr>
        <w:jc w:val="center"/>
        <w:rPr>
          <w:rFonts w:ascii="黑体" w:hAnsi="黑体" w:eastAsia="黑体" w:cs="仿宋_GB2312"/>
          <w:sz w:val="32"/>
          <w:szCs w:val="32"/>
          <w:shd w:val="clear" w:color="auto" w:fill="FFFFFF"/>
        </w:rPr>
      </w:pPr>
      <w:r>
        <w:rPr>
          <w:rFonts w:hint="eastAsia" w:ascii="黑体" w:hAnsi="黑体" w:eastAsia="黑体" w:cs="仿宋_GB2312"/>
          <w:sz w:val="32"/>
          <w:szCs w:val="32"/>
          <w:shd w:val="clear" w:color="auto" w:fill="FFFFFF"/>
        </w:rPr>
        <w:t>第二节 基本原则</w:t>
      </w:r>
      <w:bookmarkEnd w:id="33"/>
      <w:bookmarkEnd w:id="34"/>
    </w:p>
    <w:p>
      <w:pPr>
        <w:ind w:firstLine="640" w:firstLineChars="200"/>
        <w:rPr>
          <w:rFonts w:ascii="仿宋_GB2312" w:hAnsi="仿宋" w:eastAsia="仿宋_GB2312" w:cs="仿宋_GB2312"/>
          <w:sz w:val="32"/>
          <w:szCs w:val="32"/>
          <w:shd w:val="clear" w:color="auto" w:fill="FFFFFF"/>
        </w:rPr>
      </w:pPr>
      <w:r>
        <w:rPr>
          <w:rFonts w:hint="eastAsia" w:ascii="楷体_GB2312" w:hAnsi="仿宋" w:eastAsia="楷体_GB2312" w:cs="仿宋"/>
          <w:bCs/>
          <w:sz w:val="32"/>
          <w:szCs w:val="32"/>
          <w:shd w:val="clear" w:color="auto" w:fill="FFFFFF"/>
        </w:rPr>
        <w:t>坚持民生为本，共享发展成果。</w:t>
      </w:r>
      <w:r>
        <w:rPr>
          <w:rFonts w:hint="eastAsia" w:ascii="仿宋_GB2312" w:hAnsi="仿宋" w:eastAsia="仿宋_GB2312" w:cs="仿宋"/>
          <w:sz w:val="32"/>
          <w:szCs w:val="32"/>
          <w:shd w:val="clear" w:color="auto" w:fill="FFFFFF"/>
        </w:rPr>
        <w:t>坚持把</w:t>
      </w:r>
      <w:r>
        <w:rPr>
          <w:rFonts w:hint="eastAsia" w:ascii="仿宋_GB2312" w:hAnsi="仿宋" w:eastAsia="仿宋_GB2312" w:cs="仿宋_GB2312"/>
          <w:sz w:val="32"/>
          <w:szCs w:val="32"/>
          <w:shd w:val="clear" w:color="auto" w:fill="FFFFFF"/>
        </w:rPr>
        <w:t>保障和改善民生作为工作的出发点和落脚点，从解决人民群众最关心、最直接、最现实的就业创业、社会保障和工资收入等利益问题入手，实现经济发展与改善民生同步提升，让改革发展成果最大限度地惠及人民。</w:t>
      </w:r>
      <w:bookmarkStart w:id="35" w:name="bookmark24"/>
      <w:bookmarkEnd w:id="35"/>
    </w:p>
    <w:p>
      <w:pPr>
        <w:ind w:firstLine="640" w:firstLineChars="200"/>
        <w:rPr>
          <w:rFonts w:ascii="仿宋_GB2312" w:hAnsi="仿宋" w:eastAsia="仿宋_GB2312" w:cs="仿宋_GB2312"/>
          <w:sz w:val="32"/>
          <w:szCs w:val="32"/>
          <w:shd w:val="clear" w:color="auto" w:fill="FFFFFF"/>
        </w:rPr>
      </w:pPr>
      <w:r>
        <w:rPr>
          <w:rFonts w:hint="eastAsia" w:ascii="楷体_GB2312" w:hAnsi="仿宋" w:eastAsia="楷体_GB2312" w:cs="仿宋_GB2312"/>
          <w:bCs/>
          <w:sz w:val="32"/>
          <w:szCs w:val="32"/>
          <w:shd w:val="clear" w:color="auto" w:fill="FFFFFF"/>
        </w:rPr>
        <w:t>坚持需求导向，服务发展大局。</w:t>
      </w:r>
      <w:r>
        <w:rPr>
          <w:rFonts w:hint="eastAsia" w:ascii="仿宋_GB2312" w:hAnsi="仿宋" w:eastAsia="仿宋_GB2312" w:cs="仿宋_GB2312"/>
          <w:sz w:val="32"/>
          <w:szCs w:val="32"/>
          <w:shd w:val="clear" w:color="auto" w:fill="FFFFFF"/>
        </w:rPr>
        <w:t>紧紧围绕改革、发展和稳定大局，聚焦贵阳山地特色新型城镇化建设与持续快速健康发展需求，六大新产业、现代都市农业、中高端商贸服务业等产业发展需求，以及农民工市民化、大学生就业等重点群体需求，分类施策，兜牢民生底线，服务经济社会发展。</w:t>
      </w:r>
    </w:p>
    <w:p>
      <w:pPr>
        <w:ind w:firstLine="640" w:firstLineChars="200"/>
        <w:rPr>
          <w:rFonts w:ascii="仿宋_GB2312" w:hAnsi="仿宋" w:eastAsia="仿宋_GB2312" w:cs="仿宋_GB2312"/>
          <w:sz w:val="32"/>
          <w:szCs w:val="32"/>
          <w:shd w:val="clear" w:color="auto" w:fill="FFFFFF"/>
        </w:rPr>
      </w:pPr>
      <w:r>
        <w:rPr>
          <w:rFonts w:hint="eastAsia" w:ascii="楷体_GB2312" w:hAnsi="仿宋" w:eastAsia="楷体_GB2312" w:cs="仿宋_GB2312"/>
          <w:sz w:val="32"/>
          <w:szCs w:val="32"/>
          <w:shd w:val="clear" w:color="auto" w:fill="FFFFFF"/>
        </w:rPr>
        <w:t>坚持就业优先，扩大就业规模。</w:t>
      </w:r>
      <w:r>
        <w:rPr>
          <w:rFonts w:hint="eastAsia" w:ascii="仿宋_GB2312" w:hAnsi="仿宋" w:eastAsia="仿宋_GB2312" w:cs="仿宋_GB2312"/>
          <w:sz w:val="32"/>
          <w:szCs w:val="32"/>
          <w:shd w:val="clear" w:color="auto" w:fill="FFFFFF"/>
        </w:rPr>
        <w:t>坚持把稳定和扩大就业</w:t>
      </w:r>
      <w:r>
        <w:fldChar w:fldCharType="begin"/>
      </w:r>
      <w:r>
        <w:instrText xml:space="preserve"> HYPERLINK "http://www.baidu.com/link?url=IYiuNmSwmJnIp2kLmn11pJvpFdpPuAaFsFhJbd6QU10BQ6YD7RU_qCydhhrTpHO7HrFnReVc35rw2GsGS0tqia" \t "https://www.baidu.com/_blank" </w:instrText>
      </w:r>
      <w:r>
        <w:fldChar w:fldCharType="separate"/>
      </w:r>
      <w:r>
        <w:rPr>
          <w:rFonts w:hint="eastAsia" w:ascii="仿宋_GB2312" w:hAnsi="仿宋" w:eastAsia="仿宋_GB2312" w:cs="仿宋_GB2312"/>
          <w:sz w:val="32"/>
          <w:szCs w:val="32"/>
          <w:shd w:val="clear" w:color="auto" w:fill="FFFFFF"/>
        </w:rPr>
        <w:t>作为经济社会发展的优先目标</w:t>
      </w:r>
      <w:r>
        <w:rPr>
          <w:rFonts w:hint="eastAsia" w:ascii="仿宋_GB2312" w:hAnsi="仿宋" w:eastAsia="仿宋_GB2312" w:cs="仿宋_GB2312"/>
          <w:sz w:val="32"/>
          <w:szCs w:val="32"/>
          <w:shd w:val="clear" w:color="auto" w:fill="FFFFFF"/>
        </w:rPr>
        <w:fldChar w:fldCharType="end"/>
      </w:r>
      <w:r>
        <w:rPr>
          <w:rFonts w:hint="eastAsia" w:ascii="仿宋_GB2312" w:hAnsi="仿宋" w:eastAsia="仿宋_GB2312" w:cs="仿宋_GB2312"/>
          <w:sz w:val="32"/>
          <w:szCs w:val="32"/>
          <w:shd w:val="clear" w:color="auto" w:fill="FFFFFF"/>
        </w:rPr>
        <w:t>，促进贵阳贵安协同、城乡区域协同、三产协同、传统与新兴产业协同，构建创新发展格局，增强就业拉动能力，实现就业与经济社会发展良性互动与深度融合。</w:t>
      </w:r>
    </w:p>
    <w:p>
      <w:pPr>
        <w:ind w:firstLine="640" w:firstLineChars="200"/>
        <w:rPr>
          <w:rFonts w:ascii="仿宋_GB2312" w:hAnsi="仿宋" w:eastAsia="仿宋_GB2312" w:cs="仿宋_GB2312"/>
          <w:sz w:val="32"/>
          <w:szCs w:val="32"/>
          <w:shd w:val="clear" w:color="auto" w:fill="FFFFFF"/>
        </w:rPr>
      </w:pPr>
      <w:r>
        <w:rPr>
          <w:rFonts w:hint="eastAsia" w:ascii="楷体_GB2312" w:hAnsi="仿宋" w:eastAsia="楷体_GB2312" w:cs="仿宋_GB2312"/>
          <w:sz w:val="32"/>
          <w:szCs w:val="32"/>
          <w:shd w:val="clear" w:color="auto" w:fill="FFFFFF"/>
        </w:rPr>
        <w:t>坚持深化改革，促进公平正义。</w:t>
      </w:r>
      <w:r>
        <w:rPr>
          <w:rFonts w:hint="eastAsia" w:ascii="仿宋_GB2312" w:hAnsi="仿宋" w:eastAsia="仿宋_GB2312" w:cs="仿宋_GB2312"/>
          <w:sz w:val="32"/>
          <w:szCs w:val="32"/>
          <w:shd w:val="clear" w:color="auto" w:fill="FFFFFF"/>
        </w:rPr>
        <w:t>不断增强改革创新意识，深化就业创业和社会保障领域改革，推进就业创业与社会保障职能协同，以法制公平保障群众的权利公平，以政策落实保证群众的权利实现，以灵活服务措施提升群体的获得感。</w:t>
      </w:r>
      <w:bookmarkStart w:id="36" w:name="bookmark26"/>
      <w:bookmarkEnd w:id="36"/>
    </w:p>
    <w:p>
      <w:pPr>
        <w:ind w:firstLine="640" w:firstLineChars="200"/>
        <w:rPr>
          <w:rFonts w:ascii="仿宋_GB2312" w:hAnsi="仿宋" w:eastAsia="仿宋_GB2312" w:cs="仿宋_GB2312"/>
          <w:sz w:val="32"/>
          <w:szCs w:val="32"/>
          <w:shd w:val="clear" w:color="auto" w:fill="FFFFFF"/>
        </w:rPr>
      </w:pPr>
      <w:r>
        <w:rPr>
          <w:rFonts w:hint="eastAsia" w:ascii="楷体_GB2312" w:hAnsi="仿宋" w:eastAsia="楷体_GB2312" w:cs="仿宋_GB2312"/>
          <w:sz w:val="32"/>
          <w:szCs w:val="32"/>
          <w:shd w:val="clear" w:color="auto" w:fill="FFFFFF"/>
        </w:rPr>
        <w:t>坚持服务大局，树立底线思维。</w:t>
      </w:r>
      <w:r>
        <w:rPr>
          <w:rFonts w:hint="eastAsia" w:ascii="仿宋_GB2312" w:hAnsi="仿宋" w:eastAsia="仿宋_GB2312" w:cs="仿宋_GB2312"/>
          <w:sz w:val="32"/>
          <w:szCs w:val="32"/>
          <w:shd w:val="clear" w:color="auto" w:fill="FFFFFF"/>
        </w:rPr>
        <w:t>紧紧围绕全市中心工作和改革发展稳定大局，增强忧患意识和底线思维，把开发配置人力资源作为参与宏观经济调控、推动产业发展的重要途径，把保障</w:t>
      </w:r>
      <w:r>
        <w:rPr>
          <w:rFonts w:hint="eastAsia" w:ascii="仿宋_GB2312" w:hAnsi="仿宋" w:eastAsia="仿宋_GB2312" w:cs="仿宋_GB2312"/>
          <w:sz w:val="32"/>
          <w:szCs w:val="32"/>
          <w:shd w:val="clear" w:color="auto" w:fill="FFFFFF"/>
          <w:lang w:val="en-US" w:eastAsia="zh-CN"/>
        </w:rPr>
        <w:t>和</w:t>
      </w:r>
      <w:bookmarkStart w:id="88" w:name="_GoBack"/>
      <w:bookmarkEnd w:id="88"/>
      <w:r>
        <w:rPr>
          <w:rFonts w:hint="eastAsia" w:ascii="仿宋_GB2312" w:hAnsi="仿宋" w:eastAsia="仿宋_GB2312" w:cs="仿宋_GB2312"/>
          <w:sz w:val="32"/>
          <w:szCs w:val="32"/>
          <w:shd w:val="clear" w:color="auto" w:fill="FFFFFF"/>
        </w:rPr>
        <w:t>改善民生作为创新社会治理、推动经济社会高质量发展的重要抓手，下大力气补短板、兜底线、防返贫，做实做细政策预案，预防和应对并重，发挥好就业和社会保障托底作用，切实防范就业领域风险隐患，切实守住不发生民生领域系统性区域性风险的底线。</w:t>
      </w:r>
      <w:bookmarkStart w:id="37" w:name="bookmark27"/>
      <w:bookmarkEnd w:id="37"/>
      <w:bookmarkStart w:id="38" w:name="_Toc17930"/>
      <w:bookmarkStart w:id="39" w:name="_Toc9698"/>
    </w:p>
    <w:p>
      <w:pPr>
        <w:jc w:val="center"/>
        <w:rPr>
          <w:rFonts w:ascii="黑体" w:hAnsi="黑体" w:eastAsia="黑体" w:cs="仿宋_GB2312"/>
          <w:sz w:val="32"/>
          <w:szCs w:val="32"/>
          <w:shd w:val="clear" w:color="auto" w:fill="FFFFFF"/>
        </w:rPr>
      </w:pPr>
      <w:r>
        <w:rPr>
          <w:rFonts w:hint="eastAsia" w:ascii="黑体" w:hAnsi="黑体" w:eastAsia="黑体" w:cs="仿宋_GB2312"/>
          <w:sz w:val="32"/>
          <w:szCs w:val="32"/>
          <w:shd w:val="clear" w:color="auto" w:fill="FFFFFF"/>
        </w:rPr>
        <w:t>第三节 主要目标</w:t>
      </w:r>
      <w:bookmarkEnd w:id="38"/>
      <w:bookmarkEnd w:id="39"/>
    </w:p>
    <w:p>
      <w:pPr>
        <w:ind w:firstLine="640" w:firstLineChars="200"/>
        <w:rPr>
          <w:rFonts w:ascii="仿宋_GB2312" w:hAnsi="仿宋" w:eastAsia="仿宋_GB2312" w:cs="仿宋_GB2312"/>
          <w:sz w:val="32"/>
          <w:szCs w:val="32"/>
          <w:shd w:val="clear" w:color="auto" w:fill="FFFFFF"/>
        </w:rPr>
      </w:pPr>
      <w:r>
        <w:rPr>
          <w:rFonts w:hint="eastAsia" w:ascii="仿宋_GB2312" w:hAnsi="仿宋" w:eastAsia="仿宋_GB2312" w:cs="仿宋_GB2312"/>
          <w:sz w:val="32"/>
          <w:szCs w:val="32"/>
          <w:shd w:val="clear" w:color="auto" w:fill="FFFFFF"/>
        </w:rPr>
        <w:t>坚持共享发展理念，努力改善就业环境，促进更加充分更高质量就业，实现全市人力资源和社会保障事业迈向新台阶。</w:t>
      </w:r>
    </w:p>
    <w:p>
      <w:pPr>
        <w:ind w:firstLine="640" w:firstLineChars="200"/>
        <w:rPr>
          <w:rFonts w:ascii="仿宋_GB2312" w:hAnsi="仿宋" w:eastAsia="仿宋_GB2312" w:cs="仿宋_GB2312"/>
          <w:sz w:val="32"/>
          <w:szCs w:val="32"/>
          <w:shd w:val="clear" w:color="auto" w:fill="FFFFFF"/>
        </w:rPr>
      </w:pPr>
      <w:r>
        <w:rPr>
          <w:rFonts w:hint="eastAsia" w:ascii="楷体_GB2312" w:hAnsi="楷体" w:eastAsia="楷体_GB2312" w:cs="仿宋_GB2312"/>
          <w:bCs/>
          <w:sz w:val="32"/>
          <w:szCs w:val="32"/>
          <w:shd w:val="clear" w:color="auto" w:fill="FFFFFF"/>
        </w:rPr>
        <w:t>实现更加充分更高质量的就业。</w:t>
      </w:r>
      <w:r>
        <w:rPr>
          <w:rFonts w:hint="eastAsia" w:ascii="仿宋_GB2312" w:hAnsi="仿宋" w:eastAsia="仿宋_GB2312" w:cs="仿宋_GB2312"/>
          <w:sz w:val="32"/>
          <w:szCs w:val="32"/>
          <w:shd w:val="clear" w:color="auto" w:fill="FFFFFF"/>
        </w:rPr>
        <w:t>积极落实国家、省级、市级就业创业政策，强化就业创业过程辅导，统筹各类重点群体就业，提升职业培训效能，提高劳动者技能素质，增强就业稳定性。“十四五”期间，全市每年城镇新增就业13万人，累计达到65万人；每年扶持1000名农民工返乡创业、每年评选一批“农民返乡创业之星”，城镇登记失业率控制在5%以内，城镇调查失业率稳定在5.5%以内，城镇“零就业家庭”保持动态为零。</w:t>
      </w:r>
    </w:p>
    <w:p>
      <w:pPr>
        <w:ind w:firstLine="640" w:firstLineChars="200"/>
        <w:rPr>
          <w:rFonts w:ascii="仿宋_GB2312" w:hAnsi="仿宋" w:eastAsia="仿宋_GB2312" w:cs="仿宋_GB2312"/>
          <w:sz w:val="32"/>
          <w:szCs w:val="32"/>
          <w:shd w:val="clear" w:color="auto" w:fill="FFFFFF"/>
        </w:rPr>
      </w:pPr>
      <w:r>
        <w:rPr>
          <w:rFonts w:hint="eastAsia" w:ascii="楷体_GB2312" w:hAnsi="楷体" w:eastAsia="楷体_GB2312" w:cs="仿宋_GB2312"/>
          <w:bCs/>
          <w:sz w:val="32"/>
          <w:szCs w:val="32"/>
          <w:shd w:val="clear" w:color="auto" w:fill="FFFFFF"/>
        </w:rPr>
        <w:t>实现更大规模更高质量的创业。</w:t>
      </w:r>
      <w:r>
        <w:rPr>
          <w:rFonts w:hint="eastAsia" w:ascii="仿宋_GB2312" w:hAnsi="仿宋" w:eastAsia="仿宋_GB2312" w:cs="仿宋_GB2312"/>
          <w:sz w:val="32"/>
          <w:szCs w:val="32"/>
          <w:shd w:val="clear" w:color="auto" w:fill="FFFFFF"/>
        </w:rPr>
        <w:t>进一步加大对就业创业扶持力度，积极培育至少1家国家级、2家省级、3家市级创业孵化载体和1家市级农民工创业示范基地。认真落实国家级、省级、市级创业扶持政策，做到应补尽补。</w:t>
      </w:r>
    </w:p>
    <w:p>
      <w:pPr>
        <w:ind w:firstLine="640" w:firstLineChars="200"/>
        <w:rPr>
          <w:rFonts w:ascii="仿宋_GB2312" w:hAnsi="仿宋" w:eastAsia="仿宋_GB2312" w:cs="仿宋_GB2312"/>
          <w:sz w:val="32"/>
          <w:szCs w:val="32"/>
          <w:shd w:val="clear" w:color="auto" w:fill="FFFFFF"/>
        </w:rPr>
      </w:pPr>
      <w:r>
        <w:rPr>
          <w:rFonts w:hint="eastAsia" w:ascii="楷体_GB2312" w:hAnsi="楷体" w:eastAsia="楷体_GB2312" w:cs="仿宋_GB2312"/>
          <w:bCs/>
          <w:sz w:val="32"/>
          <w:szCs w:val="32"/>
          <w:shd w:val="clear" w:color="auto" w:fill="FFFFFF"/>
        </w:rPr>
        <w:t>构建更加公平更可持续的社会保障环境。</w:t>
      </w:r>
      <w:r>
        <w:rPr>
          <w:rFonts w:hint="eastAsia" w:ascii="仿宋_GB2312" w:hAnsi="仿宋" w:eastAsia="仿宋_GB2312" w:cs="仿宋_GB2312"/>
          <w:sz w:val="32"/>
          <w:szCs w:val="32"/>
          <w:shd w:val="clear" w:color="auto" w:fill="FFFFFF"/>
        </w:rPr>
        <w:t>进一步推进社会保障制度改革，提升社会保障信息化管理水平，持续推动社会保险扩面工作，努力实现应缴尽缴；推动最低工资标准及时调整，逐步提升城乡居民养老待遇，逐步改善重点群体社会保障待遇。到“十四五”期末，全市城镇职工（含机关事业单位工作人员）基本养老保险、工伤保险、失业保险和城乡居民养老保险参保人数分别达到300万人、170万人、110万人和80万人。</w:t>
      </w:r>
    </w:p>
    <w:p>
      <w:pPr>
        <w:ind w:firstLine="640" w:firstLineChars="200"/>
        <w:rPr>
          <w:rFonts w:ascii="仿宋_GB2312" w:hAnsi="仿宋" w:eastAsia="仿宋_GB2312" w:cs="仿宋_GB2312"/>
          <w:sz w:val="32"/>
          <w:szCs w:val="32"/>
          <w:shd w:val="clear" w:color="auto" w:fill="FFFFFF"/>
        </w:rPr>
      </w:pPr>
      <w:r>
        <w:rPr>
          <w:rFonts w:hint="eastAsia" w:ascii="楷体_GB2312" w:hAnsi="楷体" w:eastAsia="楷体_GB2312" w:cs="仿宋_GB2312"/>
          <w:bCs/>
          <w:sz w:val="32"/>
          <w:szCs w:val="32"/>
          <w:shd w:val="clear" w:color="auto" w:fill="FFFFFF"/>
        </w:rPr>
        <w:t>构筑更有温度更加和谐的劳动关系。</w:t>
      </w:r>
      <w:r>
        <w:rPr>
          <w:rFonts w:hint="eastAsia" w:ascii="仿宋_GB2312" w:hAnsi="仿宋" w:eastAsia="仿宋_GB2312" w:cs="仿宋_GB2312"/>
          <w:sz w:val="32"/>
          <w:szCs w:val="32"/>
          <w:shd w:val="clear" w:color="auto" w:fill="FFFFFF"/>
        </w:rPr>
        <w:t>创新劳动关系协调机制，全面健全乡镇、街道、社区劳动争议调解组织，组织多方参与前置调解程序，积极化解劳动用工风险。加强合法用工宣传，进一步提升劳动合同签订率；提升劳动人事争议调解仲裁效能，提高劳动保障监察执法队伍专业化水平。到“十四五”期末，企业劳动合同签订率达到95%以上，乡镇(街道)劳动争议调解组织覆盖率达到95%以上，劳动人事争议仲裁调解成功率达到65%，劳动人事争议仲裁法定期限内结案率达到100%，劳动保障监察举报投诉案件法定期限内结案率达到96%以上。</w:t>
      </w:r>
    </w:p>
    <w:p>
      <w:pPr>
        <w:ind w:firstLine="640" w:firstLineChars="200"/>
        <w:rPr>
          <w:rFonts w:ascii="仿宋_GB2312" w:hAnsi="仿宋" w:eastAsia="仿宋_GB2312" w:cs="仿宋_GB2312"/>
          <w:sz w:val="32"/>
          <w:szCs w:val="32"/>
          <w:shd w:val="clear" w:color="auto" w:fill="FFFFFF"/>
        </w:rPr>
      </w:pPr>
      <w:r>
        <w:rPr>
          <w:rFonts w:hint="eastAsia" w:ascii="楷体_GB2312" w:hAnsi="楷体" w:eastAsia="楷体_GB2312" w:cs="仿宋_GB2312"/>
          <w:bCs/>
          <w:sz w:val="32"/>
          <w:szCs w:val="32"/>
          <w:shd w:val="clear" w:color="auto" w:fill="FFFFFF"/>
        </w:rPr>
        <w:t>创建更具公平更加智慧的公共服务体系。</w:t>
      </w:r>
      <w:bookmarkStart w:id="40" w:name="bookmark35"/>
      <w:bookmarkEnd w:id="40"/>
      <w:r>
        <w:rPr>
          <w:rFonts w:hint="eastAsia" w:ascii="仿宋_GB2312" w:hAnsi="仿宋" w:eastAsia="仿宋_GB2312" w:cs="仿宋_GB2312"/>
          <w:sz w:val="32"/>
          <w:szCs w:val="32"/>
          <w:shd w:val="clear" w:color="auto" w:fill="FFFFFF"/>
        </w:rPr>
        <w:t>全面加强公共服务体系标准化、信息化建设，以社会保障卡为载体，升级改造“贵阳人社通”APP，着力打造“贵阳智慧人社”，推动就业、失业、创业、社会保障功能协同。以健全就业帮扶、职业技能培训、社会保障等公共服务体系为重点，创新公共服务方式，推动区域协同、城乡融合协同发展，大力提升城乡居民的幸福感与获得感。到2025年，全市就业创业和社会保障公共服务标准化、均等化、便捷化水平稳步提高，信息化水平进一步提升，努力打造人力资源和社会保障区域协调发展样本城市。</w:t>
      </w:r>
    </w:p>
    <w:tbl>
      <w:tblPr>
        <w:tblStyle w:val="14"/>
        <w:tblW w:w="0" w:type="auto"/>
        <w:jc w:val="center"/>
        <w:tblLayout w:type="autofit"/>
        <w:tblCellMar>
          <w:top w:w="0" w:type="dxa"/>
          <w:left w:w="108" w:type="dxa"/>
          <w:bottom w:w="0" w:type="dxa"/>
          <w:right w:w="108" w:type="dxa"/>
        </w:tblCellMar>
      </w:tblPr>
      <w:tblGrid>
        <w:gridCol w:w="4371"/>
        <w:gridCol w:w="1119"/>
        <w:gridCol w:w="1419"/>
        <w:gridCol w:w="1613"/>
      </w:tblGrid>
      <w:tr>
        <w:tblPrEx>
          <w:tblCellMar>
            <w:top w:w="0" w:type="dxa"/>
            <w:left w:w="108" w:type="dxa"/>
            <w:bottom w:w="0" w:type="dxa"/>
            <w:right w:w="108" w:type="dxa"/>
          </w:tblCellMar>
        </w:tblPrEx>
        <w:trPr>
          <w:trHeight w:val="471" w:hRule="atLeast"/>
          <w:jc w:val="center"/>
        </w:trPr>
        <w:tc>
          <w:tcPr>
            <w:tcW w:w="8522"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pStyle w:val="12"/>
              <w:widowControl/>
              <w:spacing w:beforeAutospacing="0" w:afterAutospacing="0" w:line="330" w:lineRule="atLeast"/>
              <w:jc w:val="center"/>
            </w:pPr>
            <w:r>
              <w:rPr>
                <w:rStyle w:val="16"/>
                <w:rFonts w:hint="eastAsia" w:ascii="楷体_GB2312" w:hAnsi="楷体_GB2312" w:eastAsia="楷体_GB2312" w:cs="楷体_GB2312"/>
                <w:b w:val="0"/>
                <w:bCs/>
                <w:color w:val="000000"/>
                <w:sz w:val="32"/>
                <w:szCs w:val="32"/>
              </w:rPr>
              <w:t>专栏2：贵阳市“十四五”就业和社会保障主要指标</w:t>
            </w:r>
          </w:p>
        </w:tc>
      </w:tr>
      <w:tr>
        <w:tblPrEx>
          <w:tblCellMar>
            <w:top w:w="0" w:type="dxa"/>
            <w:left w:w="108" w:type="dxa"/>
            <w:bottom w:w="0" w:type="dxa"/>
            <w:right w:w="108" w:type="dxa"/>
          </w:tblCellMar>
        </w:tblPrEx>
        <w:trPr>
          <w:trHeight w:val="90" w:hRule="atLeast"/>
          <w:jc w:val="center"/>
        </w:trPr>
        <w:tc>
          <w:tcPr>
            <w:tcW w:w="4371" w:type="dxa"/>
            <w:tcBorders>
              <w:top w:val="nil"/>
              <w:left w:val="single" w:color="000000" w:sz="8" w:space="0"/>
              <w:bottom w:val="single" w:color="000000" w:sz="8" w:space="0"/>
              <w:right w:val="single" w:color="auto" w:sz="4" w:space="0"/>
            </w:tcBorders>
            <w:shd w:val="clear" w:color="auto" w:fill="auto"/>
            <w:vAlign w:val="center"/>
          </w:tcPr>
          <w:p>
            <w:pPr>
              <w:pStyle w:val="12"/>
              <w:widowControl/>
              <w:spacing w:beforeAutospacing="0" w:afterAutospacing="0" w:line="330" w:lineRule="atLeast"/>
              <w:jc w:val="center"/>
            </w:pPr>
            <w:r>
              <w:rPr>
                <w:rFonts w:ascii="&amp;quot" w:hAnsi="&amp;quot" w:eastAsia="&amp;quot" w:cs="&amp;quot"/>
                <w:color w:val="000000"/>
              </w:rPr>
              <w:t>指      标</w:t>
            </w:r>
          </w:p>
        </w:tc>
        <w:tc>
          <w:tcPr>
            <w:tcW w:w="1119" w:type="dxa"/>
            <w:tcBorders>
              <w:top w:val="single" w:color="auto" w:sz="4" w:space="0"/>
              <w:left w:val="single" w:color="auto" w:sz="4" w:space="0"/>
              <w:bottom w:val="single" w:color="auto" w:sz="4" w:space="0"/>
              <w:right w:val="single" w:color="000000" w:sz="8" w:space="0"/>
            </w:tcBorders>
            <w:shd w:val="clear" w:color="auto" w:fill="auto"/>
            <w:vAlign w:val="center"/>
          </w:tcPr>
          <w:p>
            <w:pPr>
              <w:pStyle w:val="12"/>
              <w:widowControl/>
              <w:spacing w:beforeAutospacing="0" w:afterAutospacing="0" w:line="330" w:lineRule="atLeast"/>
              <w:jc w:val="center"/>
              <w:rPr>
                <w:rFonts w:hint="eastAsia" w:ascii="&amp;quot" w:hAnsi="&amp;quot" w:cs="&amp;quot"/>
                <w:color w:val="000000"/>
              </w:rPr>
            </w:pPr>
            <w:r>
              <w:rPr>
                <w:rFonts w:hint="eastAsia" w:ascii="宋体" w:hAnsi="宋体"/>
                <w:color w:val="000000"/>
              </w:rPr>
              <w:t>“十三五”期间（期末）</w:t>
            </w:r>
          </w:p>
        </w:tc>
        <w:tc>
          <w:tcPr>
            <w:tcW w:w="1419" w:type="dxa"/>
            <w:tcBorders>
              <w:top w:val="single" w:color="auto" w:sz="4" w:space="0"/>
              <w:left w:val="nil"/>
              <w:bottom w:val="single" w:color="auto" w:sz="4" w:space="0"/>
              <w:right w:val="single" w:color="auto" w:sz="4" w:space="0"/>
            </w:tcBorders>
            <w:shd w:val="clear" w:color="auto" w:fill="auto"/>
            <w:vAlign w:val="center"/>
          </w:tcPr>
          <w:p>
            <w:pPr>
              <w:pStyle w:val="12"/>
              <w:widowControl/>
              <w:spacing w:beforeAutospacing="0" w:afterAutospacing="0" w:line="330" w:lineRule="atLeast"/>
              <w:jc w:val="center"/>
              <w:rPr>
                <w:rFonts w:hint="eastAsia" w:ascii="&amp;quot" w:hAnsi="&amp;quot" w:cs="&amp;quot"/>
                <w:color w:val="000000"/>
              </w:rPr>
            </w:pPr>
            <w:r>
              <w:rPr>
                <w:rFonts w:hint="eastAsia" w:ascii="宋体" w:hAnsi="宋体"/>
                <w:color w:val="000000"/>
              </w:rPr>
              <w:t>“十四五”期间</w:t>
            </w:r>
          </w:p>
        </w:tc>
        <w:tc>
          <w:tcPr>
            <w:tcW w:w="1613" w:type="dxa"/>
            <w:tcBorders>
              <w:top w:val="single" w:color="000000" w:sz="8" w:space="0"/>
              <w:left w:val="single" w:color="auto" w:sz="4" w:space="0"/>
              <w:bottom w:val="single" w:color="000000" w:sz="8" w:space="0"/>
              <w:right w:val="single" w:color="000000" w:sz="8" w:space="0"/>
            </w:tcBorders>
            <w:shd w:val="clear" w:color="auto" w:fill="auto"/>
            <w:vAlign w:val="center"/>
          </w:tcPr>
          <w:p>
            <w:pPr>
              <w:pStyle w:val="12"/>
              <w:widowControl/>
              <w:spacing w:beforeAutospacing="0" w:afterAutospacing="0" w:line="330" w:lineRule="atLeast"/>
              <w:jc w:val="center"/>
            </w:pPr>
            <w:r>
              <w:rPr>
                <w:rFonts w:hint="eastAsia" w:ascii="&amp;quot" w:hAnsi="&amp;quot" w:cs="&amp;quot"/>
                <w:color w:val="000000"/>
              </w:rPr>
              <w:t>指标属性</w:t>
            </w:r>
          </w:p>
        </w:tc>
      </w:tr>
      <w:tr>
        <w:tblPrEx>
          <w:tblCellMar>
            <w:top w:w="0" w:type="dxa"/>
            <w:left w:w="108" w:type="dxa"/>
            <w:bottom w:w="0" w:type="dxa"/>
            <w:right w:w="108" w:type="dxa"/>
          </w:tblCellMar>
        </w:tblPrEx>
        <w:trPr>
          <w:trHeight w:val="360" w:hRule="atLeast"/>
          <w:jc w:val="center"/>
        </w:trPr>
        <w:tc>
          <w:tcPr>
            <w:tcW w:w="8522" w:type="dxa"/>
            <w:gridSpan w:val="4"/>
            <w:tcBorders>
              <w:top w:val="nil"/>
              <w:left w:val="single" w:color="000000" w:sz="8" w:space="0"/>
              <w:bottom w:val="single" w:color="000000" w:sz="8" w:space="0"/>
              <w:right w:val="single" w:color="000000" w:sz="8" w:space="0"/>
            </w:tcBorders>
            <w:shd w:val="clear" w:color="auto" w:fill="auto"/>
            <w:vAlign w:val="center"/>
          </w:tcPr>
          <w:p>
            <w:pPr>
              <w:pStyle w:val="12"/>
              <w:widowControl/>
              <w:spacing w:beforeAutospacing="0" w:afterAutospacing="0" w:line="330" w:lineRule="atLeast"/>
            </w:pPr>
            <w:r>
              <w:rPr>
                <w:rFonts w:ascii="&amp;quot" w:hAnsi="&amp;quot" w:eastAsia="&amp;quot" w:cs="&amp;quot"/>
                <w:b/>
                <w:color w:val="000000"/>
              </w:rPr>
              <w:t>一、就业</w:t>
            </w:r>
            <w:r>
              <w:rPr>
                <w:rFonts w:hint="eastAsia" w:ascii="&amp;quot" w:hAnsi="&amp;quot" w:cs="&amp;quot"/>
                <w:b/>
                <w:color w:val="000000"/>
              </w:rPr>
              <w:t>创业</w:t>
            </w:r>
          </w:p>
        </w:tc>
      </w:tr>
      <w:tr>
        <w:tblPrEx>
          <w:tblCellMar>
            <w:top w:w="0" w:type="dxa"/>
            <w:left w:w="108" w:type="dxa"/>
            <w:bottom w:w="0" w:type="dxa"/>
            <w:right w:w="108" w:type="dxa"/>
          </w:tblCellMar>
        </w:tblPrEx>
        <w:trPr>
          <w:trHeight w:val="360" w:hRule="atLeast"/>
          <w:jc w:val="center"/>
        </w:trPr>
        <w:tc>
          <w:tcPr>
            <w:tcW w:w="4371" w:type="dxa"/>
            <w:tcBorders>
              <w:top w:val="nil"/>
              <w:left w:val="single" w:color="000000" w:sz="8" w:space="0"/>
              <w:bottom w:val="single" w:color="000000" w:sz="8" w:space="0"/>
              <w:right w:val="single" w:color="000000" w:sz="8" w:space="0"/>
            </w:tcBorders>
            <w:shd w:val="clear" w:color="auto" w:fill="auto"/>
            <w:vAlign w:val="center"/>
          </w:tcPr>
          <w:p>
            <w:pPr>
              <w:pStyle w:val="12"/>
              <w:widowControl/>
              <w:spacing w:beforeAutospacing="0" w:afterAutospacing="0" w:line="330" w:lineRule="atLeast"/>
              <w:jc w:val="center"/>
              <w:rPr>
                <w:rFonts w:ascii="宋体" w:hAnsi="宋体"/>
                <w:color w:val="000000"/>
              </w:rPr>
            </w:pPr>
            <w:r>
              <w:rPr>
                <w:rFonts w:ascii="宋体" w:hAnsi="宋体"/>
                <w:color w:val="000000"/>
              </w:rPr>
              <w:t>城镇新增就业人数（万人）</w:t>
            </w:r>
          </w:p>
        </w:tc>
        <w:tc>
          <w:tcPr>
            <w:tcW w:w="1119" w:type="dxa"/>
            <w:tcBorders>
              <w:top w:val="nil"/>
              <w:left w:val="nil"/>
              <w:bottom w:val="single" w:color="000000" w:sz="8" w:space="0"/>
              <w:right w:val="single" w:color="000000" w:sz="8" w:space="0"/>
            </w:tcBorders>
            <w:shd w:val="clear" w:color="auto" w:fill="auto"/>
            <w:vAlign w:val="center"/>
          </w:tcPr>
          <w:p>
            <w:pPr>
              <w:pStyle w:val="12"/>
              <w:widowControl/>
              <w:spacing w:beforeAutospacing="0" w:afterAutospacing="0" w:line="330" w:lineRule="atLeast"/>
              <w:jc w:val="center"/>
              <w:rPr>
                <w:rFonts w:ascii="宋体" w:hAnsi="宋体"/>
                <w:color w:val="000000"/>
              </w:rPr>
            </w:pPr>
            <w:r>
              <w:rPr>
                <w:rFonts w:hint="eastAsia" w:ascii="宋体" w:hAnsi="宋体"/>
                <w:color w:val="000000"/>
              </w:rPr>
              <w:t>102</w:t>
            </w:r>
          </w:p>
        </w:tc>
        <w:tc>
          <w:tcPr>
            <w:tcW w:w="1419" w:type="dxa"/>
            <w:tcBorders>
              <w:top w:val="nil"/>
              <w:left w:val="nil"/>
              <w:bottom w:val="single" w:color="000000" w:sz="8" w:space="0"/>
              <w:right w:val="single" w:color="000000" w:sz="8" w:space="0"/>
            </w:tcBorders>
            <w:shd w:val="clear" w:color="auto" w:fill="auto"/>
            <w:vAlign w:val="center"/>
          </w:tcPr>
          <w:p>
            <w:pPr>
              <w:pStyle w:val="12"/>
              <w:widowControl/>
              <w:spacing w:beforeAutospacing="0" w:afterAutospacing="0" w:line="330" w:lineRule="atLeast"/>
              <w:jc w:val="center"/>
              <w:rPr>
                <w:rFonts w:ascii="宋体" w:hAnsi="宋体"/>
                <w:color w:val="000000"/>
              </w:rPr>
            </w:pPr>
            <w:r>
              <w:rPr>
                <w:rFonts w:hint="eastAsia" w:ascii="宋体" w:hAnsi="宋体"/>
                <w:color w:val="000000"/>
              </w:rPr>
              <w:t>65</w:t>
            </w:r>
          </w:p>
        </w:tc>
        <w:tc>
          <w:tcPr>
            <w:tcW w:w="1613" w:type="dxa"/>
            <w:tcBorders>
              <w:top w:val="nil"/>
              <w:left w:val="nil"/>
              <w:bottom w:val="single" w:color="000000" w:sz="8" w:space="0"/>
              <w:right w:val="single" w:color="000000" w:sz="8" w:space="0"/>
            </w:tcBorders>
            <w:shd w:val="clear" w:color="auto" w:fill="auto"/>
            <w:vAlign w:val="center"/>
          </w:tcPr>
          <w:p>
            <w:pPr>
              <w:pStyle w:val="12"/>
              <w:widowControl/>
              <w:spacing w:beforeAutospacing="0" w:afterAutospacing="0" w:line="330" w:lineRule="atLeast"/>
              <w:jc w:val="center"/>
              <w:rPr>
                <w:rFonts w:ascii="宋体" w:hAnsi="宋体"/>
                <w:color w:val="000000"/>
              </w:rPr>
            </w:pPr>
            <w:r>
              <w:rPr>
                <w:rFonts w:hint="eastAsia" w:ascii="宋体" w:hAnsi="宋体"/>
                <w:color w:val="000000"/>
              </w:rPr>
              <w:t>预期性</w:t>
            </w:r>
          </w:p>
        </w:tc>
      </w:tr>
      <w:tr>
        <w:tblPrEx>
          <w:tblCellMar>
            <w:top w:w="0" w:type="dxa"/>
            <w:left w:w="108" w:type="dxa"/>
            <w:bottom w:w="0" w:type="dxa"/>
            <w:right w:w="108" w:type="dxa"/>
          </w:tblCellMar>
        </w:tblPrEx>
        <w:trPr>
          <w:trHeight w:val="360" w:hRule="atLeast"/>
          <w:jc w:val="center"/>
        </w:trPr>
        <w:tc>
          <w:tcPr>
            <w:tcW w:w="4371" w:type="dxa"/>
            <w:tcBorders>
              <w:top w:val="nil"/>
              <w:left w:val="single" w:color="000000" w:sz="8" w:space="0"/>
              <w:bottom w:val="single" w:color="000000" w:sz="8" w:space="0"/>
              <w:right w:val="single" w:color="000000" w:sz="8" w:space="0"/>
            </w:tcBorders>
            <w:shd w:val="clear" w:color="auto" w:fill="auto"/>
            <w:vAlign w:val="center"/>
          </w:tcPr>
          <w:p>
            <w:pPr>
              <w:pStyle w:val="12"/>
              <w:widowControl/>
              <w:spacing w:beforeAutospacing="0" w:afterAutospacing="0" w:line="330" w:lineRule="atLeast"/>
              <w:jc w:val="center"/>
              <w:rPr>
                <w:rFonts w:ascii="宋体" w:hAnsi="宋体"/>
                <w:color w:val="000000"/>
              </w:rPr>
            </w:pPr>
            <w:r>
              <w:rPr>
                <w:rFonts w:ascii="宋体" w:hAnsi="宋体"/>
                <w:color w:val="000000"/>
              </w:rPr>
              <w:t>农村劳动力转移就业（万人次）</w:t>
            </w:r>
          </w:p>
        </w:tc>
        <w:tc>
          <w:tcPr>
            <w:tcW w:w="1119" w:type="dxa"/>
            <w:tcBorders>
              <w:top w:val="nil"/>
              <w:left w:val="nil"/>
              <w:bottom w:val="single" w:color="000000" w:sz="8" w:space="0"/>
              <w:right w:val="single" w:color="000000" w:sz="8" w:space="0"/>
            </w:tcBorders>
            <w:shd w:val="clear" w:color="auto" w:fill="auto"/>
            <w:vAlign w:val="center"/>
          </w:tcPr>
          <w:p>
            <w:pPr>
              <w:pStyle w:val="12"/>
              <w:widowControl/>
              <w:spacing w:beforeAutospacing="0" w:afterAutospacing="0" w:line="330" w:lineRule="atLeast"/>
              <w:jc w:val="center"/>
              <w:rPr>
                <w:rFonts w:ascii="宋体" w:hAnsi="宋体"/>
                <w:color w:val="000000"/>
              </w:rPr>
            </w:pPr>
            <w:r>
              <w:rPr>
                <w:rFonts w:hint="eastAsia" w:ascii="宋体" w:hAnsi="宋体"/>
                <w:color w:val="000000"/>
              </w:rPr>
              <w:t>19</w:t>
            </w:r>
          </w:p>
        </w:tc>
        <w:tc>
          <w:tcPr>
            <w:tcW w:w="1419" w:type="dxa"/>
            <w:tcBorders>
              <w:top w:val="nil"/>
              <w:left w:val="nil"/>
              <w:bottom w:val="single" w:color="000000" w:sz="8" w:space="0"/>
              <w:right w:val="single" w:color="000000" w:sz="8" w:space="0"/>
            </w:tcBorders>
            <w:shd w:val="clear" w:color="auto" w:fill="auto"/>
            <w:vAlign w:val="center"/>
          </w:tcPr>
          <w:p>
            <w:pPr>
              <w:pStyle w:val="12"/>
              <w:widowControl/>
              <w:spacing w:beforeAutospacing="0" w:afterAutospacing="0" w:line="330" w:lineRule="atLeast"/>
              <w:jc w:val="center"/>
              <w:rPr>
                <w:rFonts w:ascii="宋体" w:hAnsi="宋体"/>
                <w:color w:val="000000"/>
              </w:rPr>
            </w:pPr>
            <w:r>
              <w:rPr>
                <w:rFonts w:hint="eastAsia" w:ascii="宋体" w:hAnsi="宋体"/>
                <w:color w:val="000000"/>
              </w:rPr>
              <w:t>15</w:t>
            </w:r>
          </w:p>
        </w:tc>
        <w:tc>
          <w:tcPr>
            <w:tcW w:w="1613" w:type="dxa"/>
            <w:tcBorders>
              <w:top w:val="nil"/>
              <w:left w:val="nil"/>
              <w:bottom w:val="single" w:color="000000" w:sz="8" w:space="0"/>
              <w:right w:val="single" w:color="000000" w:sz="8" w:space="0"/>
            </w:tcBorders>
            <w:shd w:val="clear" w:color="auto" w:fill="auto"/>
            <w:vAlign w:val="center"/>
          </w:tcPr>
          <w:p>
            <w:pPr>
              <w:pStyle w:val="12"/>
              <w:widowControl/>
              <w:spacing w:beforeAutospacing="0" w:afterAutospacing="0" w:line="330" w:lineRule="atLeast"/>
              <w:jc w:val="center"/>
              <w:rPr>
                <w:rFonts w:ascii="宋体" w:hAnsi="宋体"/>
                <w:color w:val="000000"/>
              </w:rPr>
            </w:pPr>
            <w:r>
              <w:rPr>
                <w:rFonts w:hint="eastAsia" w:ascii="宋体" w:hAnsi="宋体"/>
                <w:color w:val="000000"/>
              </w:rPr>
              <w:t>预期性</w:t>
            </w:r>
          </w:p>
        </w:tc>
      </w:tr>
      <w:tr>
        <w:tblPrEx>
          <w:tblCellMar>
            <w:top w:w="0" w:type="dxa"/>
            <w:left w:w="108" w:type="dxa"/>
            <w:bottom w:w="0" w:type="dxa"/>
            <w:right w:w="108" w:type="dxa"/>
          </w:tblCellMar>
        </w:tblPrEx>
        <w:trPr>
          <w:trHeight w:val="360" w:hRule="atLeast"/>
          <w:jc w:val="center"/>
        </w:trPr>
        <w:tc>
          <w:tcPr>
            <w:tcW w:w="4371" w:type="dxa"/>
            <w:tcBorders>
              <w:top w:val="nil"/>
              <w:left w:val="single" w:color="000000" w:sz="8" w:space="0"/>
              <w:bottom w:val="single" w:color="000000" w:sz="8" w:space="0"/>
              <w:right w:val="single" w:color="000000" w:sz="8" w:space="0"/>
            </w:tcBorders>
            <w:shd w:val="clear" w:color="auto" w:fill="auto"/>
            <w:vAlign w:val="center"/>
          </w:tcPr>
          <w:p>
            <w:pPr>
              <w:pStyle w:val="12"/>
              <w:widowControl/>
              <w:spacing w:beforeAutospacing="0" w:afterAutospacing="0" w:line="330" w:lineRule="atLeast"/>
              <w:jc w:val="center"/>
              <w:rPr>
                <w:rFonts w:ascii="宋体" w:hAnsi="宋体"/>
                <w:color w:val="000000"/>
              </w:rPr>
            </w:pPr>
            <w:r>
              <w:rPr>
                <w:rFonts w:ascii="宋体" w:hAnsi="宋体"/>
                <w:color w:val="000000"/>
              </w:rPr>
              <w:t>就业困难人员再就业（万人）</w:t>
            </w:r>
          </w:p>
        </w:tc>
        <w:tc>
          <w:tcPr>
            <w:tcW w:w="1119" w:type="dxa"/>
            <w:tcBorders>
              <w:top w:val="nil"/>
              <w:left w:val="nil"/>
              <w:bottom w:val="single" w:color="000000" w:sz="8" w:space="0"/>
              <w:right w:val="single" w:color="000000" w:sz="8" w:space="0"/>
            </w:tcBorders>
            <w:shd w:val="clear" w:color="auto" w:fill="auto"/>
            <w:vAlign w:val="center"/>
          </w:tcPr>
          <w:p>
            <w:pPr>
              <w:pStyle w:val="12"/>
              <w:widowControl/>
              <w:spacing w:beforeAutospacing="0" w:afterAutospacing="0" w:line="330" w:lineRule="atLeast"/>
              <w:jc w:val="center"/>
              <w:rPr>
                <w:rFonts w:ascii="宋体" w:hAnsi="宋体"/>
                <w:color w:val="000000"/>
              </w:rPr>
            </w:pPr>
            <w:r>
              <w:rPr>
                <w:rFonts w:hint="eastAsia" w:ascii="宋体" w:hAnsi="宋体"/>
                <w:color w:val="000000"/>
              </w:rPr>
              <w:t>6</w:t>
            </w:r>
          </w:p>
        </w:tc>
        <w:tc>
          <w:tcPr>
            <w:tcW w:w="1419" w:type="dxa"/>
            <w:tcBorders>
              <w:top w:val="nil"/>
              <w:left w:val="nil"/>
              <w:bottom w:val="single" w:color="000000" w:sz="8" w:space="0"/>
              <w:right w:val="single" w:color="000000" w:sz="8" w:space="0"/>
            </w:tcBorders>
            <w:shd w:val="clear" w:color="auto" w:fill="auto"/>
            <w:vAlign w:val="center"/>
          </w:tcPr>
          <w:p>
            <w:pPr>
              <w:pStyle w:val="12"/>
              <w:widowControl/>
              <w:spacing w:beforeAutospacing="0" w:afterAutospacing="0" w:line="330" w:lineRule="atLeast"/>
              <w:jc w:val="center"/>
              <w:rPr>
                <w:rFonts w:ascii="宋体" w:hAnsi="宋体"/>
                <w:color w:val="000000"/>
              </w:rPr>
            </w:pPr>
            <w:r>
              <w:rPr>
                <w:rFonts w:hint="eastAsia" w:ascii="宋体" w:hAnsi="宋体"/>
                <w:color w:val="000000"/>
              </w:rPr>
              <w:t>5</w:t>
            </w:r>
          </w:p>
        </w:tc>
        <w:tc>
          <w:tcPr>
            <w:tcW w:w="1613" w:type="dxa"/>
            <w:tcBorders>
              <w:top w:val="nil"/>
              <w:left w:val="nil"/>
              <w:bottom w:val="single" w:color="000000" w:sz="8" w:space="0"/>
              <w:right w:val="single" w:color="000000" w:sz="8" w:space="0"/>
            </w:tcBorders>
            <w:shd w:val="clear" w:color="auto" w:fill="auto"/>
            <w:vAlign w:val="center"/>
          </w:tcPr>
          <w:p>
            <w:pPr>
              <w:pStyle w:val="12"/>
              <w:widowControl/>
              <w:spacing w:beforeAutospacing="0" w:afterAutospacing="0" w:line="330" w:lineRule="atLeast"/>
              <w:jc w:val="center"/>
              <w:rPr>
                <w:rFonts w:ascii="宋体" w:hAnsi="宋体"/>
                <w:color w:val="000000"/>
              </w:rPr>
            </w:pPr>
            <w:r>
              <w:rPr>
                <w:rFonts w:hint="eastAsia" w:ascii="宋体" w:hAnsi="宋体"/>
                <w:color w:val="000000"/>
              </w:rPr>
              <w:t>预期性</w:t>
            </w:r>
          </w:p>
        </w:tc>
      </w:tr>
      <w:tr>
        <w:tblPrEx>
          <w:tblCellMar>
            <w:top w:w="0" w:type="dxa"/>
            <w:left w:w="108" w:type="dxa"/>
            <w:bottom w:w="0" w:type="dxa"/>
            <w:right w:w="108" w:type="dxa"/>
          </w:tblCellMar>
        </w:tblPrEx>
        <w:trPr>
          <w:trHeight w:val="360" w:hRule="atLeast"/>
          <w:jc w:val="center"/>
        </w:trPr>
        <w:tc>
          <w:tcPr>
            <w:tcW w:w="4371" w:type="dxa"/>
            <w:tcBorders>
              <w:top w:val="nil"/>
              <w:left w:val="single" w:color="000000" w:sz="8" w:space="0"/>
              <w:bottom w:val="single" w:color="000000" w:sz="8" w:space="0"/>
              <w:right w:val="single" w:color="000000" w:sz="8" w:space="0"/>
            </w:tcBorders>
            <w:shd w:val="clear" w:color="auto" w:fill="auto"/>
            <w:vAlign w:val="center"/>
          </w:tcPr>
          <w:p>
            <w:pPr>
              <w:pStyle w:val="12"/>
              <w:widowControl/>
              <w:spacing w:beforeAutospacing="0" w:afterAutospacing="0" w:line="330" w:lineRule="atLeast"/>
              <w:jc w:val="center"/>
              <w:rPr>
                <w:rFonts w:ascii="宋体" w:hAnsi="宋体"/>
                <w:color w:val="000000"/>
              </w:rPr>
            </w:pPr>
            <w:r>
              <w:rPr>
                <w:rFonts w:ascii="宋体" w:hAnsi="宋体"/>
                <w:color w:val="000000"/>
              </w:rPr>
              <w:t>城镇登记失业率</w:t>
            </w:r>
          </w:p>
        </w:tc>
        <w:tc>
          <w:tcPr>
            <w:tcW w:w="1119" w:type="dxa"/>
            <w:tcBorders>
              <w:top w:val="nil"/>
              <w:left w:val="nil"/>
              <w:bottom w:val="single" w:color="000000" w:sz="8" w:space="0"/>
              <w:right w:val="single" w:color="000000" w:sz="8" w:space="0"/>
            </w:tcBorders>
            <w:shd w:val="clear" w:color="auto" w:fill="auto"/>
            <w:vAlign w:val="center"/>
          </w:tcPr>
          <w:p>
            <w:pPr>
              <w:pStyle w:val="12"/>
              <w:widowControl/>
              <w:spacing w:beforeAutospacing="0" w:afterAutospacing="0" w:line="330" w:lineRule="atLeast"/>
              <w:jc w:val="center"/>
              <w:rPr>
                <w:rFonts w:ascii="宋体" w:hAnsi="宋体"/>
                <w:color w:val="000000"/>
              </w:rPr>
            </w:pPr>
            <w:r>
              <w:rPr>
                <w:rFonts w:hint="eastAsia" w:ascii="宋体" w:hAnsi="宋体"/>
                <w:color w:val="000000"/>
              </w:rPr>
              <w:t>4%</w:t>
            </w:r>
          </w:p>
        </w:tc>
        <w:tc>
          <w:tcPr>
            <w:tcW w:w="1419" w:type="dxa"/>
            <w:tcBorders>
              <w:top w:val="nil"/>
              <w:left w:val="nil"/>
              <w:bottom w:val="single" w:color="000000" w:sz="8" w:space="0"/>
              <w:right w:val="single" w:color="000000" w:sz="8" w:space="0"/>
            </w:tcBorders>
            <w:shd w:val="clear" w:color="auto" w:fill="auto"/>
            <w:vAlign w:val="center"/>
          </w:tcPr>
          <w:p>
            <w:pPr>
              <w:pStyle w:val="12"/>
              <w:widowControl/>
              <w:spacing w:beforeAutospacing="0" w:afterAutospacing="0" w:line="330" w:lineRule="atLeast"/>
              <w:jc w:val="center"/>
              <w:rPr>
                <w:rFonts w:ascii="宋体" w:hAnsi="宋体"/>
                <w:color w:val="000000"/>
              </w:rPr>
            </w:pPr>
            <w:r>
              <w:rPr>
                <w:rFonts w:ascii="宋体" w:hAnsi="宋体"/>
                <w:color w:val="000000"/>
              </w:rPr>
              <w:t>＜</w:t>
            </w:r>
            <w:r>
              <w:rPr>
                <w:rFonts w:hint="eastAsia" w:ascii="宋体" w:hAnsi="宋体"/>
                <w:color w:val="000000"/>
              </w:rPr>
              <w:t>5</w:t>
            </w:r>
            <w:r>
              <w:rPr>
                <w:rFonts w:ascii="宋体" w:hAnsi="宋体"/>
                <w:color w:val="000000"/>
              </w:rPr>
              <w:t>%</w:t>
            </w:r>
          </w:p>
        </w:tc>
        <w:tc>
          <w:tcPr>
            <w:tcW w:w="1613" w:type="dxa"/>
            <w:tcBorders>
              <w:top w:val="nil"/>
              <w:left w:val="nil"/>
              <w:bottom w:val="single" w:color="000000" w:sz="8" w:space="0"/>
              <w:right w:val="single" w:color="000000" w:sz="8" w:space="0"/>
            </w:tcBorders>
            <w:shd w:val="clear" w:color="auto" w:fill="auto"/>
            <w:vAlign w:val="center"/>
          </w:tcPr>
          <w:p>
            <w:pPr>
              <w:pStyle w:val="12"/>
              <w:widowControl/>
              <w:spacing w:beforeAutospacing="0" w:afterAutospacing="0" w:line="330" w:lineRule="atLeast"/>
              <w:jc w:val="center"/>
              <w:rPr>
                <w:rFonts w:ascii="宋体" w:hAnsi="宋体"/>
                <w:color w:val="000000"/>
              </w:rPr>
            </w:pPr>
            <w:r>
              <w:rPr>
                <w:rFonts w:hint="eastAsia" w:ascii="宋体" w:hAnsi="宋体"/>
                <w:color w:val="000000"/>
              </w:rPr>
              <w:t>约束性</w:t>
            </w:r>
          </w:p>
        </w:tc>
      </w:tr>
      <w:tr>
        <w:tblPrEx>
          <w:tblCellMar>
            <w:top w:w="0" w:type="dxa"/>
            <w:left w:w="108" w:type="dxa"/>
            <w:bottom w:w="0" w:type="dxa"/>
            <w:right w:w="108" w:type="dxa"/>
          </w:tblCellMar>
        </w:tblPrEx>
        <w:trPr>
          <w:trHeight w:val="360" w:hRule="atLeast"/>
          <w:jc w:val="center"/>
        </w:trPr>
        <w:tc>
          <w:tcPr>
            <w:tcW w:w="4371" w:type="dxa"/>
            <w:tcBorders>
              <w:top w:val="nil"/>
              <w:left w:val="single" w:color="000000" w:sz="8" w:space="0"/>
              <w:bottom w:val="single" w:color="auto" w:sz="4" w:space="0"/>
              <w:right w:val="single" w:color="000000" w:sz="8" w:space="0"/>
            </w:tcBorders>
            <w:shd w:val="clear" w:color="auto" w:fill="auto"/>
            <w:vAlign w:val="center"/>
          </w:tcPr>
          <w:p>
            <w:pPr>
              <w:pStyle w:val="12"/>
              <w:widowControl/>
              <w:spacing w:beforeAutospacing="0" w:afterAutospacing="0" w:line="330" w:lineRule="atLeast"/>
              <w:jc w:val="center"/>
              <w:rPr>
                <w:rFonts w:ascii="宋体" w:hAnsi="宋体"/>
                <w:color w:val="000000"/>
              </w:rPr>
            </w:pPr>
            <w:r>
              <w:rPr>
                <w:rFonts w:hint="eastAsia" w:ascii="宋体" w:hAnsi="宋体"/>
                <w:color w:val="000000"/>
              </w:rPr>
              <w:t>离校未就业高校毕业生就业率</w:t>
            </w:r>
          </w:p>
        </w:tc>
        <w:tc>
          <w:tcPr>
            <w:tcW w:w="1119" w:type="dxa"/>
            <w:tcBorders>
              <w:top w:val="nil"/>
              <w:left w:val="nil"/>
              <w:bottom w:val="single" w:color="auto" w:sz="4" w:space="0"/>
              <w:right w:val="single" w:color="000000" w:sz="8" w:space="0"/>
            </w:tcBorders>
            <w:shd w:val="clear" w:color="auto" w:fill="auto"/>
            <w:vAlign w:val="center"/>
          </w:tcPr>
          <w:p>
            <w:pPr>
              <w:pStyle w:val="12"/>
              <w:widowControl/>
              <w:spacing w:beforeAutospacing="0" w:afterAutospacing="0" w:line="330" w:lineRule="atLeast"/>
              <w:jc w:val="center"/>
              <w:rPr>
                <w:rFonts w:ascii="宋体" w:hAnsi="宋体"/>
                <w:color w:val="000000"/>
              </w:rPr>
            </w:pPr>
            <w:r>
              <w:rPr>
                <w:rFonts w:hint="eastAsia" w:ascii="宋体" w:hAnsi="宋体"/>
                <w:color w:val="000000"/>
              </w:rPr>
              <w:t>95%</w:t>
            </w:r>
          </w:p>
        </w:tc>
        <w:tc>
          <w:tcPr>
            <w:tcW w:w="1419" w:type="dxa"/>
            <w:tcBorders>
              <w:top w:val="nil"/>
              <w:left w:val="nil"/>
              <w:bottom w:val="single" w:color="auto" w:sz="4" w:space="0"/>
              <w:right w:val="single" w:color="000000" w:sz="8" w:space="0"/>
            </w:tcBorders>
            <w:shd w:val="clear" w:color="auto" w:fill="auto"/>
            <w:vAlign w:val="center"/>
          </w:tcPr>
          <w:p>
            <w:pPr>
              <w:pStyle w:val="12"/>
              <w:widowControl/>
              <w:spacing w:beforeAutospacing="0" w:afterAutospacing="0" w:line="330" w:lineRule="atLeast"/>
              <w:jc w:val="center"/>
              <w:rPr>
                <w:rFonts w:ascii="宋体" w:hAnsi="宋体"/>
                <w:color w:val="000000"/>
              </w:rPr>
            </w:pPr>
            <w:r>
              <w:rPr>
                <w:rFonts w:ascii="宋体" w:hAnsi="宋体"/>
                <w:color w:val="000000"/>
              </w:rPr>
              <w:t>＞</w:t>
            </w:r>
            <w:r>
              <w:rPr>
                <w:rFonts w:hint="eastAsia" w:ascii="宋体" w:hAnsi="宋体"/>
                <w:color w:val="000000"/>
              </w:rPr>
              <w:t>9</w:t>
            </w:r>
            <w:r>
              <w:rPr>
                <w:rFonts w:ascii="宋体" w:hAnsi="宋体"/>
                <w:color w:val="000000"/>
              </w:rPr>
              <w:t>5%</w:t>
            </w:r>
          </w:p>
        </w:tc>
        <w:tc>
          <w:tcPr>
            <w:tcW w:w="1613" w:type="dxa"/>
            <w:tcBorders>
              <w:top w:val="nil"/>
              <w:left w:val="nil"/>
              <w:bottom w:val="single" w:color="auto" w:sz="4" w:space="0"/>
              <w:right w:val="single" w:color="000000" w:sz="8" w:space="0"/>
            </w:tcBorders>
            <w:shd w:val="clear" w:color="auto" w:fill="auto"/>
            <w:vAlign w:val="center"/>
          </w:tcPr>
          <w:p>
            <w:pPr>
              <w:pStyle w:val="12"/>
              <w:widowControl/>
              <w:spacing w:beforeAutospacing="0" w:afterAutospacing="0" w:line="330" w:lineRule="atLeast"/>
              <w:jc w:val="center"/>
              <w:rPr>
                <w:rFonts w:ascii="宋体" w:hAnsi="宋体"/>
                <w:color w:val="000000"/>
              </w:rPr>
            </w:pPr>
            <w:r>
              <w:rPr>
                <w:rFonts w:hint="eastAsia" w:ascii="宋体" w:hAnsi="宋体"/>
                <w:color w:val="000000"/>
              </w:rPr>
              <w:t>约束性</w:t>
            </w:r>
          </w:p>
        </w:tc>
      </w:tr>
      <w:tr>
        <w:tblPrEx>
          <w:tblCellMar>
            <w:top w:w="0" w:type="dxa"/>
            <w:left w:w="108" w:type="dxa"/>
            <w:bottom w:w="0" w:type="dxa"/>
            <w:right w:w="108" w:type="dxa"/>
          </w:tblCellMar>
        </w:tblPrEx>
        <w:trPr>
          <w:trHeight w:val="360" w:hRule="atLeast"/>
          <w:jc w:val="center"/>
        </w:trPr>
        <w:tc>
          <w:tcPr>
            <w:tcW w:w="43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widowControl/>
              <w:spacing w:beforeAutospacing="0" w:afterAutospacing="0" w:line="330" w:lineRule="atLeast"/>
              <w:jc w:val="center"/>
              <w:rPr>
                <w:rFonts w:ascii="宋体" w:hAnsi="宋体"/>
                <w:color w:val="000000"/>
              </w:rPr>
            </w:pPr>
            <w:r>
              <w:rPr>
                <w:rFonts w:hint="eastAsia" w:ascii="宋体" w:hAnsi="宋体"/>
                <w:color w:val="000000"/>
              </w:rPr>
              <w:t>引领乡村振兴创业人数（万人）</w:t>
            </w: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widowControl/>
              <w:spacing w:beforeAutospacing="0" w:afterAutospacing="0" w:line="330" w:lineRule="atLeast"/>
              <w:jc w:val="center"/>
              <w:rPr>
                <w:rFonts w:ascii="宋体" w:hAnsi="宋体"/>
                <w:color w:val="000000"/>
              </w:rPr>
            </w:pPr>
            <w:r>
              <w:rPr>
                <w:rFonts w:hint="eastAsia" w:ascii="宋体" w:hAnsi="宋体"/>
                <w:color w:val="000000"/>
              </w:rPr>
              <w:t>0.3</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widowControl/>
              <w:spacing w:beforeAutospacing="0" w:afterAutospacing="0" w:line="330" w:lineRule="atLeast"/>
              <w:jc w:val="center"/>
              <w:rPr>
                <w:rFonts w:ascii="宋体" w:hAnsi="宋体"/>
                <w:color w:val="000000"/>
              </w:rPr>
            </w:pPr>
            <w:r>
              <w:rPr>
                <w:rFonts w:hint="eastAsia" w:ascii="宋体" w:hAnsi="宋体"/>
                <w:color w:val="000000"/>
              </w:rPr>
              <w:t>0.5</w:t>
            </w:r>
          </w:p>
        </w:tc>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widowControl/>
              <w:spacing w:beforeAutospacing="0" w:afterAutospacing="0" w:line="330" w:lineRule="atLeast"/>
              <w:jc w:val="center"/>
              <w:rPr>
                <w:rFonts w:ascii="宋体" w:hAnsi="宋体"/>
                <w:color w:val="000000"/>
              </w:rPr>
            </w:pPr>
            <w:r>
              <w:rPr>
                <w:rFonts w:hint="eastAsia" w:ascii="宋体" w:hAnsi="宋体"/>
                <w:color w:val="000000"/>
              </w:rPr>
              <w:t>预期性</w:t>
            </w:r>
          </w:p>
        </w:tc>
      </w:tr>
      <w:tr>
        <w:tblPrEx>
          <w:tblCellMar>
            <w:top w:w="0" w:type="dxa"/>
            <w:left w:w="108" w:type="dxa"/>
            <w:bottom w:w="0" w:type="dxa"/>
            <w:right w:w="108" w:type="dxa"/>
          </w:tblCellMar>
        </w:tblPrEx>
        <w:trPr>
          <w:trHeight w:val="360" w:hRule="atLeast"/>
          <w:jc w:val="center"/>
        </w:trPr>
        <w:tc>
          <w:tcPr>
            <w:tcW w:w="852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pStyle w:val="12"/>
              <w:widowControl/>
              <w:spacing w:beforeAutospacing="0" w:afterAutospacing="0" w:line="330" w:lineRule="atLeast"/>
              <w:jc w:val="center"/>
              <w:rPr>
                <w:rFonts w:ascii="宋体" w:hAnsi="宋体"/>
                <w:color w:val="000000"/>
              </w:rPr>
            </w:pPr>
            <w:r>
              <w:rPr>
                <w:rFonts w:hint="eastAsia" w:ascii="宋体" w:hAnsi="宋体"/>
                <w:color w:val="000000"/>
              </w:rPr>
              <w:t>二、社会保障</w:t>
            </w:r>
          </w:p>
        </w:tc>
      </w:tr>
      <w:tr>
        <w:tblPrEx>
          <w:tblCellMar>
            <w:top w:w="0" w:type="dxa"/>
            <w:left w:w="108" w:type="dxa"/>
            <w:bottom w:w="0" w:type="dxa"/>
            <w:right w:w="108" w:type="dxa"/>
          </w:tblCellMar>
        </w:tblPrEx>
        <w:trPr>
          <w:trHeight w:val="360" w:hRule="atLeast"/>
          <w:jc w:val="center"/>
        </w:trPr>
        <w:tc>
          <w:tcPr>
            <w:tcW w:w="43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widowControl/>
              <w:spacing w:beforeAutospacing="0" w:afterAutospacing="0" w:line="330" w:lineRule="atLeast"/>
              <w:rPr>
                <w:rFonts w:hint="eastAsia" w:ascii="&amp;quot" w:hAnsi="&amp;quot" w:cs="&amp;quot"/>
                <w:color w:val="000000"/>
              </w:rPr>
            </w:pPr>
            <w:r>
              <w:rPr>
                <w:rFonts w:hint="eastAsia" w:ascii="&amp;quot" w:hAnsi="&amp;quot" w:cs="&amp;quot"/>
                <w:color w:val="000000"/>
              </w:rPr>
              <w:t>社会保障卡覆盖率</w:t>
            </w: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widowControl/>
              <w:spacing w:beforeAutospacing="0" w:afterAutospacing="0" w:line="330" w:lineRule="atLeast"/>
              <w:jc w:val="center"/>
              <w:rPr>
                <w:rFonts w:ascii="宋体" w:hAnsi="宋体"/>
                <w:color w:val="000000"/>
              </w:rPr>
            </w:pPr>
            <w:r>
              <w:rPr>
                <w:rFonts w:hint="eastAsia" w:ascii="宋体" w:hAnsi="宋体"/>
                <w:color w:val="000000"/>
              </w:rPr>
              <w:t>95%</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widowControl/>
              <w:spacing w:beforeAutospacing="0" w:afterAutospacing="0" w:line="330" w:lineRule="atLeast"/>
              <w:jc w:val="center"/>
              <w:rPr>
                <w:rFonts w:ascii="宋体" w:hAnsi="宋体"/>
                <w:color w:val="000000"/>
              </w:rPr>
            </w:pPr>
            <w:r>
              <w:rPr>
                <w:rFonts w:hint="eastAsia" w:ascii="宋体" w:hAnsi="宋体"/>
                <w:color w:val="000000"/>
              </w:rPr>
              <w:t>100%</w:t>
            </w:r>
          </w:p>
        </w:tc>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widowControl/>
              <w:spacing w:beforeAutospacing="0" w:afterAutospacing="0" w:line="330" w:lineRule="atLeast"/>
              <w:jc w:val="center"/>
              <w:rPr>
                <w:rFonts w:hint="eastAsia" w:ascii="&amp;quot" w:hAnsi="&amp;quot" w:cs="&amp;quot"/>
                <w:color w:val="000000"/>
              </w:rPr>
            </w:pPr>
            <w:r>
              <w:rPr>
                <w:rFonts w:hint="eastAsia" w:ascii="&amp;quot" w:hAnsi="&amp;quot" w:cs="&amp;quot"/>
                <w:color w:val="000000"/>
              </w:rPr>
              <w:t>预期性</w:t>
            </w:r>
          </w:p>
        </w:tc>
      </w:tr>
      <w:tr>
        <w:tblPrEx>
          <w:tblCellMar>
            <w:top w:w="0" w:type="dxa"/>
            <w:left w:w="108" w:type="dxa"/>
            <w:bottom w:w="0" w:type="dxa"/>
            <w:right w:w="108" w:type="dxa"/>
          </w:tblCellMar>
        </w:tblPrEx>
        <w:trPr>
          <w:trHeight w:val="310" w:hRule="atLeast"/>
          <w:jc w:val="center"/>
        </w:trPr>
        <w:tc>
          <w:tcPr>
            <w:tcW w:w="43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widowControl/>
              <w:spacing w:beforeAutospacing="0" w:afterAutospacing="0" w:line="330" w:lineRule="atLeast"/>
              <w:rPr>
                <w:rFonts w:hint="eastAsia" w:ascii="&amp;quot" w:hAnsi="&amp;quot" w:cs="&amp;quot"/>
                <w:color w:val="000000"/>
              </w:rPr>
            </w:pPr>
            <w:r>
              <w:rPr>
                <w:rFonts w:hint="eastAsia" w:ascii="&amp;quot" w:hAnsi="&amp;quot" w:cs="&amp;quot"/>
                <w:color w:val="000000"/>
              </w:rPr>
              <w:t>城镇基本养老保险参保人数（万人）</w:t>
            </w: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widowControl/>
              <w:spacing w:beforeAutospacing="0" w:afterAutospacing="0" w:line="330" w:lineRule="atLeast"/>
              <w:jc w:val="center"/>
              <w:rPr>
                <w:rFonts w:ascii="宋体" w:hAnsi="宋体"/>
                <w:color w:val="000000"/>
              </w:rPr>
            </w:pPr>
            <w:r>
              <w:rPr>
                <w:rFonts w:hint="eastAsia" w:ascii="宋体" w:hAnsi="宋体"/>
                <w:color w:val="000000"/>
              </w:rPr>
              <w:t>252</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widowControl/>
              <w:spacing w:beforeAutospacing="0" w:afterAutospacing="0" w:line="330" w:lineRule="atLeast"/>
              <w:jc w:val="center"/>
              <w:rPr>
                <w:rFonts w:ascii="宋体" w:hAnsi="宋体"/>
                <w:color w:val="000000"/>
              </w:rPr>
            </w:pPr>
            <w:r>
              <w:rPr>
                <w:rFonts w:hint="eastAsia" w:ascii="宋体" w:hAnsi="宋体"/>
                <w:color w:val="000000"/>
              </w:rPr>
              <w:t>300</w:t>
            </w:r>
          </w:p>
        </w:tc>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widowControl/>
              <w:spacing w:beforeAutospacing="0" w:afterAutospacing="0" w:line="330" w:lineRule="atLeast"/>
              <w:jc w:val="center"/>
              <w:rPr>
                <w:rFonts w:hint="eastAsia" w:ascii="&amp;quot" w:hAnsi="&amp;quot" w:cs="&amp;quot"/>
                <w:color w:val="000000"/>
              </w:rPr>
            </w:pPr>
            <w:r>
              <w:rPr>
                <w:rFonts w:hint="eastAsia" w:ascii="&amp;quot" w:hAnsi="&amp;quot" w:cs="&amp;quot"/>
                <w:color w:val="000000"/>
              </w:rPr>
              <w:t>预期性</w:t>
            </w:r>
          </w:p>
        </w:tc>
      </w:tr>
      <w:tr>
        <w:tblPrEx>
          <w:tblCellMar>
            <w:top w:w="0" w:type="dxa"/>
            <w:left w:w="108" w:type="dxa"/>
            <w:bottom w:w="0" w:type="dxa"/>
            <w:right w:w="108" w:type="dxa"/>
          </w:tblCellMar>
        </w:tblPrEx>
        <w:trPr>
          <w:trHeight w:val="360" w:hRule="atLeast"/>
          <w:jc w:val="center"/>
        </w:trPr>
        <w:tc>
          <w:tcPr>
            <w:tcW w:w="43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widowControl/>
              <w:spacing w:beforeAutospacing="0" w:afterAutospacing="0" w:line="330" w:lineRule="atLeast"/>
              <w:rPr>
                <w:rFonts w:hint="eastAsia" w:ascii="&amp;quot" w:hAnsi="&amp;quot" w:cs="&amp;quot"/>
                <w:color w:val="000000"/>
              </w:rPr>
            </w:pPr>
            <w:r>
              <w:rPr>
                <w:rFonts w:hint="eastAsia" w:ascii="&amp;quot" w:hAnsi="&amp;quot" w:cs="&amp;quot"/>
                <w:color w:val="000000"/>
              </w:rPr>
              <w:t>城乡居民基本保养保障参保人数（万人）</w:t>
            </w: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widowControl/>
              <w:spacing w:beforeAutospacing="0" w:afterAutospacing="0" w:line="330" w:lineRule="atLeast"/>
              <w:jc w:val="center"/>
              <w:rPr>
                <w:rFonts w:ascii="宋体" w:hAnsi="宋体"/>
                <w:color w:val="000000"/>
              </w:rPr>
            </w:pPr>
            <w:r>
              <w:rPr>
                <w:rFonts w:hint="eastAsia" w:ascii="宋体" w:hAnsi="宋体"/>
                <w:color w:val="000000"/>
              </w:rPr>
              <w:t>80</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widowControl/>
              <w:spacing w:beforeAutospacing="0" w:afterAutospacing="0" w:line="330" w:lineRule="atLeast"/>
              <w:jc w:val="center"/>
              <w:rPr>
                <w:rFonts w:ascii="宋体" w:hAnsi="宋体"/>
                <w:color w:val="000000"/>
              </w:rPr>
            </w:pPr>
            <w:r>
              <w:rPr>
                <w:rFonts w:hint="eastAsia" w:ascii="宋体" w:hAnsi="宋体"/>
                <w:color w:val="000000"/>
              </w:rPr>
              <w:t>80</w:t>
            </w:r>
          </w:p>
        </w:tc>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widowControl/>
              <w:spacing w:beforeAutospacing="0" w:afterAutospacing="0" w:line="330" w:lineRule="atLeast"/>
              <w:jc w:val="center"/>
              <w:rPr>
                <w:rFonts w:hint="eastAsia" w:ascii="&amp;quot" w:hAnsi="&amp;quot" w:cs="&amp;quot"/>
                <w:color w:val="000000"/>
              </w:rPr>
            </w:pPr>
            <w:r>
              <w:rPr>
                <w:rFonts w:hint="eastAsia" w:ascii="&amp;quot" w:hAnsi="&amp;quot" w:cs="&amp;quot"/>
                <w:color w:val="000000"/>
              </w:rPr>
              <w:t>约束性</w:t>
            </w:r>
          </w:p>
        </w:tc>
      </w:tr>
      <w:tr>
        <w:tblPrEx>
          <w:tblCellMar>
            <w:top w:w="0" w:type="dxa"/>
            <w:left w:w="108" w:type="dxa"/>
            <w:bottom w:w="0" w:type="dxa"/>
            <w:right w:w="108" w:type="dxa"/>
          </w:tblCellMar>
        </w:tblPrEx>
        <w:trPr>
          <w:trHeight w:val="360" w:hRule="atLeast"/>
          <w:jc w:val="center"/>
        </w:trPr>
        <w:tc>
          <w:tcPr>
            <w:tcW w:w="43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widowControl/>
              <w:spacing w:beforeAutospacing="0" w:afterAutospacing="0" w:line="330" w:lineRule="atLeast"/>
              <w:rPr>
                <w:rFonts w:hint="eastAsia" w:ascii="&amp;quot" w:hAnsi="&amp;quot" w:cs="&amp;quot"/>
                <w:color w:val="000000"/>
              </w:rPr>
            </w:pPr>
            <w:r>
              <w:rPr>
                <w:rFonts w:hint="eastAsia" w:ascii="&amp;quot" w:hAnsi="&amp;quot" w:cs="&amp;quot"/>
                <w:color w:val="000000"/>
              </w:rPr>
              <w:t>工伤保险参保人数（万人）</w:t>
            </w: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widowControl/>
              <w:spacing w:beforeAutospacing="0" w:afterAutospacing="0" w:line="330" w:lineRule="atLeast"/>
              <w:jc w:val="center"/>
              <w:rPr>
                <w:rFonts w:ascii="宋体" w:hAnsi="宋体"/>
                <w:color w:val="000000"/>
              </w:rPr>
            </w:pPr>
            <w:r>
              <w:rPr>
                <w:rFonts w:hint="eastAsia" w:ascii="宋体" w:hAnsi="宋体"/>
                <w:color w:val="000000"/>
              </w:rPr>
              <w:t>160</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widowControl/>
              <w:spacing w:beforeAutospacing="0" w:afterAutospacing="0" w:line="330" w:lineRule="atLeast"/>
              <w:jc w:val="center"/>
              <w:rPr>
                <w:rFonts w:ascii="宋体" w:hAnsi="宋体"/>
                <w:color w:val="000000"/>
              </w:rPr>
            </w:pPr>
            <w:r>
              <w:rPr>
                <w:rFonts w:hint="eastAsia" w:ascii="宋体" w:hAnsi="宋体"/>
                <w:color w:val="000000"/>
              </w:rPr>
              <w:t>170</w:t>
            </w:r>
          </w:p>
        </w:tc>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widowControl/>
              <w:spacing w:beforeAutospacing="0" w:afterAutospacing="0" w:line="330" w:lineRule="atLeast"/>
              <w:jc w:val="center"/>
              <w:rPr>
                <w:rFonts w:hint="eastAsia" w:ascii="&amp;quot" w:hAnsi="&amp;quot" w:cs="&amp;quot"/>
                <w:color w:val="000000"/>
              </w:rPr>
            </w:pPr>
            <w:r>
              <w:rPr>
                <w:rFonts w:hint="eastAsia" w:ascii="&amp;quot" w:hAnsi="&amp;quot" w:cs="&amp;quot"/>
                <w:color w:val="000000"/>
              </w:rPr>
              <w:t>约束性</w:t>
            </w:r>
          </w:p>
        </w:tc>
      </w:tr>
      <w:tr>
        <w:tblPrEx>
          <w:tblCellMar>
            <w:top w:w="0" w:type="dxa"/>
            <w:left w:w="108" w:type="dxa"/>
            <w:bottom w:w="0" w:type="dxa"/>
            <w:right w:w="108" w:type="dxa"/>
          </w:tblCellMar>
        </w:tblPrEx>
        <w:trPr>
          <w:trHeight w:val="360" w:hRule="atLeast"/>
          <w:jc w:val="center"/>
        </w:trPr>
        <w:tc>
          <w:tcPr>
            <w:tcW w:w="43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widowControl/>
              <w:spacing w:beforeAutospacing="0" w:afterAutospacing="0" w:line="330" w:lineRule="atLeast"/>
              <w:rPr>
                <w:rFonts w:hint="eastAsia" w:ascii="&amp;quot" w:hAnsi="&amp;quot" w:cs="&amp;quot"/>
                <w:color w:val="000000"/>
              </w:rPr>
            </w:pPr>
            <w:r>
              <w:rPr>
                <w:rFonts w:hint="eastAsia" w:ascii="&amp;quot" w:hAnsi="&amp;quot" w:cs="&amp;quot"/>
                <w:color w:val="000000"/>
              </w:rPr>
              <w:t>失业保险参保人数（万人）</w:t>
            </w: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widowControl/>
              <w:spacing w:beforeAutospacing="0" w:afterAutospacing="0" w:line="330" w:lineRule="atLeast"/>
              <w:jc w:val="center"/>
              <w:rPr>
                <w:rFonts w:ascii="宋体" w:hAnsi="宋体"/>
                <w:color w:val="000000"/>
              </w:rPr>
            </w:pPr>
            <w:r>
              <w:rPr>
                <w:rFonts w:hint="eastAsia" w:ascii="宋体" w:hAnsi="宋体"/>
                <w:color w:val="000000"/>
              </w:rPr>
              <w:t>90</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widowControl/>
              <w:spacing w:beforeAutospacing="0" w:afterAutospacing="0" w:line="330" w:lineRule="atLeast"/>
              <w:jc w:val="center"/>
              <w:rPr>
                <w:rFonts w:ascii="宋体" w:hAnsi="宋体"/>
                <w:color w:val="000000"/>
              </w:rPr>
            </w:pPr>
            <w:r>
              <w:rPr>
                <w:rFonts w:hint="eastAsia" w:ascii="宋体" w:hAnsi="宋体"/>
                <w:color w:val="000000"/>
              </w:rPr>
              <w:t>110</w:t>
            </w:r>
          </w:p>
        </w:tc>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widowControl/>
              <w:spacing w:beforeAutospacing="0" w:afterAutospacing="0" w:line="330" w:lineRule="atLeast"/>
              <w:jc w:val="center"/>
              <w:rPr>
                <w:rFonts w:hint="eastAsia" w:ascii="&amp;quot" w:hAnsi="&amp;quot" w:cs="&amp;quot"/>
                <w:color w:val="000000"/>
              </w:rPr>
            </w:pPr>
            <w:r>
              <w:rPr>
                <w:rFonts w:hint="eastAsia" w:ascii="&amp;quot" w:hAnsi="&amp;quot" w:cs="&amp;quot"/>
                <w:color w:val="000000"/>
              </w:rPr>
              <w:t>约束性</w:t>
            </w:r>
          </w:p>
        </w:tc>
      </w:tr>
      <w:tr>
        <w:tblPrEx>
          <w:tblCellMar>
            <w:top w:w="0" w:type="dxa"/>
            <w:left w:w="108" w:type="dxa"/>
            <w:bottom w:w="0" w:type="dxa"/>
            <w:right w:w="108" w:type="dxa"/>
          </w:tblCellMar>
        </w:tblPrEx>
        <w:trPr>
          <w:trHeight w:val="360" w:hRule="atLeast"/>
          <w:jc w:val="center"/>
        </w:trPr>
        <w:tc>
          <w:tcPr>
            <w:tcW w:w="852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pStyle w:val="12"/>
              <w:widowControl/>
              <w:spacing w:beforeAutospacing="0" w:afterAutospacing="0" w:line="330" w:lineRule="atLeast"/>
              <w:rPr>
                <w:rFonts w:hint="eastAsia" w:ascii="&amp;quot" w:hAnsi="&amp;quot" w:cs="&amp;quot"/>
                <w:color w:val="000000"/>
              </w:rPr>
            </w:pPr>
            <w:r>
              <w:rPr>
                <w:rFonts w:hint="eastAsia" w:ascii="&amp;quot" w:hAnsi="&amp;quot" w:cs="&amp;quot"/>
                <w:color w:val="000000"/>
              </w:rPr>
              <w:t>三、劳动关系</w:t>
            </w:r>
          </w:p>
        </w:tc>
      </w:tr>
      <w:tr>
        <w:tblPrEx>
          <w:tblCellMar>
            <w:top w:w="0" w:type="dxa"/>
            <w:left w:w="108" w:type="dxa"/>
            <w:bottom w:w="0" w:type="dxa"/>
            <w:right w:w="108" w:type="dxa"/>
          </w:tblCellMar>
        </w:tblPrEx>
        <w:trPr>
          <w:trHeight w:val="360" w:hRule="atLeast"/>
          <w:jc w:val="center"/>
        </w:trPr>
        <w:tc>
          <w:tcPr>
            <w:tcW w:w="43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widowControl/>
              <w:spacing w:beforeAutospacing="0" w:afterAutospacing="0" w:line="330" w:lineRule="atLeast"/>
              <w:rPr>
                <w:rFonts w:hint="eastAsia" w:ascii="&amp;quot" w:hAnsi="&amp;quot" w:cs="&amp;quot"/>
                <w:color w:val="000000"/>
              </w:rPr>
            </w:pPr>
            <w:r>
              <w:rPr>
                <w:rFonts w:hint="eastAsia" w:ascii="&amp;quot" w:hAnsi="&amp;quot" w:cs="&amp;quot"/>
                <w:color w:val="000000"/>
              </w:rPr>
              <w:t>企业劳动合同签订率</w:t>
            </w: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widowControl/>
              <w:spacing w:beforeAutospacing="0" w:afterAutospacing="0" w:line="330" w:lineRule="atLeast"/>
              <w:jc w:val="center"/>
              <w:rPr>
                <w:rFonts w:ascii="宋体" w:hAnsi="宋体"/>
                <w:color w:val="000000"/>
              </w:rPr>
            </w:pPr>
            <w:r>
              <w:rPr>
                <w:rFonts w:hint="eastAsia" w:ascii="宋体" w:hAnsi="宋体"/>
                <w:color w:val="000000"/>
              </w:rPr>
              <w:t>92%</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widowControl/>
              <w:spacing w:beforeAutospacing="0" w:afterAutospacing="0" w:line="330" w:lineRule="atLeast"/>
              <w:jc w:val="center"/>
              <w:rPr>
                <w:rFonts w:ascii="宋体" w:hAnsi="宋体"/>
                <w:color w:val="000000"/>
              </w:rPr>
            </w:pPr>
            <w:r>
              <w:rPr>
                <w:rFonts w:hint="eastAsia" w:ascii="宋体" w:hAnsi="宋体"/>
                <w:color w:val="000000"/>
              </w:rPr>
              <w:t>95%</w:t>
            </w:r>
          </w:p>
        </w:tc>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widowControl/>
              <w:spacing w:beforeAutospacing="0" w:afterAutospacing="0" w:line="330" w:lineRule="atLeast"/>
              <w:jc w:val="center"/>
              <w:rPr>
                <w:rFonts w:ascii="宋体" w:hAnsi="宋体"/>
                <w:color w:val="000000"/>
              </w:rPr>
            </w:pPr>
            <w:r>
              <w:rPr>
                <w:rFonts w:hint="eastAsia" w:ascii="宋体" w:hAnsi="宋体"/>
                <w:color w:val="000000"/>
              </w:rPr>
              <w:t>约束性</w:t>
            </w:r>
          </w:p>
        </w:tc>
      </w:tr>
      <w:tr>
        <w:tblPrEx>
          <w:tblCellMar>
            <w:top w:w="0" w:type="dxa"/>
            <w:left w:w="108" w:type="dxa"/>
            <w:bottom w:w="0" w:type="dxa"/>
            <w:right w:w="108" w:type="dxa"/>
          </w:tblCellMar>
        </w:tblPrEx>
        <w:trPr>
          <w:trHeight w:val="360" w:hRule="atLeast"/>
          <w:jc w:val="center"/>
        </w:trPr>
        <w:tc>
          <w:tcPr>
            <w:tcW w:w="43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widowControl/>
              <w:spacing w:beforeAutospacing="0" w:afterAutospacing="0" w:line="330" w:lineRule="atLeast"/>
              <w:rPr>
                <w:rFonts w:hint="eastAsia" w:ascii="&amp;quot" w:hAnsi="&amp;quot" w:cs="&amp;quot"/>
                <w:color w:val="000000"/>
              </w:rPr>
            </w:pPr>
            <w:r>
              <w:rPr>
                <w:rFonts w:hint="eastAsia" w:ascii="&amp;quot" w:hAnsi="&amp;quot" w:cs="&amp;quot"/>
                <w:color w:val="000000"/>
              </w:rPr>
              <w:t>劳动人事仲裁调解成功率</w:t>
            </w: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widowControl/>
              <w:spacing w:beforeAutospacing="0" w:afterAutospacing="0" w:line="330" w:lineRule="atLeast"/>
              <w:jc w:val="center"/>
              <w:rPr>
                <w:rFonts w:ascii="宋体" w:hAnsi="宋体"/>
                <w:color w:val="000000"/>
              </w:rPr>
            </w:pPr>
            <w:r>
              <w:rPr>
                <w:rFonts w:hint="eastAsia" w:ascii="宋体" w:hAnsi="宋体"/>
                <w:color w:val="000000"/>
              </w:rPr>
              <w:t>62.55%</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widowControl/>
              <w:spacing w:beforeAutospacing="0" w:afterAutospacing="0" w:line="330" w:lineRule="atLeast"/>
              <w:jc w:val="center"/>
              <w:rPr>
                <w:rFonts w:ascii="宋体" w:hAnsi="宋体"/>
                <w:color w:val="000000"/>
              </w:rPr>
            </w:pPr>
            <w:r>
              <w:rPr>
                <w:rFonts w:hint="eastAsia" w:ascii="宋体" w:hAnsi="宋体"/>
                <w:color w:val="000000"/>
              </w:rPr>
              <w:t>65%</w:t>
            </w:r>
          </w:p>
        </w:tc>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widowControl/>
              <w:spacing w:beforeAutospacing="0" w:afterAutospacing="0" w:line="330" w:lineRule="atLeast"/>
              <w:jc w:val="center"/>
              <w:rPr>
                <w:rFonts w:ascii="宋体" w:hAnsi="宋体"/>
                <w:color w:val="000000"/>
              </w:rPr>
            </w:pPr>
            <w:r>
              <w:rPr>
                <w:rFonts w:hint="eastAsia" w:ascii="宋体" w:hAnsi="宋体"/>
                <w:color w:val="000000"/>
              </w:rPr>
              <w:t>预期性</w:t>
            </w:r>
          </w:p>
        </w:tc>
      </w:tr>
      <w:tr>
        <w:tblPrEx>
          <w:tblCellMar>
            <w:top w:w="0" w:type="dxa"/>
            <w:left w:w="108" w:type="dxa"/>
            <w:bottom w:w="0" w:type="dxa"/>
            <w:right w:w="108" w:type="dxa"/>
          </w:tblCellMar>
        </w:tblPrEx>
        <w:trPr>
          <w:trHeight w:val="360" w:hRule="atLeast"/>
          <w:jc w:val="center"/>
        </w:trPr>
        <w:tc>
          <w:tcPr>
            <w:tcW w:w="43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widowControl/>
              <w:spacing w:beforeAutospacing="0" w:afterAutospacing="0" w:line="330" w:lineRule="atLeast"/>
              <w:rPr>
                <w:rFonts w:hint="eastAsia" w:ascii="&amp;quot" w:hAnsi="&amp;quot" w:cs="&amp;quot"/>
                <w:color w:val="000000"/>
              </w:rPr>
            </w:pPr>
            <w:r>
              <w:rPr>
                <w:rFonts w:hint="eastAsia" w:ascii="&amp;quot" w:hAnsi="&amp;quot" w:cs="&amp;quot"/>
                <w:color w:val="000000"/>
              </w:rPr>
              <w:t>劳动人事争议仲裁结案率（法定期限）</w:t>
            </w: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widowControl/>
              <w:spacing w:beforeAutospacing="0" w:afterAutospacing="0" w:line="330" w:lineRule="atLeast"/>
              <w:jc w:val="center"/>
              <w:rPr>
                <w:rFonts w:ascii="宋体" w:hAnsi="宋体"/>
                <w:color w:val="000000"/>
              </w:rPr>
            </w:pPr>
            <w:r>
              <w:rPr>
                <w:rFonts w:hint="eastAsia" w:ascii="宋体" w:hAnsi="宋体"/>
                <w:color w:val="000000"/>
              </w:rPr>
              <w:t>100%</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widowControl/>
              <w:spacing w:beforeAutospacing="0" w:afterAutospacing="0" w:line="330" w:lineRule="atLeast"/>
              <w:jc w:val="center"/>
              <w:rPr>
                <w:rFonts w:ascii="宋体" w:hAnsi="宋体"/>
                <w:color w:val="000000"/>
              </w:rPr>
            </w:pPr>
            <w:r>
              <w:rPr>
                <w:rFonts w:hint="eastAsia" w:ascii="宋体" w:hAnsi="宋体"/>
                <w:color w:val="000000"/>
              </w:rPr>
              <w:t>100%</w:t>
            </w:r>
          </w:p>
        </w:tc>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widowControl/>
              <w:spacing w:beforeAutospacing="0" w:afterAutospacing="0" w:line="330" w:lineRule="atLeast"/>
              <w:jc w:val="center"/>
              <w:rPr>
                <w:rFonts w:ascii="宋体" w:hAnsi="宋体"/>
                <w:color w:val="000000"/>
              </w:rPr>
            </w:pPr>
            <w:r>
              <w:rPr>
                <w:rFonts w:hint="eastAsia" w:ascii="宋体" w:hAnsi="宋体"/>
                <w:color w:val="000000"/>
              </w:rPr>
              <w:t>约束性</w:t>
            </w:r>
          </w:p>
        </w:tc>
      </w:tr>
      <w:tr>
        <w:tblPrEx>
          <w:tblCellMar>
            <w:top w:w="0" w:type="dxa"/>
            <w:left w:w="108" w:type="dxa"/>
            <w:bottom w:w="0" w:type="dxa"/>
            <w:right w:w="108" w:type="dxa"/>
          </w:tblCellMar>
        </w:tblPrEx>
        <w:trPr>
          <w:trHeight w:val="360" w:hRule="atLeast"/>
          <w:jc w:val="center"/>
        </w:trPr>
        <w:tc>
          <w:tcPr>
            <w:tcW w:w="43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widowControl/>
              <w:spacing w:beforeAutospacing="0" w:afterAutospacing="0" w:line="330" w:lineRule="atLeast"/>
              <w:rPr>
                <w:rFonts w:hint="eastAsia" w:ascii="&amp;quot" w:hAnsi="&amp;quot" w:cs="&amp;quot"/>
                <w:color w:val="000000"/>
              </w:rPr>
            </w:pPr>
            <w:r>
              <w:rPr>
                <w:rFonts w:hint="eastAsia" w:ascii="宋体" w:hAnsi="宋体"/>
                <w:color w:val="000000"/>
              </w:rPr>
              <w:t xml:space="preserve">街镇(社区)劳动争议调解组织覆盖率 </w:t>
            </w: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widowControl/>
              <w:spacing w:beforeAutospacing="0" w:afterAutospacing="0" w:line="330" w:lineRule="atLeast"/>
              <w:jc w:val="center"/>
              <w:rPr>
                <w:rFonts w:ascii="宋体" w:hAnsi="宋体"/>
                <w:color w:val="000000"/>
              </w:rPr>
            </w:pPr>
            <w:r>
              <w:rPr>
                <w:rFonts w:hint="eastAsia" w:ascii="宋体" w:hAnsi="宋体"/>
                <w:color w:val="000000"/>
              </w:rPr>
              <w:t>-——</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widowControl/>
              <w:spacing w:beforeAutospacing="0" w:afterAutospacing="0" w:line="330" w:lineRule="atLeast"/>
              <w:jc w:val="center"/>
              <w:rPr>
                <w:rFonts w:ascii="宋体" w:hAnsi="宋体"/>
                <w:color w:val="000000"/>
              </w:rPr>
            </w:pPr>
            <w:r>
              <w:rPr>
                <w:rFonts w:hint="eastAsia" w:ascii="宋体" w:hAnsi="宋体"/>
                <w:color w:val="000000"/>
              </w:rPr>
              <w:t>95%</w:t>
            </w:r>
          </w:p>
        </w:tc>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widowControl/>
              <w:spacing w:beforeAutospacing="0" w:afterAutospacing="0" w:line="330" w:lineRule="atLeast"/>
              <w:jc w:val="center"/>
              <w:rPr>
                <w:rFonts w:ascii="宋体" w:hAnsi="宋体"/>
                <w:color w:val="000000"/>
              </w:rPr>
            </w:pPr>
            <w:r>
              <w:rPr>
                <w:rFonts w:hint="eastAsia" w:ascii="宋体" w:hAnsi="宋体"/>
                <w:color w:val="000000"/>
              </w:rPr>
              <w:t>约束性</w:t>
            </w:r>
          </w:p>
        </w:tc>
      </w:tr>
    </w:tbl>
    <w:p>
      <w:pPr>
        <w:jc w:val="center"/>
        <w:outlineLvl w:val="0"/>
        <w:rPr>
          <w:rFonts w:ascii="黑体" w:hAnsi="黑体" w:eastAsia="黑体" w:cs="仿宋_GB2312"/>
          <w:sz w:val="32"/>
          <w:szCs w:val="32"/>
          <w:shd w:val="clear" w:color="auto" w:fill="FFFFFF"/>
        </w:rPr>
      </w:pPr>
      <w:bookmarkStart w:id="41" w:name="_Toc5616"/>
      <w:bookmarkStart w:id="42" w:name="_Toc14382"/>
      <w:r>
        <w:rPr>
          <w:rFonts w:hint="eastAsia" w:ascii="黑体" w:hAnsi="黑体" w:eastAsia="黑体" w:cs="仿宋_GB2312"/>
          <w:sz w:val="32"/>
          <w:szCs w:val="32"/>
          <w:shd w:val="clear" w:color="auto" w:fill="FFFFFF"/>
        </w:rPr>
        <w:t>第四章  重点任务</w:t>
      </w:r>
      <w:bookmarkEnd w:id="41"/>
      <w:bookmarkEnd w:id="42"/>
    </w:p>
    <w:p>
      <w:pPr>
        <w:ind w:firstLine="640" w:firstLineChars="200"/>
        <w:jc w:val="center"/>
        <w:outlineLvl w:val="1"/>
        <w:rPr>
          <w:rFonts w:ascii="黑体" w:hAnsi="黑体" w:eastAsia="黑体" w:cs="仿宋_GB2312"/>
          <w:sz w:val="32"/>
          <w:szCs w:val="32"/>
          <w:shd w:val="clear" w:color="auto" w:fill="FFFFFF"/>
        </w:rPr>
      </w:pPr>
      <w:bookmarkStart w:id="43" w:name="_Toc19090"/>
      <w:bookmarkStart w:id="44" w:name="_Toc7221"/>
      <w:r>
        <w:rPr>
          <w:rFonts w:hint="eastAsia" w:ascii="黑体" w:hAnsi="黑体" w:eastAsia="黑体" w:cs="仿宋_GB2312"/>
          <w:sz w:val="32"/>
          <w:szCs w:val="32"/>
          <w:shd w:val="clear" w:color="auto" w:fill="FFFFFF"/>
        </w:rPr>
        <w:t>第一节 拓展就业机会</w:t>
      </w:r>
      <w:bookmarkEnd w:id="43"/>
      <w:r>
        <w:rPr>
          <w:rFonts w:hint="eastAsia" w:ascii="黑体" w:hAnsi="黑体" w:eastAsia="黑体" w:cs="仿宋_GB2312"/>
          <w:sz w:val="32"/>
          <w:szCs w:val="32"/>
          <w:shd w:val="clear" w:color="auto" w:fill="FFFFFF"/>
        </w:rPr>
        <w:t>促进更加充分就业</w:t>
      </w:r>
      <w:bookmarkEnd w:id="44"/>
    </w:p>
    <w:p>
      <w:pPr>
        <w:ind w:firstLine="640" w:firstLineChars="200"/>
        <w:rPr>
          <w:rFonts w:ascii="仿宋_GB2312" w:hAnsi="仿宋" w:eastAsia="仿宋_GB2312" w:cs="仿宋_GB2312"/>
          <w:sz w:val="32"/>
          <w:szCs w:val="32"/>
          <w:shd w:val="clear" w:color="auto" w:fill="FFFFFF"/>
        </w:rPr>
      </w:pPr>
      <w:r>
        <w:rPr>
          <w:rFonts w:hint="eastAsia" w:ascii="仿宋_GB2312" w:hAnsi="仿宋" w:eastAsia="仿宋_GB2312" w:cs="仿宋_GB2312"/>
          <w:sz w:val="32"/>
          <w:szCs w:val="32"/>
          <w:shd w:val="clear" w:color="auto" w:fill="FFFFFF"/>
        </w:rPr>
        <w:t>支持企业吸纳就业，鼓励劳动者多渠道、多形式就业，积极引导贫困劳动力转移就业。鼓励发展新个体经济，引导自我就业，支持微商电商、网络直播等多样化的自主就业、分时就业。引导劳动者转变就业观念，促进多种形式就业，鼓励劳动者自谋职业和自主创业。稳妥处理城市管理和灵活就业关系，积极引导“摊贩”经济有序发展。加大公益性岗位开发力度，全面落实各项扶持政策，提高就业稳定性。支持搭建灵活用工供需对接平台，鼓励基于互联网平台的微创新、微应用、微产品等大众创业、万众创新，广泛开辟新收入机会，激发多元创造。开展“三感社区”就业创业服务，持续抓好充分就业社区(村)达标及创建工作。加大小额担保贷款支持力度，提升创业带动就业效应。“十四五”期间，累计实现城镇新增就业65万人，发放创业担保贷款达16亿，扶持创业1万人，累计带动就业超过2万人。</w:t>
      </w:r>
    </w:p>
    <w:p>
      <w:pPr>
        <w:ind w:firstLine="640" w:firstLineChars="200"/>
        <w:jc w:val="center"/>
        <w:outlineLvl w:val="1"/>
        <w:rPr>
          <w:rFonts w:ascii="黑体" w:hAnsi="黑体" w:eastAsia="黑体" w:cs="仿宋_GB2312"/>
          <w:sz w:val="32"/>
          <w:szCs w:val="32"/>
          <w:shd w:val="clear" w:color="auto" w:fill="FFFFFF"/>
        </w:rPr>
      </w:pPr>
      <w:bookmarkStart w:id="45" w:name="_Toc30715"/>
      <w:bookmarkStart w:id="46" w:name="_Toc6266"/>
      <w:r>
        <w:rPr>
          <w:rFonts w:hint="eastAsia" w:ascii="黑体" w:hAnsi="黑体" w:eastAsia="黑体" w:cs="仿宋_GB2312"/>
          <w:sz w:val="32"/>
          <w:szCs w:val="32"/>
          <w:shd w:val="clear" w:color="auto" w:fill="FFFFFF"/>
        </w:rPr>
        <w:t>第二节 促进扶贫搬迁劳动力更高质量就业</w:t>
      </w:r>
      <w:bookmarkEnd w:id="45"/>
      <w:bookmarkEnd w:id="46"/>
    </w:p>
    <w:p>
      <w:pPr>
        <w:ind w:firstLine="640" w:firstLineChars="200"/>
        <w:rPr>
          <w:rFonts w:ascii="仿宋_GB2312" w:hAnsi="仿宋" w:eastAsia="仿宋_GB2312" w:cs="仿宋_GB2312"/>
          <w:sz w:val="32"/>
          <w:szCs w:val="32"/>
          <w:shd w:val="clear" w:color="auto" w:fill="FFFFFF"/>
        </w:rPr>
      </w:pPr>
      <w:bookmarkStart w:id="47" w:name="_Toc38258091"/>
      <w:bookmarkStart w:id="48" w:name="_Toc16576"/>
      <w:r>
        <w:rPr>
          <w:rFonts w:hint="eastAsia" w:ascii="仿宋_GB2312" w:hAnsi="仿宋" w:eastAsia="仿宋_GB2312" w:cs="仿宋_GB2312"/>
          <w:sz w:val="32"/>
          <w:szCs w:val="32"/>
          <w:shd w:val="clear" w:color="auto" w:fill="FFFFFF"/>
        </w:rPr>
        <w:t>引导制定易地扶贫搬迁地创业孵化基地全覆盖计划，提升就业扶贫车间就业吸纳能力，提高就业保障水平；通过政府购买服务方式，开发一批就地就近公益性服务就业岗位，解决一批就业困难劳动力；制定易地扶贫搬迁劳动力培训专项行动计划，扶持一批专业人力资源转移服务机构，提升易地扶贫搬迁劳动力组织化就业水平；加强就业跟踪指导与服务，提升搬迁劳动力群体就业稳定性；推进易地搬迁就业创业服务中心工作人员能力提升培训，增强就业创业服务能力。</w:t>
      </w:r>
      <w:bookmarkStart w:id="49" w:name="_Toc25487"/>
    </w:p>
    <w:p>
      <w:pPr>
        <w:jc w:val="center"/>
        <w:rPr>
          <w:rFonts w:ascii="黑体" w:hAnsi="黑体" w:eastAsia="黑体" w:cs="仿宋_GB2312"/>
          <w:sz w:val="32"/>
          <w:szCs w:val="32"/>
          <w:shd w:val="clear" w:color="auto" w:fill="FFFFFF"/>
        </w:rPr>
      </w:pPr>
      <w:r>
        <w:rPr>
          <w:rFonts w:hint="eastAsia" w:ascii="黑体" w:hAnsi="黑体" w:eastAsia="黑体" w:cs="仿宋_GB2312"/>
          <w:sz w:val="32"/>
          <w:szCs w:val="32"/>
          <w:shd w:val="clear" w:color="auto" w:fill="FFFFFF"/>
        </w:rPr>
        <w:t>第三节 完善困难群体就业</w:t>
      </w:r>
      <w:bookmarkEnd w:id="47"/>
      <w:bookmarkStart w:id="50" w:name="_Toc38258092"/>
      <w:r>
        <w:rPr>
          <w:rFonts w:hint="eastAsia" w:ascii="黑体" w:hAnsi="黑体" w:eastAsia="黑体" w:cs="仿宋_GB2312"/>
          <w:sz w:val="32"/>
          <w:szCs w:val="32"/>
          <w:shd w:val="clear" w:color="auto" w:fill="FFFFFF"/>
        </w:rPr>
        <w:t>保障体系</w:t>
      </w:r>
      <w:bookmarkEnd w:id="48"/>
      <w:bookmarkEnd w:id="49"/>
    </w:p>
    <w:bookmarkEnd w:id="50"/>
    <w:p>
      <w:pPr>
        <w:ind w:firstLine="640" w:firstLineChars="200"/>
        <w:rPr>
          <w:rFonts w:ascii="仿宋_GB2312" w:hAnsi="仿宋" w:eastAsia="仿宋_GB2312" w:cs="仿宋_GB2312"/>
          <w:sz w:val="32"/>
          <w:szCs w:val="32"/>
          <w:shd w:val="clear" w:color="auto" w:fill="FFFFFF"/>
        </w:rPr>
      </w:pPr>
      <w:bookmarkStart w:id="51" w:name="_Toc6819"/>
      <w:bookmarkStart w:id="52" w:name="_Toc38258094"/>
      <w:r>
        <w:rPr>
          <w:rFonts w:hint="eastAsia" w:ascii="仿宋_GB2312" w:hAnsi="仿宋" w:eastAsia="仿宋_GB2312" w:cs="仿宋_GB2312"/>
          <w:sz w:val="32"/>
          <w:szCs w:val="32"/>
          <w:shd w:val="clear" w:color="auto" w:fill="FFFFFF"/>
        </w:rPr>
        <w:t>深入实施贫困家庭子女、未升学初高中毕业生、农民工、失业人员和转岗职工、退役军人和残疾人免费接受职业培训行动，制定实施就业困难人员就业专项帮扶行动，确保“零就业”家庭动态为零。规范公益性岗位开发和管理，畅通进出通道，通过公益性岗位托底帮扶一批就业困难人员、“零就业”家庭人员。制定实施针对部分失能劳动力群体的社会适应能力与职业能力提升专项计划，增强互联网使用能力，消除“数字鸿沟”，增加部分失能劳动力就业机会；推动部分失业人员、贫困劳动力、失业再就业人员等特殊群体就业政策落实落地，通过“居家就业”“社区就业”“互联网+失能”等多种就业模式，增加失能人员的就业岗位；引导用人单位承担社会责任，加强企业对部分失能人员、贫困劳动力、女性劳动力与失业再就业劳动力等特殊群体的就业安置，提升针对特殊群体就业持续服务能力。建立面向困难群体的就业信息线上线下联动全推送机制，拓宽失业困难群体就业信息获取渠道。建立失业群体、就业困难群体就业跟踪帮扶机制，加强社会救助与就业联动，加强宣传力度，引导转变就业观念，提升困难群体就业意愿、就业适应能力与就业稳定性。</w:t>
      </w:r>
      <w:bookmarkStart w:id="53" w:name="_Toc22484"/>
    </w:p>
    <w:p>
      <w:pPr>
        <w:jc w:val="center"/>
        <w:rPr>
          <w:rFonts w:ascii="黑体" w:hAnsi="黑体" w:eastAsia="黑体" w:cs="仿宋_GB2312"/>
          <w:sz w:val="32"/>
          <w:szCs w:val="32"/>
          <w:shd w:val="clear" w:color="auto" w:fill="FFFFFF"/>
        </w:rPr>
      </w:pPr>
      <w:r>
        <w:rPr>
          <w:rFonts w:hint="eastAsia" w:ascii="黑体" w:hAnsi="黑体" w:eastAsia="黑体" w:cs="仿宋_GB2312"/>
          <w:sz w:val="32"/>
          <w:szCs w:val="32"/>
          <w:shd w:val="clear" w:color="auto" w:fill="FFFFFF"/>
        </w:rPr>
        <w:t>第四节 提升就业培训质量</w:t>
      </w:r>
      <w:bookmarkEnd w:id="51"/>
      <w:bookmarkEnd w:id="53"/>
    </w:p>
    <w:p>
      <w:pPr>
        <w:ind w:firstLine="640" w:firstLineChars="200"/>
        <w:rPr>
          <w:rFonts w:ascii="仿宋_GB2312" w:hAnsi="仿宋" w:eastAsia="仿宋_GB2312" w:cs="仿宋_GB2312"/>
          <w:sz w:val="32"/>
          <w:szCs w:val="32"/>
          <w:shd w:val="clear" w:color="auto" w:fill="FFFFFF"/>
        </w:rPr>
      </w:pPr>
      <w:r>
        <w:rPr>
          <w:rFonts w:hint="eastAsia" w:ascii="仿宋_GB2312" w:hAnsi="仿宋" w:eastAsia="仿宋_GB2312" w:cs="仿宋_GB2312"/>
          <w:sz w:val="32"/>
          <w:szCs w:val="32"/>
          <w:shd w:val="clear" w:color="auto" w:fill="FFFFFF"/>
        </w:rPr>
        <w:t>围绕高端商贸服务业、六大新产业、现代都市农业、生态旅游等重点产业领域，建立技术技能人才需求预测机制，定期发布急需短缺岗位目录，引导各类就业培训资源投入。鼓励区（市、县）政府依托各级职业院校，制定“一校一业、一区一特”产业人才培训计划，开发专业化与标准化课程体系，引导传统产业优势企业建立职业技能培训中心与职业技能等级认定评价机制，推动传统产业工人转型升级；着力将贵安新区、高新区打造成国家级人力资源产业园，提升全市人力资源开发市场化水平；资助一批人力资源开发服务机构，引导集焦区域产业与职业发展，建设专业化师资，开发标准化课程，推动产业人才知识技能提档升级；建立产业工人转岗就业大数据信息服务平台，构建企业招聘需求信息对接机制，畅通传统产业转岗人员就业渠道。</w:t>
      </w:r>
      <w:bookmarkStart w:id="54" w:name="_Toc15065"/>
      <w:bookmarkStart w:id="55" w:name="_Toc31462"/>
    </w:p>
    <w:p>
      <w:pPr>
        <w:jc w:val="center"/>
        <w:rPr>
          <w:rFonts w:ascii="黑体" w:hAnsi="黑体" w:eastAsia="黑体" w:cs="仿宋_GB2312"/>
          <w:sz w:val="32"/>
          <w:szCs w:val="32"/>
          <w:shd w:val="clear" w:color="auto" w:fill="FFFFFF"/>
        </w:rPr>
      </w:pPr>
      <w:r>
        <w:rPr>
          <w:rFonts w:hint="eastAsia" w:ascii="黑体" w:hAnsi="黑体" w:eastAsia="黑体" w:cs="仿宋_GB2312"/>
          <w:sz w:val="32"/>
          <w:szCs w:val="32"/>
          <w:shd w:val="clear" w:color="auto" w:fill="FFFFFF"/>
        </w:rPr>
        <w:t>第五节 服务乡村振兴战略</w:t>
      </w:r>
      <w:bookmarkEnd w:id="54"/>
      <w:bookmarkEnd w:id="55"/>
    </w:p>
    <w:p>
      <w:pPr>
        <w:ind w:firstLine="640" w:firstLineChars="200"/>
        <w:rPr>
          <w:rFonts w:ascii="仿宋_GB2312" w:hAnsi="仿宋" w:eastAsia="仿宋_GB2312" w:cs="仿宋_GB2312"/>
          <w:sz w:val="32"/>
          <w:szCs w:val="32"/>
          <w:shd w:val="clear" w:color="auto" w:fill="FFFFFF"/>
        </w:rPr>
      </w:pPr>
      <w:bookmarkStart w:id="56" w:name="_Toc12612"/>
      <w:r>
        <w:rPr>
          <w:rFonts w:hint="eastAsia" w:ascii="仿宋_GB2312" w:hAnsi="仿宋" w:eastAsia="仿宋_GB2312" w:cs="仿宋_GB2312"/>
          <w:sz w:val="32"/>
          <w:szCs w:val="32"/>
          <w:shd w:val="clear" w:color="auto" w:fill="FFFFFF"/>
        </w:rPr>
        <w:t>以乡村文化旅游为依托，建设一批乡村旅游就业示范乡镇或示范乡村。丰富乡村就业平台，推动区（市、县）在重点乡镇、街道试点建立基层人力资源市场，建设一批农民返乡创业示范乡镇、农民工返乡创业园。鼓励有条件的乡镇建立大学生创业园，引导一批大学生留筑或返乡创业；依托特色农业产业发展战略，制定农民工返乡就业创业服务专项行动计划，通过组织农民工参与城乡基础设施建设，发展特色养殖、生态旅游等产业，多渠道支持农民工就近就地就业。引导县级人社部门加强对乡镇、村（居）两级所站工作人员定期开展业务技能培训，努力推动乡村就业服务工作人员实现一岗多责、一专多能。建设市、区两级农民职业培训基地，培养一批生产型、服务型、经营型职业农民；大力推进“两后生”计划，引导农村未能继续升学的初高中毕业生到区县职业技能院校学习职业技能，提升乡村青年劳动者职业技能与就业能力。推动农民农业创业培训课程开发，形成十二大特色农业领域创业课程体系。加强文化传承保护，努力建设一批省、市、区三级文化传承基地，培养一批文艺匠人。鼓励区（市、县）人力资源社会保障部门建立健全乡镇（街道）、村（居）人力资源社会保障服务站（所），整合乡镇、村（居）人力资源开发、就业创业服务与社会保障职能，健全基层就业创业公共服业平台功能，提升人力资源开发和社会保障服务能力。</w:t>
      </w:r>
      <w:bookmarkStart w:id="57" w:name="_Toc20673"/>
    </w:p>
    <w:p>
      <w:pPr>
        <w:jc w:val="center"/>
        <w:rPr>
          <w:rFonts w:ascii="黑体" w:hAnsi="黑体" w:eastAsia="黑体" w:cs="仿宋_GB2312"/>
          <w:sz w:val="32"/>
          <w:szCs w:val="32"/>
          <w:shd w:val="clear" w:color="auto" w:fill="FFFFFF"/>
        </w:rPr>
      </w:pPr>
      <w:r>
        <w:rPr>
          <w:rFonts w:hint="eastAsia" w:ascii="黑体" w:hAnsi="黑体" w:eastAsia="黑体" w:cs="仿宋_GB2312"/>
          <w:sz w:val="32"/>
          <w:szCs w:val="32"/>
          <w:shd w:val="clear" w:color="auto" w:fill="FFFFFF"/>
        </w:rPr>
        <w:t>第六节 完善社会保障政策体系</w:t>
      </w:r>
      <w:bookmarkEnd w:id="56"/>
      <w:bookmarkEnd w:id="57"/>
    </w:p>
    <w:p>
      <w:pPr>
        <w:ind w:firstLine="640" w:firstLineChars="200"/>
        <w:rPr>
          <w:rFonts w:ascii="仿宋_GB2312" w:hAnsi="仿宋" w:eastAsia="仿宋_GB2312" w:cs="仿宋_GB2312"/>
          <w:sz w:val="32"/>
          <w:szCs w:val="32"/>
          <w:shd w:val="clear" w:color="auto" w:fill="FFFFFF"/>
        </w:rPr>
      </w:pPr>
      <w:r>
        <w:rPr>
          <w:rFonts w:hint="eastAsia" w:ascii="仿宋_GB2312" w:hAnsi="仿宋" w:eastAsia="仿宋_GB2312" w:cs="仿宋_GB2312"/>
          <w:sz w:val="32"/>
          <w:szCs w:val="32"/>
          <w:shd w:val="clear" w:color="auto" w:fill="FFFFFF"/>
        </w:rPr>
        <w:t>深入推进“全民参保”登记，开展创建社会保险全覆盖专项行动，建立健全社会保险业务基础数据库，实现参保人员社会保险信息动态管理，推动全市城乡居民基本养老保险应保尽保。进一步提升社会保险扩面征缴，力争实现社会保障卡全覆盖。推动农民工依法参加城镇职工社会保险，实现有稳定劳动关系的农民工参保全覆盖。建立新兴业态领域灵活就业人员社会保险参保缴费管理机制，扩大新业态就业人员、灵活就业人员社会保险覆盖面。拓展失业保险的职业技能提升、失业预防功能。实施就业参保联动制度和参保缴费激励制度，建立劳动监察与社会保险征收联动机制，引导和鼓励各类人员及早参保、长期参保和连续参保。持续优化信息化核对管理系统，加强基金运行动态监测分析，开展失业保险基金管理内控检查，强化基金监督，防控基金管理风险。建立健全适应“灵活用工、共享用工”等新就业形态的保障制度，完善灵活就业人员社会保障政策。引导城乡居民积极缴交补充养老保险，建立健全多层次养老保障体系。</w:t>
      </w:r>
    </w:p>
    <w:bookmarkEnd w:id="52"/>
    <w:p>
      <w:pPr>
        <w:ind w:firstLine="640" w:firstLineChars="200"/>
        <w:jc w:val="center"/>
        <w:outlineLvl w:val="1"/>
        <w:rPr>
          <w:rFonts w:ascii="黑体" w:hAnsi="黑体" w:eastAsia="黑体" w:cs="仿宋_GB2312"/>
          <w:sz w:val="32"/>
          <w:szCs w:val="32"/>
          <w:shd w:val="clear" w:color="auto" w:fill="FFFFFF"/>
        </w:rPr>
      </w:pPr>
      <w:bookmarkStart w:id="58" w:name="_Toc26311"/>
      <w:bookmarkStart w:id="59" w:name="_Toc5615"/>
      <w:r>
        <w:rPr>
          <w:rFonts w:hint="eastAsia" w:ascii="黑体" w:hAnsi="黑体" w:eastAsia="黑体" w:cs="仿宋_GB2312"/>
          <w:sz w:val="32"/>
          <w:szCs w:val="32"/>
          <w:shd w:val="clear" w:color="auto" w:fill="FFFFFF"/>
        </w:rPr>
        <w:t>第七节 提升公共服务能力</w:t>
      </w:r>
      <w:bookmarkEnd w:id="58"/>
      <w:bookmarkEnd w:id="59"/>
    </w:p>
    <w:p>
      <w:pPr>
        <w:ind w:firstLine="640" w:firstLineChars="200"/>
        <w:rPr>
          <w:rFonts w:ascii="仿宋_GB2312" w:hAnsi="仿宋" w:eastAsia="仿宋_GB2312" w:cs="仿宋_GB2312"/>
          <w:sz w:val="32"/>
          <w:szCs w:val="32"/>
          <w:shd w:val="clear" w:color="auto" w:fill="FFFFFF"/>
        </w:rPr>
      </w:pPr>
      <w:r>
        <w:rPr>
          <w:rFonts w:hint="eastAsia" w:ascii="仿宋_GB2312" w:hAnsi="仿宋" w:eastAsia="仿宋_GB2312" w:cs="仿宋_GB2312"/>
          <w:sz w:val="32"/>
          <w:szCs w:val="32"/>
          <w:shd w:val="clear" w:color="auto" w:fill="FFFFFF"/>
        </w:rPr>
        <w:t>充分发挥政府在公共就业服务平台建设中的主导地位，持续推进就业创业服务机构职能整合，加强基层公共就业创业服务平台建设，完善覆盖城乡的公共就业创业服务体系。健全公共就业创业服务经费、工作人员保障机制，加大基层公共就业创业服务扶持力度。探索建立灵活就业与新就业形态劳动权益保障机制。落实政府购买基本公共就业创业服务制度，充分运用就业创业服务补贴等政策，支持高校、公共就业创业服务机构开展招聘活动和创业服务，支持购买社会服务，为劳动者提供职业指导、创业指导、信息咨询等专业化服务。进一步完善和规范公共就业服务平台建设和评估调整机制，加强资金和项目管理，科学开展绩效综合考核评价，推动公共就业服务平台向更深层次、更高质量、更可持续方向发展。健全完善公共就业创业服务绩效第三方评估机制，开展就业群众满意度调查，提高公共就业服务效率和水平。编制公共就业创业服务清单，全面公开服务事项，简化办事环节。研究制定基层公共就业创业服务标准，规范服务范围、服务内容、服务流程。建立标准化就业失业登记经办流程和服务规范，加强公共就业创业服务从业人员职业化建设，建立定期培训、持证上岗制度，推进市、区（市、县）两级“金牌就业服务示范窗口”评选，促进公共服务水平全面提升。全面启动开展贵安新区创业担保贷款工作，推动贵阳贵安实现创业担保目标同步、考核同步、同城发展。到2025年，积极培育至少1家国家级、2家省级、3家市级创业孵化载体和1家市级农民工创业示范基地，市、区（市、县）、乡镇（街道）三级公共服务平台基本建立、职能基本健全、运行规范，巩固国家充分就业城市成果。</w:t>
      </w:r>
    </w:p>
    <w:p>
      <w:pPr>
        <w:ind w:firstLine="640" w:firstLineChars="200"/>
        <w:jc w:val="center"/>
        <w:outlineLvl w:val="1"/>
        <w:rPr>
          <w:rFonts w:ascii="黑体" w:hAnsi="黑体" w:eastAsia="黑体" w:cs="仿宋_GB2312"/>
          <w:sz w:val="32"/>
          <w:szCs w:val="32"/>
          <w:shd w:val="clear" w:color="auto" w:fill="FFFFFF"/>
        </w:rPr>
      </w:pPr>
      <w:bookmarkStart w:id="60" w:name="_Toc25123"/>
      <w:bookmarkStart w:id="61" w:name="_Toc9816"/>
      <w:r>
        <w:rPr>
          <w:rFonts w:hint="eastAsia" w:ascii="黑体" w:hAnsi="黑体" w:eastAsia="黑体" w:cs="仿宋_GB2312"/>
          <w:sz w:val="32"/>
          <w:szCs w:val="32"/>
          <w:shd w:val="clear" w:color="auto" w:fill="FFFFFF"/>
        </w:rPr>
        <w:t>第八节 提升信息化水平</w:t>
      </w:r>
      <w:bookmarkEnd w:id="60"/>
      <w:bookmarkEnd w:id="61"/>
    </w:p>
    <w:p>
      <w:pPr>
        <w:ind w:firstLine="640" w:firstLineChars="200"/>
        <w:rPr>
          <w:rFonts w:ascii="仿宋_GB2312" w:hAnsi="仿宋" w:eastAsia="仿宋_GB2312" w:cs="仿宋_GB2312"/>
          <w:sz w:val="32"/>
          <w:szCs w:val="32"/>
          <w:shd w:val="clear" w:color="auto" w:fill="FFFFFF"/>
        </w:rPr>
      </w:pPr>
      <w:r>
        <w:rPr>
          <w:rFonts w:hint="eastAsia" w:ascii="仿宋_GB2312" w:hAnsi="仿宋" w:eastAsia="仿宋_GB2312" w:cs="仿宋_GB2312"/>
          <w:sz w:val="32"/>
          <w:szCs w:val="32"/>
          <w:shd w:val="clear" w:color="auto" w:fill="FFFFFF"/>
        </w:rPr>
        <w:t>进一步完善区（市、县）、乡镇（街道）、村（居）三级就业信息化服务体系，提升基层平台服务水平和服务能力。健全就业信息服务网络平台，逐步实现就业扶持政策的网上申请、网上审核以及办理结果的实时查询功能，开展在线政策咨询、职业指导、职业培训、创业指导（专家帮扶）等就业创业服务，形成覆盖全市的就业创业信息化服务体系。推进全市社会保险公共服务平台与国家、省、区融通融合，推动线上线下衔接，实现社会保障服务跨区域、跨部门、跨层级精准协同。加快推进就业、社保、人事人才、劳动关系等人社业务一体化建设，打造数据集中分类共享、服务高效互联、业务协同监管的数字化新格局；加强基础信息数据采集工作，加快社会保险与人口流动服务、社会保险与就业创业服务、社会保险与科教文卫等基本公共服务信息系统数字融合与数据共享，实现全市就业创业服务业务一卡通办、一窗通办、省内跨区协办。探索推进电子证照、电子档案、信用监管等大数据应用与数据安全管理，提升信息化支撑保障能力。提升社会保障卡在智慧城市、政务服务、惠民惠农补贴发放、就业保障、调解仲裁、就医就学、金融服务、信用服务等领域的融通应用水平，初步建成社会保障卡居民服务“一卡通办”的服务体系。建立数据监测平台和研判预警平台，形成就业数据全方位采集共享机制。</w:t>
      </w:r>
    </w:p>
    <w:p>
      <w:pPr>
        <w:jc w:val="center"/>
        <w:outlineLvl w:val="0"/>
        <w:rPr>
          <w:rFonts w:ascii="黑体" w:hAnsi="黑体" w:eastAsia="黑体" w:cs="仿宋_GB2312"/>
          <w:sz w:val="32"/>
          <w:szCs w:val="32"/>
          <w:shd w:val="clear" w:color="auto" w:fill="FFFFFF"/>
        </w:rPr>
      </w:pPr>
      <w:bookmarkStart w:id="62" w:name="_Toc30903"/>
      <w:bookmarkStart w:id="63" w:name="_Toc10707"/>
      <w:r>
        <w:rPr>
          <w:rFonts w:hint="eastAsia" w:ascii="黑体" w:hAnsi="黑体" w:eastAsia="黑体" w:cs="仿宋_GB2312"/>
          <w:sz w:val="32"/>
          <w:szCs w:val="32"/>
          <w:shd w:val="clear" w:color="auto" w:fill="FFFFFF"/>
        </w:rPr>
        <w:t>第五章  重点工程</w:t>
      </w:r>
      <w:bookmarkEnd w:id="62"/>
      <w:bookmarkEnd w:id="63"/>
    </w:p>
    <w:p>
      <w:pPr>
        <w:ind w:firstLine="640" w:firstLineChars="200"/>
        <w:jc w:val="center"/>
        <w:outlineLvl w:val="1"/>
        <w:rPr>
          <w:rFonts w:ascii="黑体" w:hAnsi="黑体" w:eastAsia="黑体" w:cs="仿宋_GB2312"/>
          <w:sz w:val="32"/>
          <w:szCs w:val="32"/>
          <w:shd w:val="clear" w:color="auto" w:fill="FFFFFF"/>
        </w:rPr>
      </w:pPr>
      <w:bookmarkStart w:id="64" w:name="_Toc19580"/>
      <w:bookmarkStart w:id="65" w:name="_Toc15660"/>
      <w:r>
        <w:rPr>
          <w:rFonts w:hint="eastAsia" w:ascii="黑体" w:hAnsi="黑体" w:eastAsia="黑体" w:cs="仿宋_GB2312"/>
          <w:sz w:val="32"/>
          <w:szCs w:val="32"/>
          <w:shd w:val="clear" w:color="auto" w:fill="FFFFFF"/>
        </w:rPr>
        <w:t>第一节 大中专毕业生就业促进</w:t>
      </w:r>
      <w:bookmarkStart w:id="66" w:name="_Toc38258093"/>
      <w:r>
        <w:rPr>
          <w:rFonts w:hint="eastAsia" w:ascii="黑体" w:hAnsi="黑体" w:eastAsia="黑体" w:cs="仿宋_GB2312"/>
          <w:sz w:val="32"/>
          <w:szCs w:val="32"/>
          <w:shd w:val="clear" w:color="auto" w:fill="FFFFFF"/>
        </w:rPr>
        <w:t>工程</w:t>
      </w:r>
      <w:bookmarkEnd w:id="64"/>
      <w:bookmarkEnd w:id="65"/>
    </w:p>
    <w:p>
      <w:pPr>
        <w:ind w:firstLine="640" w:firstLineChars="200"/>
        <w:rPr>
          <w:rFonts w:ascii="仿宋_GB2312" w:hAnsi="仿宋" w:eastAsia="仿宋_GB2312" w:cs="仿宋_GB2312"/>
          <w:sz w:val="32"/>
          <w:szCs w:val="32"/>
          <w:shd w:val="clear" w:color="auto" w:fill="FFFFFF"/>
        </w:rPr>
      </w:pPr>
      <w:r>
        <w:rPr>
          <w:rFonts w:hint="eastAsia" w:ascii="仿宋_GB2312" w:hAnsi="仿宋" w:eastAsia="仿宋_GB2312" w:cs="仿宋_GB2312"/>
          <w:sz w:val="32"/>
          <w:szCs w:val="32"/>
          <w:shd w:val="clear" w:color="auto" w:fill="FFFFFF"/>
        </w:rPr>
        <w:t>围绕“强省会”战略，鼓励大中专毕业生多渠道就业，落实学费补偿、助学贷款代偿、资金补贴、税费减免等扶持政策，进一步引导和鼓励高校毕业生到城乡基层、艰苦地区、中小微企业就业。建立社会保险补贴机制，鼓励小微企业吸纳高校毕业生。鼓励大学生参军入伍、到社会组织就业。健全高校毕业生到基层工作服务保障机制，统筹实施“三支一扶”计划、大学生志愿服务西部计划等基层服务项目，实现岗位征集、发布公告、组织考试、服务管理一体化。通过就业奖励、减轻税负等政策，鼓励各类企业吸纳高校毕业生；健全校企人才联合培养机制，鼓励企业提供更多见习岗位；实施高校毕业生留城就业创业计划，健全基层服务保障机制，畅通基层人才流动渠道，拓展扎根基层高校毕业生职业发展通道。完善高校毕业生创新创业服务体系，健全高校毕业生创业跟踪扶持机制，强化高校毕业生就业创业导师队伍建设。鼓励高校毕业生参加就业见习，建立就业精准帮扶机制，鼓励企事业单位优先招录困难高校毕业生、建档立卡高校毕业生。到2025年，全市市属大学毕业生平均就业率超过90%，累积吸纳大中专毕业生就业创业规模达到50万人。</w:t>
      </w:r>
    </w:p>
    <w:bookmarkEnd w:id="66"/>
    <w:p>
      <w:pPr>
        <w:ind w:firstLine="640" w:firstLineChars="200"/>
        <w:jc w:val="center"/>
        <w:outlineLvl w:val="1"/>
        <w:rPr>
          <w:rFonts w:ascii="黑体" w:hAnsi="黑体" w:eastAsia="黑体" w:cs="仿宋_GB2312"/>
          <w:sz w:val="32"/>
          <w:szCs w:val="32"/>
          <w:shd w:val="clear" w:color="auto" w:fill="FFFFFF"/>
        </w:rPr>
      </w:pPr>
      <w:bookmarkStart w:id="67" w:name="_Toc12146"/>
      <w:bookmarkStart w:id="68" w:name="_Toc15573"/>
      <w:r>
        <w:rPr>
          <w:rFonts w:hint="eastAsia" w:ascii="黑体" w:hAnsi="黑体" w:eastAsia="黑体" w:cs="仿宋_GB2312"/>
          <w:sz w:val="32"/>
          <w:szCs w:val="32"/>
          <w:shd w:val="clear" w:color="auto" w:fill="FFFFFF"/>
        </w:rPr>
        <w:t>第二节 农民工就业创业促进工程</w:t>
      </w:r>
      <w:bookmarkEnd w:id="67"/>
      <w:bookmarkEnd w:id="68"/>
    </w:p>
    <w:p>
      <w:pPr>
        <w:ind w:firstLine="640" w:firstLineChars="200"/>
        <w:rPr>
          <w:rFonts w:ascii="仿宋_GB2312" w:hAnsi="仿宋" w:eastAsia="仿宋_GB2312" w:cs="仿宋_GB2312"/>
          <w:sz w:val="32"/>
          <w:szCs w:val="32"/>
          <w:shd w:val="clear" w:color="auto" w:fill="FFFFFF"/>
        </w:rPr>
      </w:pPr>
      <w:r>
        <w:rPr>
          <w:rFonts w:hint="eastAsia" w:ascii="仿宋_GB2312" w:hAnsi="仿宋" w:eastAsia="仿宋_GB2312" w:cs="仿宋_GB2312"/>
          <w:sz w:val="32"/>
          <w:szCs w:val="32"/>
          <w:shd w:val="clear" w:color="auto" w:fill="FFFFFF"/>
        </w:rPr>
        <w:t>围绕更加充分更高质量就业目标，建设城乡统筹农民工就业信息发布平台，建立就业信息推送机制，降低农民工转移就业信息搜寻成本；建立吸纳贫困劳动力稳定就业奖补机制，鼓励新型农业经营主体、企业等招引贫困劳动力。建立区（市、县）级农民工就业预警监测系统，制定预警响应机制，提升农民工就业服务资源配置效率；推进失地农民工与其他进城农民工市民化培训计划，推动进城农民工加速融入城市；遴选一批农民工转移就业培训示范机构，引领人力资源服务机构积极参与农民工转移就业。制定“一户一技”农民职业技能培训计划，提升农民转移就业能力；建立农民工返乡创业指导机制，组建专业化、规模化、制度化的创新创业导师队伍和专家顾问团队,探索建立“一对一”“师带徒”培养机制。整合创新创业贷款担保、小微企业贷款担保、微型企业培育和创业培训等创业创新扶持机制，提升农村劳动者、返乡农民工、进城农民工的创业扶持力度。鼓励各区（市、县）、乡镇制定农民工就地创业就业服务指南，实现返乡农民工人手一册，鼓励和带动农民工实现就近就业创业。到2025年，累计实现农村劳动力转移就业规模达15万人，引领农民工创业规模达5000人。</w:t>
      </w:r>
    </w:p>
    <w:p>
      <w:pPr>
        <w:ind w:firstLine="640" w:firstLineChars="200"/>
        <w:jc w:val="center"/>
        <w:outlineLvl w:val="1"/>
        <w:rPr>
          <w:rFonts w:ascii="黑体" w:hAnsi="黑体" w:eastAsia="黑体" w:cs="仿宋_GB2312"/>
          <w:sz w:val="32"/>
          <w:szCs w:val="32"/>
          <w:shd w:val="clear" w:color="auto" w:fill="FFFFFF"/>
        </w:rPr>
      </w:pPr>
      <w:bookmarkStart w:id="69" w:name="_Toc28397"/>
      <w:bookmarkStart w:id="70" w:name="_Toc26095"/>
      <w:r>
        <w:rPr>
          <w:rFonts w:hint="eastAsia" w:ascii="黑体" w:hAnsi="黑体" w:eastAsia="黑体" w:cs="仿宋_GB2312"/>
          <w:sz w:val="32"/>
          <w:szCs w:val="32"/>
          <w:shd w:val="clear" w:color="auto" w:fill="FFFFFF"/>
        </w:rPr>
        <w:t>第三节 就业培训见习基地建设工程</w:t>
      </w:r>
      <w:bookmarkEnd w:id="69"/>
      <w:bookmarkEnd w:id="70"/>
    </w:p>
    <w:p>
      <w:pPr>
        <w:ind w:firstLine="640" w:firstLineChars="200"/>
        <w:rPr>
          <w:rFonts w:ascii="仿宋_GB2312" w:hAnsi="仿宋" w:eastAsia="仿宋_GB2312" w:cs="仿宋_GB2312"/>
          <w:sz w:val="32"/>
          <w:szCs w:val="32"/>
          <w:shd w:val="clear" w:color="auto" w:fill="FFFFFF"/>
        </w:rPr>
      </w:pPr>
      <w:r>
        <w:rPr>
          <w:rFonts w:hint="eastAsia" w:ascii="仿宋_GB2312" w:hAnsi="仿宋" w:eastAsia="仿宋_GB2312" w:cs="仿宋_GB2312"/>
          <w:sz w:val="32"/>
          <w:szCs w:val="32"/>
          <w:shd w:val="clear" w:color="auto" w:fill="FFFFFF"/>
        </w:rPr>
        <w:t>围绕就业创业服务能力提升，制定产学研基地建设专项计划，引导市级产业主管部门、区（市、县），依托产业发展建成一批省级、市级、区级三级产学研示范基地；引导市直、区（市、县）级产业主管部门、高层次人才服务机构根据产业发展需求，依托事业单位、龙头企业或骨干企业，遴选建设一批市级与区（市、县）就业创业见习基地。引导各基地编制实习见习规范，建立就业实习与见习导师遴选与培养机制，建立标准化就业实习见习流程与考核办法，提升就业见习与实习规范化水平。建立实习与见习补贴政策机制，引导应届大学毕业生主动服务区域重点产业发展战略。从市级见习基地推荐一批省级就业见习与实习示范基地，提升示范基地的引领作用。建立就业见习基地年度考核评价机制，将运行规范、见习规模、见习效果纳入考核过程，实现各级基地动态管理。以职业院校、特色产业、优势企业为依托，遴选打造一批高技能人才培训基地；鼓励用人单位设立首席技师岗位，以各级技能大师、技术能手、企业首席技师为依托，遴选打造一批国家、省、市、区四级技能大师工作室。到2025年，建成5家省级、30家市级、50家区级就业实习见习示范基地，遴选打造20家高技能人才培训基地，实习见习人员累计达到8000人以上，全市就业实习见习基地体系基本健全。</w:t>
      </w:r>
    </w:p>
    <w:p>
      <w:pPr>
        <w:ind w:firstLine="640" w:firstLineChars="200"/>
        <w:jc w:val="center"/>
        <w:outlineLvl w:val="1"/>
        <w:rPr>
          <w:rFonts w:ascii="黑体" w:hAnsi="黑体" w:eastAsia="黑体" w:cs="仿宋_GB2312"/>
          <w:sz w:val="32"/>
          <w:szCs w:val="32"/>
          <w:shd w:val="clear" w:color="auto" w:fill="FFFFFF"/>
        </w:rPr>
      </w:pPr>
      <w:bookmarkStart w:id="71" w:name="_Toc13008"/>
      <w:bookmarkStart w:id="72" w:name="_Toc11739"/>
      <w:r>
        <w:rPr>
          <w:rFonts w:hint="eastAsia" w:ascii="黑体" w:hAnsi="黑体" w:eastAsia="黑体" w:cs="仿宋_GB2312"/>
          <w:sz w:val="32"/>
          <w:szCs w:val="32"/>
          <w:shd w:val="clear" w:color="auto" w:fill="FFFFFF"/>
        </w:rPr>
        <w:t>第四节 职业技能培训工程</w:t>
      </w:r>
      <w:bookmarkEnd w:id="71"/>
      <w:bookmarkEnd w:id="72"/>
    </w:p>
    <w:p>
      <w:pPr>
        <w:ind w:firstLine="640" w:firstLineChars="200"/>
        <w:rPr>
          <w:rFonts w:ascii="仿宋_GB2312" w:hAnsi="仿宋" w:eastAsia="仿宋_GB2312" w:cs="仿宋_GB2312"/>
          <w:sz w:val="32"/>
          <w:szCs w:val="32"/>
          <w:shd w:val="clear" w:color="auto" w:fill="FFFFFF"/>
        </w:rPr>
      </w:pPr>
      <w:r>
        <w:rPr>
          <w:rFonts w:hint="eastAsia" w:ascii="仿宋_GB2312" w:hAnsi="仿宋" w:eastAsia="仿宋_GB2312" w:cs="仿宋_GB2312"/>
          <w:sz w:val="32"/>
          <w:szCs w:val="32"/>
          <w:shd w:val="clear" w:color="auto" w:fill="FFFFFF"/>
        </w:rPr>
        <w:t>围绕重点产业发展需求，依托大学城、职教城资源，引导普通高校、职业院校与骨干龙头企业建立市、区（市、县）职业技能培训基地；资助职业技能培训基地分产业、分领域、分职业开发一批技术人员与技能人才系列专业培训课程，提升就业培训服务的针对性。以大数据、云计算、5G为依托，建立线上与线下联动的就业培训课程体系，丰富教学模式，增强基地创新能力。建立产业就业培训讲师遴选机制，鼓励产业主管部门领导、产业专家、技能大师、种养殖技术能手担当行业讲师与就业创业导师。引导各类培训机构聚焦产业发展，开发市场化就业培训课程；大力推行企业新型学徒制、国家基本职业培训包、校企合作等培训模式；完善就业创业培训机构服务质量评价体系，建立就业创业服务培训机构动态调整机制。以全国职业技能竞赛、技工院校学生创业创新大赛为抓手，创建一批省、市级赛训平台，遴选培养一批高技能人才。充分利用国家与省级线上线下培训平台资源，实施农民工职业技能提升行动计划，推动农民工稳岗就业和返乡创业。到2025年，重点产业、重点领域通用专业技术、职业技能与经营管理课程体系基本建立，累积完成培训技能人才次达到500万人次，培训转化率达到60%以上，每年培训农民工10万人次以上。</w:t>
      </w:r>
    </w:p>
    <w:p>
      <w:pPr>
        <w:ind w:firstLine="640" w:firstLineChars="200"/>
        <w:jc w:val="center"/>
        <w:outlineLvl w:val="1"/>
        <w:rPr>
          <w:rFonts w:ascii="黑体" w:hAnsi="黑体" w:eastAsia="黑体" w:cs="仿宋_GB2312"/>
          <w:sz w:val="32"/>
          <w:szCs w:val="32"/>
          <w:shd w:val="clear" w:color="auto" w:fill="FFFFFF"/>
        </w:rPr>
      </w:pPr>
      <w:bookmarkStart w:id="73" w:name="_Toc29263"/>
      <w:bookmarkStart w:id="74" w:name="_Toc5538"/>
      <w:r>
        <w:rPr>
          <w:rFonts w:hint="eastAsia" w:ascii="黑体" w:hAnsi="黑体" w:eastAsia="黑体" w:cs="仿宋_GB2312"/>
          <w:sz w:val="32"/>
          <w:szCs w:val="32"/>
          <w:shd w:val="clear" w:color="auto" w:fill="FFFFFF"/>
        </w:rPr>
        <w:t>第五节 人力资源服务产业建设工程</w:t>
      </w:r>
      <w:bookmarkEnd w:id="73"/>
      <w:bookmarkEnd w:id="74"/>
    </w:p>
    <w:p>
      <w:pPr>
        <w:ind w:firstLine="640" w:firstLineChars="200"/>
        <w:rPr>
          <w:rFonts w:ascii="仿宋_GB2312" w:hAnsi="仿宋" w:eastAsia="仿宋_GB2312" w:cs="仿宋_GB2312"/>
          <w:sz w:val="32"/>
          <w:szCs w:val="32"/>
          <w:shd w:val="clear" w:color="auto" w:fill="FFFFFF"/>
        </w:rPr>
      </w:pPr>
      <w:r>
        <w:rPr>
          <w:rFonts w:hint="eastAsia" w:ascii="仿宋_GB2312" w:hAnsi="仿宋" w:eastAsia="仿宋_GB2312" w:cs="仿宋_GB2312"/>
          <w:sz w:val="32"/>
          <w:szCs w:val="32"/>
          <w:shd w:val="clear" w:color="auto" w:fill="FFFFFF"/>
        </w:rPr>
        <w:t>围绕贵阳市国家级人力资源服务产业园创建，以特色农业、千亿级工业企业和重点现代服务业龙头企业与骨干企业人力资源需求为依托，加强统筹规划和政策引导，实施重点产业人力资源服务支撑计划，鼓励人力资源服务经营主体立足于产业发展，提供定位精准、行业特色鲜明的人事代理、人才推荐、人员培训、劳务派遣等市场化服务。培育一批有行业特色、核心产品、成长性好、具有区域竞争力的综合性人力资源服务骨干企业，开展特殊人才寻访、人力资源管理咨询、人才培养、人力资源服务外包等服务。开展“互联网+人力资源服务”行动，推进人力资源服务业和互联网技术融合，支持人力资源服务机构推进管理创新、服务创新和产品创新，不断提高市场竞争力。构建行业自律机制，遴选通报表扬一批人力资源诚信服务示范机构。到2025年，打造50家人力资源服务骨干企业，培育和孵化100家本地人力资源服务机构，人力资源服务就业规模达到100万人次以上。</w:t>
      </w:r>
    </w:p>
    <w:p>
      <w:pPr>
        <w:ind w:firstLine="640" w:firstLineChars="200"/>
        <w:jc w:val="center"/>
        <w:outlineLvl w:val="1"/>
        <w:rPr>
          <w:rFonts w:ascii="黑体" w:hAnsi="黑体" w:eastAsia="黑体" w:cs="仿宋_GB2312"/>
          <w:sz w:val="32"/>
          <w:szCs w:val="32"/>
          <w:shd w:val="clear" w:color="auto" w:fill="FFFFFF"/>
        </w:rPr>
      </w:pPr>
      <w:bookmarkStart w:id="75" w:name="_Toc23175"/>
      <w:r>
        <w:rPr>
          <w:rFonts w:hint="eastAsia" w:ascii="黑体" w:hAnsi="黑体" w:eastAsia="黑体" w:cs="仿宋_GB2312"/>
          <w:sz w:val="32"/>
          <w:szCs w:val="32"/>
          <w:shd w:val="clear" w:color="auto" w:fill="FFFFFF"/>
        </w:rPr>
        <w:t>第六节 和谐劳动关系建设工程</w:t>
      </w:r>
      <w:bookmarkEnd w:id="75"/>
    </w:p>
    <w:p>
      <w:pPr>
        <w:ind w:firstLine="640" w:firstLineChars="200"/>
        <w:rPr>
          <w:rFonts w:ascii="仿宋_GB2312" w:hAnsi="仿宋" w:eastAsia="仿宋_GB2312" w:cs="仿宋_GB2312"/>
          <w:sz w:val="32"/>
          <w:szCs w:val="32"/>
          <w:shd w:val="clear" w:color="auto" w:fill="FFFFFF"/>
        </w:rPr>
      </w:pPr>
      <w:r>
        <w:rPr>
          <w:rFonts w:hint="eastAsia" w:ascii="仿宋_GB2312" w:hAnsi="仿宋" w:eastAsia="仿宋_GB2312" w:cs="仿宋_GB2312"/>
          <w:sz w:val="32"/>
          <w:szCs w:val="32"/>
          <w:shd w:val="clear" w:color="auto" w:fill="FFFFFF"/>
        </w:rPr>
        <w:t>围绕“和谐贵阳”“平安贵阳”建设，全面落实工作时间、节假日、带薪年休假等劳动政策，规范企业特殊工时制度。加强高温天气劳动保护和女性职工、未成年工特殊保护。建立健全欠薪零容忍制度体系，继续实施“治欠保支”行动计划。建立健全劳动保障守信激励和失信惩戒机制，完善企业劳动保障诚信等级评价、重大违法行为社会公布、拖欠农民工工资“黑名单”制度，健全用人单位劳动保障守法诚信档案。加强劳动保障综合行政执法能力建设，健全执法工作体系，加强执法队伍建设，完善劳动保障综合行政执法程序，全面落实执法责任制，提升执法规范化水平。探索设立乡镇（街道）劳动保障行政执法机构，配备执法人员，提升基层劳动保障行政执法能力。健全完善劳动保障综合行政执法与刑事司法衔接机制，严厉打击拒不支付劳动报酬等违法犯罪行为。建立劳动关系形势动态监测机制、重大劳动关系纠纷预警与处置机制。建立健全人民调解、行政调解、专业性行业性调解、仲裁调解、司法调解等“五维联动”机制，深入开展和谐劳动关系创建活动，进一步提升劳动人事争议案件调解成功率与结案率。推动企业构建和谐劳动关系，积极打造和谐劳动关系先进典型。到2025年，乡镇、街道劳动争议调解组织覆盖率达到95%以上，劳动人事仲裁调解成功率达到65%以上，劳动人事争议仲裁法定期限内结案率达到100%，劳动保障监察举报投诉案件法定期限内结案率达到96%以上</w:t>
      </w:r>
      <w:bookmarkStart w:id="76" w:name="_Toc19377"/>
      <w:r>
        <w:rPr>
          <w:rFonts w:hint="eastAsia" w:ascii="仿宋_GB2312" w:hAnsi="仿宋" w:eastAsia="仿宋_GB2312" w:cs="仿宋_GB2312"/>
          <w:sz w:val="32"/>
          <w:szCs w:val="32"/>
          <w:shd w:val="clear" w:color="auto" w:fill="FFFFFF"/>
        </w:rPr>
        <w:t>。</w:t>
      </w:r>
    </w:p>
    <w:p>
      <w:pPr>
        <w:ind w:firstLine="640" w:firstLineChars="200"/>
        <w:jc w:val="center"/>
        <w:outlineLvl w:val="1"/>
        <w:rPr>
          <w:rFonts w:ascii="黑体" w:hAnsi="黑体" w:eastAsia="黑体" w:cs="仿宋_GB2312"/>
          <w:sz w:val="32"/>
          <w:szCs w:val="32"/>
          <w:shd w:val="clear" w:color="auto" w:fill="FFFFFF"/>
        </w:rPr>
      </w:pPr>
      <w:bookmarkStart w:id="77" w:name="_Toc6488"/>
      <w:r>
        <w:rPr>
          <w:rFonts w:hint="eastAsia" w:ascii="黑体" w:hAnsi="黑体" w:eastAsia="黑体" w:cs="仿宋_GB2312"/>
          <w:sz w:val="32"/>
          <w:szCs w:val="32"/>
          <w:shd w:val="clear" w:color="auto" w:fill="FFFFFF"/>
        </w:rPr>
        <w:t>第七节 “幸福贵阳”保障工程</w:t>
      </w:r>
      <w:bookmarkEnd w:id="76"/>
      <w:bookmarkEnd w:id="77"/>
    </w:p>
    <w:p>
      <w:pPr>
        <w:ind w:firstLine="640" w:firstLineChars="200"/>
        <w:rPr>
          <w:rFonts w:ascii="仿宋_GB2312" w:hAnsi="仿宋" w:eastAsia="仿宋_GB2312" w:cs="仿宋_GB2312"/>
          <w:sz w:val="32"/>
          <w:szCs w:val="32"/>
          <w:shd w:val="clear" w:color="auto" w:fill="FFFFFF"/>
        </w:rPr>
      </w:pPr>
      <w:r>
        <w:rPr>
          <w:rFonts w:hint="eastAsia" w:ascii="仿宋_GB2312" w:hAnsi="仿宋" w:eastAsia="仿宋_GB2312" w:cs="仿宋_GB2312"/>
          <w:sz w:val="32"/>
          <w:szCs w:val="32"/>
          <w:shd w:val="clear" w:color="auto" w:fill="FFFFFF"/>
        </w:rPr>
        <w:t>围绕“幸福贵阳”建设，深入推行劳动合同制度，提高劳动合同签订率。逐步提升最低工资水平，完善劳动标准体系，探索将网络直播、网约配送等灵活就业形式纳入就业指导范围。严格实施劳务派遣行政许可，规范劳务派遣行为。大力推行集体合同制度。落实国有企业工资分配政策，适时调整最低工资标准，完善工资支付保障长效机制。实现参保信息实时分析和动态管理，提高扩面征缴针对性，引导和督促各类单位和符合条件的人员长期持续参保。进一步加大城乡居民基本养老保险连续参保激励力度，依法推动企业全员足额参保，确保非公有制企业职工、灵活就业人员、个体从业人员、被征地农民等群体应保尽保。深入实施“同舟计划”，保障建筑业从业人员劳动权益。落实延迟退休政策，稳步实施机关事业单位养老保险制度改革，完善工伤保险制度。加快推进商业养老保险发展，推进多层次社会保障体系建设。</w:t>
      </w:r>
    </w:p>
    <w:p>
      <w:pPr>
        <w:jc w:val="center"/>
        <w:outlineLvl w:val="0"/>
        <w:rPr>
          <w:rFonts w:ascii="黑体" w:hAnsi="黑体" w:eastAsia="黑体" w:cs="仿宋_GB2312"/>
          <w:sz w:val="32"/>
          <w:szCs w:val="32"/>
          <w:shd w:val="clear" w:color="auto" w:fill="FFFFFF"/>
        </w:rPr>
      </w:pPr>
      <w:bookmarkStart w:id="78" w:name="_Toc23975"/>
      <w:bookmarkStart w:id="79" w:name="_Toc28118"/>
      <w:r>
        <w:rPr>
          <w:rFonts w:hint="eastAsia" w:ascii="黑体" w:hAnsi="黑体" w:eastAsia="黑体" w:cs="仿宋_GB2312"/>
          <w:sz w:val="32"/>
          <w:szCs w:val="32"/>
          <w:shd w:val="clear" w:color="auto" w:fill="FFFFFF"/>
        </w:rPr>
        <w:t>第六章  实施保障</w:t>
      </w:r>
      <w:bookmarkEnd w:id="78"/>
      <w:bookmarkEnd w:id="79"/>
    </w:p>
    <w:p>
      <w:pPr>
        <w:ind w:firstLine="640" w:firstLineChars="200"/>
        <w:rPr>
          <w:rFonts w:ascii="仿宋_GB2312" w:hAnsi="仿宋" w:eastAsia="仿宋_GB2312" w:cs="仿宋_GB2312"/>
          <w:sz w:val="32"/>
          <w:szCs w:val="32"/>
          <w:shd w:val="clear" w:color="auto" w:fill="FFFFFF"/>
        </w:rPr>
      </w:pPr>
      <w:r>
        <w:rPr>
          <w:rFonts w:hint="eastAsia" w:ascii="仿宋_GB2312" w:hAnsi="仿宋" w:eastAsia="仿宋_GB2312" w:cs="仿宋_GB2312"/>
          <w:sz w:val="32"/>
          <w:szCs w:val="32"/>
          <w:shd w:val="clear" w:color="auto" w:fill="FFFFFF"/>
        </w:rPr>
        <w:t>完善就业创业和社会保障工作协调联动长效机制,切实将就业工作放在“六稳六保”工作首位，强化各级政府责任,注重多部门协同,调动各方积极性、主动性、创造性,确保各项就业创业和社会保障事业发展目标任务顺利完成。</w:t>
      </w:r>
    </w:p>
    <w:p>
      <w:pPr>
        <w:ind w:firstLine="640" w:firstLineChars="200"/>
        <w:jc w:val="center"/>
        <w:outlineLvl w:val="1"/>
        <w:rPr>
          <w:rFonts w:ascii="黑体" w:hAnsi="黑体" w:eastAsia="黑体" w:cs="仿宋_GB2312"/>
          <w:sz w:val="32"/>
          <w:szCs w:val="32"/>
          <w:shd w:val="clear" w:color="auto" w:fill="FFFFFF"/>
        </w:rPr>
      </w:pPr>
      <w:bookmarkStart w:id="80" w:name="_Toc20794"/>
      <w:bookmarkStart w:id="81" w:name="_Toc3766"/>
      <w:r>
        <w:rPr>
          <w:rFonts w:hint="eastAsia" w:ascii="黑体" w:hAnsi="黑体" w:eastAsia="黑体" w:cs="仿宋_GB2312"/>
          <w:sz w:val="32"/>
          <w:szCs w:val="32"/>
          <w:shd w:val="clear" w:color="auto" w:fill="FFFFFF"/>
        </w:rPr>
        <w:t>第一节 强化责任，狠抓落实</w:t>
      </w:r>
      <w:bookmarkEnd w:id="80"/>
      <w:bookmarkEnd w:id="81"/>
    </w:p>
    <w:p>
      <w:pPr>
        <w:ind w:firstLine="640" w:firstLineChars="200"/>
        <w:rPr>
          <w:rFonts w:ascii="仿宋_GB2312" w:hAnsi="仿宋" w:eastAsia="仿宋_GB2312" w:cs="仿宋_GB2312"/>
          <w:sz w:val="32"/>
          <w:szCs w:val="32"/>
          <w:shd w:val="clear" w:color="auto" w:fill="FFFFFF"/>
        </w:rPr>
      </w:pPr>
      <w:r>
        <w:rPr>
          <w:rFonts w:hint="eastAsia" w:ascii="仿宋_GB2312" w:hAnsi="仿宋" w:eastAsia="仿宋_GB2312" w:cs="仿宋_GB2312"/>
          <w:sz w:val="32"/>
          <w:szCs w:val="32"/>
          <w:shd w:val="clear" w:color="auto" w:fill="FFFFFF"/>
        </w:rPr>
        <w:t>各级政府应当将就业创业和社会保障事业工作责任层层分解，将责任单位主要负责同志作为促进就业创业和社会保障事业工作第一责任人,要把促进就业创业工作纳入政府相关部门的议事日程,及时研究解决就业创业工作中的热点、难点问题,确保辖区内各项目标任务完成和就业形势稳定。全面实施阳光信访、法制信访工作制度，按照法定途径分类处理群众来信来访，健全诉访分离工作机制，切实把就业创业和社会保障事业信访工作纳入法治化轨道。</w:t>
      </w:r>
    </w:p>
    <w:p>
      <w:pPr>
        <w:ind w:firstLine="640" w:firstLineChars="200"/>
        <w:jc w:val="center"/>
        <w:outlineLvl w:val="1"/>
        <w:rPr>
          <w:rFonts w:ascii="黑体" w:hAnsi="黑体" w:eastAsia="黑体" w:cs="仿宋_GB2312"/>
          <w:sz w:val="32"/>
          <w:szCs w:val="32"/>
          <w:shd w:val="clear" w:color="auto" w:fill="FFFFFF"/>
        </w:rPr>
      </w:pPr>
      <w:bookmarkStart w:id="82" w:name="_Toc17825"/>
      <w:bookmarkStart w:id="83" w:name="_Toc2406"/>
      <w:r>
        <w:rPr>
          <w:rFonts w:hint="eastAsia" w:ascii="黑体" w:hAnsi="黑体" w:eastAsia="黑体" w:cs="仿宋_GB2312"/>
          <w:sz w:val="32"/>
          <w:szCs w:val="32"/>
          <w:shd w:val="clear" w:color="auto" w:fill="FFFFFF"/>
        </w:rPr>
        <w:t>第二节 加强协调，明确责任</w:t>
      </w:r>
      <w:bookmarkEnd w:id="82"/>
      <w:bookmarkEnd w:id="83"/>
    </w:p>
    <w:p>
      <w:pPr>
        <w:ind w:firstLine="640" w:firstLineChars="200"/>
        <w:rPr>
          <w:rFonts w:ascii="仿宋_GB2312" w:hAnsi="仿宋" w:eastAsia="仿宋_GB2312" w:cs="仿宋_GB2312"/>
          <w:sz w:val="32"/>
          <w:szCs w:val="32"/>
          <w:shd w:val="clear" w:color="auto" w:fill="FFFFFF"/>
        </w:rPr>
      </w:pPr>
      <w:r>
        <w:rPr>
          <w:rFonts w:hint="eastAsia" w:ascii="仿宋_GB2312" w:hAnsi="仿宋" w:eastAsia="仿宋_GB2312" w:cs="仿宋_GB2312"/>
          <w:sz w:val="32"/>
          <w:szCs w:val="32"/>
          <w:shd w:val="clear" w:color="auto" w:fill="FFFFFF"/>
        </w:rPr>
        <w:t>推动市、区两级政府部门建立就业创业和社会保障事业工作领导小组，加强各领导小组办公室组织协调作用,积极协调解决重大问题。加强人力资源和社会保障各项业务领域的政策协调、信息共享和资源整合。建立完善调查研究工作机制，充分发挥人力资源和社会保障专家库专家智囊作用，针对就业创业和社会保障事业发展遇到的新情况、新问题，及时开展调查研究。各相关责任部门要制定《规划》目标任务分解方案，明确责任主体、实施时间表和路线图。市级职能部门与区（市、县）政府依据本《规划》制定专项规划或工作计划，切实履行促进就业鼓励创业的职责,抓好贯彻落实。</w:t>
      </w:r>
    </w:p>
    <w:p>
      <w:pPr>
        <w:ind w:firstLine="640" w:firstLineChars="200"/>
        <w:jc w:val="center"/>
        <w:outlineLvl w:val="1"/>
        <w:rPr>
          <w:rFonts w:ascii="黑体" w:hAnsi="黑体" w:eastAsia="黑体" w:cs="仿宋_GB2312"/>
          <w:sz w:val="32"/>
          <w:szCs w:val="32"/>
          <w:shd w:val="clear" w:color="auto" w:fill="FFFFFF"/>
        </w:rPr>
      </w:pPr>
      <w:bookmarkStart w:id="84" w:name="_Toc27395"/>
      <w:bookmarkStart w:id="85" w:name="_Toc1483"/>
      <w:r>
        <w:rPr>
          <w:rFonts w:hint="eastAsia" w:ascii="黑体" w:hAnsi="黑体" w:eastAsia="黑体" w:cs="仿宋_GB2312"/>
          <w:sz w:val="32"/>
          <w:szCs w:val="32"/>
          <w:shd w:val="clear" w:color="auto" w:fill="FFFFFF"/>
        </w:rPr>
        <w:t>第三节 加强监测，适时预警</w:t>
      </w:r>
      <w:bookmarkEnd w:id="84"/>
      <w:bookmarkEnd w:id="85"/>
    </w:p>
    <w:p>
      <w:pPr>
        <w:ind w:firstLine="640" w:firstLineChars="200"/>
        <w:rPr>
          <w:rFonts w:ascii="仿宋_GB2312" w:hAnsi="仿宋" w:eastAsia="仿宋_GB2312" w:cs="仿宋_GB2312"/>
          <w:sz w:val="32"/>
          <w:szCs w:val="32"/>
          <w:shd w:val="clear" w:color="auto" w:fill="FFFFFF"/>
        </w:rPr>
      </w:pPr>
      <w:r>
        <w:rPr>
          <w:rFonts w:hint="eastAsia" w:ascii="仿宋_GB2312" w:hAnsi="仿宋" w:eastAsia="仿宋_GB2312" w:cs="仿宋_GB2312"/>
          <w:sz w:val="32"/>
          <w:szCs w:val="32"/>
          <w:shd w:val="clear" w:color="auto" w:fill="FFFFFF"/>
        </w:rPr>
        <w:t>构建就业形势综合监测机制，健全就业统计指标体系，及时反馈就业创业情况。建立就业创业与社会保障统计数据质量核查机制，加强数据校核比对。建立市级就业创业专家委员会，健全就业形势综合研判评估工作机制。加强部门与研究机构、市场分析机构的密切协作，提高就业创业与社会保障形势监测和分析能力。完善失业监测预警机制，及时掌握企业人员变动情况及趋势，适时发布预警信息。坚持底线思维，建立重大突发事件应对机制，确保重点群体就业形势持续稳定。</w:t>
      </w:r>
    </w:p>
    <w:p>
      <w:pPr>
        <w:ind w:firstLine="640" w:firstLineChars="200"/>
        <w:jc w:val="center"/>
        <w:outlineLvl w:val="1"/>
        <w:rPr>
          <w:rFonts w:ascii="黑体" w:hAnsi="黑体" w:eastAsia="黑体" w:cs="仿宋_GB2312"/>
          <w:sz w:val="32"/>
          <w:szCs w:val="32"/>
          <w:shd w:val="clear" w:color="auto" w:fill="FFFFFF"/>
        </w:rPr>
      </w:pPr>
      <w:bookmarkStart w:id="86" w:name="_Toc21564"/>
      <w:bookmarkStart w:id="87" w:name="_Toc3326"/>
      <w:r>
        <w:rPr>
          <w:rFonts w:hint="eastAsia" w:ascii="黑体" w:hAnsi="黑体" w:eastAsia="黑体" w:cs="仿宋_GB2312"/>
          <w:sz w:val="32"/>
          <w:szCs w:val="32"/>
          <w:shd w:val="clear" w:color="auto" w:fill="FFFFFF"/>
        </w:rPr>
        <w:t>第四节 完善考核，加强督查</w:t>
      </w:r>
      <w:bookmarkEnd w:id="86"/>
      <w:bookmarkEnd w:id="87"/>
    </w:p>
    <w:p>
      <w:pPr>
        <w:ind w:firstLine="640" w:firstLineChars="200"/>
        <w:rPr>
          <w:rFonts w:ascii="仿宋_GB2312" w:hAnsi="仿宋" w:eastAsia="仿宋_GB2312" w:cs="仿宋_GB2312"/>
          <w:sz w:val="32"/>
          <w:szCs w:val="32"/>
          <w:shd w:val="clear" w:color="auto" w:fill="FFFFFF"/>
        </w:rPr>
      </w:pPr>
      <w:r>
        <w:rPr>
          <w:rFonts w:hint="eastAsia" w:ascii="仿宋_GB2312" w:hAnsi="仿宋" w:eastAsia="仿宋_GB2312" w:cs="仿宋_GB2312"/>
          <w:sz w:val="32"/>
          <w:szCs w:val="32"/>
          <w:shd w:val="clear" w:color="auto" w:fill="FFFFFF"/>
        </w:rPr>
        <w:t>建立完善《规划》执行情况年度进展报告和检查巡视制度，进一步加强对就业创业和社会保障事业工作的领导,健全目标责任考核机制,将就业创业和社会保障事业工作作为区(市、县）政府与相关部门工作实绩考核和经济责任审计的重要内容。区(市、县）政府发展改革部门、督办督查、部门人力资源社会保障部门要会同有关部门建立就业创业和社会保险征缴工作监测常态化机制，对就业市场变化、就业创业工作进度、社会保险缴费变化和各项目标任务完成情况进行督促检查,重要情况及时报本级政府主要领导。加强宣传引导，积极营造有利于《规划》实施的舆论氛围。</w:t>
      </w:r>
    </w:p>
    <w:sectPr>
      <w:footerReference r:id="rId5" w:type="default"/>
      <w:pgSz w:w="11906" w:h="16838"/>
      <w:pgMar w:top="2098" w:right="1474" w:bottom="1984"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7"/>
                </w:pPr>
                <w:r>
                  <w:fldChar w:fldCharType="begin"/>
                </w:r>
                <w:r>
                  <w:instrText xml:space="preserve"> PAGE  \* MERGEFORMAT </w:instrText>
                </w:r>
                <w:r>
                  <w:fldChar w:fldCharType="separate"/>
                </w:r>
                <w:r>
                  <w:t>I</w:t>
                </w:r>
                <w:r>
                  <w:fldChar w:fldCharType="end"/>
                </w:r>
              </w:p>
            </w:txbxContent>
          </v:textbox>
        </v:shape>
      </w:pict>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pict>
        <v:shape id="_x0000_s3074" o:spid="_x0000_s307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M0YTZjNzMwNzMxZWU1MmE3ZjkyZDcxZGJiY2Q4MTEifQ=="/>
  </w:docVars>
  <w:rsids>
    <w:rsidRoot w:val="00BB5DEB"/>
    <w:rsid w:val="000266D3"/>
    <w:rsid w:val="00035457"/>
    <w:rsid w:val="000405E6"/>
    <w:rsid w:val="000550EE"/>
    <w:rsid w:val="00074727"/>
    <w:rsid w:val="000A500D"/>
    <w:rsid w:val="000C4214"/>
    <w:rsid w:val="000F27FC"/>
    <w:rsid w:val="000F7A96"/>
    <w:rsid w:val="00104D6B"/>
    <w:rsid w:val="00141702"/>
    <w:rsid w:val="00143E8D"/>
    <w:rsid w:val="001546FF"/>
    <w:rsid w:val="00191B89"/>
    <w:rsid w:val="001971BC"/>
    <w:rsid w:val="001A0390"/>
    <w:rsid w:val="001C1EE7"/>
    <w:rsid w:val="001C20EC"/>
    <w:rsid w:val="00277A30"/>
    <w:rsid w:val="0029503A"/>
    <w:rsid w:val="00295E21"/>
    <w:rsid w:val="002A725F"/>
    <w:rsid w:val="002E4BE8"/>
    <w:rsid w:val="00301DD4"/>
    <w:rsid w:val="003178D4"/>
    <w:rsid w:val="003275F1"/>
    <w:rsid w:val="003436F1"/>
    <w:rsid w:val="00380802"/>
    <w:rsid w:val="003817F3"/>
    <w:rsid w:val="00383A3B"/>
    <w:rsid w:val="00390863"/>
    <w:rsid w:val="00394E1D"/>
    <w:rsid w:val="003B57FC"/>
    <w:rsid w:val="003C3E03"/>
    <w:rsid w:val="003D67CC"/>
    <w:rsid w:val="003F15D4"/>
    <w:rsid w:val="00407B36"/>
    <w:rsid w:val="00425CB8"/>
    <w:rsid w:val="00446E99"/>
    <w:rsid w:val="00447A7B"/>
    <w:rsid w:val="00447D7C"/>
    <w:rsid w:val="0045153E"/>
    <w:rsid w:val="00480A00"/>
    <w:rsid w:val="004A193D"/>
    <w:rsid w:val="004D3642"/>
    <w:rsid w:val="00505513"/>
    <w:rsid w:val="00513FEE"/>
    <w:rsid w:val="00527E1D"/>
    <w:rsid w:val="00560071"/>
    <w:rsid w:val="00576758"/>
    <w:rsid w:val="00590765"/>
    <w:rsid w:val="005B351D"/>
    <w:rsid w:val="005D71F5"/>
    <w:rsid w:val="005E40D0"/>
    <w:rsid w:val="00600804"/>
    <w:rsid w:val="00604EC5"/>
    <w:rsid w:val="006204B3"/>
    <w:rsid w:val="006574E7"/>
    <w:rsid w:val="00676646"/>
    <w:rsid w:val="00683261"/>
    <w:rsid w:val="0072753D"/>
    <w:rsid w:val="0074330D"/>
    <w:rsid w:val="007569ED"/>
    <w:rsid w:val="007B4D2A"/>
    <w:rsid w:val="007D28DF"/>
    <w:rsid w:val="007E51EC"/>
    <w:rsid w:val="00810EC8"/>
    <w:rsid w:val="008159F0"/>
    <w:rsid w:val="008350FD"/>
    <w:rsid w:val="00840BAB"/>
    <w:rsid w:val="0084161E"/>
    <w:rsid w:val="00863D04"/>
    <w:rsid w:val="00872EA9"/>
    <w:rsid w:val="008909F8"/>
    <w:rsid w:val="008B2DC8"/>
    <w:rsid w:val="008F54F0"/>
    <w:rsid w:val="0090761A"/>
    <w:rsid w:val="0091394B"/>
    <w:rsid w:val="00913E55"/>
    <w:rsid w:val="00932AB7"/>
    <w:rsid w:val="009B06C3"/>
    <w:rsid w:val="009B1FAF"/>
    <w:rsid w:val="009B21A7"/>
    <w:rsid w:val="009B7969"/>
    <w:rsid w:val="009C4E9F"/>
    <w:rsid w:val="009C699F"/>
    <w:rsid w:val="009E4795"/>
    <w:rsid w:val="00A248D7"/>
    <w:rsid w:val="00A24C82"/>
    <w:rsid w:val="00A44875"/>
    <w:rsid w:val="00A45BC3"/>
    <w:rsid w:val="00A638D0"/>
    <w:rsid w:val="00AB01F4"/>
    <w:rsid w:val="00AC6F6D"/>
    <w:rsid w:val="00AD2666"/>
    <w:rsid w:val="00AF18A2"/>
    <w:rsid w:val="00AF3BBD"/>
    <w:rsid w:val="00B30624"/>
    <w:rsid w:val="00B419CD"/>
    <w:rsid w:val="00B422A5"/>
    <w:rsid w:val="00B54E23"/>
    <w:rsid w:val="00B65E77"/>
    <w:rsid w:val="00B665FA"/>
    <w:rsid w:val="00B70532"/>
    <w:rsid w:val="00B80E0A"/>
    <w:rsid w:val="00BB5DEB"/>
    <w:rsid w:val="00BC7F2F"/>
    <w:rsid w:val="00BF0B7D"/>
    <w:rsid w:val="00C26F3E"/>
    <w:rsid w:val="00C665AB"/>
    <w:rsid w:val="00C75172"/>
    <w:rsid w:val="00CA7BDA"/>
    <w:rsid w:val="00CC78BC"/>
    <w:rsid w:val="00D0394B"/>
    <w:rsid w:val="00D06CD2"/>
    <w:rsid w:val="00D80356"/>
    <w:rsid w:val="00D9303A"/>
    <w:rsid w:val="00DB1C3B"/>
    <w:rsid w:val="00DC1D66"/>
    <w:rsid w:val="00E27038"/>
    <w:rsid w:val="00E277C6"/>
    <w:rsid w:val="00E30EA1"/>
    <w:rsid w:val="00E61771"/>
    <w:rsid w:val="00E61E81"/>
    <w:rsid w:val="00E73F55"/>
    <w:rsid w:val="00EA0A6E"/>
    <w:rsid w:val="00EA1717"/>
    <w:rsid w:val="00F06E81"/>
    <w:rsid w:val="00F10A9A"/>
    <w:rsid w:val="00F604D8"/>
    <w:rsid w:val="00F966D9"/>
    <w:rsid w:val="00FA59DB"/>
    <w:rsid w:val="00FA63E6"/>
    <w:rsid w:val="00FC5087"/>
    <w:rsid w:val="00FC5EEA"/>
    <w:rsid w:val="0A1A54E5"/>
    <w:rsid w:val="0F2663A6"/>
    <w:rsid w:val="14B97F4A"/>
    <w:rsid w:val="19850544"/>
    <w:rsid w:val="19B8639D"/>
    <w:rsid w:val="1BF1657F"/>
    <w:rsid w:val="1C497136"/>
    <w:rsid w:val="1FB94DEE"/>
    <w:rsid w:val="23857A24"/>
    <w:rsid w:val="28E317B1"/>
    <w:rsid w:val="2D425597"/>
    <w:rsid w:val="324F532F"/>
    <w:rsid w:val="341325D0"/>
    <w:rsid w:val="370D1E05"/>
    <w:rsid w:val="3AD97E75"/>
    <w:rsid w:val="3BFE1CCA"/>
    <w:rsid w:val="3DA47113"/>
    <w:rsid w:val="41653173"/>
    <w:rsid w:val="42AC21D9"/>
    <w:rsid w:val="4395654A"/>
    <w:rsid w:val="470E710F"/>
    <w:rsid w:val="496913F6"/>
    <w:rsid w:val="4A512E2E"/>
    <w:rsid w:val="4ADE43DD"/>
    <w:rsid w:val="4E663BFC"/>
    <w:rsid w:val="4EE547BC"/>
    <w:rsid w:val="54F9253D"/>
    <w:rsid w:val="564A5187"/>
    <w:rsid w:val="571E5704"/>
    <w:rsid w:val="579028B4"/>
    <w:rsid w:val="5A1A30FA"/>
    <w:rsid w:val="5ACD419A"/>
    <w:rsid w:val="5B9E482F"/>
    <w:rsid w:val="5F152E0F"/>
    <w:rsid w:val="611A6A58"/>
    <w:rsid w:val="647816EA"/>
    <w:rsid w:val="67E1125B"/>
    <w:rsid w:val="68647666"/>
    <w:rsid w:val="71CE2551"/>
    <w:rsid w:val="74776D75"/>
    <w:rsid w:val="74BE6C98"/>
    <w:rsid w:val="7DF14A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7"/>
    <w:autoRedefine/>
    <w:qFormat/>
    <w:uiPriority w:val="9"/>
    <w:pPr>
      <w:keepNext/>
      <w:keepLines/>
      <w:spacing w:before="340" w:after="330" w:line="576" w:lineRule="auto"/>
      <w:outlineLvl w:val="0"/>
    </w:pPr>
    <w:rPr>
      <w:rFonts w:ascii="Calibri" w:hAnsi="Calibri" w:eastAsia="宋体" w:cs="宋体"/>
      <w:b/>
      <w:kern w:val="44"/>
      <w:sz w:val="44"/>
      <w:szCs w:val="24"/>
    </w:rPr>
  </w:style>
  <w:style w:type="paragraph" w:styleId="4">
    <w:name w:val="heading 2"/>
    <w:basedOn w:val="1"/>
    <w:next w:val="1"/>
    <w:link w:val="18"/>
    <w:autoRedefine/>
    <w:unhideWhenUsed/>
    <w:qFormat/>
    <w:uiPriority w:val="9"/>
    <w:pPr>
      <w:keepNext/>
      <w:keepLines/>
      <w:spacing w:before="260" w:after="260" w:line="416" w:lineRule="auto"/>
      <w:outlineLvl w:val="1"/>
    </w:pPr>
    <w:rPr>
      <w:rFonts w:ascii="Calibri Light" w:hAnsi="Calibri Light" w:eastAsia="宋体" w:cs="宋体"/>
      <w:b/>
      <w:bCs/>
      <w:sz w:val="32"/>
      <w:szCs w:val="32"/>
    </w:rPr>
  </w:style>
  <w:style w:type="character" w:default="1" w:styleId="15">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Title"/>
    <w:basedOn w:val="1"/>
    <w:autoRedefine/>
    <w:qFormat/>
    <w:uiPriority w:val="0"/>
    <w:pPr>
      <w:jc w:val="center"/>
      <w:outlineLvl w:val="0"/>
    </w:pPr>
    <w:rPr>
      <w:rFonts w:ascii="Arial" w:hAnsi="Arial"/>
      <w:b/>
      <w:sz w:val="32"/>
    </w:rPr>
  </w:style>
  <w:style w:type="paragraph" w:styleId="5">
    <w:name w:val="Body Text"/>
    <w:basedOn w:val="1"/>
    <w:link w:val="20"/>
    <w:autoRedefine/>
    <w:qFormat/>
    <w:uiPriority w:val="99"/>
    <w:rPr>
      <w:rFonts w:ascii="Calibri" w:hAnsi="Calibri" w:eastAsia="宋体" w:cs="宋体"/>
      <w:szCs w:val="24"/>
    </w:rPr>
  </w:style>
  <w:style w:type="paragraph" w:styleId="6">
    <w:name w:val="Body Text Indent"/>
    <w:basedOn w:val="1"/>
    <w:link w:val="22"/>
    <w:autoRedefine/>
    <w:semiHidden/>
    <w:unhideWhenUsed/>
    <w:qFormat/>
    <w:uiPriority w:val="99"/>
    <w:pPr>
      <w:spacing w:after="120"/>
      <w:ind w:left="420" w:leftChars="200"/>
    </w:pPr>
  </w:style>
  <w:style w:type="paragraph" w:styleId="7">
    <w:name w:val="footer"/>
    <w:basedOn w:val="1"/>
    <w:link w:val="19"/>
    <w:autoRedefine/>
    <w:unhideWhenUsed/>
    <w:qFormat/>
    <w:uiPriority w:val="99"/>
    <w:pPr>
      <w:tabs>
        <w:tab w:val="center" w:pos="4153"/>
        <w:tab w:val="right" w:pos="8306"/>
      </w:tabs>
      <w:snapToGrid w:val="0"/>
      <w:jc w:val="left"/>
    </w:pPr>
    <w:rPr>
      <w:sz w:val="18"/>
      <w:szCs w:val="18"/>
    </w:rPr>
  </w:style>
  <w:style w:type="paragraph" w:styleId="8">
    <w:name w:val="header"/>
    <w:basedOn w:val="1"/>
    <w:link w:val="2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qFormat/>
    <w:uiPriority w:val="0"/>
    <w:rPr>
      <w:rFonts w:ascii="Calibri" w:hAnsi="Calibri" w:eastAsia="宋体" w:cs="宋体"/>
      <w:szCs w:val="24"/>
    </w:rPr>
  </w:style>
  <w:style w:type="paragraph" w:styleId="10">
    <w:name w:val="footnote text"/>
    <w:basedOn w:val="1"/>
    <w:next w:val="8"/>
    <w:link w:val="21"/>
    <w:autoRedefine/>
    <w:qFormat/>
    <w:uiPriority w:val="99"/>
    <w:pPr>
      <w:snapToGrid w:val="0"/>
      <w:jc w:val="left"/>
    </w:pPr>
    <w:rPr>
      <w:rFonts w:ascii="Calibri" w:hAnsi="Calibri" w:eastAsia="宋体" w:cs="宋体"/>
      <w:szCs w:val="24"/>
    </w:rPr>
  </w:style>
  <w:style w:type="paragraph" w:styleId="11">
    <w:name w:val="toc 2"/>
    <w:basedOn w:val="1"/>
    <w:next w:val="1"/>
    <w:autoRedefine/>
    <w:qFormat/>
    <w:uiPriority w:val="39"/>
    <w:pPr>
      <w:tabs>
        <w:tab w:val="right" w:leader="dot" w:pos="8608"/>
      </w:tabs>
      <w:spacing w:line="341" w:lineRule="auto"/>
      <w:ind w:left="320"/>
      <w:jc w:val="left"/>
    </w:pPr>
    <w:rPr>
      <w:rFonts w:ascii="Times New Roman" w:hAnsi="Calibri" w:eastAsia="宋体" w:cs="宋体"/>
      <w:smallCaps/>
      <w:sz w:val="20"/>
      <w:szCs w:val="24"/>
    </w:rPr>
  </w:style>
  <w:style w:type="paragraph" w:styleId="12">
    <w:name w:val="Normal (Web)"/>
    <w:basedOn w:val="1"/>
    <w:autoRedefine/>
    <w:qFormat/>
    <w:uiPriority w:val="0"/>
    <w:pPr>
      <w:spacing w:beforeAutospacing="1" w:afterAutospacing="1"/>
      <w:jc w:val="left"/>
    </w:pPr>
    <w:rPr>
      <w:rFonts w:ascii="Calibri" w:hAnsi="Calibri" w:eastAsia="宋体" w:cs="宋体"/>
      <w:kern w:val="0"/>
      <w:sz w:val="24"/>
      <w:szCs w:val="24"/>
    </w:rPr>
  </w:style>
  <w:style w:type="paragraph" w:styleId="13">
    <w:name w:val="Body Text First Indent 2"/>
    <w:basedOn w:val="6"/>
    <w:link w:val="23"/>
    <w:autoRedefine/>
    <w:qFormat/>
    <w:uiPriority w:val="0"/>
    <w:pPr>
      <w:ind w:firstLine="420" w:firstLineChars="200"/>
    </w:pPr>
    <w:rPr>
      <w:rFonts w:ascii="Times New Roman" w:hAnsi="Calibri" w:eastAsia="宋体" w:cs="Times New Roman"/>
      <w:szCs w:val="24"/>
    </w:rPr>
  </w:style>
  <w:style w:type="character" w:styleId="16">
    <w:name w:val="Strong"/>
    <w:basedOn w:val="15"/>
    <w:autoRedefine/>
    <w:qFormat/>
    <w:uiPriority w:val="0"/>
    <w:rPr>
      <w:b/>
    </w:rPr>
  </w:style>
  <w:style w:type="character" w:customStyle="1" w:styleId="17">
    <w:name w:val="标题 1 Char"/>
    <w:basedOn w:val="15"/>
    <w:link w:val="3"/>
    <w:autoRedefine/>
    <w:qFormat/>
    <w:uiPriority w:val="9"/>
    <w:rPr>
      <w:rFonts w:ascii="Calibri" w:hAnsi="Calibri" w:eastAsia="宋体" w:cs="宋体"/>
      <w:b/>
      <w:kern w:val="44"/>
      <w:sz w:val="44"/>
      <w:szCs w:val="24"/>
    </w:rPr>
  </w:style>
  <w:style w:type="character" w:customStyle="1" w:styleId="18">
    <w:name w:val="标题 2 Char"/>
    <w:basedOn w:val="15"/>
    <w:link w:val="4"/>
    <w:autoRedefine/>
    <w:qFormat/>
    <w:uiPriority w:val="9"/>
    <w:rPr>
      <w:rFonts w:ascii="Calibri Light" w:hAnsi="Calibri Light" w:eastAsia="宋体" w:cs="宋体"/>
      <w:b/>
      <w:bCs/>
      <w:sz w:val="32"/>
      <w:szCs w:val="32"/>
    </w:rPr>
  </w:style>
  <w:style w:type="character" w:customStyle="1" w:styleId="19">
    <w:name w:val="页脚 Char"/>
    <w:basedOn w:val="15"/>
    <w:link w:val="7"/>
    <w:autoRedefine/>
    <w:qFormat/>
    <w:uiPriority w:val="99"/>
    <w:rPr>
      <w:sz w:val="18"/>
      <w:szCs w:val="18"/>
    </w:rPr>
  </w:style>
  <w:style w:type="character" w:customStyle="1" w:styleId="20">
    <w:name w:val="正文文本 Char"/>
    <w:basedOn w:val="15"/>
    <w:link w:val="5"/>
    <w:qFormat/>
    <w:uiPriority w:val="99"/>
    <w:rPr>
      <w:rFonts w:ascii="Calibri" w:hAnsi="Calibri" w:eastAsia="宋体" w:cs="宋体"/>
      <w:szCs w:val="24"/>
    </w:rPr>
  </w:style>
  <w:style w:type="character" w:customStyle="1" w:styleId="21">
    <w:name w:val="脚注文本 Char"/>
    <w:basedOn w:val="15"/>
    <w:link w:val="10"/>
    <w:autoRedefine/>
    <w:qFormat/>
    <w:uiPriority w:val="99"/>
    <w:rPr>
      <w:rFonts w:ascii="Calibri" w:hAnsi="Calibri" w:eastAsia="宋体" w:cs="宋体"/>
      <w:szCs w:val="24"/>
    </w:rPr>
  </w:style>
  <w:style w:type="character" w:customStyle="1" w:styleId="22">
    <w:name w:val="正文文本缩进 Char"/>
    <w:basedOn w:val="15"/>
    <w:link w:val="6"/>
    <w:autoRedefine/>
    <w:semiHidden/>
    <w:qFormat/>
    <w:uiPriority w:val="99"/>
  </w:style>
  <w:style w:type="character" w:customStyle="1" w:styleId="23">
    <w:name w:val="正文首行缩进 2 Char"/>
    <w:basedOn w:val="22"/>
    <w:link w:val="13"/>
    <w:autoRedefine/>
    <w:qFormat/>
    <w:uiPriority w:val="0"/>
    <w:rPr>
      <w:rFonts w:ascii="Times New Roman" w:hAnsi="Calibri" w:eastAsia="宋体" w:cs="Times New Roman"/>
      <w:szCs w:val="24"/>
    </w:rPr>
  </w:style>
  <w:style w:type="paragraph" w:customStyle="1" w:styleId="24">
    <w:name w:val="Body text|1"/>
    <w:basedOn w:val="1"/>
    <w:autoRedefine/>
    <w:qFormat/>
    <w:uiPriority w:val="0"/>
    <w:pPr>
      <w:spacing w:line="480" w:lineRule="auto"/>
      <w:ind w:firstLine="400"/>
    </w:pPr>
    <w:rPr>
      <w:rFonts w:ascii="宋体" w:hAnsi="宋体" w:eastAsia="宋体" w:cs="宋体"/>
      <w:sz w:val="26"/>
      <w:szCs w:val="26"/>
      <w:lang w:val="zh-TW" w:eastAsia="zh-TW" w:bidi="zh-TW"/>
    </w:rPr>
  </w:style>
  <w:style w:type="paragraph" w:customStyle="1" w:styleId="25">
    <w:name w:val="正文-公1"/>
    <w:basedOn w:val="1"/>
    <w:qFormat/>
    <w:uiPriority w:val="0"/>
    <w:pPr>
      <w:ind w:firstLine="200" w:firstLineChars="200"/>
    </w:pPr>
    <w:rPr>
      <w:rFonts w:ascii="Calibri" w:hAnsi="Calibri" w:eastAsia="宋体" w:cs="宋体"/>
      <w:color w:val="000000"/>
      <w:szCs w:val="24"/>
    </w:rPr>
  </w:style>
  <w:style w:type="character" w:customStyle="1" w:styleId="26">
    <w:name w:val="页眉 Char"/>
    <w:basedOn w:val="15"/>
    <w:link w:val="8"/>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33</Pages>
  <Words>15583</Words>
  <Characters>2778</Characters>
  <Lines>23</Lines>
  <Paragraphs>36</Paragraphs>
  <TotalTime>4</TotalTime>
  <ScaleCrop>false</ScaleCrop>
  <LinksUpToDate>false</LinksUpToDate>
  <CharactersWithSpaces>18325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2021-04-14T06:22:00Z</dcterms:created>
  <dc:creator>政策法规处收发员</dc:creator>
  <cp:lastModifiedBy>你憋说话</cp:lastModifiedBy>
  <dcterms:modified xsi:type="dcterms:W3CDTF">2024-04-28T11:02:56Z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D7AC5DDB5096497999F2084D158331EA</vt:lpwstr>
  </property>
</Properties>
</file>