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bidi w:val="0"/>
        <w:rPr>
          <w:rFonts w:hint="eastAsia" w:ascii="黑体" w:eastAsia="黑体" w:cs="方正小标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eastAsia="黑体" w:cs="方正小标宋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方正小标宋_GBK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jc w:val="center"/>
        <w:textAlignment w:val="auto"/>
        <w:rPr>
          <w:rFonts w:asci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spacing w:line="58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>贵阳贵安园区政务服务中心平台建设方案</w:t>
      </w:r>
    </w:p>
    <w:p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ascii="仿宋_GB2312" w:eastAsia="仿宋_GB2312" w:cs="仿宋_GB2312"/>
          <w:color w:val="000000"/>
          <w:sz w:val="32"/>
          <w:szCs w:val="32"/>
          <w:lang w:val="en-US" w:eastAsia="zh-CN" w:bidi="en-US"/>
        </w:rPr>
      </w:pPr>
    </w:p>
    <w:p>
      <w:pPr>
        <w:pStyle w:val="1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en-US"/>
        </w:rPr>
        <w:t>为深入推进“园区事园区办”，进一步加强园区政务服务中心建设，</w:t>
      </w:r>
      <w:r>
        <w:rPr>
          <w:rFonts w:hint="eastAsia" w:ascii="仿宋_GB2312" w:eastAsia="仿宋_GB2312" w:cs="仿宋_GB2312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打造便捷、高效、一流的园区“</w:t>
      </w:r>
      <w:r>
        <w:rPr>
          <w:rFonts w:hint="eastAsia" w:ascii="Times New Roman" w:hAnsi="Times New Roman" w:eastAsia="仿宋_GB2312" w:cs="仿宋_GB2312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30</w:t>
      </w:r>
      <w:r>
        <w:rPr>
          <w:rFonts w:hint="eastAsia" w:ascii="仿宋_GB2312" w:eastAsia="仿宋_GB2312" w:cs="仿宋_GB2312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分钟政务服务圈”，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 w:bidi="en-US"/>
        </w:rPr>
        <w:t>特制定本方案。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left="0" w:right="0" w:firstLine="640" w:firstLineChars="200"/>
        <w:jc w:val="both"/>
        <w:textAlignment w:val="auto"/>
        <w:outlineLvl w:val="9"/>
        <w:rPr>
          <w:rFonts w:ascii="黑体" w:eastAsia="黑体" w:cs="黑体"/>
          <w:bCs/>
          <w:color w:val="FF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kern w:val="0"/>
          <w:sz w:val="32"/>
          <w:szCs w:val="32"/>
          <w:lang w:val="en-US" w:eastAsia="zh-CN" w:bidi="ar-SA"/>
        </w:rPr>
        <w:t>一、科学选址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right="0" w:firstLine="640" w:firstLineChars="200"/>
        <w:jc w:val="both"/>
        <w:textAlignment w:val="auto"/>
        <w:outlineLvl w:val="9"/>
        <w:rPr>
          <w:rFonts w:asci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/>
        </w:rPr>
        <w:t>根据园区总体规划、产业规划，结合企业分布现状和重点发展区域，科学合理选址建设园区政务服务中心。原则上选址应为企业集中区域，且交通便宜能够有效辐射周边区域，确保零散分布企业到园区政务服务中心不超过</w:t>
      </w:r>
      <w:r>
        <w:rPr>
          <w:rFonts w:hint="eastAsia" w:ascii="Times New Roman" w:hAnsi="Times New Roman" w:cs="仿宋_GB2312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30</w:t>
      </w:r>
      <w:r>
        <w:rPr>
          <w:rFonts w:hint="eastAsia" w:ascii="仿宋_GB2312" w:eastAsia="仿宋_GB2312" w:cs="仿宋_GB2312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分钟车程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/>
        </w:rPr>
        <w:t>。园区以“一区多园”的组团布局，企业分布较为分散的，原则上在离政务服务中心</w:t>
      </w:r>
      <w:r>
        <w:rPr>
          <w:rFonts w:hint="eastAsia" w:ascii="Times New Roman" w:hAnsi="Times New Roman" w:cs="仿宋_GB2312"/>
          <w:bCs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/>
        </w:rPr>
        <w:t>分钟车程外的企业相对集中区域，也应设立政务服务中心。县级政务服务中心设在园区内的，可以</w:t>
      </w:r>
      <w:r>
        <w:rPr>
          <w:rFonts w:ascii="仿宋_GB2312" w:eastAsia="仿宋_GB2312" w:cs="仿宋_GB2312"/>
          <w:bCs/>
          <w:kern w:val="0"/>
          <w:sz w:val="32"/>
          <w:szCs w:val="32"/>
          <w:lang w:val="en-US" w:eastAsia="zh-CN"/>
        </w:rPr>
        <w:t>依托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/>
        </w:rPr>
        <w:t>县</w:t>
      </w:r>
      <w:r>
        <w:rPr>
          <w:rFonts w:ascii="仿宋_GB2312" w:eastAsia="仿宋_GB2312" w:cs="仿宋_GB2312"/>
          <w:bCs/>
          <w:kern w:val="0"/>
          <w:sz w:val="32"/>
          <w:szCs w:val="32"/>
          <w:lang w:val="en-US" w:eastAsia="zh-CN"/>
        </w:rPr>
        <w:t>级政务服务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/>
        </w:rPr>
        <w:t>中心设立</w:t>
      </w:r>
      <w:r>
        <w:rPr>
          <w:rFonts w:ascii="仿宋_GB2312" w:eastAsia="仿宋_GB2312" w:cs="仿宋_GB2312"/>
          <w:bCs/>
          <w:kern w:val="0"/>
          <w:sz w:val="32"/>
          <w:szCs w:val="32"/>
          <w:lang w:val="en-US" w:eastAsia="zh-CN"/>
        </w:rPr>
        <w:t>“园区事园区办”服务专区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 w:bidi="ar-SA"/>
        </w:rPr>
        <w:t>并</w:t>
      </w:r>
      <w:r>
        <w:rPr>
          <w:rFonts w:ascii="仿宋_GB2312" w:eastAsia="仿宋_GB2312" w:cs="仿宋_GB2312"/>
          <w:bCs/>
          <w:kern w:val="0"/>
          <w:sz w:val="32"/>
          <w:szCs w:val="32"/>
          <w:lang w:val="en-US" w:eastAsia="zh-CN" w:bidi="ar-SA"/>
        </w:rPr>
        <w:t>开设绿色通道。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 w:firstLine="640" w:firstLineChars="200"/>
        <w:jc w:val="both"/>
        <w:textAlignment w:val="auto"/>
        <w:outlineLvl w:val="9"/>
        <w:rPr>
          <w:rFonts w:hint="eastAsia" w:ascii="黑体" w:eastAsia="黑体" w:cs="黑体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kern w:val="0"/>
          <w:sz w:val="32"/>
          <w:szCs w:val="32"/>
          <w:lang w:val="en-US" w:eastAsia="zh-CN" w:bidi="ar-SA"/>
        </w:rPr>
        <w:t>二、统一标识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zh-CN" w:bidi="ar-SA"/>
        </w:rPr>
        <w:t>规范设置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zh-CN" w:bidi="ar-SA"/>
        </w:rPr>
        <w:t>园区政务服务中心</w:t>
      </w:r>
      <w:r>
        <w:rPr>
          <w:rFonts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zh-CN" w:bidi="ar-SA"/>
        </w:rPr>
        <w:t>综合服务窗口，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zh-CN" w:bidi="ar-SA"/>
        </w:rPr>
        <w:t>根据园区企业数量、办事频率</w:t>
      </w:r>
      <w:r>
        <w:rPr>
          <w:rFonts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zh-CN" w:bidi="ar-SA"/>
        </w:rPr>
        <w:t>合理设置窗口功能区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zh-CN" w:bidi="ar-SA"/>
        </w:rPr>
        <w:t>，明确岗位职责、配备专业人员，优化升级</w:t>
      </w:r>
      <w:r>
        <w:rPr>
          <w:rFonts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zh-CN" w:bidi="ar-SA"/>
        </w:rPr>
        <w:t>硬软件设施，提升园区政务服务实体平台建设水平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 w:bidi="ar-SA"/>
        </w:rPr>
        <w:t>在园区政务服务中心咨询台、引导台等区域摆放立式可移动“园区事园区办”标牌，选取</w:t>
      </w:r>
      <w:r>
        <w:rPr>
          <w:rFonts w:hint="eastAsia" w:ascii="Times New Roman" w:hAnsi="Times New Roman" w:cs="仿宋_GB2312"/>
          <w:bCs/>
          <w:kern w:val="0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 w:bidi="ar-SA"/>
        </w:rPr>
        <w:t>个以上</w:t>
      </w:r>
      <w:r>
        <w:rPr>
          <w:rFonts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zh-CN" w:bidi="ar-SA"/>
        </w:rPr>
        <w:t>综合服务窗口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kern w:val="2"/>
          <w:sz w:val="32"/>
          <w:szCs w:val="32"/>
          <w:lang w:val="en-US" w:eastAsia="zh-CN" w:bidi="ar-SA"/>
        </w:rPr>
        <w:t>悬挂</w:t>
      </w:r>
      <w:r>
        <w:rPr>
          <w:rFonts w:hint="eastAsia" w:ascii="仿宋_GB2312" w:eastAsia="仿宋_GB2312" w:cs="仿宋_GB2312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“帮办”“代办”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 w:bidi="ar-SA"/>
        </w:rPr>
        <w:t>标牌</w:t>
      </w:r>
      <w:r>
        <w:rPr>
          <w:rFonts w:hint="eastAsia" w:ascii="仿宋_GB2312" w:eastAsia="仿宋_GB2312" w:cs="仿宋_GB2312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，</w:t>
      </w:r>
      <w:r>
        <w:rPr>
          <w:rFonts w:hint="eastAsia" w:ascii="仿宋_GB2312" w:eastAsia="仿宋_GB2312" w:cs="仿宋_GB2312"/>
          <w:bCs/>
          <w:kern w:val="0"/>
          <w:sz w:val="32"/>
          <w:szCs w:val="32"/>
          <w:lang w:val="en-US" w:eastAsia="zh-CN" w:bidi="ar-SA"/>
        </w:rPr>
        <w:t>为园区企业提供业务咨询、申请材料预审等服务。</w:t>
      </w:r>
      <w:r>
        <w:rPr>
          <w:rFonts w:hint="eastAsia" w:ascii="仿宋_GB2312" w:eastAsia="仿宋_GB2312" w:cs="仿宋_GB2312"/>
          <w:b w:val="0"/>
          <w:i w:val="0"/>
          <w:caps w:val="0"/>
          <w:smallCaps w:val="0"/>
          <w:strike w:val="0"/>
          <w:dstrike w:val="0"/>
          <w:snapToGrid/>
          <w:vanish w:val="0"/>
          <w:color w:val="000000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  <w:lang w:val="en-US" w:eastAsia="zh-CN" w:bidi="ar-SA"/>
        </w:rPr>
        <w:t>在政务服务中心显眼处张贴“一表办”指南，实现企业办事只看“一张表”。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eastAsia="黑体" w:cs="黑体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kern w:val="0"/>
          <w:sz w:val="32"/>
          <w:szCs w:val="32"/>
          <w:lang w:val="en-US" w:eastAsia="zh-CN" w:bidi="ar-SA"/>
        </w:rPr>
        <w:t>规范流程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baseline"/>
        <w:outlineLvl w:val="9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建立健全园区政务服务中心运行管理制度、完善办事指南、规范办事流程，推进服务更加规范、办事更加便捷。围绕园区涉企经济事项清单，精准编制办事指南和审查要点，制作一次性告知单和</w:t>
      </w:r>
      <w:r>
        <w:rPr>
          <w:rFonts w:hint="eastAsia" w:ascii="仿宋_GB2312" w:eastAsia="仿宋_GB2312"/>
          <w:sz w:val="32"/>
          <w:szCs w:val="32"/>
        </w:rPr>
        <w:t>答疑手册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，严格履行首问责任制和“一次性告知”制。符合申请条件、材料齐全且符合法定形式的当场收件转办，不符合的，加以“补正”指导并一次告知“补正”要求，避免“退件”延长办理时限。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right="0" w:firstLine="640" w:firstLineChars="200"/>
        <w:jc w:val="both"/>
        <w:textAlignment w:val="auto"/>
        <w:outlineLvl w:val="9"/>
        <w:rPr>
          <w:rFonts w:hint="eastAsia" w:ascii="黑体" w:eastAsia="黑体" w:cs="黑体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kern w:val="0"/>
          <w:sz w:val="32"/>
          <w:szCs w:val="32"/>
          <w:lang w:val="en-US" w:eastAsia="zh-CN" w:bidi="ar-SA"/>
        </w:rPr>
        <w:t>以评促优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Autospacing="0" w:line="58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充</w:t>
      </w: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分发挥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“</w:t>
      </w: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好差评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制度的正向激励作用，依托贵州政务服务网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“</w:t>
      </w: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好差评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系统，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在园区政务服务中心开通并使用“好差评”系统以及</w:t>
      </w: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提供线下满意度问卷调查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，接受服务对象评价，</w:t>
      </w: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形成政务服务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“</w:t>
      </w: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评价—反馈—整改—监督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”</w:t>
      </w: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良性循环，实现线上PC端、线下窗口端、手机端短信对每个事项可评价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对代办人员可评价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对经办人员可评价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。评价结果与</w:t>
      </w: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代办人员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、</w:t>
      </w:r>
      <w:r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  <w:t>经办人员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-SA"/>
        </w:rPr>
        <w:t>绩效工资挂钩。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40" w:firstLineChars="200"/>
        <w:textAlignment w:val="auto"/>
        <w:rPr>
          <w:rFonts w:asci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80" w:lineRule="exact"/>
        <w:rPr>
          <w:rFonts w:hint="eastAsia"/>
          <w:lang w:val="en-US" w:eastAsia="zh-CN"/>
        </w:rPr>
      </w:pPr>
    </w:p>
    <w:sectPr>
      <w:pgSz w:w="11906" w:h="16838"/>
      <w:pgMar w:top="2098" w:right="1588" w:bottom="1701" w:left="1588" w:header="851" w:footer="1418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D80C9"/>
    <w:multiLevelType w:val="singleLevel"/>
    <w:tmpl w:val="2C9D80C9"/>
    <w:lvl w:ilvl="0" w:tentative="0">
      <w:start w:val="3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Dg5NzM3Y2NhMTkzNGMwMmQxMTg5NTVkZmNlYmI3ZGIifQ=="/>
  </w:docVars>
  <w:rsids>
    <w:rsidRoot w:val="00000000"/>
    <w:rsid w:val="17BC630B"/>
    <w:rsid w:val="5E6856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宋体" w:hAnsi="宋体" w:eastAsia="黑体"/>
      <w:b/>
      <w:sz w:val="32"/>
    </w:rPr>
  </w:style>
  <w:style w:type="paragraph" w:styleId="5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paragraph" w:styleId="2">
    <w:name w:val="heading 4"/>
    <w:basedOn w:val="1"/>
    <w:next w:val="1"/>
    <w:uiPriority w:val="0"/>
    <w:pPr>
      <w:adjustRightInd w:val="0"/>
      <w:snapToGrid w:val="0"/>
      <w:spacing w:after="156" w:line="400" w:lineRule="exact"/>
      <w:outlineLvl w:val="3"/>
    </w:pPr>
    <w:rPr>
      <w:rFonts w:ascii="Times New Roman" w:hAnsi="Times New Roman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able of authorities"/>
    <w:basedOn w:val="1"/>
    <w:next w:val="1"/>
    <w:uiPriority w:val="0"/>
    <w:pPr>
      <w:ind w:left="200" w:leftChars="200"/>
    </w:pPr>
    <w:rPr>
      <w:sz w:val="32"/>
    </w:rPr>
  </w:style>
  <w:style w:type="paragraph" w:styleId="8">
    <w:name w:val="Body Text"/>
    <w:basedOn w:val="1"/>
    <w:next w:val="1"/>
    <w:uiPriority w:val="0"/>
    <w:pPr>
      <w:spacing w:after="120"/>
    </w:pPr>
  </w:style>
  <w:style w:type="paragraph" w:styleId="9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2">
    <w:name w:val="正文1"/>
    <w:uiPriority w:val="0"/>
    <w:pPr>
      <w:widowControl w:val="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13">
    <w:name w:val="_Style 1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862</Words>
  <Characters>869</Characters>
  <Lines>42</Lines>
  <Paragraphs>11</Paragraphs>
  <TotalTime>141</TotalTime>
  <ScaleCrop>false</ScaleCrop>
  <LinksUpToDate>false</LinksUpToDate>
  <CharactersWithSpaces>869</CharactersWithSpaces>
  <Application>WPS Office_11.8.6.8811_F1E327BC-269C-435d-A152-05C5408002CA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2022-12-15T01:48:00Z</dcterms:created>
  <dc:creator>Administrator</dc:creator>
  <cp:lastModifiedBy>张艳红</cp:lastModifiedBy>
  <cp:lastPrinted>2023-04-25T06:38:32Z</cp:lastPrinted>
  <dcterms:modified xsi:type="dcterms:W3CDTF">2023-04-25T07:32:11Z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0417570C0BA94242B08C43FD59B3BB1A</vt:lpwstr>
  </property>
</Properties>
</file>