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rPr>
      </w:pPr>
      <w:r>
        <w:rPr>
          <w:rFonts w:hint="eastAsia" w:ascii="黑体" w:hAnsi="黑体" w:eastAsia="黑体" w:cs="黑体"/>
          <w:sz w:val="36"/>
          <w:szCs w:val="36"/>
        </w:rPr>
        <w:t>贵阳</w:t>
      </w:r>
      <w:r>
        <w:rPr>
          <w:rFonts w:hint="eastAsia" w:ascii="黑体" w:hAnsi="黑体" w:eastAsia="黑体" w:cs="黑体"/>
          <w:sz w:val="36"/>
          <w:szCs w:val="36"/>
          <w:lang w:val="en-US" w:eastAsia="zh-CN"/>
        </w:rPr>
        <w:t>高新</w:t>
      </w:r>
      <w:r>
        <w:rPr>
          <w:rFonts w:hint="eastAsia" w:ascii="黑体" w:hAnsi="黑体" w:eastAsia="黑体" w:cs="黑体"/>
          <w:sz w:val="36"/>
          <w:szCs w:val="36"/>
        </w:rPr>
        <w:t>区关于20</w:t>
      </w:r>
      <w:r>
        <w:rPr>
          <w:rFonts w:hint="eastAsia" w:ascii="黑体" w:hAnsi="黑体" w:eastAsia="黑体" w:cs="黑体"/>
          <w:sz w:val="36"/>
          <w:szCs w:val="36"/>
          <w:lang w:val="en-US" w:eastAsia="zh-CN"/>
        </w:rPr>
        <w:t>21</w:t>
      </w:r>
      <w:r>
        <w:rPr>
          <w:rFonts w:hint="eastAsia" w:ascii="黑体" w:hAnsi="黑体" w:eastAsia="黑体" w:cs="黑体"/>
          <w:sz w:val="36"/>
          <w:szCs w:val="36"/>
        </w:rPr>
        <w:t>年一般公共预算转移支付收入情况</w:t>
      </w:r>
      <w:r>
        <w:rPr>
          <w:rFonts w:hint="eastAsia" w:ascii="黑体" w:hAnsi="黑体" w:eastAsia="黑体" w:cs="黑体"/>
          <w:sz w:val="36"/>
          <w:szCs w:val="36"/>
          <w:lang w:val="en-US" w:eastAsia="zh-CN"/>
        </w:rPr>
        <w:t>预算</w:t>
      </w:r>
      <w:r>
        <w:rPr>
          <w:rFonts w:hint="eastAsia" w:ascii="黑体" w:hAnsi="黑体" w:eastAsia="黑体" w:cs="黑体"/>
          <w:sz w:val="36"/>
          <w:szCs w:val="36"/>
        </w:rPr>
        <w:t>说明</w:t>
      </w:r>
    </w:p>
    <w:p>
      <w:pPr>
        <w:jc w:val="center"/>
        <w:rPr>
          <w:rFonts w:hint="eastAsia" w:ascii="黑体" w:hAnsi="黑体" w:eastAsia="黑体" w:cs="黑体"/>
          <w:sz w:val="36"/>
          <w:szCs w:val="36"/>
        </w:rPr>
      </w:pPr>
    </w:p>
    <w:p>
      <w:pPr>
        <w:ind w:firstLine="64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年税收返还和转移支付预算数为</w:t>
      </w:r>
      <w:r>
        <w:rPr>
          <w:rFonts w:hint="eastAsia" w:ascii="仿宋_GB2312" w:hAnsi="仿宋" w:eastAsia="仿宋_GB2312" w:cs="仿宋_GB2312"/>
          <w:sz w:val="32"/>
          <w:szCs w:val="32"/>
          <w:lang w:val="en-US" w:eastAsia="zh-CN"/>
        </w:rPr>
        <w:t>17011</w:t>
      </w:r>
      <w:r>
        <w:rPr>
          <w:rFonts w:hint="eastAsia" w:ascii="仿宋" w:hAnsi="仿宋" w:eastAsia="仿宋" w:cs="仿宋"/>
          <w:sz w:val="32"/>
          <w:szCs w:val="32"/>
        </w:rPr>
        <w:t>万元。具体情况如下：</w:t>
      </w:r>
    </w:p>
    <w:p>
      <w:pPr>
        <w:ind w:firstLine="640"/>
        <w:rPr>
          <w:rFonts w:ascii="仿宋" w:hAnsi="仿宋" w:eastAsia="仿宋" w:cs="仿宋"/>
          <w:sz w:val="32"/>
          <w:szCs w:val="32"/>
        </w:rPr>
      </w:pPr>
      <w:r>
        <w:rPr>
          <w:rFonts w:hint="eastAsia" w:ascii="仿宋" w:hAnsi="仿宋" w:eastAsia="仿宋" w:cs="仿宋"/>
          <w:sz w:val="32"/>
          <w:szCs w:val="32"/>
        </w:rPr>
        <w:t>1、地方税收返还</w:t>
      </w:r>
    </w:p>
    <w:p>
      <w:pPr>
        <w:ind w:firstLine="64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年税收返还</w:t>
      </w:r>
      <w:r>
        <w:rPr>
          <w:rFonts w:hint="eastAsia" w:ascii="仿宋" w:hAnsi="仿宋" w:eastAsia="仿宋" w:cs="仿宋"/>
          <w:sz w:val="32"/>
          <w:szCs w:val="32"/>
          <w:lang w:val="en-US" w:eastAsia="zh-CN"/>
        </w:rPr>
        <w:t>16378</w:t>
      </w:r>
      <w:r>
        <w:rPr>
          <w:rFonts w:hint="eastAsia" w:ascii="仿宋" w:hAnsi="仿宋" w:eastAsia="仿宋" w:cs="仿宋"/>
          <w:sz w:val="32"/>
          <w:szCs w:val="32"/>
        </w:rPr>
        <w:t>万元，为全面推开营改增和增值税五五分享改革后，根据市与区收入分享体制，从全面推开营改增试点省对市增值税税收返还基数中安排分配给我区的增值税“五五分享”税收返还。</w:t>
      </w:r>
    </w:p>
    <w:p>
      <w:pPr>
        <w:ind w:firstLine="640"/>
        <w:rPr>
          <w:rFonts w:ascii="仿宋" w:hAnsi="仿宋" w:eastAsia="仿宋" w:cs="仿宋"/>
          <w:sz w:val="32"/>
          <w:szCs w:val="32"/>
        </w:rPr>
      </w:pPr>
      <w:r>
        <w:rPr>
          <w:rFonts w:hint="eastAsia" w:ascii="仿宋" w:hAnsi="仿宋" w:eastAsia="仿宋" w:cs="仿宋"/>
          <w:sz w:val="32"/>
          <w:szCs w:val="32"/>
        </w:rPr>
        <w:t>2、一般性转移支付</w:t>
      </w:r>
    </w:p>
    <w:p>
      <w:pPr>
        <w:ind w:firstLine="64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年一般性转移支付</w:t>
      </w:r>
      <w:r>
        <w:rPr>
          <w:rFonts w:hint="eastAsia" w:ascii="仿宋" w:hAnsi="仿宋" w:eastAsia="仿宋" w:cs="仿宋"/>
          <w:sz w:val="32"/>
          <w:szCs w:val="32"/>
          <w:lang w:val="en-US" w:eastAsia="zh-CN"/>
        </w:rPr>
        <w:t>预</w:t>
      </w:r>
      <w:r>
        <w:rPr>
          <w:rFonts w:hint="eastAsia" w:ascii="仿宋" w:hAnsi="仿宋" w:eastAsia="仿宋" w:cs="仿宋"/>
          <w:sz w:val="32"/>
          <w:szCs w:val="32"/>
        </w:rPr>
        <w:t>算数为</w:t>
      </w:r>
      <w:r>
        <w:rPr>
          <w:rFonts w:hint="eastAsia" w:ascii="仿宋" w:hAnsi="仿宋" w:eastAsia="仿宋" w:cs="仿宋"/>
          <w:sz w:val="32"/>
          <w:szCs w:val="32"/>
          <w:lang w:val="en-US" w:eastAsia="zh-CN"/>
        </w:rPr>
        <w:t>633</w:t>
      </w:r>
      <w:r>
        <w:rPr>
          <w:rFonts w:hint="eastAsia" w:ascii="仿宋" w:hAnsi="仿宋" w:eastAsia="仿宋" w:cs="仿宋"/>
          <w:sz w:val="32"/>
          <w:szCs w:val="32"/>
        </w:rPr>
        <w:t>万元，其中：</w:t>
      </w:r>
    </w:p>
    <w:p>
      <w:pPr>
        <w:ind w:firstLine="640"/>
        <w:rPr>
          <w:rFonts w:hint="eastAsia" w:ascii="仿宋" w:hAnsi="仿宋" w:eastAsia="仿宋" w:cs="仿宋"/>
          <w:sz w:val="32"/>
          <w:szCs w:val="32"/>
          <w:lang w:eastAsia="zh-CN"/>
        </w:rPr>
      </w:pPr>
      <w:r>
        <w:rPr>
          <w:rFonts w:hint="eastAsia" w:ascii="仿宋" w:hAnsi="仿宋" w:eastAsia="仿宋" w:cs="仿宋"/>
          <w:sz w:val="32"/>
          <w:szCs w:val="32"/>
        </w:rPr>
        <w:t>（1）均衡性转移支付为</w:t>
      </w:r>
      <w:r>
        <w:rPr>
          <w:rFonts w:hint="eastAsia" w:ascii="仿宋" w:hAnsi="仿宋" w:eastAsia="仿宋" w:cs="仿宋"/>
          <w:sz w:val="32"/>
          <w:szCs w:val="32"/>
          <w:lang w:val="en-US" w:eastAsia="zh-CN"/>
        </w:rPr>
        <w:t>69</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rPr>
        <w:t>（2）</w:t>
      </w:r>
      <w:r>
        <w:rPr>
          <w:rFonts w:hint="eastAsia" w:ascii="仿宋" w:hAnsi="仿宋" w:eastAsia="仿宋" w:cs="仿宋"/>
          <w:sz w:val="32"/>
          <w:szCs w:val="32"/>
          <w:lang w:val="en-US" w:eastAsia="zh-CN"/>
        </w:rPr>
        <w:t>结算补助收入5312万元；</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rPr>
        <w:t>（3）固定数额补助收入</w:t>
      </w:r>
      <w:r>
        <w:rPr>
          <w:rFonts w:hint="eastAsia" w:ascii="仿宋" w:hAnsi="仿宋" w:eastAsia="仿宋" w:cs="仿宋"/>
          <w:sz w:val="32"/>
          <w:szCs w:val="32"/>
          <w:lang w:val="en-US" w:eastAsia="zh-CN"/>
        </w:rPr>
        <w:t>-3881万元，</w:t>
      </w:r>
      <w:bookmarkStart w:id="0" w:name="_GoBack"/>
      <w:r>
        <w:rPr>
          <w:rFonts w:hint="eastAsia" w:ascii="仿宋" w:hAnsi="仿宋" w:eastAsia="仿宋" w:cs="仿宋"/>
          <w:sz w:val="32"/>
          <w:szCs w:val="32"/>
          <w:lang w:val="en-US" w:eastAsia="zh-CN"/>
        </w:rPr>
        <w:t>主要为市对区的体制补助，上级以负数体现；</w:t>
      </w:r>
    </w:p>
    <w:bookmarkEnd w:id="0"/>
    <w:p>
      <w:pPr>
        <w:ind w:firstLine="640"/>
        <w:rPr>
          <w:rFonts w:hint="eastAsia" w:ascii="仿宋" w:hAnsi="仿宋" w:eastAsia="仿宋" w:cs="仿宋"/>
          <w:sz w:val="32"/>
          <w:szCs w:val="32"/>
          <w:lang w:eastAsia="zh-CN"/>
        </w:rPr>
      </w:pPr>
      <w:r>
        <w:rPr>
          <w:rFonts w:hint="eastAsia" w:ascii="仿宋" w:hAnsi="仿宋" w:eastAsia="仿宋" w:cs="仿宋"/>
          <w:sz w:val="32"/>
          <w:szCs w:val="32"/>
        </w:rPr>
        <w:t>（4）民族地区转移支付收入为</w:t>
      </w:r>
      <w:r>
        <w:rPr>
          <w:rFonts w:hint="eastAsia" w:ascii="仿宋" w:hAnsi="仿宋" w:eastAsia="仿宋" w:cs="仿宋"/>
          <w:sz w:val="32"/>
          <w:szCs w:val="32"/>
          <w:lang w:val="en-US" w:eastAsia="zh-CN"/>
        </w:rPr>
        <w:t>374</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5）其他一般性转移支付收入-1241万元，为负数的原因是在此项收入中上解2021年时代沃顿科技有限公司税收收入区级留存基数-3011万元和上解2021年大自然科技公司税收收入区级留存基数-1107万元导致。</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3、专项转移支付</w:t>
      </w:r>
    </w:p>
    <w:p>
      <w:pPr>
        <w:ind w:firstLine="640"/>
        <w:rPr>
          <w:rFonts w:hint="eastAsia" w:ascii="仿宋" w:hAnsi="仿宋" w:eastAsia="仿宋" w:cs="仿宋"/>
          <w:sz w:val="32"/>
          <w:szCs w:val="32"/>
          <w:lang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年一般性转移支付</w:t>
      </w:r>
      <w:r>
        <w:rPr>
          <w:rFonts w:hint="eastAsia" w:ascii="仿宋" w:hAnsi="仿宋" w:eastAsia="仿宋" w:cs="仿宋"/>
          <w:sz w:val="32"/>
          <w:szCs w:val="32"/>
          <w:lang w:val="en-US" w:eastAsia="zh-CN"/>
        </w:rPr>
        <w:t>预</w:t>
      </w:r>
      <w:r>
        <w:rPr>
          <w:rFonts w:hint="eastAsia" w:ascii="仿宋" w:hAnsi="仿宋" w:eastAsia="仿宋" w:cs="仿宋"/>
          <w:sz w:val="32"/>
          <w:szCs w:val="32"/>
        </w:rPr>
        <w:t>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特别说明：</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因本区为市政府派出机构，无下级单位，故未发生对下级单位的转移支付。</w:t>
      </w:r>
    </w:p>
    <w:p>
      <w:pPr>
        <w:ind w:firstLine="640"/>
        <w:rPr>
          <w:rFonts w:hint="eastAsia" w:ascii="仿宋" w:hAnsi="仿宋" w:eastAsia="仿宋" w:cs="仿宋"/>
          <w:sz w:val="32"/>
          <w:szCs w:val="32"/>
          <w:lang w:val="en-US" w:eastAsia="zh-CN"/>
        </w:rPr>
      </w:pPr>
    </w:p>
    <w:p>
      <w:pPr>
        <w:rPr>
          <w:rFonts w:hint="default" w:ascii="仿宋" w:hAnsi="仿宋" w:eastAsia="仿宋" w:cs="仿宋"/>
          <w:sz w:val="32"/>
          <w:szCs w:val="32"/>
          <w:lang w:val="en-US" w:eastAsia="zh-CN"/>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9QemMoBAACWAwAADgAAAGRycy9lMm9Eb2MueG1srVNLbtswEN0X6B0I&#10;7mvJBlI4guWghZGiQNEESHMAmqIsAiSH4NCWfIH2Bll1033P5XN0SMlOkW6y6IaaH9/MexytbgZr&#10;2EEF1OBqPp+VnCknodFuV/PHb7fvlpxhFK4RBpyq+VEhv1m/fbPqfaUW0IFpVGAE4rDqfc27GH1V&#10;FCg7ZQXOwCtHyRaCFZHcsCuaIHpCt6ZYlOX7oofQ+ABSIVJ0Myb5hBheAwhtq6XagNxb5eKIGpQR&#10;kShhpz3ydZ62bZWMd22LKjJTc2Ia80lNyN6ms1ivRLULwndaTiOI14zwgpMV2lHTC9RGRMH2Qf8D&#10;ZbUMgNDGmQRbjESyIsRiXr7Q5qETXmUuJDX6i+j4/2Dl18N9YLqhTeDMCUsPfnr6cfr5+/TrO5sn&#10;eXqPFVU9eKqLw0cYUukURwom1kMbbPoSH0Z5Evd4EVcNkcl0ablYLktKScqdHcIpnq/7gPGTAsuS&#10;UfNAr5dFFYcvGMfSc0nq5uBWG0NxURnH+ppfXy2u8oVLhsCNox6JxDhssuKwHSYGW2iORKynDai5&#10;o4XnzHx2JHBalrMRzsZ2MlJL9B/2kSbIgyXUEWpqRs+VqU2rlfbhbz9XPf9O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9QemMoBAACWAwAADgAAAAAAAAABACAAAAAeAQAAZHJzL2Uyb0Rv&#10;Yy54bWxQSwUGAAAAAAYABgBZAQAAWgUAAAAA&#10;">
              <v:fill on="f" focussize="0,0"/>
              <v:stroke on="f"/>
              <v:imagedata o:title=""/>
              <o:lock v:ext="edit" aspectratio="f"/>
              <v:textbox inset="0mm,0mm,0mm,0mm" style="mso-fit-shape-to-text:t;">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555BB4"/>
    <w:rsid w:val="059445E5"/>
    <w:rsid w:val="3FAA4B07"/>
    <w:rsid w:val="46AD01FB"/>
    <w:rsid w:val="48E77213"/>
    <w:rsid w:val="4C555BB4"/>
    <w:rsid w:val="50C6243D"/>
    <w:rsid w:val="6FFA7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2021-05-30T06:14:00Z</dcterms:created>
  <dc:creator>czj</dc:creator>
  <cp:lastModifiedBy>czj</cp:lastModifiedBy>
  <cp:lastPrinted>2021-05-30T07:26:12Z</cp:lastPrinted>
  <dcterms:modified xsi:type="dcterms:W3CDTF">2021-05-30T07:28:50Z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2CF844C3339E4A1F9F699F4C228CC3AB</vt:lpwstr>
  </property>
</Properties>
</file>