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FAFC">
      <w:pPr>
        <w:pStyle w:val="2"/>
        <w:spacing w:line="257" w:lineRule="auto"/>
      </w:pPr>
    </w:p>
    <w:p w14:paraId="68BD7FAB">
      <w:pPr>
        <w:pStyle w:val="2"/>
        <w:spacing w:line="257" w:lineRule="auto"/>
      </w:pPr>
    </w:p>
    <w:p w14:paraId="71E29A24">
      <w:pPr>
        <w:pStyle w:val="2"/>
        <w:spacing w:line="257" w:lineRule="auto"/>
      </w:pPr>
    </w:p>
    <w:p w14:paraId="0008250C">
      <w:pPr>
        <w:pStyle w:val="2"/>
        <w:spacing w:line="257" w:lineRule="auto"/>
      </w:pPr>
    </w:p>
    <w:p w14:paraId="106B6737">
      <w:pPr>
        <w:pStyle w:val="2"/>
        <w:spacing w:line="257" w:lineRule="auto"/>
      </w:pPr>
    </w:p>
    <w:p w14:paraId="62787F25">
      <w:pPr>
        <w:pStyle w:val="2"/>
        <w:spacing w:line="257" w:lineRule="auto"/>
      </w:pPr>
    </w:p>
    <w:p w14:paraId="77D9709C">
      <w:pPr>
        <w:pStyle w:val="2"/>
        <w:spacing w:line="257" w:lineRule="auto"/>
      </w:pPr>
    </w:p>
    <w:p w14:paraId="7539C87C">
      <w:pPr>
        <w:pStyle w:val="2"/>
        <w:spacing w:line="258" w:lineRule="auto"/>
      </w:pPr>
    </w:p>
    <w:p w14:paraId="4340CFC5">
      <w:pPr>
        <w:pStyle w:val="2"/>
        <w:spacing w:line="258" w:lineRule="auto"/>
      </w:pPr>
    </w:p>
    <w:p w14:paraId="2C048AB3">
      <w:pPr>
        <w:spacing w:before="140" w:line="361" w:lineRule="auto"/>
        <w:ind w:left="1786" w:right="1972" w:firstLine="211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4"/>
          <w:sz w:val="43"/>
          <w:szCs w:val="43"/>
        </w:rPr>
        <w:t>贵阳市中心实验幼儿园</w:t>
      </w:r>
      <w:r>
        <w:rPr>
          <w:rFonts w:ascii="黑体" w:hAnsi="黑体" w:eastAsia="黑体" w:cs="黑体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2"/>
          <w:sz w:val="43"/>
          <w:szCs w:val="43"/>
        </w:rPr>
        <w:t>2023</w:t>
      </w:r>
      <w:r>
        <w:rPr>
          <w:rFonts w:ascii="黑体" w:hAnsi="黑体" w:eastAsia="黑体" w:cs="黑体"/>
          <w:spacing w:val="-83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2"/>
          <w:sz w:val="43"/>
          <w:szCs w:val="43"/>
        </w:rPr>
        <w:t>年部门预算公开信息</w:t>
      </w:r>
    </w:p>
    <w:p w14:paraId="12258748">
      <w:pPr>
        <w:pStyle w:val="2"/>
        <w:spacing w:line="241" w:lineRule="auto"/>
      </w:pPr>
    </w:p>
    <w:p w14:paraId="7967B92F">
      <w:pPr>
        <w:pStyle w:val="2"/>
        <w:spacing w:line="241" w:lineRule="auto"/>
      </w:pPr>
    </w:p>
    <w:p w14:paraId="6E2BD8DE">
      <w:pPr>
        <w:pStyle w:val="2"/>
        <w:spacing w:line="241" w:lineRule="auto"/>
      </w:pPr>
    </w:p>
    <w:p w14:paraId="505FFB14">
      <w:pPr>
        <w:pStyle w:val="2"/>
        <w:spacing w:line="241" w:lineRule="auto"/>
      </w:pPr>
    </w:p>
    <w:p w14:paraId="3A459075">
      <w:pPr>
        <w:pStyle w:val="2"/>
        <w:spacing w:line="241" w:lineRule="auto"/>
      </w:pPr>
    </w:p>
    <w:p w14:paraId="36014926">
      <w:pPr>
        <w:pStyle w:val="2"/>
        <w:spacing w:line="241" w:lineRule="auto"/>
      </w:pPr>
    </w:p>
    <w:p w14:paraId="7E1B2A1D">
      <w:pPr>
        <w:pStyle w:val="2"/>
        <w:spacing w:line="241" w:lineRule="auto"/>
      </w:pPr>
    </w:p>
    <w:p w14:paraId="5CC45A4E">
      <w:pPr>
        <w:pStyle w:val="2"/>
        <w:spacing w:line="241" w:lineRule="auto"/>
      </w:pPr>
    </w:p>
    <w:p w14:paraId="43AA1AC5">
      <w:pPr>
        <w:pStyle w:val="2"/>
        <w:spacing w:line="241" w:lineRule="auto"/>
      </w:pPr>
    </w:p>
    <w:p w14:paraId="7F3AB43B">
      <w:pPr>
        <w:pStyle w:val="2"/>
        <w:spacing w:line="241" w:lineRule="auto"/>
      </w:pPr>
    </w:p>
    <w:p w14:paraId="46ABDB5E">
      <w:pPr>
        <w:pStyle w:val="2"/>
        <w:spacing w:line="241" w:lineRule="auto"/>
      </w:pPr>
    </w:p>
    <w:p w14:paraId="49EF113E">
      <w:pPr>
        <w:pStyle w:val="2"/>
        <w:spacing w:line="241" w:lineRule="auto"/>
      </w:pPr>
    </w:p>
    <w:p w14:paraId="36F0E605">
      <w:pPr>
        <w:pStyle w:val="2"/>
        <w:spacing w:line="241" w:lineRule="auto"/>
      </w:pPr>
    </w:p>
    <w:p w14:paraId="6EE22180">
      <w:pPr>
        <w:pStyle w:val="2"/>
        <w:spacing w:line="241" w:lineRule="auto"/>
      </w:pPr>
    </w:p>
    <w:p w14:paraId="06185FBA">
      <w:pPr>
        <w:pStyle w:val="2"/>
        <w:spacing w:line="241" w:lineRule="auto"/>
      </w:pPr>
    </w:p>
    <w:p w14:paraId="65040A9E">
      <w:pPr>
        <w:pStyle w:val="2"/>
        <w:spacing w:line="241" w:lineRule="auto"/>
      </w:pPr>
    </w:p>
    <w:p w14:paraId="38F5CDB1">
      <w:pPr>
        <w:pStyle w:val="2"/>
        <w:spacing w:line="241" w:lineRule="auto"/>
      </w:pPr>
    </w:p>
    <w:p w14:paraId="5CB2D3AB">
      <w:pPr>
        <w:pStyle w:val="2"/>
        <w:spacing w:line="241" w:lineRule="auto"/>
      </w:pPr>
    </w:p>
    <w:p w14:paraId="5DD0D12A">
      <w:pPr>
        <w:pStyle w:val="2"/>
        <w:spacing w:line="241" w:lineRule="auto"/>
      </w:pPr>
    </w:p>
    <w:p w14:paraId="10C969A7">
      <w:pPr>
        <w:pStyle w:val="2"/>
        <w:spacing w:line="241" w:lineRule="auto"/>
      </w:pPr>
    </w:p>
    <w:p w14:paraId="7FB2F9C9">
      <w:pPr>
        <w:pStyle w:val="2"/>
        <w:spacing w:line="241" w:lineRule="auto"/>
      </w:pPr>
    </w:p>
    <w:p w14:paraId="5F075364">
      <w:pPr>
        <w:pStyle w:val="2"/>
        <w:spacing w:line="242" w:lineRule="auto"/>
      </w:pPr>
    </w:p>
    <w:p w14:paraId="112B2ABB">
      <w:pPr>
        <w:pStyle w:val="2"/>
        <w:spacing w:line="242" w:lineRule="auto"/>
      </w:pPr>
    </w:p>
    <w:p w14:paraId="5C8F1074">
      <w:pPr>
        <w:pStyle w:val="2"/>
        <w:spacing w:line="242" w:lineRule="auto"/>
      </w:pPr>
    </w:p>
    <w:p w14:paraId="4A07A682">
      <w:pPr>
        <w:spacing w:before="91" w:line="366" w:lineRule="auto"/>
        <w:ind w:left="2721" w:right="2557" w:hanging="34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贵阳市中心实验幼儿园   编制</w:t>
      </w:r>
      <w:r>
        <w:rPr>
          <w:rFonts w:ascii="黑体" w:hAnsi="黑体" w:eastAsia="黑体" w:cs="黑体"/>
          <w:spacing w:val="9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5"/>
          <w:sz w:val="28"/>
          <w:szCs w:val="28"/>
        </w:rPr>
        <w:t>二〇二三年三月二十八日</w:t>
      </w:r>
    </w:p>
    <w:p w14:paraId="5CB0A282">
      <w:pPr>
        <w:spacing w:line="366" w:lineRule="auto"/>
        <w:rPr>
          <w:rFonts w:ascii="黑体" w:hAnsi="黑体" w:eastAsia="黑体" w:cs="黑体"/>
          <w:sz w:val="28"/>
          <w:szCs w:val="28"/>
        </w:rPr>
        <w:sectPr>
          <w:footerReference r:id="rId5" w:type="default"/>
          <w:pgSz w:w="11906" w:h="16839"/>
          <w:pgMar w:top="1431" w:right="1471" w:bottom="1751" w:left="1785" w:header="0" w:footer="1589" w:gutter="0"/>
          <w:cols w:space="720" w:num="1"/>
        </w:sectPr>
      </w:pPr>
    </w:p>
    <w:p w14:paraId="45902E54">
      <w:pPr>
        <w:pStyle w:val="2"/>
        <w:spacing w:line="310" w:lineRule="auto"/>
      </w:pPr>
    </w:p>
    <w:p w14:paraId="2FFDD08A">
      <w:pPr>
        <w:pStyle w:val="2"/>
        <w:spacing w:line="311" w:lineRule="auto"/>
      </w:pPr>
    </w:p>
    <w:p w14:paraId="794C0B2C">
      <w:pPr>
        <w:pStyle w:val="2"/>
        <w:spacing w:line="311" w:lineRule="auto"/>
      </w:pPr>
    </w:p>
    <w:p w14:paraId="38B4F379">
      <w:pPr>
        <w:spacing w:before="139" w:line="225" w:lineRule="auto"/>
        <w:ind w:left="3738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32"/>
          <w:sz w:val="43"/>
          <w:szCs w:val="43"/>
        </w:rPr>
        <w:t>目</w:t>
      </w:r>
      <w:r>
        <w:rPr>
          <w:rFonts w:ascii="黑体" w:hAnsi="黑体" w:eastAsia="黑体" w:cs="黑体"/>
          <w:spacing w:val="11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32"/>
          <w:sz w:val="43"/>
          <w:szCs w:val="43"/>
        </w:rPr>
        <w:t>录</w:t>
      </w:r>
    </w:p>
    <w:p w14:paraId="4B0A19F3">
      <w:pPr>
        <w:pStyle w:val="2"/>
        <w:spacing w:line="306" w:lineRule="auto"/>
      </w:pPr>
    </w:p>
    <w:p w14:paraId="145C5752">
      <w:pPr>
        <w:pStyle w:val="2"/>
        <w:spacing w:line="307" w:lineRule="auto"/>
      </w:pPr>
    </w:p>
    <w:p w14:paraId="39AEFBF6">
      <w:pPr>
        <w:spacing w:before="101" w:line="226" w:lineRule="auto"/>
        <w:ind w:left="3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一、单位概况</w:t>
      </w:r>
    </w:p>
    <w:p w14:paraId="2B4F312C">
      <w:pPr>
        <w:spacing w:before="179" w:line="226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（一）单位主要职能</w:t>
      </w:r>
    </w:p>
    <w:p w14:paraId="70636F64">
      <w:pPr>
        <w:spacing w:before="182" w:line="226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（二）单位机构设置</w:t>
      </w:r>
    </w:p>
    <w:p w14:paraId="5ACD671A">
      <w:pPr>
        <w:spacing w:before="180" w:line="226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（三）预算单位构成</w:t>
      </w:r>
    </w:p>
    <w:p w14:paraId="521B3C44">
      <w:pPr>
        <w:spacing w:before="179" w:line="227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（四）部门人员构成</w:t>
      </w:r>
    </w:p>
    <w:p w14:paraId="442C01E4">
      <w:pPr>
        <w:spacing w:before="180" w:line="317" w:lineRule="auto"/>
        <w:ind w:left="346" w:right="3661" w:firstLine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二、单位主要工作任务和政策依据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三、部门预算安排情况说明</w:t>
      </w:r>
    </w:p>
    <w:p w14:paraId="0E2FFC18">
      <w:pPr>
        <w:spacing w:before="54" w:line="227" w:lineRule="auto"/>
        <w:ind w:left="3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2"/>
          <w:sz w:val="31"/>
          <w:szCs w:val="31"/>
        </w:rPr>
        <w:t>四、其他重要事项说明</w:t>
      </w:r>
    </w:p>
    <w:p w14:paraId="5BB7EBBB">
      <w:pPr>
        <w:spacing w:before="181" w:line="226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（一）机关（机构）运行经费情况</w:t>
      </w:r>
    </w:p>
    <w:p w14:paraId="569D9C85">
      <w:pPr>
        <w:spacing w:before="179" w:line="228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（二）国有资产占有使用情况</w:t>
      </w:r>
    </w:p>
    <w:p w14:paraId="71275DEA">
      <w:pPr>
        <w:spacing w:before="177" w:line="227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（三）预算绩效管理情况</w:t>
      </w:r>
    </w:p>
    <w:p w14:paraId="1118F469">
      <w:pPr>
        <w:spacing w:before="180" w:line="228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（四）项目支出安排情况</w:t>
      </w:r>
    </w:p>
    <w:p w14:paraId="6D160E73">
      <w:pPr>
        <w:spacing w:before="176" w:line="228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（五）名词解释</w:t>
      </w:r>
    </w:p>
    <w:p w14:paraId="0513548F">
      <w:pPr>
        <w:spacing w:before="177" w:line="227" w:lineRule="auto"/>
        <w:ind w:left="3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五、2023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z w:val="31"/>
          <w:szCs w:val="31"/>
        </w:rPr>
        <w:t>年部门预算公开表（附表）</w:t>
      </w:r>
    </w:p>
    <w:p w14:paraId="3A171CA0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headerReference r:id="rId6" w:type="default"/>
          <w:footerReference r:id="rId7" w:type="default"/>
          <w:pgSz w:w="11906" w:h="16839"/>
          <w:pgMar w:top="1091" w:right="1584" w:bottom="1751" w:left="1587" w:header="1076" w:footer="1589" w:gutter="0"/>
          <w:cols w:space="720" w:num="1"/>
        </w:sectPr>
      </w:pPr>
    </w:p>
    <w:p w14:paraId="54C9FCB7">
      <w:pPr>
        <w:pStyle w:val="2"/>
        <w:spacing w:line="267" w:lineRule="auto"/>
      </w:pPr>
    </w:p>
    <w:p w14:paraId="142C1E05">
      <w:pPr>
        <w:pStyle w:val="2"/>
        <w:spacing w:line="267" w:lineRule="auto"/>
      </w:pPr>
    </w:p>
    <w:p w14:paraId="0F9CBDB7">
      <w:pPr>
        <w:pStyle w:val="2"/>
        <w:spacing w:line="268" w:lineRule="auto"/>
      </w:pPr>
    </w:p>
    <w:p w14:paraId="162C0B17">
      <w:pPr>
        <w:pStyle w:val="2"/>
        <w:spacing w:line="268" w:lineRule="auto"/>
      </w:pPr>
    </w:p>
    <w:p w14:paraId="583DE13B">
      <w:pPr>
        <w:spacing w:before="101" w:line="226" w:lineRule="auto"/>
        <w:ind w:left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一、单位概况</w:t>
      </w:r>
    </w:p>
    <w:p w14:paraId="52B8E5E5">
      <w:pPr>
        <w:spacing w:before="173" w:line="231" w:lineRule="auto"/>
        <w:ind w:left="668"/>
        <w:rPr>
          <w:rFonts w:ascii="宋体" w:hAnsi="宋体" w:eastAsia="宋体" w:cs="宋体"/>
          <w:sz w:val="28"/>
          <w:szCs w:val="28"/>
        </w:rPr>
      </w:pPr>
      <w:r>
        <w:rPr>
          <w:rFonts w:ascii="楷体" w:hAnsi="楷体" w:eastAsia="楷体" w:cs="楷体"/>
          <w:spacing w:val="-2"/>
          <w:sz w:val="31"/>
          <w:szCs w:val="31"/>
        </w:rPr>
        <w:t>（一）单位主要职能：</w:t>
      </w:r>
      <w:r>
        <w:rPr>
          <w:rFonts w:ascii="宋体" w:hAnsi="宋体" w:eastAsia="宋体" w:cs="宋体"/>
          <w:spacing w:val="-2"/>
          <w:sz w:val="28"/>
          <w:szCs w:val="28"/>
        </w:rPr>
        <w:t>为学前儿童提供保育和教育服务；</w:t>
      </w:r>
    </w:p>
    <w:p w14:paraId="5A617C16">
      <w:pPr>
        <w:spacing w:before="164" w:line="231" w:lineRule="auto"/>
        <w:ind w:left="663"/>
        <w:rPr>
          <w:rFonts w:ascii="宋体" w:hAnsi="宋体" w:eastAsia="宋体" w:cs="宋体"/>
          <w:sz w:val="28"/>
          <w:szCs w:val="28"/>
        </w:rPr>
      </w:pPr>
      <w:r>
        <w:rPr>
          <w:rFonts w:ascii="楷体" w:hAnsi="楷体" w:eastAsia="楷体" w:cs="楷体"/>
          <w:spacing w:val="-6"/>
          <w:sz w:val="31"/>
          <w:szCs w:val="31"/>
        </w:rPr>
        <w:t>（二）单位机构设置：</w:t>
      </w:r>
      <w:r>
        <w:rPr>
          <w:rFonts w:ascii="宋体" w:hAnsi="宋体" w:eastAsia="宋体" w:cs="宋体"/>
          <w:spacing w:val="-6"/>
          <w:sz w:val="28"/>
          <w:szCs w:val="28"/>
        </w:rPr>
        <w:t>正科级非参公事业单，本单位无内设处室</w:t>
      </w:r>
    </w:p>
    <w:p w14:paraId="776EB533">
      <w:pPr>
        <w:spacing w:before="166" w:line="275" w:lineRule="auto"/>
        <w:ind w:left="11" w:right="88" w:firstLine="65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楷体" w:hAnsi="楷体" w:eastAsia="楷体" w:cs="楷体"/>
          <w:spacing w:val="9"/>
          <w:sz w:val="31"/>
          <w:szCs w:val="31"/>
        </w:rPr>
        <w:t>（三）预算单位构成：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本部门无下属单位，部门预算即为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本级预算。</w:t>
      </w:r>
    </w:p>
    <w:p w14:paraId="7C08F702">
      <w:pPr>
        <w:spacing w:before="188" w:line="325" w:lineRule="auto"/>
        <w:ind w:left="10" w:right="11" w:firstLine="658"/>
        <w:rPr>
          <w:rFonts w:ascii="宋体" w:hAnsi="宋体" w:eastAsia="宋体" w:cs="宋体"/>
          <w:sz w:val="28"/>
          <w:szCs w:val="28"/>
        </w:rPr>
      </w:pPr>
      <w:r>
        <w:rPr>
          <w:rFonts w:ascii="楷体" w:hAnsi="楷体" w:eastAsia="楷体" w:cs="楷体"/>
          <w:spacing w:val="-6"/>
          <w:sz w:val="31"/>
          <w:szCs w:val="31"/>
        </w:rPr>
        <w:t>（四）部门人员构成：</w:t>
      </w:r>
      <w:r>
        <w:rPr>
          <w:rFonts w:ascii="宋体" w:hAnsi="宋体" w:eastAsia="宋体" w:cs="宋体"/>
          <w:spacing w:val="-6"/>
          <w:sz w:val="28"/>
          <w:szCs w:val="28"/>
        </w:rPr>
        <w:t>根据贵阳市机构编制委员会办公室筑编办</w:t>
      </w:r>
      <w:r>
        <w:rPr>
          <w:rFonts w:ascii="宋体" w:hAnsi="宋体" w:eastAsia="宋体" w:cs="宋体"/>
          <w:spacing w:val="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通【2014】17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号文件，贵阳市中心实验幼儿园编制数为</w:t>
      </w:r>
      <w:r>
        <w:rPr>
          <w:rFonts w:ascii="宋体" w:hAnsi="宋体" w:eastAsia="宋体" w:cs="宋体"/>
          <w:spacing w:val="-6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94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人，其中</w:t>
      </w:r>
      <w:r>
        <w:rPr>
          <w:rFonts w:ascii="宋体" w:hAnsi="宋体" w:eastAsia="宋体" w:cs="宋体"/>
          <w:spacing w:val="-9"/>
          <w:sz w:val="28"/>
          <w:szCs w:val="28"/>
        </w:rPr>
        <w:t>：管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理人员8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名、专业技术人员59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名、工勤人员27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名；单位领导职数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3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人，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其中正职领导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1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人，副职领导</w:t>
      </w:r>
      <w:r>
        <w:rPr>
          <w:rFonts w:ascii="宋体" w:hAnsi="宋体" w:eastAsia="宋体" w:cs="宋体"/>
          <w:spacing w:val="-6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2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人。至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2023</w:t>
      </w:r>
      <w:r>
        <w:rPr>
          <w:rFonts w:ascii="宋体" w:hAnsi="宋体" w:eastAsia="宋体" w:cs="宋体"/>
          <w:spacing w:val="-6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年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3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月末</w:t>
      </w:r>
      <w:r>
        <w:rPr>
          <w:rFonts w:ascii="宋体" w:hAnsi="宋体" w:eastAsia="宋体" w:cs="宋体"/>
          <w:spacing w:val="-9"/>
          <w:sz w:val="28"/>
          <w:szCs w:val="28"/>
        </w:rPr>
        <w:t>我园实有在职职工</w:t>
      </w:r>
    </w:p>
    <w:p w14:paraId="6E2F10F0">
      <w:pPr>
        <w:spacing w:before="221" w:line="292" w:lineRule="auto"/>
        <w:ind w:left="12" w:right="88" w:hanging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82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名，其中管理人员3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人(单位正职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1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人，副职</w:t>
      </w:r>
      <w:r>
        <w:rPr>
          <w:rFonts w:ascii="宋体" w:hAnsi="宋体" w:eastAsia="宋体" w:cs="宋体"/>
          <w:spacing w:val="-6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2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人)，专业技术人员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55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人，工勤人员24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人；退休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74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人。83</w:t>
      </w:r>
      <w:r>
        <w:rPr>
          <w:rFonts w:ascii="宋体" w:hAnsi="宋体" w:eastAsia="宋体" w:cs="宋体"/>
          <w:spacing w:val="-6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人在职职工全部为事业编制。</w:t>
      </w:r>
    </w:p>
    <w:p w14:paraId="361BA63D">
      <w:pPr>
        <w:spacing w:before="190" w:line="226" w:lineRule="auto"/>
        <w:ind w:left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二、部门主要工作任务和政策依据</w:t>
      </w:r>
    </w:p>
    <w:p w14:paraId="3A6C0DCD">
      <w:pPr>
        <w:spacing w:before="178" w:line="325" w:lineRule="auto"/>
        <w:ind w:left="19" w:right="88" w:firstLine="63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年我园领导班子始终坚持和加强党的全面领导，把党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的政治建设摆在首位，坚决贯彻落实习近平总书记重要指示批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示 精神和党中央及省委决策部署，衷心拥护“两个确立”忠诚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践行 “两个维护”紧跟总书记奋进新征程，始终在思想上政治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上行动上同以习近平同志为核心的党中央保持高度一致， 进一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步在服务大局中坚定政治方向，不断强化政治责任，确保幼儿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园各项工作始终沿着正确政治方向发展。</w:t>
      </w:r>
    </w:p>
    <w:p w14:paraId="7BBE9ECF">
      <w:pPr>
        <w:spacing w:before="59" w:line="321" w:lineRule="auto"/>
        <w:ind w:left="15" w:right="88" w:firstLine="64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1.规范办学：我园严格执行《幼儿园工作规程》《幼儿园教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育指导纲要</w:t>
      </w:r>
      <w:r>
        <w:rPr>
          <w:rFonts w:ascii="FangSong_GB2312" w:hAnsi="FangSong_GB2312" w:eastAsia="FangSong_GB2312" w:cs="FangSong_GB2312"/>
          <w:spacing w:val="8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(试行)》《3-6 岁儿童学习与</w:t>
      </w:r>
      <w:r>
        <w:rPr>
          <w:rFonts w:ascii="FangSong_GB2312" w:hAnsi="FangSong_GB2312" w:eastAsia="FangSong_GB2312" w:cs="FangSong_GB2312"/>
          <w:spacing w:val="-10"/>
          <w:sz w:val="31"/>
          <w:szCs w:val="31"/>
        </w:rPr>
        <w:t>发展指南》《幼儿园保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育教育 质量评估指南》，依法办园、规范幼儿园办园行为。将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规范、安全、稳定作为我园高质量发展的前提保障。</w:t>
      </w:r>
    </w:p>
    <w:p w14:paraId="49E44A1D">
      <w:pPr>
        <w:spacing w:line="321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8" w:type="default"/>
          <w:footerReference r:id="rId9" w:type="default"/>
          <w:pgSz w:w="11906" w:h="16839"/>
          <w:pgMar w:top="1091" w:right="1586" w:bottom="1711" w:left="1587" w:header="1076" w:footer="1431" w:gutter="0"/>
          <w:cols w:space="720" w:num="1"/>
        </w:sectPr>
      </w:pPr>
    </w:p>
    <w:p w14:paraId="7E01586A">
      <w:pPr>
        <w:pStyle w:val="2"/>
        <w:spacing w:line="270" w:lineRule="auto"/>
      </w:pPr>
    </w:p>
    <w:p w14:paraId="422F9C0A">
      <w:pPr>
        <w:pStyle w:val="2"/>
        <w:spacing w:line="270" w:lineRule="auto"/>
      </w:pPr>
    </w:p>
    <w:p w14:paraId="572549D8">
      <w:pPr>
        <w:pStyle w:val="2"/>
        <w:spacing w:line="270" w:lineRule="auto"/>
      </w:pPr>
    </w:p>
    <w:p w14:paraId="0BE3F462">
      <w:pPr>
        <w:pStyle w:val="2"/>
        <w:spacing w:line="270" w:lineRule="auto"/>
      </w:pPr>
    </w:p>
    <w:p w14:paraId="297B5C11">
      <w:pPr>
        <w:spacing w:before="101" w:line="328" w:lineRule="auto"/>
        <w:ind w:left="8" w:right="9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2.师德师风：一是通过学习师德师风专题相关文件精神、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专项书籍阅读、教师教研交流、警示典型案例分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析、先进典型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人物事迹、师德师风入园宣讲、红色教育基地实地研修等途径，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提高我园教师师德素养。每学期组织全园教师签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订《师德师风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个人承诺书》《贵阳市中小学教师杜绝有偿补课承诺书》《教师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拒 收礼品礼金承诺书》并将学习形式多元化，开展集体学习、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分组学习、网上学习，多种方式组织教师学习《教师法》《新</w:t>
      </w:r>
      <w:r>
        <w:rPr>
          <w:rFonts w:ascii="FangSong_GB2312" w:hAnsi="FangSong_GB2312" w:eastAsia="FangSong_GB2312" w:cs="FangSong_GB2312"/>
          <w:spacing w:val="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代中小学教师职业行为准则》《中小学教育惩戒规则</w:t>
      </w:r>
      <w:r>
        <w:rPr>
          <w:rFonts w:ascii="FangSong_GB2312" w:hAnsi="FangSong_GB2312" w:eastAsia="FangSong_GB2312" w:cs="FangSong_GB2312"/>
          <w:spacing w:val="9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(试行 )》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等书籍，全面学习全园教师职业行业准则的落实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与实施。二是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根据本园教师队伍建设需求，每月开展师德师风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专题教育研讨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2"/>
          <w:sz w:val="31"/>
          <w:szCs w:val="31"/>
        </w:rPr>
        <w:t>活动，相继开展了《做一名有尺度的教师》《我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的单位观》《“四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2"/>
          <w:sz w:val="31"/>
          <w:szCs w:val="31"/>
        </w:rPr>
        <w:t>干精神”住心中》《师德师风违规突出问题专项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整治工作会》《中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国这十年》等针对性、拓展性、警示性较强的研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讨活动，启发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教师发挥职能作用，不断提高自身行为规范意识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。三是根据本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园实际情况，组织教师再次学习本园师德师风管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理制度及考核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方案，通过 讨论征集教师意见及建议，完善师德师风管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理制度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及考核方案的修订，为每位教师建立教师个人师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德师风电子档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案，根据跟踪记录，实事求是组织教师完成师德师风年度考核，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以个人自评、小组互评、幼儿评价、家长评价、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领导班子评议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等方式，评优评先，完成每年师德师风年度考核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，及年度工作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考核。</w:t>
      </w:r>
    </w:p>
    <w:p w14:paraId="0CE877B7">
      <w:pPr>
        <w:spacing w:before="55" w:line="314" w:lineRule="auto"/>
        <w:ind w:left="30" w:right="90" w:firstLine="63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3.教师队伍管理：一是根据本园教师实际情况及需求，每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学年制定一次教师培训计划，逐月分层组织教师完成公需、集</w:t>
      </w:r>
    </w:p>
    <w:p w14:paraId="4137D2F7">
      <w:pPr>
        <w:spacing w:line="314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10" w:type="default"/>
          <w:footerReference r:id="rId11" w:type="default"/>
          <w:pgSz w:w="11906" w:h="16839"/>
          <w:pgMar w:top="1091" w:right="1584" w:bottom="1751" w:left="1587" w:header="1076" w:footer="1589" w:gutter="0"/>
          <w:cols w:space="720" w:num="1"/>
        </w:sectPr>
      </w:pPr>
    </w:p>
    <w:p w14:paraId="5F0DB77E">
      <w:pPr>
        <w:pStyle w:val="2"/>
        <w:spacing w:line="268" w:lineRule="auto"/>
      </w:pPr>
    </w:p>
    <w:p w14:paraId="0DC4F89F">
      <w:pPr>
        <w:pStyle w:val="2"/>
        <w:spacing w:line="268" w:lineRule="auto"/>
      </w:pPr>
    </w:p>
    <w:p w14:paraId="566B4CF0">
      <w:pPr>
        <w:pStyle w:val="2"/>
        <w:spacing w:line="268" w:lineRule="auto"/>
      </w:pPr>
    </w:p>
    <w:p w14:paraId="5ADA977B">
      <w:pPr>
        <w:pStyle w:val="2"/>
        <w:spacing w:line="268" w:lineRule="auto"/>
      </w:pPr>
    </w:p>
    <w:p w14:paraId="13FB58B7">
      <w:pPr>
        <w:spacing w:before="101" w:line="328" w:lineRule="auto"/>
        <w:ind w:left="1" w:right="58" w:firstLine="4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中、园本等教师培训，保证教师每学年课时达标，并完成课时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审核。二是结合普通话培训测试工作，以测促训，以训促测。</w:t>
      </w:r>
      <w:r>
        <w:rPr>
          <w:rFonts w:ascii="FangSong_GB2312" w:hAnsi="FangSong_GB2312" w:eastAsia="FangSong_GB2312" w:cs="FangSong_GB2312"/>
          <w:spacing w:val="-2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领导带头参加普通话培训，为广大教师作出表率。我园教师的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普通话 100%达到了国家规定的二级甲等水平。我园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借助云岩区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第九教研指导责任区、三名工作室、学科基地等平台，开展“推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普周”“三笔一话”“社会领域优质课”</w:t>
      </w:r>
      <w:r>
        <w:rPr>
          <w:rFonts w:ascii="FangSong_GB2312" w:hAnsi="FangSong_GB2312" w:eastAsia="FangSong_GB2312" w:cs="FangSong_GB2312"/>
          <w:spacing w:val="-8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比赛等交流活动，对老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师基本功的锻炼和检阅让老师规范使用语言的同时沉下心来关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注每一个幼儿的游戏行为。在今年的区级评比活动中均获得一、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二等奖的好成绩。三是我园严格按照筑教发〔202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2〕18 号《贵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阳市教育局关于进一步做好贵阳市中小学</w:t>
      </w:r>
      <w:r>
        <w:rPr>
          <w:rFonts w:ascii="FangSong_GB2312" w:hAnsi="FangSong_GB2312" w:eastAsia="FangSong_GB2312" w:cs="FangSong_GB2312"/>
          <w:spacing w:val="10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(幼儿园) 教师职称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工作的通知》文件要求，认真摸清我园教师底数情况，建立教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师职称台账，制定《贵阳市中心实验幼儿园教师职称提升规划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方案》，按照目标规划，分步实施，积极为教师搭建平台，促进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教师专业成长，严格按照《贵阳市中心实验幼儿园教师职称年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度目标任务推进表》完成年度目标工作任务，为达到具备学历、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资历条件的教师全部申报高一级职称，完成教师职称申报任务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要求。</w:t>
      </w:r>
    </w:p>
    <w:p w14:paraId="299A3A11">
      <w:pPr>
        <w:spacing w:before="55" w:line="324" w:lineRule="auto"/>
        <w:ind w:left="3" w:firstLine="65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4.制定并有效落实课程方案，根据我园《幼儿园工作规程》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《幼儿园教育指导纲要》《3-6 岁儿童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学习与发展指南》等相关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文件精神，</w:t>
      </w:r>
      <w:r>
        <w:rPr>
          <w:rFonts w:ascii="FangSong_GB2312" w:hAnsi="FangSong_GB2312" w:eastAsia="FangSong_GB2312" w:cs="FangSong_GB2312"/>
          <w:spacing w:val="-2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结合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3-6 岁幼儿年龄特点、园本实际情况拟写了第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一稿课程方案，在过程中通过教师问卷调查、课程审议教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师意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见征集表等方式收集教师意见，记录课程方案审议的过程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，通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过与全园教师大会讨论、学习，我园全体教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职工对课程理念、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目</w:t>
      </w:r>
    </w:p>
    <w:p w14:paraId="33B710FD">
      <w:pPr>
        <w:spacing w:line="324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12" w:type="default"/>
          <w:footerReference r:id="rId13" w:type="default"/>
          <w:pgSz w:w="11906" w:h="16839"/>
          <w:pgMar w:top="1091" w:right="1521" w:bottom="1711" w:left="1587" w:header="1076" w:footer="1431" w:gutter="0"/>
          <w:cols w:space="720" w:num="1"/>
        </w:sectPr>
      </w:pPr>
    </w:p>
    <w:p w14:paraId="2944B217">
      <w:pPr>
        <w:pStyle w:val="2"/>
        <w:spacing w:line="267" w:lineRule="auto"/>
      </w:pPr>
    </w:p>
    <w:p w14:paraId="42DCB3E9">
      <w:pPr>
        <w:pStyle w:val="2"/>
        <w:spacing w:line="267" w:lineRule="auto"/>
      </w:pPr>
    </w:p>
    <w:p w14:paraId="76F14A81">
      <w:pPr>
        <w:pStyle w:val="2"/>
        <w:spacing w:line="268" w:lineRule="auto"/>
      </w:pPr>
    </w:p>
    <w:p w14:paraId="0B08B2E4">
      <w:pPr>
        <w:pStyle w:val="2"/>
        <w:spacing w:line="268" w:lineRule="auto"/>
      </w:pPr>
    </w:p>
    <w:p w14:paraId="4ED69C61">
      <w:pPr>
        <w:spacing w:before="101" w:line="322" w:lineRule="auto"/>
        <w:ind w:left="11" w:right="95" w:hanging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标均知晓。通过各阶段的实施情况先后调整修改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了 5 次，不断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优化课程方案，确定了《“共生”课程实施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方案(第六稿)》 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实施至今。并通过家长开放日、家长参与式活动让家长感受、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了解课程的内容。</w:t>
      </w:r>
    </w:p>
    <w:p w14:paraId="285FA421">
      <w:pPr>
        <w:spacing w:before="56" w:line="328" w:lineRule="auto"/>
        <w:ind w:left="1" w:firstLine="65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5.教学质量：我园认真贯彻落实《幼儿园教育指导纲要</w:t>
      </w:r>
      <w:r>
        <w:rPr>
          <w:rFonts w:ascii="FangSong_GB2312" w:hAnsi="FangSong_GB2312" w:eastAsia="FangSong_GB2312" w:cs="FangSong_GB2312"/>
          <w:spacing w:val="8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(试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行)》和《3-6 岁儿童学习与发展指南》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、《幼儿园保育教育质量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评估指南》的相关要求，借鉴安吉游戏理念，积极参与课程改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革实践，为孩子创设丰富有趣的游戏环境，支持幼儿自主、</w:t>
      </w:r>
      <w:r>
        <w:rPr>
          <w:rFonts w:ascii="FangSong_GB2312" w:hAnsi="FangSong_GB2312" w:eastAsia="FangSong_GB2312" w:cs="FangSong_GB2312"/>
          <w:spacing w:val="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自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由、富有个性的游戏探究。在活动中，教师关注幼儿游戏过程，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发现孩子的兴趣、亮点与需求给予适时的支持与指导，充分体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现幼儿在前教师在后，相信每一位孩子都是有能力的 学习者的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理念。工作中，我们立足于保教结合，兼顾五大领 域，大、中、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小班均科学合理制定相应的学期、周、</w:t>
      </w:r>
      <w:r>
        <w:rPr>
          <w:rFonts w:ascii="FangSong_GB2312" w:hAnsi="FangSong_GB2312" w:eastAsia="FangSong_GB2312" w:cs="FangSong_GB2312"/>
          <w:spacing w:val="-9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日计划， 并严格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做到备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教一致。教师对每周预设、生成活动认真备课、 及时对活动进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行审视、分析、反思。在一</w:t>
      </w:r>
      <w:r>
        <w:rPr>
          <w:rFonts w:ascii="FangSong_GB2312" w:hAnsi="FangSong_GB2312" w:eastAsia="FangSong_GB2312" w:cs="FangSong_GB2312"/>
          <w:spacing w:val="8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日生活及教育中， 教师能根据每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个班级孩子的年龄特点选择适宜的教育方法、 策略，让幼儿在 玩中学、实践中感知，激发幼儿的积极性、 主动性及创新能力 发展。在促进幼儿运动能力的发展方面， 我园为孩子们提供了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丰富多样的户外体育器材，如：大型玩具、三轮车、小推车、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皮球等，有效地激发了幼儿参与运动的兴趣， 同时，为了培养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孩子们的参与感，鼓励幼儿成为活动的主人，我园还利用走廊、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教室墙面、玩具柜等环境多渠道地展示幼儿美术作品，并与各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领域活动有效整合，结合幼儿的生活经验，</w:t>
      </w:r>
      <w:r>
        <w:rPr>
          <w:rFonts w:ascii="FangSong_GB2312" w:hAnsi="FangSong_GB2312" w:eastAsia="FangSong_GB2312" w:cs="FangSong_GB2312"/>
          <w:spacing w:val="-7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以教学游戏、情境</w:t>
      </w:r>
    </w:p>
    <w:p w14:paraId="5325A233">
      <w:pPr>
        <w:spacing w:line="328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14" w:type="default"/>
          <w:footerReference r:id="rId15" w:type="default"/>
          <w:pgSz w:w="11906" w:h="16839"/>
          <w:pgMar w:top="1091" w:right="1579" w:bottom="1751" w:left="1587" w:header="1076" w:footer="1589" w:gutter="0"/>
          <w:cols w:space="720" w:num="1"/>
        </w:sectPr>
      </w:pPr>
    </w:p>
    <w:p w14:paraId="5FC717E7">
      <w:pPr>
        <w:pStyle w:val="2"/>
        <w:spacing w:line="267" w:lineRule="auto"/>
      </w:pPr>
    </w:p>
    <w:p w14:paraId="6ACAC4D2">
      <w:pPr>
        <w:pStyle w:val="2"/>
        <w:spacing w:line="268" w:lineRule="auto"/>
      </w:pPr>
    </w:p>
    <w:p w14:paraId="6D264B5F">
      <w:pPr>
        <w:pStyle w:val="2"/>
        <w:spacing w:line="268" w:lineRule="auto"/>
      </w:pPr>
    </w:p>
    <w:p w14:paraId="47C0ECD7">
      <w:pPr>
        <w:pStyle w:val="2"/>
        <w:spacing w:line="268" w:lineRule="auto"/>
      </w:pPr>
    </w:p>
    <w:p w14:paraId="2C1F048D">
      <w:pPr>
        <w:spacing w:before="100" w:line="326" w:lineRule="auto"/>
        <w:ind w:left="11" w:right="87" w:hanging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表演等形式，让幼儿主动参与活动中。教学中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重视德育教育、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劳动教育及良好行为习惯的养成教育。积极开展爱祖国、爱家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乡教育，深化民族团结进步教育，将民族团结进步创建融入幼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儿一日活动中，开展《民族</w:t>
      </w:r>
      <w:r>
        <w:rPr>
          <w:rFonts w:ascii="FangSong_GB2312" w:hAnsi="FangSong_GB2312" w:eastAsia="FangSong_GB2312" w:cs="FangSong_GB2312"/>
          <w:spacing w:val="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团结你我创，美好家园大家享》为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主题的升旗仪式，围绕“</w:t>
      </w:r>
      <w:r>
        <w:rPr>
          <w:rFonts w:ascii="FangSong_GB2312" w:hAnsi="FangSong_GB2312" w:eastAsia="FangSong_GB2312" w:cs="FangSong_GB2312"/>
          <w:spacing w:val="-10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民 族团结一家亲”系列主题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教育教学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活动，</w:t>
      </w:r>
      <w:r>
        <w:rPr>
          <w:rFonts w:ascii="FangSong_GB2312" w:hAnsi="FangSong_GB2312" w:eastAsia="FangSong_GB2312" w:cs="FangSong_GB2312"/>
          <w:spacing w:val="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旨在加强幼儿对中华民族大家庭的了解，从小树立维护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民族团结、祖国统一的意识，铸牢中华民族共同</w:t>
      </w:r>
      <w:r>
        <w:rPr>
          <w:rFonts w:hint="eastAsia" w:ascii="FangSong_GB2312" w:hAnsi="FangSong_GB2312" w:eastAsia="FangSong_GB2312" w:cs="FangSong_GB2312"/>
          <w:spacing w:val="9"/>
          <w:sz w:val="31"/>
          <w:szCs w:val="31"/>
          <w:lang w:val="en-US" w:eastAsia="zh-CN"/>
        </w:rPr>
        <w:t>体</w:t>
      </w:r>
      <w:bookmarkStart w:id="0" w:name="_GoBack"/>
      <w:bookmarkEnd w:id="0"/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意识。在全体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教师的共同努力下，我园幼儿各方面发展良好，特别是在动作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发展、社会交往、语言表达、创造能力方面更为突出。</w:t>
      </w:r>
    </w:p>
    <w:p w14:paraId="4BB98BDA">
      <w:pPr>
        <w:spacing w:before="47" w:line="328" w:lineRule="auto"/>
        <w:ind w:left="10" w:right="6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6.示范辐射引领：作为云岩教研指导责任区龙头园，我园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和</w:t>
      </w:r>
      <w:r>
        <w:rPr>
          <w:rFonts w:ascii="FangSong_GB2312" w:hAnsi="FangSong_GB2312" w:eastAsia="FangSong_GB2312" w:cs="FangSong_GB2312"/>
          <w:spacing w:val="-3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6 所民办幼儿园组建了云岩区第九教研指导责任区。作为龙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头园我们选派中层管理人员多层面与责任区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内的民办幼儿园开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展保教研究活动，努力实现教研制度创新和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教研水平提升的双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赢。 同时根据《区人民政府教育督导室区教育局关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于做好云岩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区学前教育普及普惠督导评估准备的通知》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文件要求，持续更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好地完成我责任区 “幼儿园两普工作暨开学工作检查”工作，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继续较大力度，科学调整帮扶模式，</w:t>
      </w:r>
      <w:r>
        <w:rPr>
          <w:rFonts w:ascii="FangSong_GB2312" w:hAnsi="FangSong_GB2312" w:eastAsia="FangSong_GB2312" w:cs="FangSong_GB2312"/>
          <w:spacing w:val="-8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以小组构建指导各园所开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展 “ 一</w:t>
      </w:r>
      <w:r>
        <w:rPr>
          <w:rFonts w:ascii="FangSong_GB2312" w:hAnsi="FangSong_GB2312" w:eastAsia="FangSong_GB2312" w:cs="FangSong_GB2312"/>
          <w:spacing w:val="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( 组 )</w:t>
      </w:r>
      <w:r>
        <w:rPr>
          <w:rFonts w:ascii="FangSong_GB2312" w:hAnsi="FangSong_GB2312" w:eastAsia="FangSong_GB2312" w:cs="FangSong_GB2312"/>
          <w:spacing w:val="2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对一</w:t>
      </w:r>
      <w:r>
        <w:rPr>
          <w:rFonts w:ascii="FangSong_GB2312" w:hAnsi="FangSong_GB2312" w:eastAsia="FangSong_GB2312" w:cs="FangSong_GB2312"/>
          <w:spacing w:val="7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(</w:t>
      </w:r>
      <w:r>
        <w:rPr>
          <w:rFonts w:ascii="FangSong_GB2312" w:hAnsi="FangSong_GB2312" w:eastAsia="FangSong_GB2312" w:cs="FangSong_GB2312"/>
          <w:spacing w:val="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园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)”的帮扶指导工作。通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过实地查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看、 查阅档案资料、现场指导的方式，对责任园硬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件条件、设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施 设备、班级规模、园务管理、半日活动等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工作进行了细致的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指导。同时，我园被推选参与贵州省语言文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字工作示范校评估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验收，12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月顺利接待完成验收工作。</w:t>
      </w:r>
      <w:r>
        <w:rPr>
          <w:rFonts w:ascii="FangSong_GB2312" w:hAnsi="FangSong_GB2312" w:eastAsia="FangSong_GB2312" w:cs="FangSong_GB2312"/>
          <w:spacing w:val="-6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(我园普通话五年内资 格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证二级乙等以上达标率为 100%。)；借助国培基地校工作载体，</w:t>
      </w:r>
    </w:p>
    <w:p w14:paraId="536BF0B3">
      <w:pPr>
        <w:spacing w:line="328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16" w:type="default"/>
          <w:footerReference r:id="rId17" w:type="default"/>
          <w:pgSz w:w="11906" w:h="16839"/>
          <w:pgMar w:top="1091" w:right="1586" w:bottom="1711" w:left="1587" w:header="1076" w:footer="1431" w:gutter="0"/>
          <w:cols w:space="720" w:num="1"/>
        </w:sectPr>
      </w:pPr>
    </w:p>
    <w:p w14:paraId="7DB69EB2">
      <w:pPr>
        <w:pStyle w:val="2"/>
        <w:spacing w:line="265" w:lineRule="auto"/>
      </w:pPr>
    </w:p>
    <w:p w14:paraId="7DB839DE">
      <w:pPr>
        <w:pStyle w:val="2"/>
        <w:spacing w:line="265" w:lineRule="auto"/>
      </w:pPr>
    </w:p>
    <w:p w14:paraId="021F9CF0">
      <w:pPr>
        <w:pStyle w:val="2"/>
        <w:spacing w:line="265" w:lineRule="auto"/>
      </w:pPr>
    </w:p>
    <w:p w14:paraId="487EFA84">
      <w:pPr>
        <w:pStyle w:val="2"/>
        <w:spacing w:line="266" w:lineRule="auto"/>
      </w:pPr>
    </w:p>
    <w:p w14:paraId="03944343">
      <w:pPr>
        <w:spacing w:before="100" w:line="328" w:lineRule="auto"/>
        <w:ind w:left="6" w:firstLine="1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帮助城乡镇级幼儿园在规范化、科学化、专业化上提升。一是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帮扶两所易地搬迁榕江古州镇阳光小区幼儿园及榕江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忠诚镇中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心幼儿园完成项目前期会、启动会、入园诊断、两次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送教下乡、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第一期教师跟岗研修、</w:t>
      </w:r>
      <w:r>
        <w:rPr>
          <w:rFonts w:ascii="FangSong_GB2312" w:hAnsi="FangSong_GB2312" w:eastAsia="FangSong_GB2312" w:cs="FangSong_GB2312"/>
          <w:spacing w:val="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网络研修的活动，完成国培计划 2022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年一对一精准帮扶项目的集中培训项目40</w:t>
      </w:r>
      <w:r>
        <w:rPr>
          <w:rFonts w:ascii="FangSong_GB2312" w:hAnsi="FangSong_GB2312" w:eastAsia="FangSong_GB2312" w:cs="FangSong_GB2312"/>
          <w:spacing w:val="-5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学时的线上培训。二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是借助名园长工作室，我园承担了对广西金秀瑶族自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治县幼儿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园、贵安分园、清镇时光幼儿园、花溪第三幼儿园、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清镇王庄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幼儿园的帮扶指导工作，帮助各园所在科学化、规范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化、专业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化上得到明显提升。其中清镇机关幼儿园完成省级示范园</w:t>
      </w:r>
      <w:r>
        <w:rPr>
          <w:rFonts w:ascii="FangSong_GB2312" w:hAnsi="FangSong_GB2312" w:eastAsia="FangSong_GB2312" w:cs="FangSong_GB2312"/>
          <w:spacing w:val="8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( 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类 ) 评估；贵安分园完成市级示范幼儿园评估；清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镇时光幼儿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园完成省级示范三类园评估；花溪第三幼儿园完成省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级示范三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类幼儿园评估；清镇王庄乡幼儿园完成市级示范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幼儿园评估。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三是联合老校长下乡相关工作，完成启动会，进入清 镇站街幼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儿园进行现场指导，组织幼儿园管理层开展入园观摩培训。 四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是完成国培计划 2023 年一对一精准帮扶项目的申报。</w:t>
      </w:r>
    </w:p>
    <w:p w14:paraId="769FEF66">
      <w:pPr>
        <w:spacing w:before="57" w:line="326" w:lineRule="auto"/>
        <w:ind w:left="8" w:right="95" w:firstLine="65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7.幼儿传染病预防控制管理：我园持续做好因病缺勤追踪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及全日健康观察，加强晨午晚检监测，及时完成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传染病症状监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测和预警报送。所有排查幼儿，病假幼儿，传染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病患儿，均需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按要求到我园所属社区开具复课证明后方可返园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。积极督导园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内、家庭同步做好传染病预防消毒。保健室加大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家长及幼儿预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防传染病的宣传力度，引导家长关注幼儿健康情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况，培养幼儿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良好的卫生习惯，正确认识传染病，积极配合幼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儿园传染病防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控工作。</w:t>
      </w:r>
    </w:p>
    <w:p w14:paraId="483835F1">
      <w:pPr>
        <w:spacing w:line="326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18" w:type="default"/>
          <w:footerReference r:id="rId19" w:type="default"/>
          <w:pgSz w:w="11906" w:h="16839"/>
          <w:pgMar w:top="1091" w:right="1579" w:bottom="1751" w:left="1587" w:header="1076" w:footer="1589" w:gutter="0"/>
          <w:cols w:space="720" w:num="1"/>
        </w:sectPr>
      </w:pPr>
    </w:p>
    <w:p w14:paraId="4373AA47">
      <w:pPr>
        <w:pStyle w:val="2"/>
        <w:spacing w:line="268" w:lineRule="auto"/>
      </w:pPr>
    </w:p>
    <w:p w14:paraId="549BE8CC">
      <w:pPr>
        <w:pStyle w:val="2"/>
        <w:spacing w:line="268" w:lineRule="auto"/>
      </w:pPr>
    </w:p>
    <w:p w14:paraId="29C119C2">
      <w:pPr>
        <w:pStyle w:val="2"/>
        <w:spacing w:line="268" w:lineRule="auto"/>
      </w:pPr>
    </w:p>
    <w:p w14:paraId="63BA00F0">
      <w:pPr>
        <w:pStyle w:val="2"/>
        <w:spacing w:line="268" w:lineRule="auto"/>
      </w:pPr>
    </w:p>
    <w:p w14:paraId="4E63EA23">
      <w:pPr>
        <w:spacing w:before="101" w:line="326" w:lineRule="auto"/>
        <w:ind w:left="6" w:right="88" w:firstLine="65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8.学校食品安全管理：始终把食品卫生安全工作放在幼儿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园工作的首要位置，</w:t>
      </w:r>
      <w:r>
        <w:rPr>
          <w:rFonts w:ascii="FangSong_GB2312" w:hAnsi="FangSong_GB2312" w:eastAsia="FangSong_GB2312" w:cs="FangSong_GB2312"/>
          <w:spacing w:val="5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我园的食品卫生工作做到主要领导亲自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抓、分管领导具体抓，加强落实食品安全日管控、周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排查、月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调度工作制度，落实责任到人，把食品卫生安全工作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列入了幼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儿园工作的重要议事日程。认真贯彻执行食品卫生有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关法律法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规，不断加强食堂维修建设，强化食品卫生安全管理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，有效防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止了食品安全卫事件的发生，从而保证了全体幼儿及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教职工的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健康安全。</w:t>
      </w:r>
    </w:p>
    <w:p w14:paraId="671E30AE">
      <w:pPr>
        <w:spacing w:before="54" w:line="326" w:lineRule="auto"/>
        <w:ind w:left="13" w:right="87" w:firstLine="6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9.专业成长：根据《指南》《纲要》结合幼儿园实际情况，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高质量完成了《贵阳市中心实验幼儿园新教师工作手册》、《贵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阳市中 心实验幼儿园教师观察记录集》、《贵阳市中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心实验幼儿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园幼 儿游戏故事集》、《贵阳市中心实验幼儿园小班生态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共生主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题</w:t>
      </w:r>
      <w:r>
        <w:rPr>
          <w:rFonts w:ascii="FangSong_GB2312" w:hAnsi="FangSong_GB2312" w:eastAsia="FangSong_GB2312" w:cs="FangSong_GB2312"/>
          <w:spacing w:val="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活动集》、《贵阳市中心实验幼儿园中班生态共生主题活动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4"/>
          <w:sz w:val="31"/>
          <w:szCs w:val="31"/>
        </w:rPr>
        <w:t>集》、《贵阳市中心实验幼儿园大班生态共生主题活动集》、</w:t>
      </w:r>
      <w:r>
        <w:rPr>
          <w:rFonts w:ascii="FangSong_GB2312" w:hAnsi="FangSong_GB2312" w:eastAsia="FangSong_GB2312" w:cs="FangSong_GB2312"/>
          <w:spacing w:val="-11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4"/>
          <w:sz w:val="31"/>
          <w:szCs w:val="31"/>
        </w:rPr>
        <w:t>《贵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阳市中心实验幼儿园 “舌尖上的美味”营养食谱手册》、 《贵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阳市中心实验幼儿园保育老师工作操作手册》、《贵</w:t>
      </w:r>
      <w:r>
        <w:rPr>
          <w:rFonts w:ascii="FangSong_GB2312" w:hAnsi="FangSong_GB2312" w:eastAsia="FangSong_GB2312" w:cs="FangSong_GB2312"/>
          <w:spacing w:val="-10"/>
          <w:sz w:val="31"/>
          <w:szCs w:val="31"/>
        </w:rPr>
        <w:t>阳市</w:t>
      </w:r>
      <w:r>
        <w:rPr>
          <w:rFonts w:ascii="FangSong_GB2312" w:hAnsi="FangSong_GB2312" w:eastAsia="FangSong_GB2312" w:cs="FangSong_GB2312"/>
          <w:spacing w:val="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0"/>
          <w:sz w:val="31"/>
          <w:szCs w:val="31"/>
        </w:rPr>
        <w:t>中心实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验幼儿园卫生保健工作指导手册》的园本资源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包。</w:t>
      </w:r>
    </w:p>
    <w:p w14:paraId="71398F61">
      <w:pPr>
        <w:spacing w:before="59" w:line="324" w:lineRule="auto"/>
        <w:ind w:left="6" w:right="87" w:firstLine="65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10.教学改革：我园继续开展安吉游戏实践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研究，在去年的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基础上，加强了教师在游戏中的观察能力及幼儿一对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一游戏与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分享的深入研究，加大教研力度，开展基于问题的专题教 研，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让教师的教育理念及教育行为不断提升。 同时，在实践中，我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们善于总结，将研究中的好做法及游戏案例及时收集， 提炼实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践中的经验和亮点，在本年度中完成《贵阳市中心实 验幼儿园</w:t>
      </w:r>
    </w:p>
    <w:p w14:paraId="335C6566">
      <w:pPr>
        <w:spacing w:line="324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20" w:type="default"/>
          <w:footerReference r:id="rId21" w:type="default"/>
          <w:pgSz w:w="11906" w:h="16839"/>
          <w:pgMar w:top="1091" w:right="1586" w:bottom="1711" w:left="1587" w:header="1076" w:footer="1431" w:gutter="0"/>
          <w:cols w:space="720" w:num="1"/>
        </w:sectPr>
      </w:pPr>
    </w:p>
    <w:p w14:paraId="3CB41C21">
      <w:pPr>
        <w:pStyle w:val="2"/>
        <w:spacing w:line="267" w:lineRule="auto"/>
      </w:pPr>
    </w:p>
    <w:p w14:paraId="7676B336">
      <w:pPr>
        <w:pStyle w:val="2"/>
        <w:spacing w:line="267" w:lineRule="auto"/>
      </w:pPr>
    </w:p>
    <w:p w14:paraId="255D3EDF">
      <w:pPr>
        <w:pStyle w:val="2"/>
        <w:spacing w:line="267" w:lineRule="auto"/>
      </w:pPr>
    </w:p>
    <w:p w14:paraId="2ECD643D">
      <w:pPr>
        <w:pStyle w:val="2"/>
        <w:spacing w:line="268" w:lineRule="auto"/>
      </w:pPr>
    </w:p>
    <w:p w14:paraId="3EAD29D0">
      <w:pPr>
        <w:spacing w:before="101" w:line="314" w:lineRule="auto"/>
        <w:ind w:left="28" w:right="95" w:hanging="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教师观察记录集》、《贵阳市中心实验幼儿园幼儿游戏故事集》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两项实践教学成果集。</w:t>
      </w:r>
    </w:p>
    <w:p w14:paraId="2A7E60C3">
      <w:pPr>
        <w:spacing w:before="52" w:line="226" w:lineRule="auto"/>
        <w:ind w:left="64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三、部门预算安排情况说明</w:t>
      </w:r>
    </w:p>
    <w:p w14:paraId="7C5EC206">
      <w:pPr>
        <w:spacing w:before="174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（一）部门收支总体情况（详见附表</w:t>
      </w:r>
      <w:r>
        <w:rPr>
          <w:rFonts w:ascii="楷体" w:hAnsi="楷体" w:eastAsia="楷体" w:cs="楷体"/>
          <w:spacing w:val="-3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1-3）</w:t>
      </w:r>
    </w:p>
    <w:p w14:paraId="4B92434C">
      <w:pPr>
        <w:spacing w:before="132" w:line="219" w:lineRule="auto"/>
        <w:ind w:left="643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本单位无二级单位，本预算仅为本单位预算。</w:t>
      </w:r>
    </w:p>
    <w:p w14:paraId="54DDAB6D">
      <w:pPr>
        <w:spacing w:before="249" w:line="319" w:lineRule="auto"/>
        <w:ind w:left="14" w:right="90" w:firstLine="64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年部门收入预算总额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2137.28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万元，其中：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本年收入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2131.37 万元，上年结转结余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5.91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万元。本年收入中：财政拨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款收入</w:t>
      </w:r>
      <w:r>
        <w:rPr>
          <w:rFonts w:ascii="FangSong_GB2312" w:hAnsi="FangSong_GB2312" w:eastAsia="FangSong_GB2312" w:cs="FangSong_GB2312"/>
          <w:spacing w:val="-5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万元，单位资金收入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5.91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万元。</w:t>
      </w:r>
    </w:p>
    <w:p w14:paraId="119A5BA2">
      <w:pPr>
        <w:spacing w:before="50" w:line="324" w:lineRule="auto"/>
        <w:ind w:left="11" w:right="9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年部门支出预算总额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2137.28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万元，其中：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本年支出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万元，年终结转结余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5.91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万元。本年支出中：教育支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出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1636.91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万元，社会保障和就业支出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280.51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万元，卫生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保健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支出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98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万元，住房保障支出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121.86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万元。本单位无所属单位，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本预算仅为本单位预算。</w:t>
      </w:r>
    </w:p>
    <w:p w14:paraId="658F5C99">
      <w:pPr>
        <w:spacing w:before="49" w:line="326" w:lineRule="auto"/>
        <w:ind w:left="8" w:right="9" w:firstLine="64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8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年部门收入预算总额比</w:t>
      </w:r>
      <w:r>
        <w:rPr>
          <w:rFonts w:ascii="FangSong_GB2312" w:hAnsi="FangSong_GB2312" w:eastAsia="FangSong_GB2312" w:cs="FangSong_GB2312"/>
          <w:spacing w:val="-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8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年预算增加</w:t>
      </w:r>
      <w:r>
        <w:rPr>
          <w:rFonts w:ascii="FangSong_GB2312" w:hAnsi="FangSong_GB2312" w:eastAsia="FangSong_GB2312" w:cs="FangSong_GB2312"/>
          <w:spacing w:val="-6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169.80</w:t>
      </w:r>
      <w:r>
        <w:rPr>
          <w:rFonts w:ascii="FangSong_GB2312" w:hAnsi="FangSong_GB2312" w:eastAsia="FangSong_GB2312" w:cs="FangSong_GB2312"/>
          <w:spacing w:val="-7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增长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8.63%，主要原因是：2022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年基本支出中人员经费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1101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.39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万元，2023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年基本支出人员经费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1413.07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万元，人员经费较上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年净增加</w:t>
      </w:r>
      <w:r>
        <w:rPr>
          <w:rFonts w:ascii="FangSong_GB2312" w:hAnsi="FangSong_GB2312" w:eastAsia="FangSong_GB2312" w:cs="FangSong_GB2312"/>
          <w:spacing w:val="-2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311.68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万元，2022</w:t>
      </w:r>
      <w:r>
        <w:rPr>
          <w:rFonts w:ascii="FangSong_GB2312" w:hAnsi="FangSong_GB2312" w:eastAsia="FangSong_GB2312" w:cs="FangSong_GB2312"/>
          <w:spacing w:val="-5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年公用经费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70.25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万元，2023</w:t>
      </w:r>
      <w:r>
        <w:rPr>
          <w:rFonts w:ascii="FangSong_GB2312" w:hAnsi="FangSong_GB2312" w:eastAsia="FangSong_GB2312" w:cs="FangSong_GB2312"/>
          <w:spacing w:val="-5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63.89</w:t>
      </w:r>
      <w:r>
        <w:rPr>
          <w:rFonts w:ascii="FangSong_GB2312" w:hAnsi="FangSong_GB2312" w:eastAsia="FangSong_GB2312" w:cs="FangSong_GB2312"/>
          <w:spacing w:val="-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万元，较上年减少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6.36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万元，项目支出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786.36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万元，2023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654.41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万元，较上年减少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131.95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万元。净增加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具体原因主要为职工工资调标及增加教职工职工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工资福利支出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中奖金支出。</w:t>
      </w:r>
    </w:p>
    <w:p w14:paraId="79E2A28C">
      <w:pPr>
        <w:spacing w:before="58" w:line="218" w:lineRule="auto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8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年部门支出预算总额比</w:t>
      </w:r>
      <w:r>
        <w:rPr>
          <w:rFonts w:ascii="FangSong_GB2312" w:hAnsi="FangSong_GB2312" w:eastAsia="FangSong_GB2312" w:cs="FangSong_GB2312"/>
          <w:spacing w:val="-7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8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年预算增加</w:t>
      </w:r>
      <w:r>
        <w:rPr>
          <w:rFonts w:ascii="FangSong_GB2312" w:hAnsi="FangSong_GB2312" w:eastAsia="FangSong_GB2312" w:cs="FangSong_GB2312"/>
          <w:spacing w:val="-7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16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9.8</w:t>
      </w:r>
      <w:r>
        <w:rPr>
          <w:rFonts w:ascii="FangSong_GB2312" w:hAnsi="FangSong_GB2312" w:eastAsia="FangSong_GB2312" w:cs="FangSong_GB2312"/>
          <w:spacing w:val="-7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</w:t>
      </w:r>
    </w:p>
    <w:p w14:paraId="0AA604FA">
      <w:pPr>
        <w:spacing w:line="218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22" w:type="default"/>
          <w:footerReference r:id="rId23" w:type="default"/>
          <w:pgSz w:w="11906" w:h="16839"/>
          <w:pgMar w:top="1091" w:right="1584" w:bottom="1751" w:left="1587" w:header="1076" w:footer="1589" w:gutter="0"/>
          <w:cols w:space="720" w:num="1"/>
        </w:sectPr>
      </w:pPr>
    </w:p>
    <w:p w14:paraId="61E26B23">
      <w:pPr>
        <w:pStyle w:val="2"/>
        <w:spacing w:line="267" w:lineRule="auto"/>
      </w:pPr>
    </w:p>
    <w:p w14:paraId="0529E289">
      <w:pPr>
        <w:pStyle w:val="2"/>
        <w:spacing w:line="268" w:lineRule="auto"/>
      </w:pPr>
    </w:p>
    <w:p w14:paraId="1DDB9169">
      <w:pPr>
        <w:pStyle w:val="2"/>
        <w:spacing w:line="268" w:lineRule="auto"/>
      </w:pPr>
    </w:p>
    <w:p w14:paraId="54F67584">
      <w:pPr>
        <w:pStyle w:val="2"/>
        <w:spacing w:line="268" w:lineRule="auto"/>
      </w:pPr>
    </w:p>
    <w:p w14:paraId="5D3AFFE4">
      <w:pPr>
        <w:spacing w:before="101" w:line="313" w:lineRule="auto"/>
        <w:ind w:left="19" w:right="89" w:hanging="1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增长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8.63%，主要原因是：2023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年教职工工资调标及工资福利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支出中新增奖金支出。</w:t>
      </w:r>
    </w:p>
    <w:p w14:paraId="3BAEFBF1">
      <w:pPr>
        <w:spacing w:before="53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（二）财政拨款收支总体情况（详见表</w:t>
      </w:r>
      <w:r>
        <w:rPr>
          <w:rFonts w:ascii="楷体" w:hAnsi="楷体" w:eastAsia="楷体" w:cs="楷体"/>
          <w:spacing w:val="-7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4）</w:t>
      </w:r>
    </w:p>
    <w:p w14:paraId="3E3A2A25">
      <w:pPr>
        <w:spacing w:before="130" w:line="336" w:lineRule="auto"/>
        <w:ind w:left="11" w:right="89" w:firstLine="64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年部门财政拨款收入预算总额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7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万元，其中：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本年收入</w:t>
      </w:r>
      <w:r>
        <w:rPr>
          <w:rFonts w:ascii="FangSong_GB2312" w:hAnsi="FangSong_GB2312" w:eastAsia="FangSong_GB2312" w:cs="FangSong_GB2312"/>
          <w:spacing w:val="-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万元，上年结转结余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6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万元。本年收入中：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一般公共预算拨款收入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万元，政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府性基金预算拨款收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入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万元，国有资本经营预算拨款收入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0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万元。</w:t>
      </w:r>
    </w:p>
    <w:p w14:paraId="4FCA721E">
      <w:pPr>
        <w:spacing w:before="57" w:line="333" w:lineRule="auto"/>
        <w:ind w:left="8" w:right="89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年部门财政拨款支出预算总额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2131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.37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万元，其中：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教育支出</w:t>
      </w:r>
      <w:r>
        <w:rPr>
          <w:rFonts w:ascii="FangSong_GB2312" w:hAnsi="FangSong_GB2312" w:eastAsia="FangSong_GB2312" w:cs="FangSong_GB2312"/>
          <w:spacing w:val="-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1631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万元，社会保障和就业支出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280.51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万元，卫生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保健支出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98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万元，住房保障支出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121.8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万元。</w:t>
      </w:r>
    </w:p>
    <w:p w14:paraId="58E4B9D3">
      <w:pPr>
        <w:spacing w:before="94" w:line="319" w:lineRule="auto"/>
        <w:ind w:left="24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年部门财政拨款收支预算总额均为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1"/>
          <w:sz w:val="30"/>
          <w:szCs w:val="30"/>
        </w:rPr>
        <w:t>，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比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年预算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1958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万元增加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173.37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万元，增长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8.85%，主要原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因是：2023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年教职工工资调标及工资福利支出中新增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奖金支出。</w:t>
      </w:r>
    </w:p>
    <w:p w14:paraId="0A11E681">
      <w:pPr>
        <w:spacing w:before="56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（三）一般公共预算支出情况（详见表</w:t>
      </w:r>
      <w:r>
        <w:rPr>
          <w:rFonts w:ascii="楷体" w:hAnsi="楷体" w:eastAsia="楷体" w:cs="楷体"/>
          <w:spacing w:val="-7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5）</w:t>
      </w:r>
    </w:p>
    <w:p w14:paraId="02ADDBE2">
      <w:pPr>
        <w:spacing w:before="130" w:line="340" w:lineRule="auto"/>
        <w:ind w:left="6" w:right="87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>年我单位全年一般公共预算财政补助拨款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支出总计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万元，其中基本支出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1476.9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万元，项目支出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654.41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万元。一般公共预算财政拨款安排的基本支出教育支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出中学前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教育支出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976.59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万元，社会保障就业支出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280.51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万元，其中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事业单位离退休事业支出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183.05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机关事业单位基本养老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保险支出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84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万元，优抚支出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0.96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万元，其他社会保障和就业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支出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12.5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万元；一般公共预算财政拨款安排的基本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支出中卫生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健康支出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98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万元，其中事业单位医疗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万元，公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务员医疗补</w:t>
      </w:r>
    </w:p>
    <w:p w14:paraId="78B4CB94">
      <w:pPr>
        <w:spacing w:line="340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24" w:type="default"/>
          <w:footerReference r:id="rId25" w:type="default"/>
          <w:pgSz w:w="11906" w:h="16839"/>
          <w:pgMar w:top="1091" w:right="1585" w:bottom="1711" w:left="1587" w:header="1076" w:footer="1431" w:gutter="0"/>
          <w:cols w:space="720" w:num="1"/>
        </w:sectPr>
      </w:pPr>
    </w:p>
    <w:p w14:paraId="7F0A17D3">
      <w:pPr>
        <w:pStyle w:val="2"/>
        <w:spacing w:line="257" w:lineRule="auto"/>
      </w:pPr>
    </w:p>
    <w:p w14:paraId="29D19008">
      <w:pPr>
        <w:pStyle w:val="2"/>
        <w:spacing w:line="257" w:lineRule="auto"/>
      </w:pPr>
    </w:p>
    <w:p w14:paraId="7D56850C">
      <w:pPr>
        <w:pStyle w:val="2"/>
        <w:spacing w:line="257" w:lineRule="auto"/>
      </w:pPr>
    </w:p>
    <w:p w14:paraId="0D993BD0">
      <w:pPr>
        <w:pStyle w:val="2"/>
        <w:spacing w:line="257" w:lineRule="auto"/>
      </w:pPr>
    </w:p>
    <w:p w14:paraId="7D6C7CE2">
      <w:pPr>
        <w:spacing w:before="101" w:line="339" w:lineRule="auto"/>
        <w:ind w:left="11" w:right="9" w:firstLine="1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助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48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万元；一般公共预算财政拨款安排的基本支出中住房保障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住房公积金支出</w:t>
      </w:r>
      <w:r>
        <w:rPr>
          <w:rFonts w:ascii="FangSong_GB2312" w:hAnsi="FangSong_GB2312" w:eastAsia="FangSong_GB2312" w:cs="FangSong_GB2312"/>
          <w:spacing w:val="-2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121.86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万元；一般公共预算财政拨款安排的项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目支出总计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654.41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万元，其中本级资金项目支出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636.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78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教育支出中学前教育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636.78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万元；一般公共预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算财政拨款安排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的项目支出中上级资金项目支出</w:t>
      </w:r>
      <w:r>
        <w:rPr>
          <w:rFonts w:ascii="FangSong_GB2312" w:hAnsi="FangSong_GB2312" w:eastAsia="FangSong_GB2312" w:cs="FangSong_GB2312"/>
          <w:spacing w:val="-2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17.63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万元，教育支出中其他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教育支出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17.63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万元；</w:t>
      </w:r>
    </w:p>
    <w:p w14:paraId="65DB17F9">
      <w:pPr>
        <w:spacing w:before="61" w:line="341" w:lineRule="auto"/>
        <w:ind w:left="8" w:right="20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年一般公共预算财政拨款总计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2131.37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万元，较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年拨款总计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1958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万元相比较增加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173.37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万元，基本支出增加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305.32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万元，项目支出减少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131.95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万元。基本支出中人员经费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增加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311.68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万元，公用经费减少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6.36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万元；项目支出中本级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资金项目支出减少</w:t>
      </w:r>
      <w:r>
        <w:rPr>
          <w:rFonts w:ascii="FangSong_GB2312" w:hAnsi="FangSong_GB2312" w:eastAsia="FangSong_GB2312" w:cs="FangSong_GB2312"/>
          <w:spacing w:val="-2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139.58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万元，上级资金项目支出增加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7.63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万元。 2023</w:t>
      </w:r>
      <w:r>
        <w:rPr>
          <w:rFonts w:ascii="FangSong_GB2312" w:hAnsi="FangSong_GB2312" w:eastAsia="FangSong_GB2312" w:cs="FangSong_GB2312"/>
          <w:spacing w:val="-5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年一般公共预算财政拨款较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6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年增加的主要原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因是人员经费的教职工工资及奖金增加，住房公积金支出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增加；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公用经费减少主要原因是减少减少教师进修培训费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9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目支出较</w:t>
      </w:r>
      <w:r>
        <w:rPr>
          <w:rFonts w:ascii="FangSong_GB2312" w:hAnsi="FangSong_GB2312" w:eastAsia="FangSong_GB2312" w:cs="FangSong_GB2312"/>
          <w:spacing w:val="-7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8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年减少主要原因是减少教育教学质量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考核项目经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费，上级资金项目支出增加为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年中小学教师专项培训结余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资金。</w:t>
      </w:r>
    </w:p>
    <w:p w14:paraId="1206C3D4">
      <w:pPr>
        <w:spacing w:before="92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（四）一般公共预算基本支出情况（详见表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6、7）</w:t>
      </w:r>
    </w:p>
    <w:p w14:paraId="7991C1D0">
      <w:pPr>
        <w:spacing w:before="129" w:line="336" w:lineRule="auto"/>
        <w:ind w:left="10" w:right="90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本单位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年一般公共预算基本支出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1476.96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其中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人员经费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1413.07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万元，公用经费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63.89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万元。按部门预算经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济分类人员经费支出工资福利支出中基本工资</w:t>
      </w:r>
      <w:r>
        <w:rPr>
          <w:rFonts w:ascii="FangSong_GB2312" w:hAnsi="FangSong_GB2312" w:eastAsia="FangSong_GB2312" w:cs="FangSong_GB2312"/>
          <w:spacing w:val="-2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321.63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万元，津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贴补贴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252.34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万元，奖金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249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万元，绩效工资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88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.36</w:t>
      </w:r>
      <w:r>
        <w:rPr>
          <w:rFonts w:ascii="FangSong_GB2312" w:hAnsi="FangSong_GB2312" w:eastAsia="FangSong_GB2312" w:cs="FangSong_GB2312"/>
          <w:spacing w:val="-5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元，机关</w:t>
      </w:r>
    </w:p>
    <w:p w14:paraId="1A7A2B50">
      <w:pPr>
        <w:spacing w:line="336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26" w:type="default"/>
          <w:footerReference r:id="rId27" w:type="default"/>
          <w:pgSz w:w="11906" w:h="16839"/>
          <w:pgMar w:top="1091" w:right="1584" w:bottom="1751" w:left="1587" w:header="1076" w:footer="1589" w:gutter="0"/>
          <w:cols w:space="720" w:num="1"/>
        </w:sectPr>
      </w:pPr>
    </w:p>
    <w:p w14:paraId="18E26C31">
      <w:pPr>
        <w:pStyle w:val="2"/>
        <w:spacing w:line="257" w:lineRule="auto"/>
      </w:pPr>
    </w:p>
    <w:p w14:paraId="02EFB847">
      <w:pPr>
        <w:pStyle w:val="2"/>
        <w:spacing w:line="257" w:lineRule="auto"/>
      </w:pPr>
    </w:p>
    <w:p w14:paraId="5326028F">
      <w:pPr>
        <w:pStyle w:val="2"/>
        <w:spacing w:line="258" w:lineRule="auto"/>
      </w:pPr>
    </w:p>
    <w:p w14:paraId="1A8A6597">
      <w:pPr>
        <w:pStyle w:val="2"/>
        <w:spacing w:line="258" w:lineRule="auto"/>
      </w:pPr>
    </w:p>
    <w:p w14:paraId="48FE6DD1">
      <w:pPr>
        <w:spacing w:before="101" w:line="340" w:lineRule="auto"/>
        <w:ind w:left="14" w:right="89" w:firstLine="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事业单位基本养老保险缴费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84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万元，职工基本医疗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保险缴费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万元，公务员医疗补助缴费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48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万元，其他社会保障缴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费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12.5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万元，住房公积金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121.86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万元；人员经费对个人和家庭补助收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入中退休费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174.67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万元，遗属生活补助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0.96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，奖励金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0.23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万元；按部门预算经济分类公用经费支出商品和服务支出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63.89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万元，其中办公费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9.2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万元，手续费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0.06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万元，水费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电费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万元，邮电费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万元，物业管理费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万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元，劳务费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3.5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万元，工会经费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12.19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元，其他商品服务</w:t>
      </w:r>
      <w:r>
        <w:rPr>
          <w:rFonts w:ascii="FangSong_GB2312" w:hAnsi="FangSong_GB2312" w:eastAsia="FangSong_GB2312" w:cs="FangSong_GB2312"/>
          <w:sz w:val="31"/>
          <w:szCs w:val="31"/>
        </w:rPr>
        <w:t>支出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11.94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万元。</w:t>
      </w:r>
    </w:p>
    <w:p w14:paraId="61917FF7">
      <w:pPr>
        <w:spacing w:before="59" w:line="337" w:lineRule="auto"/>
        <w:ind w:left="14" w:right="6" w:firstLine="62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本单位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年一般公共预算基本支出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1476.96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按政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府预算经济分类科目人员经费</w:t>
      </w:r>
      <w:r>
        <w:rPr>
          <w:rFonts w:ascii="FangSong_GB2312" w:hAnsi="FangSong_GB2312" w:eastAsia="FangSong_GB2312" w:cs="FangSong_GB2312"/>
          <w:spacing w:val="-3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1413.07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万元，其中对事业经常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性补助工资福利支出</w:t>
      </w:r>
      <w:r>
        <w:rPr>
          <w:rFonts w:ascii="FangSong_GB2312" w:hAnsi="FangSong_GB2312" w:eastAsia="FangSong_GB2312" w:cs="FangSong_GB2312"/>
          <w:spacing w:val="-5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1277.69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万元，商品和服务支出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9.53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对个人和家庭的补助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175.85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万元；公用经费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63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.89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万元，其中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对事业单位经常性补助商品和服务支出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63.89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万元。</w:t>
      </w:r>
    </w:p>
    <w:p w14:paraId="637E657E">
      <w:pPr>
        <w:spacing w:before="97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（五）政府性基金预算支出情况（详见表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</w:rPr>
        <w:t>8）</w:t>
      </w:r>
    </w:p>
    <w:p w14:paraId="4AA374D8">
      <w:pPr>
        <w:spacing w:before="130" w:line="218" w:lineRule="auto"/>
        <w:ind w:left="9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本单位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年无政府性基金预算安排支出。</w:t>
      </w:r>
    </w:p>
    <w:p w14:paraId="34966EC0">
      <w:pPr>
        <w:spacing w:before="249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（六）</w:t>
      </w:r>
      <w:r>
        <w:rPr>
          <w:rFonts w:ascii="楷体" w:hAnsi="楷体" w:eastAsia="楷体" w:cs="楷体"/>
          <w:spacing w:val="-9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国有资本经营预算支出情况（详见表</w:t>
      </w:r>
      <w:r>
        <w:rPr>
          <w:rFonts w:ascii="楷体" w:hAnsi="楷体" w:eastAsia="楷体" w:cs="楷体"/>
          <w:spacing w:val="-7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9）</w:t>
      </w:r>
    </w:p>
    <w:p w14:paraId="4B35A000">
      <w:pPr>
        <w:spacing w:before="133" w:line="218" w:lineRule="auto"/>
        <w:ind w:left="9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本单位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年无国有资本经营预算支出。</w:t>
      </w:r>
    </w:p>
    <w:p w14:paraId="3FCD7586">
      <w:pPr>
        <w:spacing w:before="249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（七）财政拨款“三公</w:t>
      </w:r>
      <w:r>
        <w:rPr>
          <w:rFonts w:ascii="楷体" w:hAnsi="楷体" w:eastAsia="楷体" w:cs="楷体"/>
          <w:spacing w:val="-117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”经费支出预算情况（详见</w:t>
      </w:r>
      <w:r>
        <w:rPr>
          <w:rFonts w:ascii="楷体" w:hAnsi="楷体" w:eastAsia="楷体" w:cs="楷体"/>
          <w:spacing w:val="1"/>
          <w:sz w:val="31"/>
          <w:szCs w:val="31"/>
        </w:rPr>
        <w:t>表</w:t>
      </w:r>
      <w:r>
        <w:rPr>
          <w:rFonts w:ascii="楷体" w:hAnsi="楷体" w:eastAsia="楷体" w:cs="楷体"/>
          <w:spacing w:val="-5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10）</w:t>
      </w:r>
    </w:p>
    <w:p w14:paraId="423465CB">
      <w:pPr>
        <w:spacing w:before="131" w:line="218" w:lineRule="auto"/>
        <w:ind w:left="85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本单位无公务用车，2023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年无公务出国（境）费、公务</w:t>
      </w:r>
    </w:p>
    <w:p w14:paraId="6BAF65C8">
      <w:pPr>
        <w:spacing w:before="211" w:line="219" w:lineRule="auto"/>
        <w:ind w:left="42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接待费和公务用车购置及运行维护费。</w:t>
      </w:r>
    </w:p>
    <w:p w14:paraId="69C1B234">
      <w:pPr>
        <w:spacing w:before="247" w:line="308" w:lineRule="auto"/>
        <w:ind w:left="959" w:right="2045" w:hanging="29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</w:rPr>
        <w:t>（八）部门政府采购预算情况（详见表</w:t>
      </w:r>
      <w:r>
        <w:rPr>
          <w:rFonts w:ascii="楷体" w:hAnsi="楷体" w:eastAsia="楷体" w:cs="楷体"/>
          <w:spacing w:val="-4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</w:rPr>
        <w:t>11）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本单位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年无政府采购预算。</w:t>
      </w:r>
    </w:p>
    <w:p w14:paraId="20264CEC">
      <w:pPr>
        <w:spacing w:line="308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28" w:type="default"/>
          <w:footerReference r:id="rId29" w:type="default"/>
          <w:pgSz w:w="11906" w:h="16839"/>
          <w:pgMar w:top="1091" w:right="1586" w:bottom="1709" w:left="1587" w:header="1076" w:footer="1431" w:gutter="0"/>
          <w:cols w:space="720" w:num="1"/>
        </w:sectPr>
      </w:pPr>
    </w:p>
    <w:p w14:paraId="34E7A232">
      <w:pPr>
        <w:pStyle w:val="2"/>
        <w:spacing w:line="267" w:lineRule="auto"/>
      </w:pPr>
    </w:p>
    <w:p w14:paraId="3CA29C84">
      <w:pPr>
        <w:pStyle w:val="2"/>
        <w:spacing w:line="267" w:lineRule="auto"/>
      </w:pPr>
    </w:p>
    <w:p w14:paraId="090D32C8">
      <w:pPr>
        <w:pStyle w:val="2"/>
        <w:spacing w:line="267" w:lineRule="auto"/>
      </w:pPr>
    </w:p>
    <w:p w14:paraId="474645D8">
      <w:pPr>
        <w:pStyle w:val="2"/>
        <w:spacing w:line="267" w:lineRule="auto"/>
      </w:pPr>
    </w:p>
    <w:p w14:paraId="36139955">
      <w:pPr>
        <w:spacing w:before="101" w:line="275" w:lineRule="auto"/>
        <w:ind w:left="959" w:right="1745" w:hanging="29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</w:rPr>
        <w:t>（九）市对下转移支付预算情况（详见表</w:t>
      </w:r>
      <w:r>
        <w:rPr>
          <w:rFonts w:ascii="楷体" w:hAnsi="楷体" w:eastAsia="楷体" w:cs="楷体"/>
          <w:spacing w:val="-36"/>
          <w:sz w:val="31"/>
          <w:szCs w:val="31"/>
        </w:rPr>
        <w:t xml:space="preserve"> </w:t>
      </w:r>
      <w:r>
        <w:rPr>
          <w:rFonts w:ascii="楷体" w:hAnsi="楷体" w:eastAsia="楷体" w:cs="楷体"/>
          <w:sz w:val="31"/>
          <w:szCs w:val="31"/>
        </w:rPr>
        <w:t xml:space="preserve">12）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本单位无对下转移支付。</w:t>
      </w:r>
    </w:p>
    <w:p w14:paraId="1BD447B4">
      <w:pPr>
        <w:spacing w:before="184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（十）部门整体支出绩效目标情况（详见表</w:t>
      </w:r>
      <w:r>
        <w:rPr>
          <w:rFonts w:ascii="楷体" w:hAnsi="楷体" w:eastAsia="楷体" w:cs="楷体"/>
          <w:spacing w:val="-4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13）</w:t>
      </w:r>
    </w:p>
    <w:p w14:paraId="080027A8">
      <w:pPr>
        <w:spacing w:before="169" w:line="229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（十一）重点项目支出绩效目标情况（详见表</w:t>
      </w:r>
      <w:r>
        <w:rPr>
          <w:rFonts w:ascii="楷体" w:hAnsi="楷体" w:eastAsia="楷体" w:cs="楷体"/>
          <w:spacing w:val="-3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14、15）</w:t>
      </w:r>
    </w:p>
    <w:p w14:paraId="108B5C39">
      <w:pPr>
        <w:spacing w:before="169" w:line="226" w:lineRule="auto"/>
        <w:ind w:left="6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四、其他重要事项说明</w:t>
      </w:r>
    </w:p>
    <w:p w14:paraId="641A5C58">
      <w:pPr>
        <w:spacing w:before="174" w:line="231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（一）</w:t>
      </w:r>
      <w:r>
        <w:rPr>
          <w:rFonts w:ascii="楷体" w:hAnsi="楷体" w:eastAsia="楷体" w:cs="楷体"/>
          <w:spacing w:val="-3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机关（机构）运行经费情况</w:t>
      </w:r>
    </w:p>
    <w:p w14:paraId="648C0529">
      <w:pPr>
        <w:spacing w:before="165" w:line="326" w:lineRule="auto"/>
        <w:ind w:left="10" w:right="90" w:firstLine="63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本年度我单位运行经费财政拨款预算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63.89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元，</w:t>
      </w:r>
      <w:r>
        <w:rPr>
          <w:rFonts w:ascii="FangSong_GB2312" w:hAnsi="FangSong_GB2312" w:eastAsia="FangSong_GB2312" w:cs="FangSong_GB2312"/>
          <w:spacing w:val="-9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比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2022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年预算减少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6.36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万元，下降 9 %。，下降主要原因是财政减少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公用经费预算中减少进修培训费支出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9</w:t>
      </w:r>
      <w:r>
        <w:rPr>
          <w:rFonts w:ascii="FangSong_GB2312" w:hAnsi="FangSong_GB2312" w:eastAsia="FangSong_GB2312" w:cs="FangSong_GB2312"/>
          <w:spacing w:val="-3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万元。公用经费预算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63.89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万元，其中办公费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9.2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万元、手续费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0.06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万元、水费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万元、电费</w:t>
      </w:r>
      <w:r>
        <w:rPr>
          <w:rFonts w:ascii="FangSong_GB2312" w:hAnsi="FangSong_GB2312" w:eastAsia="FangSong_GB2312" w:cs="FangSong_GB2312"/>
          <w:spacing w:val="-3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万元、邮电费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万元、物业管理费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万元、劳务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费</w:t>
      </w:r>
      <w:r>
        <w:rPr>
          <w:rFonts w:ascii="FangSong_GB2312" w:hAnsi="FangSong_GB2312" w:eastAsia="FangSong_GB2312" w:cs="FangSong_GB2312"/>
          <w:spacing w:val="-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3.5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万元、工会经费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12.19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万元、其他商品和服务支出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11.94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万元。</w:t>
      </w:r>
    </w:p>
    <w:p w14:paraId="6DB66CE3">
      <w:pPr>
        <w:spacing w:before="46" w:line="317" w:lineRule="auto"/>
        <w:ind w:left="11" w:right="1" w:firstLine="62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（二）</w:t>
      </w:r>
      <w:r>
        <w:rPr>
          <w:rFonts w:ascii="楷体" w:hAnsi="楷体" w:eastAsia="楷体" w:cs="楷体"/>
          <w:spacing w:val="2"/>
          <w:sz w:val="31"/>
          <w:szCs w:val="31"/>
        </w:rPr>
        <w:t>国有资产占有使用情况：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截至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-4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月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31 日，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本部门固定资产金额</w:t>
      </w:r>
      <w:r>
        <w:rPr>
          <w:rFonts w:ascii="FangSong_GB2312" w:hAnsi="FangSong_GB2312" w:eastAsia="FangSong_GB2312" w:cs="FangSong_GB2312"/>
          <w:spacing w:val="-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1926.66 万元，分布构成情况为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：房屋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9221.03 平方米，无公务车辆，无单价在</w:t>
      </w:r>
      <w:r>
        <w:rPr>
          <w:rFonts w:ascii="FangSong_GB2312" w:hAnsi="FangSong_GB2312" w:eastAsia="FangSong_GB2312" w:cs="FangSong_GB2312"/>
          <w:spacing w:val="-3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万元以上的设备。</w:t>
      </w:r>
    </w:p>
    <w:p w14:paraId="0CCB5347">
      <w:pPr>
        <w:spacing w:before="66" w:line="275" w:lineRule="auto"/>
        <w:ind w:left="15" w:right="93" w:firstLine="65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</w:rPr>
        <w:t>（三）</w:t>
      </w:r>
      <w:r>
        <w:rPr>
          <w:rFonts w:ascii="楷体" w:hAnsi="楷体" w:eastAsia="楷体" w:cs="楷体"/>
          <w:spacing w:val="-26"/>
          <w:sz w:val="31"/>
          <w:szCs w:val="31"/>
        </w:rPr>
        <w:t xml:space="preserve"> </w:t>
      </w:r>
      <w:r>
        <w:rPr>
          <w:rFonts w:ascii="楷体" w:hAnsi="楷体" w:eastAsia="楷体" w:cs="楷体"/>
          <w:sz w:val="31"/>
          <w:szCs w:val="31"/>
        </w:rPr>
        <w:t>预算绩效管理情况：</w:t>
      </w:r>
      <w:r>
        <w:rPr>
          <w:rFonts w:ascii="FangSong_GB2312" w:hAnsi="FangSong_GB2312" w:eastAsia="FangSong_GB2312" w:cs="FangSong_GB2312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年，实行绩效目标管理的 项目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7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个，涉及财政拨款预算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654.41</w:t>
      </w:r>
      <w:r>
        <w:rPr>
          <w:rFonts w:ascii="FangSong_GB2312" w:hAnsi="FangSong_GB2312" w:eastAsia="FangSong_GB2312" w:cs="FangSong_GB2312"/>
          <w:spacing w:val="-5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万元。</w:t>
      </w:r>
    </w:p>
    <w:p w14:paraId="6BFB8C83">
      <w:pPr>
        <w:spacing w:before="184" w:line="308" w:lineRule="auto"/>
        <w:ind w:left="11" w:right="9" w:firstLine="65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楷体" w:hAnsi="楷体" w:eastAsia="楷体" w:cs="楷体"/>
          <w:spacing w:val="-1"/>
          <w:sz w:val="31"/>
          <w:szCs w:val="31"/>
        </w:rPr>
        <w:t>（四）项目支出安排情况：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本单位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2023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年共有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7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个预算项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目，重点安排项目有</w:t>
      </w:r>
      <w:r>
        <w:rPr>
          <w:rFonts w:ascii="FangSong_GB2312" w:hAnsi="FangSong_GB2312" w:eastAsia="FangSong_GB2312" w:cs="FangSong_GB2312"/>
          <w:spacing w:val="-5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-6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7"/>
          <w:sz w:val="31"/>
          <w:szCs w:val="31"/>
        </w:rPr>
        <w:t>个，一是安保人员经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费，金额为</w:t>
      </w:r>
      <w:r>
        <w:rPr>
          <w:rFonts w:ascii="FangSong_GB2312" w:hAnsi="FangSong_GB2312" w:eastAsia="FangSong_GB2312" w:cs="FangSong_GB2312"/>
          <w:spacing w:val="-5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24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主要用于学校安保经费支出；二是中心幼运转经费（纳入预算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管理收费项目</w:t>
      </w:r>
      <w:r>
        <w:rPr>
          <w:rFonts w:ascii="FangSong_GB2312" w:hAnsi="FangSong_GB2312" w:eastAsia="FangSong_GB2312" w:cs="FangSong_GB2312"/>
          <w:spacing w:val="-109"/>
          <w:sz w:val="31"/>
          <w:szCs w:val="31"/>
        </w:rPr>
        <w:t>），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金额为</w:t>
      </w:r>
      <w:r>
        <w:rPr>
          <w:rFonts w:ascii="FangSong_GB2312" w:hAnsi="FangSong_GB2312" w:eastAsia="FangSong_GB2312" w:cs="FangSong_GB2312"/>
          <w:spacing w:val="-5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240</w:t>
      </w:r>
      <w:r>
        <w:rPr>
          <w:rFonts w:ascii="FangSong_GB2312" w:hAnsi="FangSong_GB2312" w:eastAsia="FangSong_GB2312" w:cs="FangSong_GB2312"/>
          <w:spacing w:val="-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万元，主要用于保障单位正常运转，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教学事务正常开展。</w:t>
      </w:r>
    </w:p>
    <w:p w14:paraId="30ED907D">
      <w:pPr>
        <w:spacing w:line="308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30" w:type="default"/>
          <w:footerReference r:id="rId31" w:type="default"/>
          <w:pgSz w:w="11906" w:h="16839"/>
          <w:pgMar w:top="1091" w:right="1584" w:bottom="1751" w:left="1587" w:header="1076" w:footer="1589" w:gutter="0"/>
          <w:cols w:space="720" w:num="1"/>
        </w:sectPr>
      </w:pPr>
    </w:p>
    <w:p w14:paraId="461435A6">
      <w:pPr>
        <w:pStyle w:val="2"/>
        <w:spacing w:line="267" w:lineRule="auto"/>
      </w:pPr>
    </w:p>
    <w:p w14:paraId="5679AFDD">
      <w:pPr>
        <w:pStyle w:val="2"/>
        <w:spacing w:line="267" w:lineRule="auto"/>
      </w:pPr>
    </w:p>
    <w:p w14:paraId="7A7F5177">
      <w:pPr>
        <w:pStyle w:val="2"/>
        <w:spacing w:line="268" w:lineRule="auto"/>
      </w:pPr>
    </w:p>
    <w:p w14:paraId="0D746F9C">
      <w:pPr>
        <w:pStyle w:val="2"/>
        <w:spacing w:line="268" w:lineRule="auto"/>
      </w:pPr>
    </w:p>
    <w:p w14:paraId="326206F9">
      <w:pPr>
        <w:spacing w:before="100" w:line="232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</w:rPr>
        <w:t>（五）名词解释</w:t>
      </w:r>
    </w:p>
    <w:p w14:paraId="5B464CC0">
      <w:pPr>
        <w:spacing w:before="166" w:line="318" w:lineRule="auto"/>
        <w:ind w:left="11" w:right="88" w:firstLine="7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.一般公共预算：是指对以税收为主体的财政收入，安排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用于保障和改善民生、推动经济社会发展、维护国家安全、维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持国家机构正常运转等方面的收支预算。</w:t>
      </w:r>
    </w:p>
    <w:p w14:paraId="395A89D6">
      <w:pPr>
        <w:spacing w:before="58" w:line="323" w:lineRule="auto"/>
        <w:ind w:left="8" w:right="6" w:firstLine="71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.政府性基金预算：是指以依照法律、行政法规的规定在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一定期限内向特定对象征收、收取或者以其他方式筹集的资金，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专项用于特定公共事业发展的收支预算。政府性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基金预算应当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根据基金项目收入情况和实际支出需要，按基金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项目编制，做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到以收定支。</w:t>
      </w:r>
    </w:p>
    <w:p w14:paraId="5D058563">
      <w:pPr>
        <w:spacing w:before="60" w:line="323" w:lineRule="auto"/>
        <w:ind w:left="6" w:right="88" w:firstLine="72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-1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.国有资本经营预算：是指国家以所有者身份依法取得国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有资本收益，并对所得收益进行分配而发生的各项收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支预算，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是政府预算的重要组成部分。国有资本经营预算按年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度单独编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制，纳入本级人民政府预算，报本级人民代表大会批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准。国有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资本经营预算支出按照当年预算收入规模安排，不列赤字。</w:t>
      </w:r>
    </w:p>
    <w:p w14:paraId="3DB1F4B0">
      <w:pPr>
        <w:spacing w:before="55" w:line="319" w:lineRule="auto"/>
        <w:ind w:left="18" w:right="88" w:firstLine="63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4.财政拨款收入：是指单位从同级财政部门取得的各类财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政拨款，包括一般公共预算资金、政府性基金预算资金和国有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资本经营预算资金。</w:t>
      </w:r>
    </w:p>
    <w:p w14:paraId="415117BE">
      <w:pPr>
        <w:spacing w:before="58" w:line="321" w:lineRule="auto"/>
        <w:ind w:left="15" w:right="88" w:firstLine="71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.财政专户管理资金收入：专指教育收费收入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，包括目前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在财政专户管理的高中以上学费、住宿费，高校委托培养费，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党校收费，教育考试考务费，函大、电大、夜大及短期培训班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费等。</w:t>
      </w:r>
    </w:p>
    <w:p w14:paraId="3AF41537">
      <w:pPr>
        <w:spacing w:before="56" w:line="314" w:lineRule="auto"/>
        <w:ind w:left="29" w:right="88" w:firstLine="69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.事业收入：是指事业单位开展专业业务活动，及其辅助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活动取得的收入，不含教育收费收入。</w:t>
      </w:r>
    </w:p>
    <w:p w14:paraId="7D412CBF">
      <w:pPr>
        <w:spacing w:line="314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32" w:type="default"/>
          <w:footerReference r:id="rId33" w:type="default"/>
          <w:pgSz w:w="11906" w:h="16839"/>
          <w:pgMar w:top="1091" w:right="1586" w:bottom="1709" w:left="1587" w:header="1076" w:footer="1431" w:gutter="0"/>
          <w:cols w:space="720" w:num="1"/>
        </w:sectPr>
      </w:pPr>
    </w:p>
    <w:p w14:paraId="4A26493D">
      <w:pPr>
        <w:pStyle w:val="2"/>
        <w:spacing w:line="267" w:lineRule="auto"/>
      </w:pPr>
    </w:p>
    <w:p w14:paraId="597DD99D">
      <w:pPr>
        <w:pStyle w:val="2"/>
        <w:spacing w:line="267" w:lineRule="auto"/>
      </w:pPr>
    </w:p>
    <w:p w14:paraId="5F81B7B4">
      <w:pPr>
        <w:pStyle w:val="2"/>
        <w:spacing w:line="267" w:lineRule="auto"/>
      </w:pPr>
    </w:p>
    <w:p w14:paraId="245AD3ED">
      <w:pPr>
        <w:pStyle w:val="2"/>
        <w:spacing w:line="268" w:lineRule="auto"/>
      </w:pPr>
    </w:p>
    <w:p w14:paraId="73275041">
      <w:pPr>
        <w:spacing w:before="101" w:line="314" w:lineRule="auto"/>
        <w:ind w:left="19" w:right="195" w:firstLine="70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7</w:t>
      </w:r>
      <w:r>
        <w:rPr>
          <w:rFonts w:ascii="FangSong_GB2312" w:hAnsi="FangSong_GB2312" w:eastAsia="FangSong_GB2312" w:cs="FangSong_GB2312"/>
          <w:spacing w:val="-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.事业单位经营收入：是指事业单位在专业业务活动及其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辅助活动之外开展非独立核算经营活动取得的收入。</w:t>
      </w:r>
    </w:p>
    <w:p w14:paraId="3184EAB4">
      <w:pPr>
        <w:spacing w:before="51" w:line="314" w:lineRule="auto"/>
        <w:ind w:left="16" w:right="195" w:firstLine="6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8.上级补助收入：是指事业单位从主管部门和上级单位取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得的非财政拨款收入。</w:t>
      </w:r>
    </w:p>
    <w:p w14:paraId="5800FED8">
      <w:pPr>
        <w:spacing w:before="54" w:line="314" w:lineRule="auto"/>
        <w:ind w:left="6" w:right="195" w:firstLine="65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9.附属单位上缴收入：是指事业单位取得附属独立核算单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位根据有关规定上缴的收入。</w:t>
      </w:r>
    </w:p>
    <w:p w14:paraId="67461885">
      <w:pPr>
        <w:spacing w:before="56" w:line="313" w:lineRule="auto"/>
        <w:ind w:left="31" w:right="195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10.基本支出：指为保障机构正常运转、完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成日常工作任务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而发生支出，包括人员经费和公用经费。</w:t>
      </w:r>
    </w:p>
    <w:p w14:paraId="4932D803">
      <w:pPr>
        <w:spacing w:before="55" w:line="313" w:lineRule="auto"/>
        <w:ind w:left="25" w:right="195" w:firstLine="63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11.项目支出：指在基本支出之外为完成特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定行政任务和事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业发展目标所发生的支出。</w:t>
      </w:r>
    </w:p>
    <w:p w14:paraId="7119BADB">
      <w:pPr>
        <w:spacing w:before="58" w:line="323" w:lineRule="auto"/>
        <w:ind w:left="6" w:firstLine="656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12.人员经费：人员经费是指部门和单位“工资福利支出”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和“对个人和家庭的补助”</w:t>
      </w:r>
      <w:r>
        <w:rPr>
          <w:rFonts w:ascii="FangSong_GB2312" w:hAnsi="FangSong_GB2312" w:eastAsia="FangSong_GB2312" w:cs="FangSong_GB2312"/>
          <w:spacing w:val="-10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中属于基本支出内容的支出，包括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基本工资、津贴补贴、奖金、机关事业单位养老保险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缴费、其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他社会保障缴费、住房公积金、其他工资福利支出、离退休费、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 生活补助等。</w:t>
      </w:r>
    </w:p>
    <w:p w14:paraId="40710057">
      <w:pPr>
        <w:spacing w:before="60" w:line="323" w:lineRule="auto"/>
        <w:ind w:left="25" w:right="195" w:firstLine="63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13.公用经费：主要是指部门和单位“商品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和服务支出”和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“资本性支出”</w:t>
      </w:r>
      <w:r>
        <w:rPr>
          <w:rFonts w:ascii="FangSong_GB2312" w:hAnsi="FangSong_GB2312" w:eastAsia="FangSong_GB2312" w:cs="FangSong_GB2312"/>
          <w:spacing w:val="-9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中属于基本支出内容的支出，包括办公费、水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31"/>
          <w:szCs w:val="31"/>
        </w:rPr>
        <w:t>费、电费、邮电费、物业管理费、交通费、差旅费、日常维修(护)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费、会议费、租赁费、招待费、培训费、福利费、工会经费、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 办公设备购置、其他商品和服务支出等。</w:t>
      </w:r>
    </w:p>
    <w:p w14:paraId="34BCB79F">
      <w:pPr>
        <w:spacing w:before="54" w:line="319" w:lineRule="auto"/>
        <w:ind w:left="6" w:right="196" w:firstLine="65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14.“三公”经费：包括因公出国（境）费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、公务接待费、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公务用车购置及运行维护费。其中，因公出国（境）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费反映单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位公务出国（境）的国际旅费、国外城市间交通费、住宿费、</w:t>
      </w:r>
    </w:p>
    <w:p w14:paraId="7DD6EFB1">
      <w:pPr>
        <w:spacing w:line="319" w:lineRule="auto"/>
        <w:rPr>
          <w:rFonts w:ascii="FangSong_GB2312" w:hAnsi="FangSong_GB2312" w:eastAsia="FangSong_GB2312" w:cs="FangSong_GB2312"/>
          <w:sz w:val="31"/>
          <w:szCs w:val="31"/>
        </w:rPr>
        <w:sectPr>
          <w:headerReference r:id="rId34" w:type="default"/>
          <w:footerReference r:id="rId35" w:type="default"/>
          <w:pgSz w:w="11906" w:h="16839"/>
          <w:pgMar w:top="1091" w:right="1479" w:bottom="1751" w:left="1587" w:header="1076" w:footer="1589" w:gutter="0"/>
          <w:cols w:space="720" w:num="1"/>
        </w:sectPr>
      </w:pPr>
    </w:p>
    <w:p w14:paraId="21E04359">
      <w:pPr>
        <w:pStyle w:val="2"/>
        <w:spacing w:line="268" w:lineRule="auto"/>
      </w:pPr>
    </w:p>
    <w:p w14:paraId="7879F299">
      <w:pPr>
        <w:pStyle w:val="2"/>
        <w:spacing w:line="268" w:lineRule="auto"/>
      </w:pPr>
    </w:p>
    <w:p w14:paraId="2EC86AC0">
      <w:pPr>
        <w:pStyle w:val="2"/>
        <w:spacing w:line="268" w:lineRule="auto"/>
      </w:pPr>
    </w:p>
    <w:p w14:paraId="49B964E3">
      <w:pPr>
        <w:pStyle w:val="2"/>
        <w:spacing w:line="268" w:lineRule="auto"/>
      </w:pPr>
    </w:p>
    <w:p w14:paraId="237DA83C">
      <w:pPr>
        <w:spacing w:before="101" w:line="321" w:lineRule="auto"/>
        <w:ind w:left="5" w:right="95" w:firstLine="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伙食费、培训费、公杂费等支出；公务用车购置及运行维护费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反映单位公务用车车辆购置支出（含车辆购置税）、燃料费、维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修费、过路过桥费、保险费、安全奖励费用等支出；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公务接待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费反映单位按规定开展的各类公务接待（含外宾接待）支出。</w:t>
      </w:r>
    </w:p>
    <w:p w14:paraId="5C660B09">
      <w:pPr>
        <w:spacing w:before="59" w:line="323" w:lineRule="auto"/>
        <w:ind w:left="8" w:firstLine="65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15.机关（机构）运行经费，是指部门的公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用经费，具体为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保障部门运行用于购买货物和服务的各项资金，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包括：办公费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及印刷费、邮电费、差旅费、会议费、福利费、维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修（护）费、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专用材料费及一般设备购置费、办公用房水电费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、取暖费、物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业管理费、公务用车运行维护费、其他交通费用以及其他费用。</w:t>
      </w:r>
    </w:p>
    <w:p w14:paraId="4E27ED57">
      <w:pPr>
        <w:spacing w:before="54" w:line="314" w:lineRule="auto"/>
        <w:ind w:left="39" w:right="95" w:firstLine="62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16.支出功能分类科目：分为类、款、项，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反映政府各项职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能活动，即政府究竟做了什么，</w:t>
      </w:r>
      <w:r>
        <w:rPr>
          <w:rFonts w:ascii="FangSong_GB2312" w:hAnsi="FangSong_GB2312" w:eastAsia="FangSong_GB2312" w:cs="FangSong_GB2312"/>
          <w:spacing w:val="-7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比如用于社保还是办了教育。</w:t>
      </w:r>
    </w:p>
    <w:p w14:paraId="2F238AFD">
      <w:pPr>
        <w:spacing w:before="55" w:line="319" w:lineRule="auto"/>
        <w:ind w:left="6" w:right="95" w:firstLine="65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17.支出经济分类科目:分为类、款，主要反映政府各项支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出的经济性质和具体用途，即政府的钱是怎么花出去的，</w:t>
      </w:r>
      <w:r>
        <w:rPr>
          <w:rFonts w:ascii="FangSong_GB2312" w:hAnsi="FangSong_GB2312" w:eastAsia="FangSong_GB2312" w:cs="FangSong_GB2312"/>
          <w:spacing w:val="-7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比如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是支付了人员工资还是购买了办公设备。</w:t>
      </w:r>
    </w:p>
    <w:p w14:paraId="0A987DAF">
      <w:pPr>
        <w:spacing w:before="53" w:line="227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五、2023</w:t>
      </w:r>
      <w:r>
        <w:rPr>
          <w:rFonts w:ascii="黑体" w:hAnsi="黑体" w:eastAsia="黑体" w:cs="黑体"/>
          <w:spacing w:val="-6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3"/>
          <w:sz w:val="31"/>
          <w:szCs w:val="31"/>
        </w:rPr>
        <w:t>年部门预算公开表（附表）</w:t>
      </w:r>
    </w:p>
    <w:sectPr>
      <w:headerReference r:id="rId36" w:type="default"/>
      <w:footerReference r:id="rId37" w:type="default"/>
      <w:pgSz w:w="11906" w:h="16839"/>
      <w:pgMar w:top="1091" w:right="1579" w:bottom="1709" w:left="1587" w:header="1076" w:footer="14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CC812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—</w:t>
    </w:r>
    <w:r>
      <w:rPr>
        <w:rFonts w:ascii="Times New Roman" w:hAnsi="Times New Roman" w:eastAsia="Times New Roman" w:cs="Times New Roman"/>
        <w:spacing w:val="18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1"/>
        <w:sz w:val="18"/>
        <w:szCs w:val="1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46CEF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—</w:t>
    </w:r>
    <w:r>
      <w:rPr>
        <w:rFonts w:ascii="Times New Roman" w:hAnsi="Times New Roman" w:eastAsia="Times New Roman" w:cs="Times New Roman"/>
        <w:spacing w:val="23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 xml:space="preserve">17 </w:t>
    </w:r>
    <w:r>
      <w:rPr>
        <w:rFonts w:ascii="Times New Roman" w:hAnsi="Times New Roman" w:eastAsia="Times New Roman" w:cs="Times New Roman"/>
        <w:spacing w:val="1"/>
        <w:sz w:val="18"/>
        <w:szCs w:val="1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85E90">
    <w:pPr>
      <w:spacing w:line="177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18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43E3B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—</w:t>
    </w:r>
    <w:r>
      <w:rPr>
        <w:rFonts w:ascii="Times New Roman" w:hAnsi="Times New Roman" w:eastAsia="Times New Roman" w:cs="Times New Roman"/>
        <w:spacing w:val="23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 xml:space="preserve">19 </w:t>
    </w:r>
    <w:r>
      <w:rPr>
        <w:rFonts w:ascii="Times New Roman" w:hAnsi="Times New Roman" w:eastAsia="Times New Roman" w:cs="Times New Roman"/>
        <w:spacing w:val="1"/>
        <w:sz w:val="18"/>
        <w:szCs w:val="18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C40AF">
    <w:pPr>
      <w:spacing w:before="1" w:line="176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20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78EBC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— 21 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2BACA">
    <w:pPr>
      <w:spacing w:before="1" w:line="176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22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A30A7">
    <w:pPr>
      <w:spacing w:line="176" w:lineRule="auto"/>
      <w:ind w:left="81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— 23 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5E305">
    <w:pPr>
      <w:spacing w:before="1" w:line="176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24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3E1A4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— 9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8435D">
    <w:pPr>
      <w:spacing w:line="177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10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3951F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7"/>
        <w:sz w:val="18"/>
        <w:szCs w:val="18"/>
      </w:rPr>
      <w:t>—</w:t>
    </w:r>
    <w:r>
      <w:rPr>
        <w:rFonts w:ascii="Times New Roman" w:hAnsi="Times New Roman" w:eastAsia="Times New Roman" w:cs="Times New Roman"/>
        <w:spacing w:val="2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6"/>
        <w:sz w:val="18"/>
        <w:szCs w:val="18"/>
      </w:rPr>
      <w:t xml:space="preserve">1 </w:t>
    </w:r>
    <w:r>
      <w:rPr>
        <w:rFonts w:ascii="Times New Roman" w:hAnsi="Times New Roman" w:eastAsia="Times New Roman" w:cs="Times New Roman"/>
        <w:spacing w:val="1"/>
        <w:sz w:val="18"/>
        <w:szCs w:val="1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99858">
    <w:pPr>
      <w:spacing w:line="177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12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3E191">
    <w:pPr>
      <w:spacing w:line="176" w:lineRule="auto"/>
      <w:ind w:right="4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—</w:t>
    </w:r>
    <w:r>
      <w:rPr>
        <w:rFonts w:ascii="Times New Roman" w:hAnsi="Times New Roman" w:eastAsia="Times New Roman" w:cs="Times New Roman"/>
        <w:spacing w:val="23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13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4495B">
    <w:pPr>
      <w:spacing w:line="177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14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83D50">
    <w:pPr>
      <w:spacing w:line="176" w:lineRule="auto"/>
      <w:ind w:right="4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—</w:t>
    </w:r>
    <w:r>
      <w:rPr>
        <w:rFonts w:ascii="Times New Roman" w:hAnsi="Times New Roman" w:eastAsia="Times New Roman" w:cs="Times New Roman"/>
        <w:spacing w:val="23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15 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40003">
    <w:pPr>
      <w:spacing w:line="177" w:lineRule="auto"/>
      <w:ind w:left="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16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1ECB2">
    <w:pPr>
      <w:pStyle w:val="2"/>
      <w:spacing w:line="46" w:lineRule="auto"/>
      <w:rPr>
        <w:sz w:val="2"/>
      </w:rPr>
    </w:pPr>
    <w:r>
      <w:pict>
        <v:shape id="_x0000_s2049" o:spid="_x0000_s2049" style="position:absolute;left:0pt;margin-left:79.35pt;margin-top:53.85pt;height:0.75pt;width:436.65pt;mso-position-horizontal-relative:page;mso-position-vertical-relative:page;z-index:251659264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CB56C">
    <w:pPr>
      <w:pStyle w:val="2"/>
      <w:spacing w:line="46" w:lineRule="auto"/>
      <w:rPr>
        <w:sz w:val="2"/>
      </w:rPr>
    </w:pPr>
    <w:r>
      <w:pict>
        <v:shape id="_x0000_s2058" o:spid="_x0000_s2058" style="position:absolute;left:0pt;margin-left:79.35pt;margin-top:53.85pt;height:0.75pt;width:436.65pt;mso-position-horizontal-relative:page;mso-position-vertical-relative:page;z-index:251663360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801C2">
    <w:pPr>
      <w:pStyle w:val="2"/>
      <w:spacing w:line="46" w:lineRule="auto"/>
      <w:rPr>
        <w:sz w:val="2"/>
      </w:rPr>
    </w:pPr>
    <w:r>
      <w:pict>
        <v:shape id="_x0000_s2059" o:spid="_x0000_s2059" style="position:absolute;left:0pt;margin-left:79.35pt;margin-top:53.85pt;height:0.75pt;width:436.65pt;mso-position-horizontal-relative:page;mso-position-vertical-relative:page;z-index:251659264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A49F2">
    <w:pPr>
      <w:pStyle w:val="2"/>
      <w:spacing w:line="46" w:lineRule="auto"/>
      <w:rPr>
        <w:sz w:val="2"/>
      </w:rPr>
    </w:pPr>
    <w:r>
      <w:pict>
        <v:shape id="_x0000_s2060" o:spid="_x0000_s2060" style="position:absolute;left:0pt;margin-left:79.35pt;margin-top:53.85pt;height:0.75pt;width:436.65pt;mso-position-horizontal-relative:page;mso-position-vertical-relative:page;z-index:251660288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EDF3E">
    <w:pPr>
      <w:pStyle w:val="2"/>
      <w:spacing w:line="46" w:lineRule="auto"/>
      <w:rPr>
        <w:sz w:val="2"/>
      </w:rPr>
    </w:pPr>
    <w:r>
      <w:pict>
        <v:shape id="_x0000_s2061" o:spid="_x0000_s2061" style="position:absolute;left:0pt;margin-left:79.35pt;margin-top:53.85pt;height:0.75pt;width:436.65pt;mso-position-horizontal-relative:page;mso-position-vertical-relative:page;z-index:251659264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CB6AC">
    <w:pPr>
      <w:pStyle w:val="2"/>
      <w:spacing w:line="46" w:lineRule="auto"/>
      <w:rPr>
        <w:sz w:val="2"/>
      </w:rPr>
    </w:pPr>
    <w:r>
      <w:pict>
        <v:shape id="_x0000_s2062" o:spid="_x0000_s2062" style="position:absolute;left:0pt;margin-left:79.35pt;margin-top:53.85pt;height:0.75pt;width:436.65pt;mso-position-horizontal-relative:page;mso-position-vertical-relative:page;z-index:251660288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171FF">
    <w:pPr>
      <w:pStyle w:val="2"/>
      <w:spacing w:line="46" w:lineRule="auto"/>
      <w:rPr>
        <w:sz w:val="2"/>
      </w:rPr>
    </w:pPr>
    <w:r>
      <w:pict>
        <v:shape id="_x0000_s2063" o:spid="_x0000_s2063" style="position:absolute;left:0pt;margin-left:79.35pt;margin-top:53.85pt;height:0.75pt;width:436.65pt;mso-position-horizontal-relative:page;mso-position-vertical-relative:page;z-index:251664384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E59F2">
    <w:pPr>
      <w:pStyle w:val="2"/>
      <w:spacing w:line="46" w:lineRule="auto"/>
      <w:rPr>
        <w:sz w:val="2"/>
      </w:rPr>
    </w:pPr>
    <w:r>
      <w:pict>
        <v:shape id="_x0000_s2064" o:spid="_x0000_s2064" style="position:absolute;left:0pt;margin-left:79.35pt;margin-top:53.85pt;height:0.75pt;width:436.65pt;mso-position-horizontal-relative:page;mso-position-vertical-relative:page;z-index:251662336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808D4">
    <w:pPr>
      <w:pStyle w:val="2"/>
      <w:spacing w:line="46" w:lineRule="auto"/>
      <w:rPr>
        <w:sz w:val="2"/>
      </w:rPr>
    </w:pPr>
    <w:r>
      <w:pict>
        <v:shape id="_x0000_s2050" o:spid="_x0000_s2050" style="position:absolute;left:0pt;margin-left:79.35pt;margin-top:53.85pt;height:0.75pt;width:436.65pt;mso-position-horizontal-relative:page;mso-position-vertical-relative:page;z-index:251660288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572F7">
    <w:pPr>
      <w:pStyle w:val="2"/>
      <w:spacing w:line="46" w:lineRule="auto"/>
      <w:rPr>
        <w:sz w:val="2"/>
      </w:rPr>
    </w:pPr>
    <w:r>
      <w:pict>
        <v:shape id="_x0000_s2051" o:spid="_x0000_s2051" style="position:absolute;left:0pt;margin-left:79.35pt;margin-top:53.85pt;height:0.75pt;width:436.65pt;mso-position-horizontal-relative:page;mso-position-vertical-relative:page;z-index:251659264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8BCD2">
    <w:pPr>
      <w:pStyle w:val="2"/>
      <w:spacing w:line="46" w:lineRule="auto"/>
      <w:rPr>
        <w:sz w:val="2"/>
      </w:rPr>
    </w:pPr>
    <w:r>
      <w:pict>
        <v:shape id="_x0000_s2052" o:spid="_x0000_s2052" style="position:absolute;left:0pt;margin-left:79.35pt;margin-top:53.85pt;height:0.75pt;width:436.65pt;mso-position-horizontal-relative:page;mso-position-vertical-relative:page;z-index:251661312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45225">
    <w:pPr>
      <w:pStyle w:val="2"/>
      <w:spacing w:line="46" w:lineRule="auto"/>
      <w:rPr>
        <w:sz w:val="2"/>
      </w:rPr>
    </w:pPr>
    <w:r>
      <w:pict>
        <v:shape id="_x0000_s2053" o:spid="_x0000_s2053" style="position:absolute;left:0pt;margin-left:79.35pt;margin-top:53.85pt;height:0.75pt;width:436.65pt;mso-position-horizontal-relative:page;mso-position-vertical-relative:page;z-index:251662336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F5D44">
    <w:pPr>
      <w:pStyle w:val="2"/>
      <w:spacing w:line="46" w:lineRule="auto"/>
      <w:rPr>
        <w:sz w:val="2"/>
      </w:rPr>
    </w:pPr>
    <w:r>
      <w:pict>
        <v:shape id="_x0000_s2054" o:spid="_x0000_s2054" style="position:absolute;left:0pt;margin-left:79.35pt;margin-top:53.85pt;height:0.75pt;width:436.65pt;mso-position-horizontal-relative:page;mso-position-vertical-relative:page;z-index:251660288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73A76">
    <w:pPr>
      <w:pStyle w:val="2"/>
      <w:spacing w:line="46" w:lineRule="auto"/>
      <w:rPr>
        <w:sz w:val="2"/>
      </w:rPr>
    </w:pPr>
    <w:r>
      <w:pict>
        <v:shape id="_x0000_s2055" o:spid="_x0000_s2055" style="position:absolute;left:0pt;margin-left:79.35pt;margin-top:53.85pt;height:0.75pt;width:436.65pt;mso-position-horizontal-relative:page;mso-position-vertical-relative:page;z-index:251662336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83D40">
    <w:pPr>
      <w:pStyle w:val="2"/>
      <w:spacing w:line="46" w:lineRule="auto"/>
      <w:rPr>
        <w:sz w:val="2"/>
      </w:rPr>
    </w:pPr>
    <w:r>
      <w:pict>
        <v:shape id="_x0000_s2056" o:spid="_x0000_s2056" style="position:absolute;left:0pt;margin-left:79.35pt;margin-top:53.85pt;height:0.75pt;width:436.65pt;mso-position-horizontal-relative:page;mso-position-vertical-relative:page;z-index:251660288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6636B">
    <w:pPr>
      <w:pStyle w:val="2"/>
      <w:spacing w:line="46" w:lineRule="auto"/>
      <w:rPr>
        <w:sz w:val="2"/>
      </w:rPr>
    </w:pPr>
    <w:r>
      <w:pict>
        <v:shape id="_x0000_s2057" o:spid="_x0000_s2057" style="position:absolute;left:0pt;margin-left:79.35pt;margin-top:53.85pt;height:0.75pt;width:436.65pt;mso-position-horizontal-relative:page;mso-position-vertical-relative:page;z-index:251659264;mso-width-relative:page;mso-height-relative:page;" fillcolor="#000000" filled="t" stroked="f" coordsize="8732,15" o:allowincell="f" path="m0,0l8732,0,8732,14,0,14,0,0xe">
          <v:fill on="t" focussize="0,0"/>
          <v:stroke on="f"/>
          <v:imagedata o:title=""/>
          <o:lock v:ext="edi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UzNjVjZThkMjFmZGEzZWMwMTk4MTE0ODA0NDAxNGIifQ=="/>
  </w:docVars>
  <w:rsids>
    <w:rsidRoot w:val="00000000"/>
    <w:rsid w:val="70C13E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customXml" Target="../customXml/item1.xml"/><Relationship Id="rId38" Type="http://schemas.openxmlformats.org/officeDocument/2006/relationships/theme" Target="theme/theme1.xml"/><Relationship Id="rId37" Type="http://schemas.openxmlformats.org/officeDocument/2006/relationships/footer" Target="footer17.xml"/><Relationship Id="rId36" Type="http://schemas.openxmlformats.org/officeDocument/2006/relationships/header" Target="header16.xml"/><Relationship Id="rId35" Type="http://schemas.openxmlformats.org/officeDocument/2006/relationships/footer" Target="footer16.xml"/><Relationship Id="rId34" Type="http://schemas.openxmlformats.org/officeDocument/2006/relationships/header" Target="header15.xml"/><Relationship Id="rId33" Type="http://schemas.openxmlformats.org/officeDocument/2006/relationships/footer" Target="footer15.xml"/><Relationship Id="rId32" Type="http://schemas.openxmlformats.org/officeDocument/2006/relationships/header" Target="header14.xml"/><Relationship Id="rId31" Type="http://schemas.openxmlformats.org/officeDocument/2006/relationships/footer" Target="footer14.xml"/><Relationship Id="rId30" Type="http://schemas.openxmlformats.org/officeDocument/2006/relationships/header" Target="header13.xml"/><Relationship Id="rId3" Type="http://schemas.openxmlformats.org/officeDocument/2006/relationships/footnotes" Target="footnotes.xml"/><Relationship Id="rId29" Type="http://schemas.openxmlformats.org/officeDocument/2006/relationships/footer" Target="footer13.xml"/><Relationship Id="rId28" Type="http://schemas.openxmlformats.org/officeDocument/2006/relationships/header" Target="header12.xml"/><Relationship Id="rId27" Type="http://schemas.openxmlformats.org/officeDocument/2006/relationships/footer" Target="footer12.xml"/><Relationship Id="rId26" Type="http://schemas.openxmlformats.org/officeDocument/2006/relationships/header" Target="header11.xml"/><Relationship Id="rId25" Type="http://schemas.openxmlformats.org/officeDocument/2006/relationships/footer" Target="footer11.xml"/><Relationship Id="rId24" Type="http://schemas.openxmlformats.org/officeDocument/2006/relationships/header" Target="header10.xml"/><Relationship Id="rId23" Type="http://schemas.openxmlformats.org/officeDocument/2006/relationships/footer" Target="footer10.xml"/><Relationship Id="rId22" Type="http://schemas.openxmlformats.org/officeDocument/2006/relationships/header" Target="header9.xml"/><Relationship Id="rId21" Type="http://schemas.openxmlformats.org/officeDocument/2006/relationships/footer" Target="footer9.xml"/><Relationship Id="rId20" Type="http://schemas.openxmlformats.org/officeDocument/2006/relationships/header" Target="header8.xml"/><Relationship Id="rId2" Type="http://schemas.openxmlformats.org/officeDocument/2006/relationships/settings" Target="settings.xml"/><Relationship Id="rId19" Type="http://schemas.openxmlformats.org/officeDocument/2006/relationships/footer" Target="footer8.xml"/><Relationship Id="rId18" Type="http://schemas.openxmlformats.org/officeDocument/2006/relationships/header" Target="header7.xml"/><Relationship Id="rId17" Type="http://schemas.openxmlformats.org/officeDocument/2006/relationships/footer" Target="footer7.xml"/><Relationship Id="rId16" Type="http://schemas.openxmlformats.org/officeDocument/2006/relationships/header" Target="header6.xml"/><Relationship Id="rId15" Type="http://schemas.openxmlformats.org/officeDocument/2006/relationships/footer" Target="footer6.xml"/><Relationship Id="rId14" Type="http://schemas.openxmlformats.org/officeDocument/2006/relationships/header" Target="header5.xml"/><Relationship Id="rId13" Type="http://schemas.openxmlformats.org/officeDocument/2006/relationships/footer" Target="footer5.xml"/><Relationship Id="rId12" Type="http://schemas.openxmlformats.org/officeDocument/2006/relationships/header" Target="header4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17</Pages>
  <Words>8151</Words>
  <Characters>8787</Characters>
  <TotalTime>0</TotalTime>
  <ScaleCrop>false</ScaleCrop>
  <LinksUpToDate>false</LinksUpToDate>
  <CharactersWithSpaces>9478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2023-06-13T09:35:00Z</dcterms:created>
  <dc:creator>czjysc</dc:creator>
  <cp:lastModifiedBy>飘零</cp:lastModifiedBy>
  <dcterms:modified xsi:type="dcterms:W3CDTF">2024-10-09T06:53:34Z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2024-10-09T14:52:50Z</vt:filetime>
  </property>
  <property fmtid="{D5CDD505-2E9C-101B-9397-08002B2CF9AE}" pid="4" name="KSOProductBuildVer">
    <vt:lpwstr>2052-12.1.0.17827</vt:lpwstr>
  </property>
  <property fmtid="{D5CDD505-2E9C-101B-9397-08002B2CF9AE}" pid="5" name="ICV">
    <vt:lpwstr>BC8D2732E62D4671AD0257D0D726E18C_12</vt:lpwstr>
  </property>
</Properties>
</file>