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8E810">
      <w:pPr>
        <w:pStyle w:val="2"/>
        <w:spacing w:line="249" w:lineRule="auto"/>
      </w:pPr>
    </w:p>
    <w:p w14:paraId="1F516278">
      <w:pPr>
        <w:pStyle w:val="2"/>
        <w:spacing w:line="249" w:lineRule="auto"/>
      </w:pPr>
    </w:p>
    <w:p w14:paraId="2C18C7DF">
      <w:pPr>
        <w:pStyle w:val="2"/>
        <w:spacing w:line="249" w:lineRule="auto"/>
      </w:pPr>
    </w:p>
    <w:p w14:paraId="174BD6FD">
      <w:pPr>
        <w:pStyle w:val="2"/>
        <w:spacing w:line="249" w:lineRule="auto"/>
      </w:pPr>
    </w:p>
    <w:p w14:paraId="20C1A7FC">
      <w:pPr>
        <w:pStyle w:val="2"/>
        <w:spacing w:line="249" w:lineRule="auto"/>
      </w:pPr>
    </w:p>
    <w:p w14:paraId="67234602">
      <w:pPr>
        <w:pStyle w:val="2"/>
        <w:spacing w:line="249" w:lineRule="auto"/>
      </w:pPr>
    </w:p>
    <w:p w14:paraId="7E56442A">
      <w:pPr>
        <w:pStyle w:val="2"/>
        <w:spacing w:line="250" w:lineRule="auto"/>
      </w:pPr>
    </w:p>
    <w:p w14:paraId="7A64D2FA">
      <w:pPr>
        <w:spacing w:before="140" w:line="236" w:lineRule="auto"/>
        <w:ind w:left="1786" w:right="1657" w:firstLine="58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4"/>
          <w:sz w:val="43"/>
          <w:szCs w:val="43"/>
        </w:rPr>
        <w:t>贵阳市学生健康发展中心</w:t>
      </w:r>
      <w:r>
        <w:rPr>
          <w:rFonts w:ascii="黑体" w:hAnsi="黑体" w:eastAsia="黑体" w:cs="黑体"/>
          <w:spacing w:val="3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2"/>
          <w:sz w:val="43"/>
          <w:szCs w:val="43"/>
        </w:rPr>
        <w:t>2023</w:t>
      </w:r>
      <w:r>
        <w:rPr>
          <w:rFonts w:ascii="黑体" w:hAnsi="黑体" w:eastAsia="黑体" w:cs="黑体"/>
          <w:spacing w:val="-83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2"/>
          <w:sz w:val="43"/>
          <w:szCs w:val="43"/>
        </w:rPr>
        <w:t>年部门预算公开信息</w:t>
      </w:r>
    </w:p>
    <w:p w14:paraId="2BC6AD8E">
      <w:pPr>
        <w:pStyle w:val="2"/>
        <w:spacing w:line="246" w:lineRule="auto"/>
      </w:pPr>
    </w:p>
    <w:p w14:paraId="0551D698">
      <w:pPr>
        <w:pStyle w:val="2"/>
        <w:spacing w:line="246" w:lineRule="auto"/>
      </w:pPr>
    </w:p>
    <w:p w14:paraId="2491EC1A">
      <w:pPr>
        <w:pStyle w:val="2"/>
        <w:spacing w:line="246" w:lineRule="auto"/>
      </w:pPr>
    </w:p>
    <w:p w14:paraId="5EC0618C">
      <w:pPr>
        <w:pStyle w:val="2"/>
        <w:spacing w:line="246" w:lineRule="auto"/>
      </w:pPr>
    </w:p>
    <w:p w14:paraId="126C7F63">
      <w:pPr>
        <w:pStyle w:val="2"/>
        <w:spacing w:line="246" w:lineRule="auto"/>
      </w:pPr>
    </w:p>
    <w:p w14:paraId="616E8B9B">
      <w:pPr>
        <w:pStyle w:val="2"/>
        <w:spacing w:line="246" w:lineRule="auto"/>
      </w:pPr>
    </w:p>
    <w:p w14:paraId="3004E737">
      <w:pPr>
        <w:pStyle w:val="2"/>
        <w:spacing w:line="246" w:lineRule="auto"/>
      </w:pPr>
    </w:p>
    <w:p w14:paraId="698BAAAE">
      <w:pPr>
        <w:pStyle w:val="2"/>
        <w:spacing w:line="246" w:lineRule="auto"/>
      </w:pPr>
    </w:p>
    <w:p w14:paraId="63B9CF37">
      <w:pPr>
        <w:pStyle w:val="2"/>
        <w:spacing w:line="246" w:lineRule="auto"/>
      </w:pPr>
    </w:p>
    <w:p w14:paraId="1B9C2DB9">
      <w:pPr>
        <w:pStyle w:val="2"/>
        <w:spacing w:line="246" w:lineRule="auto"/>
      </w:pPr>
    </w:p>
    <w:p w14:paraId="2E88F235">
      <w:pPr>
        <w:pStyle w:val="2"/>
        <w:spacing w:line="246" w:lineRule="auto"/>
      </w:pPr>
    </w:p>
    <w:p w14:paraId="179EC076">
      <w:pPr>
        <w:pStyle w:val="2"/>
        <w:spacing w:line="246" w:lineRule="auto"/>
      </w:pPr>
    </w:p>
    <w:p w14:paraId="39A2FA1F">
      <w:pPr>
        <w:pStyle w:val="2"/>
        <w:spacing w:line="246" w:lineRule="auto"/>
      </w:pPr>
    </w:p>
    <w:p w14:paraId="7D53AF37">
      <w:pPr>
        <w:pStyle w:val="2"/>
        <w:spacing w:line="246" w:lineRule="auto"/>
      </w:pPr>
    </w:p>
    <w:p w14:paraId="2D24BC30">
      <w:pPr>
        <w:pStyle w:val="2"/>
        <w:spacing w:line="246" w:lineRule="auto"/>
      </w:pPr>
    </w:p>
    <w:p w14:paraId="2886118C">
      <w:pPr>
        <w:pStyle w:val="2"/>
        <w:spacing w:line="246" w:lineRule="auto"/>
      </w:pPr>
    </w:p>
    <w:p w14:paraId="4ACB0BCE">
      <w:pPr>
        <w:pStyle w:val="2"/>
        <w:spacing w:line="246" w:lineRule="auto"/>
      </w:pPr>
    </w:p>
    <w:p w14:paraId="65D70A4A">
      <w:pPr>
        <w:pStyle w:val="2"/>
        <w:spacing w:line="246" w:lineRule="auto"/>
      </w:pPr>
    </w:p>
    <w:p w14:paraId="688CF489">
      <w:pPr>
        <w:pStyle w:val="2"/>
        <w:spacing w:line="246" w:lineRule="auto"/>
      </w:pPr>
    </w:p>
    <w:p w14:paraId="6160DA3D">
      <w:pPr>
        <w:pStyle w:val="2"/>
        <w:spacing w:line="246" w:lineRule="auto"/>
      </w:pPr>
    </w:p>
    <w:p w14:paraId="1F090B24">
      <w:pPr>
        <w:pStyle w:val="2"/>
        <w:spacing w:line="246" w:lineRule="auto"/>
      </w:pPr>
    </w:p>
    <w:p w14:paraId="62E2E0D3">
      <w:pPr>
        <w:pStyle w:val="2"/>
        <w:spacing w:line="246" w:lineRule="auto"/>
      </w:pPr>
    </w:p>
    <w:p w14:paraId="4F4517B4">
      <w:pPr>
        <w:pStyle w:val="2"/>
        <w:spacing w:line="246" w:lineRule="auto"/>
      </w:pPr>
    </w:p>
    <w:p w14:paraId="6C8FA436">
      <w:pPr>
        <w:pStyle w:val="2"/>
        <w:spacing w:line="247" w:lineRule="auto"/>
      </w:pPr>
    </w:p>
    <w:p w14:paraId="5B261F9D">
      <w:pPr>
        <w:pStyle w:val="2"/>
        <w:spacing w:line="247" w:lineRule="auto"/>
      </w:pPr>
    </w:p>
    <w:p w14:paraId="4184E9B1">
      <w:pPr>
        <w:pStyle w:val="2"/>
        <w:spacing w:line="247" w:lineRule="auto"/>
      </w:pPr>
    </w:p>
    <w:p w14:paraId="01950893">
      <w:pPr>
        <w:pStyle w:val="2"/>
        <w:spacing w:line="247" w:lineRule="auto"/>
      </w:pPr>
    </w:p>
    <w:p w14:paraId="2EA572C6">
      <w:pPr>
        <w:spacing w:before="91" w:line="368" w:lineRule="auto"/>
        <w:ind w:left="2998" w:right="2175" w:hanging="69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贵阳市学生健康发展中心  编制</w:t>
      </w:r>
      <w:r>
        <w:rPr>
          <w:rFonts w:ascii="黑体" w:hAnsi="黑体" w:eastAsia="黑体" w:cs="黑体"/>
          <w:spacing w:val="6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5"/>
          <w:sz w:val="28"/>
          <w:szCs w:val="28"/>
        </w:rPr>
        <w:t>二〇二三年四月壹日</w:t>
      </w:r>
    </w:p>
    <w:p w14:paraId="6A5F1F4D">
      <w:pPr>
        <w:spacing w:line="368" w:lineRule="auto"/>
        <w:rPr>
          <w:rFonts w:ascii="黑体" w:hAnsi="黑体" w:eastAsia="黑体" w:cs="黑体"/>
          <w:sz w:val="28"/>
          <w:szCs w:val="28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31C39828">
      <w:pPr>
        <w:pStyle w:val="2"/>
      </w:pPr>
    </w:p>
    <w:p w14:paraId="7170F05D">
      <w:pPr>
        <w:sectPr>
          <w:headerReference r:id="rId5" w:type="default"/>
          <w:footerReference r:id="rId6" w:type="default"/>
          <w:pgSz w:w="11906" w:h="16839"/>
          <w:pgMar w:top="0" w:right="0" w:bottom="0" w:left="0" w:header="0" w:footer="0" w:gutter="0"/>
          <w:cols w:space="720" w:num="1"/>
        </w:sectPr>
      </w:pPr>
    </w:p>
    <w:p w14:paraId="438FCC59">
      <w:pPr>
        <w:pStyle w:val="2"/>
        <w:spacing w:line="269" w:lineRule="auto"/>
      </w:pPr>
    </w:p>
    <w:p w14:paraId="1CD371D9">
      <w:pPr>
        <w:pStyle w:val="2"/>
        <w:spacing w:line="270" w:lineRule="auto"/>
      </w:pPr>
    </w:p>
    <w:p w14:paraId="5EC61E46">
      <w:pPr>
        <w:pStyle w:val="2"/>
        <w:spacing w:line="270" w:lineRule="auto"/>
      </w:pPr>
    </w:p>
    <w:p w14:paraId="0D294F93">
      <w:pPr>
        <w:pStyle w:val="2"/>
        <w:spacing w:line="270" w:lineRule="auto"/>
      </w:pPr>
    </w:p>
    <w:p w14:paraId="065CA4FF">
      <w:pPr>
        <w:pStyle w:val="2"/>
        <w:spacing w:line="270" w:lineRule="auto"/>
      </w:pPr>
    </w:p>
    <w:p w14:paraId="5EFD5DAD">
      <w:pPr>
        <w:pStyle w:val="2"/>
        <w:spacing w:line="270" w:lineRule="auto"/>
      </w:pPr>
    </w:p>
    <w:p w14:paraId="61285C9F">
      <w:pPr>
        <w:spacing w:before="140" w:line="225" w:lineRule="auto"/>
        <w:ind w:left="3713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-32"/>
          <w:sz w:val="43"/>
          <w:szCs w:val="43"/>
        </w:rPr>
        <w:t>目</w:t>
      </w:r>
      <w:r>
        <w:rPr>
          <w:rFonts w:ascii="黑体" w:hAnsi="黑体" w:eastAsia="黑体" w:cs="黑体"/>
          <w:spacing w:val="11"/>
          <w:sz w:val="43"/>
          <w:szCs w:val="43"/>
        </w:rPr>
        <w:t xml:space="preserve">  </w:t>
      </w:r>
      <w:r>
        <w:rPr>
          <w:rFonts w:ascii="黑体" w:hAnsi="黑体" w:eastAsia="黑体" w:cs="黑体"/>
          <w:spacing w:val="-32"/>
          <w:sz w:val="43"/>
          <w:szCs w:val="43"/>
        </w:rPr>
        <w:t>录</w:t>
      </w:r>
    </w:p>
    <w:p w14:paraId="74269C70">
      <w:pPr>
        <w:pStyle w:val="2"/>
        <w:spacing w:line="285" w:lineRule="auto"/>
      </w:pPr>
    </w:p>
    <w:p w14:paraId="4E470AAC">
      <w:pPr>
        <w:pStyle w:val="2"/>
        <w:spacing w:line="286" w:lineRule="auto"/>
      </w:pPr>
    </w:p>
    <w:p w14:paraId="02E3B354">
      <w:pPr>
        <w:spacing w:before="100" w:line="226" w:lineRule="auto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一、单位概况</w:t>
      </w:r>
    </w:p>
    <w:p w14:paraId="6C2C28C6">
      <w:pPr>
        <w:spacing w:before="242" w:line="226" w:lineRule="auto"/>
        <w:ind w:left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（一）单位主要职能</w:t>
      </w:r>
    </w:p>
    <w:p w14:paraId="0478B8AA">
      <w:pPr>
        <w:spacing w:before="179" w:line="226" w:lineRule="auto"/>
        <w:ind w:left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（二）单位机构设置</w:t>
      </w:r>
    </w:p>
    <w:p w14:paraId="4AF0922B">
      <w:pPr>
        <w:spacing w:before="179" w:line="226" w:lineRule="auto"/>
        <w:ind w:left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（三）预算单位构成</w:t>
      </w:r>
    </w:p>
    <w:p w14:paraId="4DD1AF90">
      <w:pPr>
        <w:spacing w:before="181" w:line="227" w:lineRule="auto"/>
        <w:ind w:left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（四）部门人员构成</w:t>
      </w:r>
    </w:p>
    <w:p w14:paraId="07BA44D8">
      <w:pPr>
        <w:spacing w:before="178" w:line="226" w:lineRule="auto"/>
        <w:ind w:left="321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1"/>
          <w:sz w:val="31"/>
          <w:szCs w:val="31"/>
        </w:rPr>
        <w:t>二、单位主要工作任务和政策依据</w:t>
      </w:r>
    </w:p>
    <w:p w14:paraId="515F7B13">
      <w:pPr>
        <w:spacing w:before="180" w:line="227" w:lineRule="auto"/>
        <w:ind w:left="320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1"/>
          <w:sz w:val="31"/>
          <w:szCs w:val="31"/>
        </w:rPr>
        <w:t>三、部门预算安排情况说明</w:t>
      </w:r>
    </w:p>
    <w:p w14:paraId="63ED3BC3">
      <w:pPr>
        <w:spacing w:before="181" w:line="227" w:lineRule="auto"/>
        <w:ind w:left="3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2"/>
          <w:sz w:val="31"/>
          <w:szCs w:val="31"/>
        </w:rPr>
        <w:t>四、其他重要事项说明</w:t>
      </w:r>
    </w:p>
    <w:p w14:paraId="2562CDAB">
      <w:pPr>
        <w:spacing w:before="178" w:line="226" w:lineRule="auto"/>
        <w:ind w:left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（一）机关运行经费情况</w:t>
      </w:r>
    </w:p>
    <w:p w14:paraId="001422AB">
      <w:pPr>
        <w:spacing w:before="179" w:line="228" w:lineRule="auto"/>
        <w:ind w:left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（二）国有资产占有使用情况</w:t>
      </w:r>
    </w:p>
    <w:p w14:paraId="4DCC057C">
      <w:pPr>
        <w:spacing w:before="179" w:line="227" w:lineRule="auto"/>
        <w:ind w:left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（三）预算绩效管理情况</w:t>
      </w:r>
    </w:p>
    <w:p w14:paraId="517907AF">
      <w:pPr>
        <w:spacing w:before="178" w:line="228" w:lineRule="auto"/>
        <w:ind w:left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（四）项目支出安排情况</w:t>
      </w:r>
    </w:p>
    <w:p w14:paraId="6F3078DE">
      <w:pPr>
        <w:spacing w:before="176" w:line="228" w:lineRule="auto"/>
        <w:ind w:left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（五）名词解释</w:t>
      </w:r>
    </w:p>
    <w:p w14:paraId="02F6D7AE">
      <w:pPr>
        <w:spacing w:before="179" w:line="227" w:lineRule="auto"/>
        <w:ind w:left="316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五、2023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z w:val="31"/>
          <w:szCs w:val="31"/>
        </w:rPr>
        <w:t>年部门预算公开表（附表）</w:t>
      </w:r>
    </w:p>
    <w:p w14:paraId="58321293"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6" w:h="16839"/>
          <w:pgMar w:top="400" w:right="1785" w:bottom="1946" w:left="1612" w:header="0" w:footer="1666" w:gutter="0"/>
          <w:cols w:space="720" w:num="1"/>
        </w:sectPr>
      </w:pPr>
    </w:p>
    <w:p w14:paraId="613FC062">
      <w:pPr>
        <w:pStyle w:val="2"/>
        <w:spacing w:line="251" w:lineRule="auto"/>
      </w:pPr>
    </w:p>
    <w:p w14:paraId="6D3DC701">
      <w:pPr>
        <w:pStyle w:val="2"/>
        <w:spacing w:line="251" w:lineRule="auto"/>
      </w:pPr>
    </w:p>
    <w:p w14:paraId="2B779C7C">
      <w:pPr>
        <w:pStyle w:val="2"/>
        <w:spacing w:line="251" w:lineRule="auto"/>
      </w:pPr>
    </w:p>
    <w:p w14:paraId="484B80B2">
      <w:pPr>
        <w:pStyle w:val="2"/>
        <w:spacing w:line="251" w:lineRule="auto"/>
      </w:pPr>
    </w:p>
    <w:p w14:paraId="651C1381">
      <w:pPr>
        <w:pStyle w:val="2"/>
        <w:spacing w:line="251" w:lineRule="auto"/>
      </w:pPr>
    </w:p>
    <w:p w14:paraId="4677642F">
      <w:pPr>
        <w:pStyle w:val="2"/>
        <w:spacing w:line="251" w:lineRule="auto"/>
      </w:pPr>
    </w:p>
    <w:p w14:paraId="2E3FC068">
      <w:pPr>
        <w:pStyle w:val="2"/>
        <w:spacing w:line="251" w:lineRule="auto"/>
      </w:pPr>
    </w:p>
    <w:p w14:paraId="38868D9A">
      <w:pPr>
        <w:spacing w:before="101" w:line="226" w:lineRule="auto"/>
        <w:ind w:left="62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sz w:val="31"/>
          <w:szCs w:val="31"/>
        </w:rPr>
        <w:t>一、单位概况</w:t>
      </w:r>
    </w:p>
    <w:p w14:paraId="1B087C54">
      <w:pPr>
        <w:spacing w:before="173" w:line="231" w:lineRule="auto"/>
        <w:ind w:left="643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"/>
          <w:sz w:val="31"/>
          <w:szCs w:val="31"/>
        </w:rPr>
        <w:t>（一）单位主要职能：</w:t>
      </w:r>
    </w:p>
    <w:p w14:paraId="6B37F010">
      <w:pPr>
        <w:spacing w:before="170" w:line="326" w:lineRule="auto"/>
        <w:ind w:left="2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1.负责学生健康体检及体质健康检测，学</w:t>
      </w:r>
      <w:r>
        <w:rPr>
          <w:rFonts w:ascii="仿宋" w:hAnsi="仿宋" w:eastAsia="仿宋" w:cs="仿宋"/>
          <w:spacing w:val="8"/>
          <w:sz w:val="31"/>
          <w:szCs w:val="31"/>
        </w:rPr>
        <w:t>生常见病及其他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疾病的预防与干预，学校传染病防控，学校健康教育和健康促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进。</w:t>
      </w:r>
    </w:p>
    <w:p w14:paraId="23ADB1A1">
      <w:pPr>
        <w:spacing w:before="38" w:line="318" w:lineRule="auto"/>
        <w:ind w:left="7" w:firstLine="6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2.开展劳动教育、科普教育、学工、学农、学军、生命安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全教育及体能拓展等综合实践活动。</w:t>
      </w:r>
    </w:p>
    <w:p w14:paraId="4BA3154C">
      <w:pPr>
        <w:spacing w:before="50" w:line="318" w:lineRule="auto"/>
        <w:ind w:left="25" w:firstLine="60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3.负责学校卫生人员、健康教育教师、综合实践教师等人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员的培训和业务指导。</w:t>
      </w:r>
    </w:p>
    <w:p w14:paraId="65366848">
      <w:pPr>
        <w:spacing w:before="54" w:line="227" w:lineRule="auto"/>
        <w:ind w:left="6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4.完成上级交办的其他任务。</w:t>
      </w:r>
    </w:p>
    <w:p w14:paraId="35CDD896">
      <w:pPr>
        <w:spacing w:before="172" w:line="231" w:lineRule="auto"/>
        <w:ind w:left="643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"/>
          <w:sz w:val="31"/>
          <w:szCs w:val="31"/>
        </w:rPr>
        <w:t>（二）单位机构设置：</w:t>
      </w:r>
    </w:p>
    <w:p w14:paraId="773C747C">
      <w:pPr>
        <w:spacing w:before="166" w:line="315" w:lineRule="auto"/>
        <w:ind w:left="3" w:right="2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我单位为科级公益一类事业单位，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内设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6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个业务处室，分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别为综合科。</w:t>
      </w:r>
    </w:p>
    <w:p w14:paraId="36A236FD">
      <w:pPr>
        <w:spacing w:before="52" w:line="231" w:lineRule="auto"/>
        <w:ind w:left="64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"/>
          <w:sz w:val="31"/>
          <w:szCs w:val="31"/>
        </w:rPr>
        <w:t>（三）预算单位构成：</w:t>
      </w:r>
    </w:p>
    <w:p w14:paraId="4D5BF647">
      <w:pPr>
        <w:spacing w:before="127" w:line="226" w:lineRule="auto"/>
        <w:ind w:left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本单位为贵阳市教育局二级预算单位，无下属单位。</w:t>
      </w:r>
    </w:p>
    <w:p w14:paraId="25B30710">
      <w:pPr>
        <w:spacing w:before="236" w:line="230" w:lineRule="auto"/>
        <w:ind w:left="64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</w:rPr>
        <w:t>（四）部门人员构成：</w:t>
      </w:r>
    </w:p>
    <w:p w14:paraId="441BF991">
      <w:pPr>
        <w:spacing w:before="170" w:line="313" w:lineRule="auto"/>
        <w:ind w:left="4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我单位编制总数为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42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人，2023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年年初实有在职人数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21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（含工勤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1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人</w:t>
      </w:r>
      <w:r>
        <w:rPr>
          <w:rFonts w:ascii="仿宋" w:hAnsi="仿宋" w:eastAsia="仿宋" w:cs="仿宋"/>
          <w:spacing w:val="-56"/>
          <w:sz w:val="31"/>
          <w:szCs w:val="31"/>
        </w:rPr>
        <w:t>），</w:t>
      </w:r>
      <w:r>
        <w:rPr>
          <w:rFonts w:ascii="仿宋" w:hAnsi="仿宋" w:eastAsia="仿宋" w:cs="仿宋"/>
          <w:spacing w:val="-8"/>
          <w:sz w:val="31"/>
          <w:szCs w:val="31"/>
        </w:rPr>
        <w:t>退休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24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人。</w:t>
      </w:r>
    </w:p>
    <w:p w14:paraId="79E374F0">
      <w:pPr>
        <w:spacing w:before="57" w:line="226" w:lineRule="auto"/>
        <w:ind w:left="62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二、单位主要工作任务和政策依据</w:t>
      </w:r>
    </w:p>
    <w:p w14:paraId="4DBED542">
      <w:pPr>
        <w:spacing w:before="178" w:line="322" w:lineRule="auto"/>
        <w:ind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1.坚持和加强党的全面领导。坚持新时代</w:t>
      </w:r>
      <w:r>
        <w:rPr>
          <w:rFonts w:ascii="仿宋" w:hAnsi="仿宋" w:eastAsia="仿宋" w:cs="仿宋"/>
          <w:spacing w:val="8"/>
          <w:sz w:val="31"/>
          <w:szCs w:val="31"/>
        </w:rPr>
        <w:t>党的组织路线，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深入推进全面从严治党，以党的政治建设为统领，继续开展</w:t>
      </w:r>
      <w:r>
        <w:rPr>
          <w:rFonts w:ascii="仿宋" w:hAnsi="仿宋" w:eastAsia="仿宋" w:cs="仿宋"/>
          <w:spacing w:val="-3"/>
          <w:sz w:val="31"/>
          <w:szCs w:val="31"/>
        </w:rPr>
        <w:t>“一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支部一特色</w:t>
      </w:r>
      <w:r>
        <w:rPr>
          <w:rFonts w:ascii="仿宋" w:hAnsi="仿宋" w:eastAsia="仿宋" w:cs="仿宋"/>
          <w:spacing w:val="-1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”党建示范创建工作，推进中心政</w:t>
      </w:r>
      <w:r>
        <w:rPr>
          <w:rFonts w:ascii="仿宋" w:hAnsi="仿宋" w:eastAsia="仿宋" w:cs="仿宋"/>
          <w:spacing w:val="7"/>
          <w:sz w:val="31"/>
          <w:szCs w:val="31"/>
        </w:rPr>
        <w:t>治建设、思想建</w:t>
      </w:r>
    </w:p>
    <w:p w14:paraId="4E73ED4E">
      <w:pPr>
        <w:spacing w:line="322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6" w:h="16839"/>
          <w:pgMar w:top="400" w:right="1674" w:bottom="1885" w:left="1607" w:header="0" w:footer="1606" w:gutter="0"/>
          <w:cols w:space="720" w:num="1"/>
        </w:sectPr>
      </w:pPr>
    </w:p>
    <w:p w14:paraId="77C953F9">
      <w:pPr>
        <w:pStyle w:val="2"/>
        <w:spacing w:line="251" w:lineRule="auto"/>
      </w:pPr>
    </w:p>
    <w:p w14:paraId="449DF6CB">
      <w:pPr>
        <w:pStyle w:val="2"/>
        <w:spacing w:line="251" w:lineRule="auto"/>
      </w:pPr>
    </w:p>
    <w:p w14:paraId="74F31AE7">
      <w:pPr>
        <w:pStyle w:val="2"/>
        <w:spacing w:line="251" w:lineRule="auto"/>
      </w:pPr>
    </w:p>
    <w:p w14:paraId="1FE9E049">
      <w:pPr>
        <w:pStyle w:val="2"/>
        <w:spacing w:line="251" w:lineRule="auto"/>
      </w:pPr>
    </w:p>
    <w:p w14:paraId="1B0E26EA">
      <w:pPr>
        <w:pStyle w:val="2"/>
        <w:spacing w:line="251" w:lineRule="auto"/>
      </w:pPr>
    </w:p>
    <w:p w14:paraId="49A18EAE">
      <w:pPr>
        <w:pStyle w:val="2"/>
        <w:spacing w:line="251" w:lineRule="auto"/>
      </w:pPr>
    </w:p>
    <w:p w14:paraId="5312AB99">
      <w:pPr>
        <w:pStyle w:val="2"/>
        <w:spacing w:line="251" w:lineRule="auto"/>
      </w:pPr>
    </w:p>
    <w:p w14:paraId="09B13F18">
      <w:pPr>
        <w:spacing w:before="100" w:line="329" w:lineRule="auto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设、组织建设、作风建设、纪律建设。认真贯彻落实党中央和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上级党委关于意识形态工作的决策部署及指示精神，把意识形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态和网络意识形态工作纳入领导班子、领导干部目标管理，纳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入监督执纪问责范围。严肃党内政治生活，持续开展党内集中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教育，全面贯彻学习《</w:t>
      </w:r>
      <w:bookmarkStart w:id="0" w:name="_GoBack"/>
      <w:bookmarkEnd w:id="0"/>
      <w:r>
        <w:rPr>
          <w:rFonts w:hint="eastAsia" w:ascii="仿宋" w:hAnsi="仿宋" w:eastAsia="仿宋" w:cs="仿宋"/>
          <w:spacing w:val="9"/>
          <w:sz w:val="31"/>
          <w:szCs w:val="31"/>
        </w:rPr>
        <w:t>中国共产党章程</w:t>
      </w:r>
      <w:r>
        <w:rPr>
          <w:rFonts w:ascii="仿宋" w:hAnsi="仿宋" w:eastAsia="仿宋" w:cs="仿宋"/>
          <w:spacing w:val="9"/>
          <w:sz w:val="31"/>
          <w:szCs w:val="31"/>
        </w:rPr>
        <w:t>》等党内法规，推动全体党员坚定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理想信念、严明纪律规矩，持之以恒正风肃纪。规范建章立制，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强化制度教育人、管理人，在制度执行力上下功夫。</w:t>
      </w:r>
    </w:p>
    <w:p w14:paraId="51F77F25">
      <w:pPr>
        <w:spacing w:before="50" w:line="330" w:lineRule="auto"/>
        <w:ind w:right="88" w:firstLine="62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2.全面贯彻党的教育方针，坚持教育与生产劳动、社会实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践相结合，引导学生深入理解和践行社会主义核心价值观，充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分发挥中小学综合实践活动课程在立德树人中的重要作用。坚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持健康第一的教育理念，把全面提升学生健康素养纳入高质量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教育体系，作为学校教育重要目标和评价标准，深化学校健康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教育改革，夯实学校卫生条件保障，构建高质量学校卫生与健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康教育体系，促进学生身心健康、养成健康生活方式，培养德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智体美劳全面发展的社会主义建设者和接班人。</w:t>
      </w:r>
    </w:p>
    <w:p w14:paraId="67C2BDE1">
      <w:pPr>
        <w:spacing w:before="49" w:line="226" w:lineRule="auto"/>
        <w:ind w:left="62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三、部门预算安排情况说明</w:t>
      </w:r>
    </w:p>
    <w:p w14:paraId="59BE62FA">
      <w:pPr>
        <w:spacing w:before="174" w:line="229" w:lineRule="auto"/>
        <w:ind w:left="64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"/>
          <w:sz w:val="31"/>
          <w:szCs w:val="31"/>
        </w:rPr>
        <w:t>（一）部门收支总体情况（详见附表</w:t>
      </w:r>
      <w:r>
        <w:rPr>
          <w:rFonts w:ascii="楷体" w:hAnsi="楷体" w:eastAsia="楷体" w:cs="楷体"/>
          <w:spacing w:val="-32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"/>
          <w:sz w:val="31"/>
          <w:szCs w:val="31"/>
        </w:rPr>
        <w:t>1-3）</w:t>
      </w:r>
    </w:p>
    <w:p w14:paraId="37021E92">
      <w:pPr>
        <w:spacing w:before="130" w:line="226" w:lineRule="auto"/>
        <w:ind w:left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本单位无二级单位，本预算仅为本单位预算。</w:t>
      </w:r>
    </w:p>
    <w:p w14:paraId="3AFBBABC">
      <w:pPr>
        <w:spacing w:before="233" w:line="323" w:lineRule="auto"/>
        <w:ind w:right="87" w:firstLine="62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2023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年部门收入预算总额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1542.81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</w:t>
      </w:r>
      <w:r>
        <w:rPr>
          <w:rFonts w:ascii="仿宋" w:hAnsi="仿宋" w:eastAsia="仿宋" w:cs="仿宋"/>
          <w:spacing w:val="1"/>
          <w:sz w:val="31"/>
          <w:szCs w:val="31"/>
        </w:rPr>
        <w:t>，其中：本年收入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1509.92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万元，上年结转结余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32.89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万元。本年</w:t>
      </w:r>
      <w:r>
        <w:rPr>
          <w:rFonts w:ascii="仿宋" w:hAnsi="仿宋" w:eastAsia="仿宋" w:cs="仿宋"/>
          <w:spacing w:val="-2"/>
          <w:sz w:val="31"/>
          <w:szCs w:val="31"/>
        </w:rPr>
        <w:t>收入中：财政拨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款收入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1509.92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万元，财政专户管理资金收入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 万元，单位资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金收入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万元。</w:t>
      </w:r>
    </w:p>
    <w:p w14:paraId="0A38986C">
      <w:pPr>
        <w:spacing w:line="323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6" w:h="16839"/>
          <w:pgMar w:top="400" w:right="1587" w:bottom="1945" w:left="1606" w:header="0" w:footer="1666" w:gutter="0"/>
          <w:cols w:space="720" w:num="1"/>
        </w:sectPr>
      </w:pPr>
    </w:p>
    <w:p w14:paraId="1EA22DEA">
      <w:pPr>
        <w:pStyle w:val="2"/>
        <w:spacing w:line="251" w:lineRule="auto"/>
      </w:pPr>
    </w:p>
    <w:p w14:paraId="267F45C9">
      <w:pPr>
        <w:pStyle w:val="2"/>
        <w:spacing w:line="251" w:lineRule="auto"/>
      </w:pPr>
    </w:p>
    <w:p w14:paraId="3BFE6A65">
      <w:pPr>
        <w:pStyle w:val="2"/>
        <w:spacing w:line="251" w:lineRule="auto"/>
      </w:pPr>
    </w:p>
    <w:p w14:paraId="1A553C5B">
      <w:pPr>
        <w:pStyle w:val="2"/>
        <w:spacing w:line="251" w:lineRule="auto"/>
      </w:pPr>
    </w:p>
    <w:p w14:paraId="168FC998">
      <w:pPr>
        <w:pStyle w:val="2"/>
        <w:spacing w:line="252" w:lineRule="auto"/>
      </w:pPr>
    </w:p>
    <w:p w14:paraId="04859D2B">
      <w:pPr>
        <w:pStyle w:val="2"/>
        <w:spacing w:line="252" w:lineRule="auto"/>
      </w:pPr>
    </w:p>
    <w:p w14:paraId="3313B168">
      <w:pPr>
        <w:pStyle w:val="2"/>
        <w:spacing w:line="252" w:lineRule="auto"/>
      </w:pPr>
    </w:p>
    <w:p w14:paraId="5DFD279D">
      <w:pPr>
        <w:spacing w:before="101" w:line="321" w:lineRule="auto"/>
        <w:ind w:right="111" w:firstLine="6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2023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年部门支出预算总额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1542.81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</w:t>
      </w:r>
      <w:r>
        <w:rPr>
          <w:rFonts w:ascii="仿宋" w:hAnsi="仿宋" w:eastAsia="仿宋" w:cs="仿宋"/>
          <w:spacing w:val="1"/>
          <w:sz w:val="31"/>
          <w:szCs w:val="31"/>
        </w:rPr>
        <w:t>，其中：本年支出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1542.81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万元，年终结转结余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0 万元。本年支出中：教育支出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1398.98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万元，社会保障和就业支出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87.78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万元，卫生健康支出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23.65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万元，住房保障支出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32.4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万元。</w:t>
      </w:r>
    </w:p>
    <w:p w14:paraId="76820E52">
      <w:pPr>
        <w:spacing w:before="55" w:line="314" w:lineRule="auto"/>
        <w:ind w:left="6" w:firstLine="6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2023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年部门收入预算总额比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2022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年预算增加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715.22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增长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86.42%，主要原因是：增加贵阳市综合实践基地运行</w:t>
      </w:r>
      <w:r>
        <w:rPr>
          <w:rFonts w:ascii="仿宋" w:hAnsi="仿宋" w:eastAsia="仿宋" w:cs="仿宋"/>
          <w:spacing w:val="-2"/>
          <w:sz w:val="31"/>
          <w:szCs w:val="31"/>
        </w:rPr>
        <w:t>经费。</w:t>
      </w:r>
    </w:p>
    <w:p w14:paraId="33A8B848">
      <w:pPr>
        <w:spacing w:before="57" w:line="319" w:lineRule="auto"/>
        <w:ind w:left="6" w:right="111" w:firstLine="78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2023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年部门支出预算总额比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2022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年预算增加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715.22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元，增长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86.42%，主要原因是：增加贵阳市综合实践基地运行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经费。</w:t>
      </w:r>
    </w:p>
    <w:p w14:paraId="75107F2B">
      <w:pPr>
        <w:spacing w:before="51" w:line="229" w:lineRule="auto"/>
        <w:ind w:left="65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</w:rPr>
        <w:t>（二）财政拨款收支总体情况（详见表</w:t>
      </w:r>
      <w:r>
        <w:rPr>
          <w:rFonts w:ascii="楷体" w:hAnsi="楷体" w:eastAsia="楷体" w:cs="楷体"/>
          <w:spacing w:val="-7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3"/>
          <w:sz w:val="31"/>
          <w:szCs w:val="31"/>
        </w:rPr>
        <w:t>4）</w:t>
      </w:r>
    </w:p>
    <w:p w14:paraId="0A3F2A95">
      <w:pPr>
        <w:spacing w:before="130" w:line="336" w:lineRule="auto"/>
        <w:ind w:left="6" w:right="111" w:firstLine="6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2023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年部门财政拨款收入预算总额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1509.92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万元，其中：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本年收入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1509.92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万元，上年结转结余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万元。本年收入中：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一般公共预算拨款收入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1509.92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万元，政府性基金预算拨款收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入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万元，国有资本经营预算拨款收入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万元。</w:t>
      </w:r>
    </w:p>
    <w:p w14:paraId="4EEB8A20">
      <w:pPr>
        <w:spacing w:before="52" w:line="334" w:lineRule="auto"/>
        <w:ind w:left="5" w:right="111" w:firstLine="62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2023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年部门财政拨款支出预算总额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1509.92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万元，其中：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教育支出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1366.08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万元，社会保障和就业</w:t>
      </w:r>
      <w:r>
        <w:rPr>
          <w:rFonts w:ascii="仿宋" w:hAnsi="仿宋" w:eastAsia="仿宋" w:cs="仿宋"/>
          <w:spacing w:val="4"/>
          <w:sz w:val="31"/>
          <w:szCs w:val="31"/>
        </w:rPr>
        <w:t>支出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87.78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万元，卫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生健康支出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23.65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万元，住房保障支出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32.4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万元。</w:t>
      </w:r>
    </w:p>
    <w:p w14:paraId="7AE6B256">
      <w:pPr>
        <w:spacing w:before="95" w:line="319" w:lineRule="auto"/>
        <w:ind w:right="111" w:firstLine="6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2023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年部门财政拨款收支预算总额均为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1509.92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</w:t>
      </w:r>
      <w:r>
        <w:rPr>
          <w:rFonts w:ascii="仿宋" w:hAnsi="仿宋" w:eastAsia="仿宋" w:cs="仿宋"/>
          <w:spacing w:val="1"/>
          <w:sz w:val="30"/>
          <w:szCs w:val="30"/>
        </w:rPr>
        <w:t>，</w:t>
      </w:r>
      <w:r>
        <w:rPr>
          <w:rFonts w:ascii="仿宋" w:hAnsi="仿宋" w:eastAsia="仿宋" w:cs="仿宋"/>
          <w:spacing w:val="1"/>
          <w:sz w:val="31"/>
          <w:szCs w:val="31"/>
        </w:rPr>
        <w:t>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2022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年预算增加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715.22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万元，增长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86.42</w:t>
      </w:r>
      <w:r>
        <w:rPr>
          <w:rFonts w:ascii="仿宋" w:hAnsi="仿宋" w:eastAsia="仿宋" w:cs="仿宋"/>
          <w:spacing w:val="4"/>
          <w:sz w:val="31"/>
          <w:szCs w:val="31"/>
        </w:rPr>
        <w:t>%，主要原因是：增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加贵阳市综合实践基地运行经费。</w:t>
      </w:r>
    </w:p>
    <w:p w14:paraId="01E2B59F">
      <w:pPr>
        <w:spacing w:before="53" w:line="229" w:lineRule="auto"/>
        <w:ind w:left="65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</w:rPr>
        <w:t>（三）一般公共预算支出情况（详见表</w:t>
      </w:r>
      <w:r>
        <w:rPr>
          <w:rFonts w:ascii="楷体" w:hAnsi="楷体" w:eastAsia="楷体" w:cs="楷体"/>
          <w:spacing w:val="-7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3"/>
          <w:sz w:val="31"/>
          <w:szCs w:val="31"/>
        </w:rPr>
        <w:t>5）</w:t>
      </w:r>
    </w:p>
    <w:p w14:paraId="38980FC7">
      <w:pPr>
        <w:spacing w:before="169" w:line="227" w:lineRule="auto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一般公共预算支出总额</w:t>
      </w:r>
      <w:r>
        <w:rPr>
          <w:rFonts w:ascii="仿宋" w:hAnsi="仿宋" w:eastAsia="仿宋" w:cs="仿宋"/>
          <w:spacing w:val="-2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1509.92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万元，其中：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基本支出</w:t>
      </w:r>
    </w:p>
    <w:p w14:paraId="4EAB86BA"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6" w:h="16839"/>
          <w:pgMar w:top="400" w:right="1563" w:bottom="1885" w:left="1601" w:header="0" w:footer="1606" w:gutter="0"/>
          <w:cols w:space="720" w:num="1"/>
        </w:sectPr>
      </w:pPr>
    </w:p>
    <w:p w14:paraId="626407F9">
      <w:pPr>
        <w:pStyle w:val="2"/>
        <w:spacing w:line="251" w:lineRule="auto"/>
      </w:pPr>
    </w:p>
    <w:p w14:paraId="19FD17C7">
      <w:pPr>
        <w:pStyle w:val="2"/>
        <w:spacing w:line="251" w:lineRule="auto"/>
      </w:pPr>
    </w:p>
    <w:p w14:paraId="61A64D45">
      <w:pPr>
        <w:pStyle w:val="2"/>
        <w:spacing w:line="251" w:lineRule="auto"/>
      </w:pPr>
    </w:p>
    <w:p w14:paraId="2DA92D20">
      <w:pPr>
        <w:pStyle w:val="2"/>
        <w:spacing w:line="251" w:lineRule="auto"/>
      </w:pPr>
    </w:p>
    <w:p w14:paraId="12297177">
      <w:pPr>
        <w:pStyle w:val="2"/>
        <w:spacing w:line="252" w:lineRule="auto"/>
      </w:pPr>
    </w:p>
    <w:p w14:paraId="0E17967B">
      <w:pPr>
        <w:pStyle w:val="2"/>
        <w:spacing w:line="252" w:lineRule="auto"/>
      </w:pPr>
    </w:p>
    <w:p w14:paraId="259112A6">
      <w:pPr>
        <w:pStyle w:val="2"/>
        <w:spacing w:line="252" w:lineRule="auto"/>
      </w:pPr>
    </w:p>
    <w:p w14:paraId="1A24C8AF">
      <w:pPr>
        <w:spacing w:before="101" w:line="321" w:lineRule="auto"/>
        <w:ind w:left="13" w:hanging="1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433.44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万元，比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2022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年增加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73.66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万元，主要是根据事业单位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绩效工资改革方案，将基础绩效奖纳入统发工资。项目支出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1076.48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万元，比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2022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年增加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641.56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</w:t>
      </w:r>
      <w:r>
        <w:rPr>
          <w:rFonts w:ascii="仿宋" w:hAnsi="仿宋" w:eastAsia="仿宋" w:cs="仿宋"/>
          <w:spacing w:val="-3"/>
          <w:sz w:val="31"/>
          <w:szCs w:val="31"/>
        </w:rPr>
        <w:t>，主要是增加贵阳市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综合实践基地运行经费。</w:t>
      </w:r>
    </w:p>
    <w:p w14:paraId="10846788">
      <w:pPr>
        <w:spacing w:before="56" w:line="229" w:lineRule="auto"/>
        <w:ind w:left="65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</w:rPr>
        <w:t>（四）一般公共预算基本支出情况（详见表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3"/>
          <w:sz w:val="31"/>
          <w:szCs w:val="31"/>
        </w:rPr>
        <w:t>6、7）</w:t>
      </w:r>
    </w:p>
    <w:p w14:paraId="1FEF18B4">
      <w:pPr>
        <w:spacing w:before="169" w:line="227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一般公共预算基本支出为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433.44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万元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，其中人员</w:t>
      </w:r>
      <w:r>
        <w:rPr>
          <w:rFonts w:ascii="仿宋" w:hAnsi="仿宋" w:eastAsia="仿宋" w:cs="仿宋"/>
          <w:spacing w:val="20"/>
          <w:sz w:val="31"/>
          <w:szCs w:val="31"/>
        </w:rPr>
        <w:t>经费</w:t>
      </w:r>
    </w:p>
    <w:p w14:paraId="02A6A806">
      <w:pPr>
        <w:spacing w:before="173" w:line="229" w:lineRule="auto"/>
        <w:ind w:left="7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387.44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万元、公用经费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46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万元。</w:t>
      </w:r>
    </w:p>
    <w:p w14:paraId="2398E66C">
      <w:pPr>
        <w:spacing w:before="170" w:line="277" w:lineRule="auto"/>
        <w:ind w:left="642" w:right="1743" w:firstLine="16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"/>
          <w:sz w:val="31"/>
          <w:szCs w:val="31"/>
        </w:rPr>
        <w:t>（五）政府性基金预算支出情况（详见表</w:t>
      </w:r>
      <w:r>
        <w:rPr>
          <w:rFonts w:ascii="楷体" w:hAnsi="楷体" w:eastAsia="楷体" w:cs="楷体"/>
          <w:spacing w:val="-59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"/>
          <w:sz w:val="31"/>
          <w:szCs w:val="31"/>
        </w:rPr>
        <w:t>8）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贵阳市学生健康发展中心无政府性基金支出。</w:t>
      </w:r>
    </w:p>
    <w:p w14:paraId="32538C7F">
      <w:pPr>
        <w:spacing w:before="175" w:line="229" w:lineRule="auto"/>
        <w:ind w:left="65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</w:rPr>
        <w:t>（六）国有资本经营预算支出情况（详见表</w:t>
      </w:r>
      <w:r>
        <w:rPr>
          <w:rFonts w:ascii="楷体" w:hAnsi="楷体" w:eastAsia="楷体" w:cs="楷体"/>
          <w:spacing w:val="-66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3"/>
          <w:sz w:val="31"/>
          <w:szCs w:val="31"/>
        </w:rPr>
        <w:t>9）</w:t>
      </w:r>
    </w:p>
    <w:p w14:paraId="2399B734">
      <w:pPr>
        <w:spacing w:before="170" w:line="227" w:lineRule="auto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贵阳市学生健康发展中心无国有资本经营预算支出。</w:t>
      </w:r>
    </w:p>
    <w:p w14:paraId="2A50C6E8">
      <w:pPr>
        <w:spacing w:before="174" w:line="311" w:lineRule="auto"/>
        <w:ind w:left="636" w:right="34" w:firstLine="23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z w:val="31"/>
          <w:szCs w:val="31"/>
        </w:rPr>
        <w:t>（七）财政拨款“三公</w:t>
      </w:r>
      <w:r>
        <w:rPr>
          <w:rFonts w:ascii="楷体" w:hAnsi="楷体" w:eastAsia="楷体" w:cs="楷体"/>
          <w:spacing w:val="-110"/>
          <w:sz w:val="31"/>
          <w:szCs w:val="31"/>
        </w:rPr>
        <w:t xml:space="preserve"> </w:t>
      </w:r>
      <w:r>
        <w:rPr>
          <w:rFonts w:ascii="楷体" w:hAnsi="楷体" w:eastAsia="楷体" w:cs="楷体"/>
          <w:sz w:val="31"/>
          <w:szCs w:val="31"/>
        </w:rPr>
        <w:t>”经费支出预算情况（详见表</w:t>
      </w:r>
      <w:r>
        <w:rPr>
          <w:rFonts w:ascii="楷体" w:hAnsi="楷体" w:eastAsia="楷体" w:cs="楷体"/>
          <w:spacing w:val="-52"/>
          <w:sz w:val="31"/>
          <w:szCs w:val="31"/>
        </w:rPr>
        <w:t xml:space="preserve"> </w:t>
      </w:r>
      <w:r>
        <w:rPr>
          <w:rFonts w:ascii="楷体" w:hAnsi="楷体" w:eastAsia="楷体" w:cs="楷体"/>
          <w:sz w:val="31"/>
          <w:szCs w:val="31"/>
        </w:rPr>
        <w:t xml:space="preserve">10） </w:t>
      </w:r>
      <w:r>
        <w:rPr>
          <w:rFonts w:ascii="仿宋" w:hAnsi="仿宋" w:eastAsia="仿宋" w:cs="仿宋"/>
          <w:spacing w:val="-1"/>
          <w:sz w:val="31"/>
          <w:szCs w:val="31"/>
        </w:rPr>
        <w:t>2023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年部门财政拨款安排“三公</w:t>
      </w:r>
      <w:r>
        <w:rPr>
          <w:rFonts w:ascii="仿宋" w:hAnsi="仿宋" w:eastAsia="仿宋" w:cs="仿宋"/>
          <w:spacing w:val="-1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”经费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2.3 万元，其中：</w:t>
      </w:r>
    </w:p>
    <w:p w14:paraId="11CE2FE7">
      <w:pPr>
        <w:spacing w:before="62" w:line="319" w:lineRule="auto"/>
        <w:ind w:left="3" w:firstLine="1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一般公共预算安排“三公</w:t>
      </w:r>
      <w:r>
        <w:rPr>
          <w:rFonts w:ascii="仿宋" w:hAnsi="仿宋" w:eastAsia="仿宋" w:cs="仿宋"/>
          <w:spacing w:val="-9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”经费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2.3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万元；政府性基金预算安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排“三公</w:t>
      </w:r>
      <w:r>
        <w:rPr>
          <w:rFonts w:ascii="仿宋" w:hAnsi="仿宋" w:eastAsia="仿宋" w:cs="仿宋"/>
          <w:spacing w:val="-1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”经费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 万元；国有资本经营预算安排“三公</w:t>
      </w:r>
      <w:r>
        <w:rPr>
          <w:rFonts w:ascii="仿宋" w:hAnsi="仿宋" w:eastAsia="仿宋" w:cs="仿宋"/>
          <w:spacing w:val="-1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”经费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 万元。与上年同口径比较，增减变化情况如下：</w:t>
      </w:r>
    </w:p>
    <w:p w14:paraId="28719EF3">
      <w:pPr>
        <w:spacing w:before="55" w:line="314" w:lineRule="auto"/>
        <w:ind w:left="636" w:right="2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2023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年因公出国（境）费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万元，与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2022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年预算持平。</w:t>
      </w:r>
      <w:r>
        <w:rPr>
          <w:rFonts w:ascii="仿宋" w:hAnsi="仿宋" w:eastAsia="仿宋" w:cs="仿宋"/>
          <w:sz w:val="31"/>
          <w:szCs w:val="31"/>
        </w:rPr>
        <w:t xml:space="preserve"> 2023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年公务接待费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万元，与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2022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年预算持平。</w:t>
      </w:r>
    </w:p>
    <w:p w14:paraId="3C76E370">
      <w:pPr>
        <w:spacing w:before="54" w:line="315" w:lineRule="auto"/>
        <w:ind w:left="11" w:firstLine="6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2023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年公务用车运行维护费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2.3 万元，与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2022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</w:t>
      </w:r>
      <w:r>
        <w:rPr>
          <w:rFonts w:ascii="仿宋" w:hAnsi="仿宋" w:eastAsia="仿宋" w:cs="仿宋"/>
          <w:spacing w:val="4"/>
          <w:sz w:val="31"/>
          <w:szCs w:val="31"/>
        </w:rPr>
        <w:t>预算持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平。</w:t>
      </w:r>
    </w:p>
    <w:p w14:paraId="1A118457">
      <w:pPr>
        <w:spacing w:before="49" w:line="313" w:lineRule="auto"/>
        <w:ind w:left="17" w:firstLine="6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2023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年公务用车购置费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万元，与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2022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年预算持平。我局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公务用车保有量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2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辆。</w:t>
      </w:r>
    </w:p>
    <w:p w14:paraId="55A4C8B3">
      <w:pPr>
        <w:spacing w:before="57" w:line="225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因公出国（境）费、公务用车购置费均实行总额控制，年</w:t>
      </w:r>
    </w:p>
    <w:p w14:paraId="3B5771AD">
      <w:pPr>
        <w:spacing w:line="225" w:lineRule="auto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6" w:h="16839"/>
          <w:pgMar w:top="400" w:right="1675" w:bottom="1943" w:left="1596" w:header="0" w:footer="1666" w:gutter="0"/>
          <w:cols w:space="720" w:num="1"/>
        </w:sectPr>
      </w:pPr>
    </w:p>
    <w:p w14:paraId="1FBD4802">
      <w:pPr>
        <w:pStyle w:val="2"/>
        <w:spacing w:line="251" w:lineRule="auto"/>
      </w:pPr>
    </w:p>
    <w:p w14:paraId="38BDA2A8">
      <w:pPr>
        <w:pStyle w:val="2"/>
        <w:spacing w:line="251" w:lineRule="auto"/>
      </w:pPr>
    </w:p>
    <w:p w14:paraId="4F4D0C15">
      <w:pPr>
        <w:pStyle w:val="2"/>
        <w:spacing w:line="251" w:lineRule="auto"/>
      </w:pPr>
    </w:p>
    <w:p w14:paraId="025E81F6">
      <w:pPr>
        <w:pStyle w:val="2"/>
        <w:spacing w:line="251" w:lineRule="auto"/>
      </w:pPr>
    </w:p>
    <w:p w14:paraId="3E37BB29">
      <w:pPr>
        <w:pStyle w:val="2"/>
        <w:spacing w:line="251" w:lineRule="auto"/>
      </w:pPr>
    </w:p>
    <w:p w14:paraId="4837AD25">
      <w:pPr>
        <w:pStyle w:val="2"/>
        <w:spacing w:line="251" w:lineRule="auto"/>
      </w:pPr>
    </w:p>
    <w:p w14:paraId="6FA467E9">
      <w:pPr>
        <w:pStyle w:val="2"/>
        <w:spacing w:line="251" w:lineRule="auto"/>
      </w:pPr>
    </w:p>
    <w:p w14:paraId="1031A549">
      <w:pPr>
        <w:spacing w:before="101" w:line="226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初未分配，年度间根据实际情况按照程序审</w:t>
      </w:r>
      <w:r>
        <w:rPr>
          <w:rFonts w:ascii="仿宋" w:hAnsi="仿宋" w:eastAsia="仿宋" w:cs="仿宋"/>
          <w:spacing w:val="4"/>
          <w:sz w:val="31"/>
          <w:szCs w:val="31"/>
        </w:rPr>
        <w:t>批后据实列支。</w:t>
      </w:r>
    </w:p>
    <w:p w14:paraId="55F2840B">
      <w:pPr>
        <w:spacing w:before="174" w:line="229" w:lineRule="auto"/>
        <w:ind w:left="64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（八）部门政府采购预算情况（详见表</w:t>
      </w:r>
      <w:r>
        <w:rPr>
          <w:rFonts w:ascii="楷体" w:hAnsi="楷体" w:eastAsia="楷体" w:cs="楷体"/>
          <w:spacing w:val="-39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"/>
          <w:sz w:val="31"/>
          <w:szCs w:val="31"/>
        </w:rPr>
        <w:t>11）</w:t>
      </w:r>
    </w:p>
    <w:p w14:paraId="6E072BD4">
      <w:pPr>
        <w:spacing w:before="164" w:line="322" w:lineRule="auto"/>
        <w:ind w:left="2" w:firstLine="6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年政府采购预算总额为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4.5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万元，其中：货</w:t>
      </w:r>
      <w:r>
        <w:rPr>
          <w:rFonts w:ascii="仿宋" w:hAnsi="仿宋" w:eastAsia="仿宋" w:cs="仿宋"/>
          <w:spacing w:val="3"/>
          <w:sz w:val="31"/>
          <w:szCs w:val="31"/>
        </w:rPr>
        <w:t>物类政府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采购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4.5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万元，工程类政府采购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万元，服务类政府采购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元。2023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年政府采购预算总额比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2022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年预算减少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45.5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下降90%，主要原因是：服务项目已在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2022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年完成采购。</w:t>
      </w:r>
    </w:p>
    <w:p w14:paraId="2878C9BA">
      <w:pPr>
        <w:spacing w:before="57" w:line="229" w:lineRule="auto"/>
        <w:ind w:left="64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（九）市对下转移支付预算情况（详见表</w:t>
      </w:r>
      <w:r>
        <w:rPr>
          <w:rFonts w:ascii="楷体" w:hAnsi="楷体" w:eastAsia="楷体" w:cs="楷体"/>
          <w:spacing w:val="-46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"/>
          <w:sz w:val="31"/>
          <w:szCs w:val="31"/>
        </w:rPr>
        <w:t>12）</w:t>
      </w:r>
    </w:p>
    <w:p w14:paraId="41B9CBB4">
      <w:pPr>
        <w:spacing w:before="129" w:line="224" w:lineRule="auto"/>
        <w:ind w:left="6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贵阳市学生健康发展中心无对下转移支付</w:t>
      </w:r>
    </w:p>
    <w:p w14:paraId="02C277DD">
      <w:pPr>
        <w:spacing w:before="202" w:line="229" w:lineRule="auto"/>
        <w:ind w:left="64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（十）部门整体支出绩效目标情况（详见表</w:t>
      </w:r>
      <w:r>
        <w:rPr>
          <w:rFonts w:ascii="楷体" w:hAnsi="楷体" w:eastAsia="楷体" w:cs="楷体"/>
          <w:spacing w:val="-4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"/>
          <w:sz w:val="31"/>
          <w:szCs w:val="31"/>
        </w:rPr>
        <w:t>13）</w:t>
      </w:r>
    </w:p>
    <w:p w14:paraId="6C1BD2B9">
      <w:pPr>
        <w:spacing w:before="232" w:line="229" w:lineRule="auto"/>
        <w:ind w:left="64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（十一）重点项目支出绩效目标情况（详见表</w:t>
      </w:r>
      <w:r>
        <w:rPr>
          <w:rFonts w:ascii="楷体" w:hAnsi="楷体" w:eastAsia="楷体" w:cs="楷体"/>
          <w:spacing w:val="-3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"/>
          <w:sz w:val="31"/>
          <w:szCs w:val="31"/>
        </w:rPr>
        <w:t>14、15）</w:t>
      </w:r>
    </w:p>
    <w:p w14:paraId="07839438">
      <w:pPr>
        <w:spacing w:before="170" w:line="226" w:lineRule="auto"/>
        <w:ind w:left="641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sz w:val="31"/>
          <w:szCs w:val="31"/>
        </w:rPr>
        <w:t>四、其他重要事项说明</w:t>
      </w:r>
    </w:p>
    <w:p w14:paraId="5D162F7B">
      <w:pPr>
        <w:spacing w:before="178" w:line="309" w:lineRule="auto"/>
        <w:ind w:left="2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5"/>
          <w:sz w:val="31"/>
          <w:szCs w:val="31"/>
        </w:rPr>
        <w:t>机关运行经费情况：</w:t>
      </w:r>
      <w:r>
        <w:rPr>
          <w:rFonts w:ascii="仿宋" w:hAnsi="仿宋" w:eastAsia="仿宋" w:cs="仿宋"/>
          <w:spacing w:val="5"/>
          <w:sz w:val="31"/>
          <w:szCs w:val="31"/>
        </w:rPr>
        <w:t>本单位为事业单位，无机关运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行经费。2023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年公用经费预算为</w:t>
      </w:r>
      <w:r>
        <w:rPr>
          <w:rFonts w:ascii="仿宋" w:hAnsi="仿宋" w:eastAsia="仿宋" w:cs="仿宋"/>
          <w:spacing w:val="-6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46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万元，其中：</w:t>
      </w:r>
      <w:r>
        <w:rPr>
          <w:rFonts w:ascii="仿宋" w:hAnsi="仿宋" w:eastAsia="仿宋" w:cs="仿宋"/>
          <w:sz w:val="31"/>
          <w:szCs w:val="31"/>
        </w:rPr>
        <w:t>办公费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27.91 万元、手续费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0.1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万元、邮电费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3.6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1"/>
          <w:sz w:val="31"/>
          <w:szCs w:val="31"/>
        </w:rPr>
        <w:t>、委托业务费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4.95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 xml:space="preserve"> 元、工会经费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3.24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万元、公务用车运行维护费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2.3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万元、其他 商品服务支出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2.4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万元、办公设备购置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1.5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万元。</w:t>
      </w:r>
    </w:p>
    <w:p w14:paraId="42ECFEED">
      <w:pPr>
        <w:spacing w:before="173" w:line="295" w:lineRule="auto"/>
        <w:ind w:left="6" w:firstLine="327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-4"/>
          <w:sz w:val="31"/>
          <w:szCs w:val="31"/>
        </w:rPr>
        <w:t>（二）国有资产占有使用情况：</w:t>
      </w:r>
      <w:r>
        <w:rPr>
          <w:rFonts w:ascii="仿宋" w:hAnsi="仿宋" w:eastAsia="仿宋" w:cs="仿宋"/>
          <w:spacing w:val="-4"/>
          <w:sz w:val="31"/>
          <w:szCs w:val="31"/>
        </w:rPr>
        <w:t>截至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2022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年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12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月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31 日，本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单位固定资产金额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261.3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万元，分布构成情况为：</w:t>
      </w:r>
      <w:r>
        <w:rPr>
          <w:rFonts w:ascii="仿宋" w:hAnsi="仿宋" w:eastAsia="仿宋" w:cs="仿宋"/>
          <w:spacing w:val="4"/>
          <w:sz w:val="31"/>
          <w:szCs w:val="31"/>
        </w:rPr>
        <w:t>车辆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辆，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单价在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100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万元以上的设备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0 台。</w:t>
      </w:r>
    </w:p>
    <w:p w14:paraId="73022E4E">
      <w:pPr>
        <w:spacing w:before="176" w:line="278" w:lineRule="auto"/>
        <w:ind w:left="1" w:right="2" w:firstLine="646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</w:rPr>
        <w:t>（三）预算绩效管理情况：</w:t>
      </w:r>
      <w:r>
        <w:rPr>
          <w:rFonts w:ascii="仿宋" w:hAnsi="仿宋" w:eastAsia="仿宋" w:cs="仿宋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年，实行绩效目标管理的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项目4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个，涉及财政拨款预算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1076.48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万元。</w:t>
      </w:r>
    </w:p>
    <w:p w14:paraId="390EE509">
      <w:pPr>
        <w:spacing w:before="172" w:line="229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（四）项目支出安排情况：</w:t>
      </w:r>
      <w:r>
        <w:rPr>
          <w:rFonts w:ascii="仿宋" w:hAnsi="仿宋" w:eastAsia="仿宋" w:cs="仿宋"/>
          <w:spacing w:val="2"/>
          <w:sz w:val="31"/>
          <w:szCs w:val="31"/>
        </w:rPr>
        <w:t>本单位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2023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年预算项目4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个，</w:t>
      </w:r>
    </w:p>
    <w:p w14:paraId="75CAAA3C">
      <w:pPr>
        <w:spacing w:line="229" w:lineRule="auto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6" w:h="16839"/>
          <w:pgMar w:top="400" w:right="1674" w:bottom="1885" w:left="1607" w:header="0" w:footer="1606" w:gutter="0"/>
          <w:cols w:space="720" w:num="1"/>
        </w:sectPr>
      </w:pPr>
    </w:p>
    <w:p w14:paraId="7EEE8A73">
      <w:pPr>
        <w:pStyle w:val="2"/>
        <w:spacing w:line="250" w:lineRule="auto"/>
      </w:pPr>
    </w:p>
    <w:p w14:paraId="5A97E662">
      <w:pPr>
        <w:pStyle w:val="2"/>
        <w:spacing w:line="250" w:lineRule="auto"/>
      </w:pPr>
    </w:p>
    <w:p w14:paraId="0ACE4616">
      <w:pPr>
        <w:pStyle w:val="2"/>
        <w:spacing w:line="250" w:lineRule="auto"/>
      </w:pPr>
    </w:p>
    <w:p w14:paraId="7B7C0D57">
      <w:pPr>
        <w:pStyle w:val="2"/>
        <w:spacing w:line="251" w:lineRule="auto"/>
      </w:pPr>
    </w:p>
    <w:p w14:paraId="5F3617B8">
      <w:pPr>
        <w:pStyle w:val="2"/>
        <w:spacing w:line="251" w:lineRule="auto"/>
      </w:pPr>
    </w:p>
    <w:p w14:paraId="239BE595">
      <w:pPr>
        <w:pStyle w:val="2"/>
        <w:spacing w:line="251" w:lineRule="auto"/>
      </w:pPr>
    </w:p>
    <w:p w14:paraId="04C9889F">
      <w:pPr>
        <w:pStyle w:val="2"/>
        <w:spacing w:line="251" w:lineRule="auto"/>
      </w:pPr>
    </w:p>
    <w:p w14:paraId="14CA64BC">
      <w:pPr>
        <w:spacing w:before="101" w:line="322" w:lineRule="auto"/>
        <w:ind w:left="6" w:right="3" w:firstLine="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重点安排项目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2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个，一是单位（学校）运转经费，金</w:t>
      </w:r>
      <w:r>
        <w:rPr>
          <w:rFonts w:ascii="仿宋" w:hAnsi="仿宋" w:eastAsia="仿宋" w:cs="仿宋"/>
          <w:spacing w:val="-7"/>
          <w:sz w:val="31"/>
          <w:szCs w:val="31"/>
        </w:rPr>
        <w:t>额为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986.72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万元，主要用于保障单位及贵阳市综合实践基地运转经</w:t>
      </w:r>
      <w:r>
        <w:rPr>
          <w:rFonts w:ascii="仿宋" w:hAnsi="仿宋" w:eastAsia="仿宋" w:cs="仿宋"/>
          <w:sz w:val="31"/>
          <w:szCs w:val="31"/>
        </w:rPr>
        <w:t xml:space="preserve">费支出； </w:t>
      </w:r>
      <w:r>
        <w:rPr>
          <w:rFonts w:ascii="仿宋" w:hAnsi="仿宋" w:eastAsia="仿宋" w:cs="仿宋"/>
          <w:spacing w:val="7"/>
          <w:sz w:val="31"/>
          <w:szCs w:val="31"/>
        </w:rPr>
        <w:t>二是离退休人员生活补贴，金额为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47.76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万元，主要用于退休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人员生活补助支出。</w:t>
      </w:r>
    </w:p>
    <w:p w14:paraId="286ACC50">
      <w:pPr>
        <w:spacing w:before="54" w:line="232" w:lineRule="auto"/>
        <w:ind w:left="65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z w:val="31"/>
          <w:szCs w:val="31"/>
        </w:rPr>
        <w:t>（五）名词解释</w:t>
      </w:r>
    </w:p>
    <w:p w14:paraId="482D1F24">
      <w:pPr>
        <w:spacing w:before="162" w:line="319" w:lineRule="auto"/>
        <w:ind w:left="3" w:right="87" w:firstLine="7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1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.一般公共预算：是指对以税收为主体的财政收入，安排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用于保障和改善民生、推动经济社会发展、维护国家安全、维 </w:t>
      </w:r>
      <w:r>
        <w:rPr>
          <w:rFonts w:ascii="仿宋" w:hAnsi="仿宋" w:eastAsia="仿宋" w:cs="仿宋"/>
          <w:spacing w:val="4"/>
          <w:sz w:val="31"/>
          <w:szCs w:val="31"/>
        </w:rPr>
        <w:t>持国家机构正常运转等方面的收支预算。</w:t>
      </w:r>
    </w:p>
    <w:p w14:paraId="3C1A3046">
      <w:pPr>
        <w:spacing w:before="56" w:line="324" w:lineRule="auto"/>
        <w:ind w:left="4" w:firstLine="7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.政府性基金预算：是指以依照法律、行政法规的规定在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一定期限内向特定对象征收、收取或者以其他方式筹集的资金， </w:t>
      </w:r>
      <w:r>
        <w:rPr>
          <w:rFonts w:ascii="仿宋" w:hAnsi="仿宋" w:eastAsia="仿宋" w:cs="仿宋"/>
          <w:spacing w:val="9"/>
          <w:sz w:val="31"/>
          <w:szCs w:val="31"/>
        </w:rPr>
        <w:t>专项用于特定公共事业发展的收支预算。政府性基金预算应当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根据基金项目收入情况和实际支出需要，按基金项目编制，做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到以收定支。</w:t>
      </w:r>
    </w:p>
    <w:p w14:paraId="15311439">
      <w:pPr>
        <w:spacing w:before="54" w:line="323" w:lineRule="auto"/>
        <w:ind w:right="87" w:firstLine="70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3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.国有资本经营预算：是指国家以所有者身份依法取得国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有资本收益，并对所得收益进行分配而发生的各项收支预算，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是政府预算的重要组成部分。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国有资本经营预算按年度单独编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制，纳入本级人民政府预算，报本级人民代表大会批准。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国有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资本经营预算支出按照当年预算收入规模安排，不列</w:t>
      </w:r>
      <w:r>
        <w:rPr>
          <w:rFonts w:ascii="仿宋" w:hAnsi="仿宋" w:eastAsia="仿宋" w:cs="仿宋"/>
          <w:spacing w:val="4"/>
          <w:sz w:val="31"/>
          <w:szCs w:val="31"/>
        </w:rPr>
        <w:t>赤字。</w:t>
      </w:r>
    </w:p>
    <w:p w14:paraId="52E1D4E8">
      <w:pPr>
        <w:spacing w:before="54" w:line="319" w:lineRule="auto"/>
        <w:ind w:left="4" w:right="88" w:firstLine="6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4.财政拨款收入：是指单位从同级财政部门取得的各类财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政拨款，包括一般公共预算资金、政府性基金预算资金和国有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资本经营预算资金。</w:t>
      </w:r>
    </w:p>
    <w:p w14:paraId="264FF166">
      <w:pPr>
        <w:spacing w:before="54" w:line="293" w:lineRule="auto"/>
        <w:ind w:left="6" w:right="87" w:firstLine="7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5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.财政专户管理资金收入：专指教育收费收入，包括目前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在财政专户管理的高中以上学费、住宿费，高校委</w:t>
      </w:r>
      <w:r>
        <w:rPr>
          <w:rFonts w:ascii="仿宋" w:hAnsi="仿宋" w:eastAsia="仿宋" w:cs="仿宋"/>
          <w:spacing w:val="8"/>
          <w:sz w:val="31"/>
          <w:szCs w:val="31"/>
        </w:rPr>
        <w:t>托培养费，</w:t>
      </w:r>
    </w:p>
    <w:p w14:paraId="3345383A">
      <w:pPr>
        <w:spacing w:line="293" w:lineRule="auto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6" w:h="16839"/>
          <w:pgMar w:top="400" w:right="1587" w:bottom="1943" w:left="1603" w:header="0" w:footer="1666" w:gutter="0"/>
          <w:cols w:space="720" w:num="1"/>
        </w:sectPr>
      </w:pPr>
    </w:p>
    <w:p w14:paraId="723EC73D">
      <w:pPr>
        <w:pStyle w:val="2"/>
        <w:spacing w:line="251" w:lineRule="auto"/>
      </w:pPr>
    </w:p>
    <w:p w14:paraId="37416161">
      <w:pPr>
        <w:pStyle w:val="2"/>
        <w:spacing w:line="251" w:lineRule="auto"/>
      </w:pPr>
    </w:p>
    <w:p w14:paraId="7554C59E">
      <w:pPr>
        <w:pStyle w:val="2"/>
        <w:spacing w:line="251" w:lineRule="auto"/>
      </w:pPr>
    </w:p>
    <w:p w14:paraId="515F71A2">
      <w:pPr>
        <w:pStyle w:val="2"/>
        <w:spacing w:line="251" w:lineRule="auto"/>
      </w:pPr>
    </w:p>
    <w:p w14:paraId="6EA4B84D">
      <w:pPr>
        <w:pStyle w:val="2"/>
        <w:spacing w:line="251" w:lineRule="auto"/>
      </w:pPr>
    </w:p>
    <w:p w14:paraId="42A46321">
      <w:pPr>
        <w:pStyle w:val="2"/>
        <w:spacing w:line="251" w:lineRule="auto"/>
      </w:pPr>
    </w:p>
    <w:p w14:paraId="6134668C">
      <w:pPr>
        <w:pStyle w:val="2"/>
        <w:spacing w:line="251" w:lineRule="auto"/>
      </w:pPr>
    </w:p>
    <w:p w14:paraId="20031A70">
      <w:pPr>
        <w:spacing w:before="101" w:line="315" w:lineRule="auto"/>
        <w:ind w:left="38" w:right="196" w:hanging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党校收费，教育考试考务费，函大、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电大、夜大及短期培训班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费等。</w:t>
      </w:r>
    </w:p>
    <w:p w14:paraId="79B4E2A7">
      <w:pPr>
        <w:spacing w:before="46" w:line="315" w:lineRule="auto"/>
        <w:ind w:left="37" w:right="195" w:firstLine="69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6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.事业收入：是指事业单位开展专业业务活动，及其辅助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活动取得的收入，不含教育收费收入。</w:t>
      </w:r>
    </w:p>
    <w:p w14:paraId="7C8A69D8">
      <w:pPr>
        <w:spacing w:before="51" w:line="314" w:lineRule="auto"/>
        <w:ind w:left="26" w:right="195" w:firstLine="7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7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.事业单位经营收入：是指事业单位在专业业务活动及其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辅助活动之外开展非独立核算经营活动取得的收入。</w:t>
      </w:r>
    </w:p>
    <w:p w14:paraId="596CD449">
      <w:pPr>
        <w:spacing w:before="53" w:line="315" w:lineRule="auto"/>
        <w:ind w:left="30" w:right="195" w:firstLine="6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8.上级补助收入：是指事业单位从主管部门和上级单位取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得的非财政拨款收入。</w:t>
      </w:r>
    </w:p>
    <w:p w14:paraId="42B1CEF4">
      <w:pPr>
        <w:spacing w:before="49" w:line="314" w:lineRule="auto"/>
        <w:ind w:left="30" w:right="195" w:firstLine="6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9.附属单位上缴收入：是指事业单位取得附属独立核算单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位根据有关规定上缴的收入。</w:t>
      </w:r>
    </w:p>
    <w:p w14:paraId="6CD9EEFA">
      <w:pPr>
        <w:spacing w:before="54" w:line="315" w:lineRule="auto"/>
        <w:ind w:left="35" w:right="195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10.基本支出：指为保障机构正常运转、完成日常工作任务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而发生支出，包括人员经费和公用经费。</w:t>
      </w:r>
    </w:p>
    <w:p w14:paraId="4A332C28">
      <w:pPr>
        <w:spacing w:before="50" w:line="315" w:lineRule="auto"/>
        <w:ind w:left="28" w:right="195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11.项目支出：指在基本支出之外为完成特定行政任务和事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业发展目标所发生的支出。</w:t>
      </w:r>
    </w:p>
    <w:p w14:paraId="77F52E4F">
      <w:pPr>
        <w:spacing w:before="48" w:line="324" w:lineRule="auto"/>
        <w:ind w:left="28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12.人员经费：人员经费是指部门和单位“工资福利支出</w:t>
      </w:r>
      <w:r>
        <w:rPr>
          <w:rFonts w:ascii="仿宋" w:hAnsi="仿宋" w:eastAsia="仿宋" w:cs="仿宋"/>
          <w:spacing w:val="-10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和“对个人和家庭的补助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”中属于基本支出内容的支出，包括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基本工资、津贴补贴、奖金、机关事业单位养老保险缴费、其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5"/>
          <w:sz w:val="31"/>
          <w:szCs w:val="31"/>
        </w:rPr>
        <w:t>他社会保障缴费、住房公积金、其他工资福利支出、离</w:t>
      </w:r>
      <w:r>
        <w:rPr>
          <w:rFonts w:ascii="仿宋" w:hAnsi="仿宋" w:eastAsia="仿宋" w:cs="仿宋"/>
          <w:spacing w:val="4"/>
          <w:sz w:val="31"/>
          <w:szCs w:val="31"/>
        </w:rPr>
        <w:t>退休费、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生活补助等。</w:t>
      </w:r>
    </w:p>
    <w:p w14:paraId="165571DF">
      <w:pPr>
        <w:spacing w:before="52" w:line="320" w:lineRule="auto"/>
        <w:ind w:right="195" w:firstLine="67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13.公用经费：主要是指部门和单位“商品和服务支出</w:t>
      </w:r>
      <w:r>
        <w:rPr>
          <w:rFonts w:ascii="仿宋" w:hAnsi="仿宋" w:eastAsia="仿宋" w:cs="仿宋"/>
          <w:spacing w:val="-1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”和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“</w:t>
      </w:r>
      <w:r>
        <w:rPr>
          <w:rFonts w:ascii="仿宋" w:hAnsi="仿宋" w:eastAsia="仿宋" w:cs="仿宋"/>
          <w:spacing w:val="-10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资本性支出</w:t>
      </w:r>
      <w:r>
        <w:rPr>
          <w:rFonts w:ascii="仿宋" w:hAnsi="仿宋" w:eastAsia="仿宋" w:cs="仿宋"/>
          <w:spacing w:val="-1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”中属于基本支出内容的支出，包括办公费、水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费、电费、邮电费、物业管理费、交通费、差</w:t>
      </w:r>
      <w:r>
        <w:rPr>
          <w:rFonts w:ascii="仿宋" w:hAnsi="仿宋" w:eastAsia="仿宋" w:cs="仿宋"/>
          <w:spacing w:val="-12"/>
          <w:sz w:val="31"/>
          <w:szCs w:val="31"/>
        </w:rPr>
        <w:t>旅费、日常维修(护)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费、会议费、租赁费、招待费、培训费、福利费、工会经费、</w:t>
      </w:r>
    </w:p>
    <w:p w14:paraId="0882F03E">
      <w:pPr>
        <w:spacing w:line="320" w:lineRule="auto"/>
        <w:rPr>
          <w:rFonts w:ascii="仿宋" w:hAnsi="仿宋" w:eastAsia="仿宋" w:cs="仿宋"/>
          <w:sz w:val="31"/>
          <w:szCs w:val="31"/>
        </w:rPr>
        <w:sectPr>
          <w:footerReference r:id="rId14" w:type="default"/>
          <w:pgSz w:w="11906" w:h="16839"/>
          <w:pgMar w:top="400" w:right="1479" w:bottom="1885" w:left="1578" w:header="0" w:footer="1606" w:gutter="0"/>
          <w:cols w:space="720" w:num="1"/>
        </w:sectPr>
      </w:pPr>
    </w:p>
    <w:p w14:paraId="4080E1EB">
      <w:pPr>
        <w:pStyle w:val="2"/>
        <w:spacing w:line="251" w:lineRule="auto"/>
      </w:pPr>
    </w:p>
    <w:p w14:paraId="2BD2F158">
      <w:pPr>
        <w:pStyle w:val="2"/>
        <w:spacing w:line="251" w:lineRule="auto"/>
      </w:pPr>
    </w:p>
    <w:p w14:paraId="08C62C9C">
      <w:pPr>
        <w:pStyle w:val="2"/>
        <w:spacing w:line="251" w:lineRule="auto"/>
      </w:pPr>
    </w:p>
    <w:p w14:paraId="436007B9">
      <w:pPr>
        <w:pStyle w:val="2"/>
        <w:spacing w:line="251" w:lineRule="auto"/>
      </w:pPr>
    </w:p>
    <w:p w14:paraId="1EEB159B">
      <w:pPr>
        <w:pStyle w:val="2"/>
        <w:spacing w:line="251" w:lineRule="auto"/>
      </w:pPr>
    </w:p>
    <w:p w14:paraId="50DA5A67">
      <w:pPr>
        <w:pStyle w:val="2"/>
        <w:spacing w:line="251" w:lineRule="auto"/>
      </w:pPr>
    </w:p>
    <w:p w14:paraId="1D64338A">
      <w:pPr>
        <w:pStyle w:val="2"/>
        <w:spacing w:line="251" w:lineRule="auto"/>
      </w:pPr>
    </w:p>
    <w:p w14:paraId="781F9852">
      <w:pPr>
        <w:spacing w:before="100" w:line="227" w:lineRule="auto"/>
        <w:ind w:left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办公设备购置、其他商品和服务支出等。</w:t>
      </w:r>
    </w:p>
    <w:p w14:paraId="1A3F010A">
      <w:pPr>
        <w:spacing w:before="175" w:line="325" w:lineRule="auto"/>
        <w:ind w:right="111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14.“三公</w:t>
      </w:r>
      <w:r>
        <w:rPr>
          <w:rFonts w:ascii="仿宋" w:hAnsi="仿宋" w:eastAsia="仿宋" w:cs="仿宋"/>
          <w:spacing w:val="-1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”经费：包括因公出国（境）费、公务接待费、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公务用车购置及运行维护费。其中，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因公出国（境）费反映单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位公务出国（境）的国际旅费、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国外城市间交通费、住宿</w:t>
      </w:r>
      <w:r>
        <w:rPr>
          <w:rFonts w:ascii="仿宋" w:hAnsi="仿宋" w:eastAsia="仿宋" w:cs="仿宋"/>
          <w:spacing w:val="6"/>
          <w:sz w:val="31"/>
          <w:szCs w:val="31"/>
        </w:rPr>
        <w:t>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伙食费、培训费、公杂费等支出；公务用车购置及运行维护费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反映单位公务用车车辆购置支出（含车辆购置税）、燃料费、维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修费、过路过桥费、保险费、安全奖励费用等支出；公务接待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费反映单位按规定开展的各类公务接待（含外</w:t>
      </w:r>
      <w:r>
        <w:rPr>
          <w:rFonts w:ascii="仿宋" w:hAnsi="仿宋" w:eastAsia="仿宋" w:cs="仿宋"/>
          <w:spacing w:val="4"/>
          <w:sz w:val="31"/>
          <w:szCs w:val="31"/>
        </w:rPr>
        <w:t>宾接待）支出。</w:t>
      </w:r>
    </w:p>
    <w:p w14:paraId="54515252">
      <w:pPr>
        <w:spacing w:before="55" w:line="323" w:lineRule="auto"/>
        <w:ind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15.机关（机构）运行经费，是指部门的公用经费，具体为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保障部门运行用于购买货物和服务的各项资金，包括：办公费 </w:t>
      </w:r>
      <w:r>
        <w:rPr>
          <w:rFonts w:ascii="仿宋" w:hAnsi="仿宋" w:eastAsia="仿宋" w:cs="仿宋"/>
          <w:spacing w:val="2"/>
          <w:sz w:val="31"/>
          <w:szCs w:val="31"/>
        </w:rPr>
        <w:t>及印刷费、邮电费、差旅费、会议费、福利费、维修（护）</w:t>
      </w:r>
      <w:r>
        <w:rPr>
          <w:rFonts w:ascii="仿宋" w:hAnsi="仿宋" w:eastAsia="仿宋" w:cs="仿宋"/>
          <w:spacing w:val="1"/>
          <w:sz w:val="31"/>
          <w:szCs w:val="31"/>
        </w:rPr>
        <w:t>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专用材料费及一般设备购置费、办公用房水电费、取暖费、物 </w:t>
      </w:r>
      <w:r>
        <w:rPr>
          <w:rFonts w:ascii="仿宋" w:hAnsi="仿宋" w:eastAsia="仿宋" w:cs="仿宋"/>
          <w:spacing w:val="2"/>
          <w:sz w:val="31"/>
          <w:szCs w:val="31"/>
        </w:rPr>
        <w:t>业管理费、公务用车运行维护费、其他交通费用以及其他费</w:t>
      </w:r>
      <w:r>
        <w:rPr>
          <w:rFonts w:ascii="仿宋" w:hAnsi="仿宋" w:eastAsia="仿宋" w:cs="仿宋"/>
          <w:spacing w:val="1"/>
          <w:sz w:val="31"/>
          <w:szCs w:val="31"/>
        </w:rPr>
        <w:t>用。</w:t>
      </w:r>
    </w:p>
    <w:p w14:paraId="5EC6B669">
      <w:pPr>
        <w:spacing w:before="59" w:line="319" w:lineRule="auto"/>
        <w:ind w:left="9" w:right="111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17. 教育支出（类）教育管理事务（款）其他教育管理事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务支出（项</w:t>
      </w:r>
      <w:r>
        <w:rPr>
          <w:rFonts w:ascii="仿宋" w:hAnsi="仿宋" w:eastAsia="仿宋" w:cs="仿宋"/>
          <w:spacing w:val="-73"/>
          <w:sz w:val="31"/>
          <w:szCs w:val="31"/>
        </w:rPr>
        <w:t>）：</w:t>
      </w:r>
      <w:r>
        <w:rPr>
          <w:rFonts w:ascii="仿宋" w:hAnsi="仿宋" w:eastAsia="仿宋" w:cs="仿宋"/>
          <w:spacing w:val="3"/>
          <w:sz w:val="31"/>
          <w:szCs w:val="31"/>
        </w:rPr>
        <w:t>反映贵阳市教育局所属事业单位用于教育管理事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务方面的支出。</w:t>
      </w:r>
    </w:p>
    <w:p w14:paraId="767EAF80">
      <w:pPr>
        <w:spacing w:before="54" w:line="313" w:lineRule="auto"/>
        <w:ind w:right="96" w:firstLine="6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28.社会保障和就业支出（类）行政事业单位离退休（款）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事业单位离退休（项</w:t>
      </w:r>
      <w:r>
        <w:rPr>
          <w:rFonts w:ascii="仿宋" w:hAnsi="仿宋" w:eastAsia="仿宋" w:cs="仿宋"/>
          <w:spacing w:val="-63"/>
          <w:sz w:val="31"/>
          <w:szCs w:val="31"/>
        </w:rPr>
        <w:t>）：</w:t>
      </w:r>
      <w:r>
        <w:rPr>
          <w:rFonts w:ascii="仿宋" w:hAnsi="仿宋" w:eastAsia="仿宋" w:cs="仿宋"/>
          <w:spacing w:val="4"/>
          <w:sz w:val="31"/>
          <w:szCs w:val="31"/>
        </w:rPr>
        <w:t>反映事业单位开支的离退</w:t>
      </w:r>
      <w:r>
        <w:rPr>
          <w:rFonts w:ascii="仿宋" w:hAnsi="仿宋" w:eastAsia="仿宋" w:cs="仿宋"/>
          <w:spacing w:val="3"/>
          <w:sz w:val="31"/>
          <w:szCs w:val="31"/>
        </w:rPr>
        <w:t>休经费。</w:t>
      </w:r>
    </w:p>
    <w:p w14:paraId="4EBE113A">
      <w:pPr>
        <w:spacing w:before="54" w:line="319" w:lineRule="auto"/>
        <w:ind w:right="96" w:firstLine="6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29.社会保障和就业支出（类）行政事业单位离退休（款）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机关事业单位基本养老保险缴费支出（项</w:t>
      </w:r>
      <w:r>
        <w:rPr>
          <w:rFonts w:ascii="仿宋" w:hAnsi="仿宋" w:eastAsia="仿宋" w:cs="仿宋"/>
          <w:spacing w:val="-68"/>
          <w:sz w:val="31"/>
          <w:szCs w:val="31"/>
        </w:rPr>
        <w:t>）：</w:t>
      </w:r>
      <w:r>
        <w:rPr>
          <w:rFonts w:ascii="仿宋" w:hAnsi="仿宋" w:eastAsia="仿宋" w:cs="仿宋"/>
          <w:spacing w:val="3"/>
          <w:sz w:val="31"/>
          <w:szCs w:val="31"/>
        </w:rPr>
        <w:t>反映机关事业单位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实施养老保险制度由单位缴纳的基本养老保险费支出。</w:t>
      </w:r>
    </w:p>
    <w:p w14:paraId="42390029">
      <w:pPr>
        <w:spacing w:before="57" w:line="292" w:lineRule="auto"/>
        <w:ind w:left="5" w:right="111" w:firstLine="6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31.社会保障和就业支出（类）其他社会保障和就业支出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（款）其他社会保障和就业支出（项</w:t>
      </w:r>
      <w:r>
        <w:rPr>
          <w:rFonts w:ascii="仿宋" w:hAnsi="仿宋" w:eastAsia="仿宋" w:cs="仿宋"/>
          <w:spacing w:val="-71"/>
          <w:sz w:val="31"/>
          <w:szCs w:val="31"/>
        </w:rPr>
        <w:t>）：</w:t>
      </w:r>
      <w:r>
        <w:rPr>
          <w:rFonts w:ascii="仿宋" w:hAnsi="仿宋" w:eastAsia="仿宋" w:cs="仿宋"/>
          <w:spacing w:val="3"/>
          <w:sz w:val="31"/>
          <w:szCs w:val="31"/>
        </w:rPr>
        <w:t>反映其他社会保障和就</w:t>
      </w:r>
    </w:p>
    <w:p w14:paraId="2955966B">
      <w:pPr>
        <w:spacing w:line="292" w:lineRule="auto"/>
        <w:rPr>
          <w:rFonts w:ascii="仿宋" w:hAnsi="仿宋" w:eastAsia="仿宋" w:cs="仿宋"/>
          <w:sz w:val="31"/>
          <w:szCs w:val="31"/>
        </w:rPr>
        <w:sectPr>
          <w:footerReference r:id="rId15" w:type="default"/>
          <w:pgSz w:w="11906" w:h="16839"/>
          <w:pgMar w:top="400" w:right="1563" w:bottom="1945" w:left="1606" w:header="0" w:footer="1666" w:gutter="0"/>
          <w:cols w:space="720" w:num="1"/>
        </w:sectPr>
      </w:pPr>
    </w:p>
    <w:p w14:paraId="097277DE">
      <w:pPr>
        <w:pStyle w:val="2"/>
        <w:spacing w:line="251" w:lineRule="auto"/>
      </w:pPr>
    </w:p>
    <w:p w14:paraId="0F19C270">
      <w:pPr>
        <w:pStyle w:val="2"/>
        <w:spacing w:line="251" w:lineRule="auto"/>
      </w:pPr>
    </w:p>
    <w:p w14:paraId="26D7A35F">
      <w:pPr>
        <w:pStyle w:val="2"/>
        <w:spacing w:line="251" w:lineRule="auto"/>
      </w:pPr>
    </w:p>
    <w:p w14:paraId="081568B4">
      <w:pPr>
        <w:pStyle w:val="2"/>
        <w:spacing w:line="251" w:lineRule="auto"/>
      </w:pPr>
    </w:p>
    <w:p w14:paraId="2A519051">
      <w:pPr>
        <w:pStyle w:val="2"/>
        <w:spacing w:line="251" w:lineRule="auto"/>
      </w:pPr>
    </w:p>
    <w:p w14:paraId="0B1CC437">
      <w:pPr>
        <w:pStyle w:val="2"/>
        <w:spacing w:line="251" w:lineRule="auto"/>
      </w:pPr>
    </w:p>
    <w:p w14:paraId="4281E467">
      <w:pPr>
        <w:pStyle w:val="2"/>
        <w:spacing w:line="251" w:lineRule="auto"/>
      </w:pPr>
    </w:p>
    <w:p w14:paraId="411C1FB6">
      <w:pPr>
        <w:spacing w:before="101" w:line="229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业方面的支出。</w:t>
      </w:r>
    </w:p>
    <w:p w14:paraId="5E28AFF7">
      <w:pPr>
        <w:spacing w:before="171" w:line="321" w:lineRule="auto"/>
        <w:ind w:left="7" w:right="82" w:firstLine="6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32.卫生健康支出（类）行政事业单位医疗（款）事业单位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医疗（项</w:t>
      </w:r>
      <w:r>
        <w:rPr>
          <w:rFonts w:ascii="仿宋" w:hAnsi="仿宋" w:eastAsia="仿宋" w:cs="仿宋"/>
          <w:spacing w:val="-72"/>
          <w:sz w:val="31"/>
          <w:szCs w:val="31"/>
        </w:rPr>
        <w:t>）：</w:t>
      </w:r>
      <w:r>
        <w:rPr>
          <w:rFonts w:ascii="仿宋" w:hAnsi="仿宋" w:eastAsia="仿宋" w:cs="仿宋"/>
          <w:spacing w:val="3"/>
          <w:sz w:val="31"/>
          <w:szCs w:val="31"/>
        </w:rPr>
        <w:t>反映财政部门安排的事业单位基本医疗保险缴费经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费，未参加医疗保险的行政单位的公费医疗经费，按国家规定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享受离休人员、红军老战士待遇人员的医疗经费。</w:t>
      </w:r>
    </w:p>
    <w:p w14:paraId="40E93811">
      <w:pPr>
        <w:spacing w:before="57" w:line="314" w:lineRule="auto"/>
        <w:ind w:left="5" w:right="82" w:firstLine="6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33.卫生健康支出（类）行政事业单位医疗（款）公务员医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疗补助（项</w:t>
      </w:r>
      <w:r>
        <w:rPr>
          <w:rFonts w:ascii="仿宋" w:hAnsi="仿宋" w:eastAsia="仿宋" w:cs="仿宋"/>
          <w:spacing w:val="-55"/>
          <w:sz w:val="31"/>
          <w:szCs w:val="31"/>
        </w:rPr>
        <w:t>）：</w:t>
      </w:r>
      <w:r>
        <w:rPr>
          <w:rFonts w:ascii="仿宋" w:hAnsi="仿宋" w:eastAsia="仿宋" w:cs="仿宋"/>
          <w:spacing w:val="3"/>
          <w:sz w:val="31"/>
          <w:szCs w:val="31"/>
        </w:rPr>
        <w:t>反映财政部门安排的公务员医疗补助经费。</w:t>
      </w:r>
    </w:p>
    <w:p w14:paraId="180AB893">
      <w:pPr>
        <w:spacing w:before="52" w:line="319" w:lineRule="auto"/>
        <w:ind w:left="1" w:firstLine="62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9"/>
          <w:sz w:val="31"/>
          <w:szCs w:val="31"/>
        </w:rPr>
        <w:t>34.住房保障支出（类）住房改革支出（款）住房</w:t>
      </w:r>
      <w:r>
        <w:rPr>
          <w:rFonts w:ascii="仿宋" w:hAnsi="仿宋" w:eastAsia="仿宋" w:cs="仿宋"/>
          <w:spacing w:val="-20"/>
          <w:sz w:val="31"/>
          <w:szCs w:val="31"/>
        </w:rPr>
        <w:t>公积金（项</w:t>
      </w:r>
      <w:r>
        <w:rPr>
          <w:rFonts w:ascii="仿宋" w:hAnsi="仿宋" w:eastAsia="仿宋" w:cs="仿宋"/>
          <w:spacing w:val="-79"/>
          <w:w w:val="89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反映行政事业单位按人力资源和社会保障部、财政部规定的基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本工资和津贴补贴以及按规定比例为职工缴纳的公积金。</w:t>
      </w:r>
    </w:p>
    <w:p w14:paraId="7013ED2E">
      <w:pPr>
        <w:spacing w:before="55" w:line="227" w:lineRule="auto"/>
        <w:ind w:left="63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sz w:val="31"/>
          <w:szCs w:val="31"/>
        </w:rPr>
        <w:t>五、2023</w:t>
      </w:r>
      <w:r>
        <w:rPr>
          <w:rFonts w:ascii="黑体" w:hAnsi="黑体" w:eastAsia="黑体" w:cs="黑体"/>
          <w:spacing w:val="-6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3"/>
          <w:sz w:val="31"/>
          <w:szCs w:val="31"/>
        </w:rPr>
        <w:t>年部门预算公开表（附表）</w:t>
      </w:r>
    </w:p>
    <w:sectPr>
      <w:footerReference r:id="rId16" w:type="default"/>
      <w:pgSz w:w="11906" w:h="16839"/>
      <w:pgMar w:top="400" w:right="1592" w:bottom="1886" w:left="1607" w:header="0" w:footer="160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D111E">
    <w:pPr>
      <w:pStyle w:val="2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4DD9B">
    <w:pPr>
      <w:spacing w:before="1" w:line="176" w:lineRule="auto"/>
      <w:ind w:left="727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0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9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9CB5C">
    <w:pPr>
      <w:spacing w:line="177" w:lineRule="auto"/>
      <w:ind w:left="26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4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10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091E6">
    <w:pPr>
      <w:spacing w:line="177" w:lineRule="auto"/>
      <w:ind w:left="726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4"/>
        <w:sz w:val="28"/>
        <w:szCs w:val="28"/>
      </w:rPr>
      <w:t>-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1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277FA">
    <w:pPr>
      <w:spacing w:before="1" w:line="176" w:lineRule="auto"/>
      <w:ind w:left="26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-</w:t>
    </w:r>
    <w:r>
      <w:rPr>
        <w:rFonts w:ascii="宋体" w:hAnsi="宋体" w:eastAsia="宋体" w:cs="宋体"/>
        <w:spacing w:val="15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2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3ECCB">
    <w:pPr>
      <w:spacing w:before="1" w:line="176" w:lineRule="auto"/>
      <w:ind w:left="727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6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3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9479B">
    <w:pPr>
      <w:spacing w:before="1" w:line="176" w:lineRule="auto"/>
      <w:ind w:left="27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-</w:t>
    </w:r>
    <w:r>
      <w:rPr>
        <w:rFonts w:ascii="宋体" w:hAnsi="宋体" w:eastAsia="宋体" w:cs="宋体"/>
        <w:spacing w:val="10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4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66B2A">
    <w:pPr>
      <w:spacing w:line="175" w:lineRule="auto"/>
      <w:ind w:left="728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6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5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7F337">
    <w:pPr>
      <w:spacing w:before="1" w:line="176" w:lineRule="auto"/>
      <w:ind w:left="26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6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ABF95">
    <w:pPr>
      <w:spacing w:line="175" w:lineRule="auto"/>
      <w:ind w:left="727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6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7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0ABC8">
    <w:pPr>
      <w:spacing w:before="1" w:line="176" w:lineRule="auto"/>
      <w:ind w:left="29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2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8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D80CE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TUzNjVjZThkMjFmZGEzZWMwMTk4MTE0ODA0NDAxNGIifQ=="/>
  </w:docVars>
  <w:rsids>
    <w:rsidRoot w:val="00000000"/>
    <w:rsid w:val="266604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theme" Target="theme/theme1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4332</Words>
  <Characters>4701</Characters>
  <TotalTime>0</TotalTime>
  <ScaleCrop>false</ScaleCrop>
  <LinksUpToDate>false</LinksUpToDate>
  <CharactersWithSpaces>5045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2023-06-13T09:43:00Z</dcterms:created>
  <dc:creator>czjysc</dc:creator>
  <cp:lastModifiedBy>飘零</cp:lastModifiedBy>
  <dcterms:modified xsi:type="dcterms:W3CDTF">2024-09-27T07:21:24Z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2024-09-27T15:20:31Z</vt:filetime>
  </property>
  <property fmtid="{D5CDD505-2E9C-101B-9397-08002B2CF9AE}" pid="4" name="KSOProductBuildVer">
    <vt:lpwstr>2052-12.1.0.17827</vt:lpwstr>
  </property>
  <property fmtid="{D5CDD505-2E9C-101B-9397-08002B2CF9AE}" pid="5" name="ICV">
    <vt:lpwstr>0A1A0E8EC5994580AD6C9033D0D90E79_12</vt:lpwstr>
  </property>
</Properties>
</file>