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default" w:eastAsia="Times New Roman"/>
          <w:b/>
          <w:spacing w:val="15"/>
          <w:sz w:val="44"/>
        </w:rPr>
      </w:pPr>
      <w:bookmarkStart w:id="2" w:name="_GoBack"/>
      <w:bookmarkEnd w:id="2"/>
    </w:p>
    <w:p>
      <w:pPr>
        <w:spacing w:line="560" w:lineRule="exact"/>
        <w:jc w:val="center"/>
        <w:rPr>
          <w:rFonts w:hint="default" w:eastAsia="Times New Roman"/>
          <w:b/>
          <w:spacing w:val="15"/>
          <w:sz w:val="44"/>
        </w:rPr>
      </w:pPr>
      <w:r>
        <w:rPr>
          <w:rFonts w:hint="eastAsia" w:ascii="方正小标宋简体" w:hAnsi="方正小标宋简体" w:eastAsia="方正小标宋简体"/>
          <w:b/>
          <w:spacing w:val="15"/>
          <w:sz w:val="44"/>
        </w:rPr>
        <w:t>贵州省贵阳市粮食和物资储备局2019年度部门决算</w:t>
      </w:r>
    </w:p>
    <w:p>
      <w:pPr>
        <w:spacing w:line="560" w:lineRule="exact"/>
        <w:jc w:val="center"/>
        <w:rPr>
          <w:rFonts w:hint="default" w:eastAsia="Times New Roman"/>
          <w:b/>
          <w:sz w:val="32"/>
        </w:rPr>
      </w:pPr>
    </w:p>
    <w:p>
      <w:pPr>
        <w:spacing w:line="560" w:lineRule="exact"/>
        <w:jc w:val="center"/>
        <w:rPr>
          <w:rFonts w:hint="default" w:eastAsia="Times New Roman"/>
          <w:b/>
          <w:sz w:val="32"/>
        </w:rPr>
      </w:pPr>
      <w:r>
        <w:rPr>
          <w:rFonts w:hint="eastAsia" w:ascii="仿宋_GB2312" w:hAnsi="仿宋_GB2312" w:eastAsia="仿宋_GB2312"/>
          <w:b/>
          <w:sz w:val="32"/>
        </w:rPr>
        <w:t>目录</w:t>
      </w:r>
    </w:p>
    <w:p>
      <w:pPr>
        <w:spacing w:line="560" w:lineRule="exact"/>
        <w:jc w:val="center"/>
        <w:rPr>
          <w:rFonts w:hint="default" w:eastAsia="Times New Roman"/>
          <w:b/>
          <w:sz w:val="32"/>
        </w:rPr>
      </w:pPr>
    </w:p>
    <w:p>
      <w:pPr>
        <w:spacing w:line="560" w:lineRule="exact"/>
        <w:ind w:firstLine="640"/>
        <w:rPr>
          <w:rFonts w:hint="default" w:eastAsia="Times New Roman"/>
          <w:color w:val="000000"/>
          <w:sz w:val="32"/>
        </w:rPr>
      </w:pPr>
      <w:r>
        <w:rPr>
          <w:rFonts w:hint="eastAsia" w:ascii="仿宋_GB2312" w:hAnsi="仿宋_GB2312" w:eastAsia="仿宋_GB2312"/>
          <w:color w:val="000000"/>
          <w:sz w:val="32"/>
        </w:rPr>
        <w:t>一、单位概况</w:t>
      </w:r>
    </w:p>
    <w:p>
      <w:pPr>
        <w:ind w:firstLine="640"/>
        <w:rPr>
          <w:rFonts w:hint="eastAsia" w:ascii="仿宋_GB2312" w:hAnsi="仿宋_GB2312" w:eastAsia="仿宋_GB2312"/>
          <w:color w:val="auto"/>
          <w:sz w:val="32"/>
        </w:rPr>
      </w:pPr>
      <w:r>
        <w:rPr>
          <w:rFonts w:hint="eastAsia" w:ascii="仿宋_GB2312" w:hAnsi="仿宋_GB2312" w:eastAsia="仿宋_GB2312"/>
          <w:color w:val="auto"/>
          <w:sz w:val="32"/>
        </w:rPr>
        <w:t>（一）主要职能</w:t>
      </w:r>
    </w:p>
    <w:p>
      <w:pPr>
        <w:ind w:firstLine="640"/>
        <w:rPr>
          <w:rFonts w:hint="default" w:eastAsia="Times New Roman"/>
          <w:color w:val="auto"/>
          <w:sz w:val="32"/>
        </w:rPr>
      </w:pPr>
      <w:r>
        <w:rPr>
          <w:rFonts w:hint="eastAsia" w:ascii="仿宋_GB2312" w:hAnsi="仿宋_GB2312" w:eastAsia="仿宋_GB2312"/>
          <w:color w:val="auto"/>
          <w:sz w:val="32"/>
        </w:rPr>
        <w:t>（二）机构设置及部门决算单位构成</w:t>
      </w:r>
    </w:p>
    <w:p>
      <w:pPr>
        <w:spacing w:line="560" w:lineRule="exact"/>
        <w:ind w:firstLine="640"/>
        <w:rPr>
          <w:rFonts w:hint="default" w:eastAsia="Times New Roman"/>
          <w:color w:val="000000"/>
          <w:sz w:val="32"/>
        </w:rPr>
      </w:pPr>
      <w:r>
        <w:rPr>
          <w:rFonts w:hint="eastAsia" w:ascii="仿宋_GB2312" w:hAnsi="仿宋_GB2312" w:eastAsia="仿宋_GB2312"/>
          <w:color w:val="000000"/>
          <w:sz w:val="32"/>
        </w:rPr>
        <w:t>二、2019年度部门决算公开报表（见附表）</w:t>
      </w:r>
    </w:p>
    <w:p>
      <w:pPr>
        <w:spacing w:line="560" w:lineRule="exact"/>
        <w:ind w:firstLine="640"/>
        <w:rPr>
          <w:rFonts w:hint="default" w:eastAsia="Times New Roman"/>
          <w:color w:val="auto"/>
          <w:sz w:val="32"/>
          <w:lang w:val="en-US"/>
        </w:rPr>
      </w:pPr>
      <w:r>
        <w:rPr>
          <w:rFonts w:hint="eastAsia" w:ascii="仿宋_GB2312" w:hAnsi="仿宋_GB2312" w:eastAsia="仿宋_GB2312"/>
          <w:color w:val="000000"/>
          <w:sz w:val="32"/>
          <w:lang w:val="zh-CN"/>
        </w:rPr>
        <w:t>三、</w:t>
      </w:r>
      <w:r>
        <w:rPr>
          <w:rFonts w:hint="eastAsia" w:ascii="仿宋_GB2312" w:hAnsi="仿宋_GB2312" w:eastAsia="仿宋_GB2312"/>
          <w:color w:val="000000"/>
          <w:sz w:val="32"/>
          <w:lang w:val="en-US"/>
        </w:rPr>
        <w:t>2019年度部门决算情况说明</w:t>
      </w:r>
      <w:r>
        <w:rPr>
          <w:rFonts w:hint="default" w:eastAsia="Times New Roman"/>
          <w:color w:val="000000"/>
          <w:sz w:val="32"/>
          <w:lang w:val="en-US"/>
        </w:rPr>
        <w:br w:type="textWrapping"/>
      </w:r>
      <w:r>
        <w:rPr>
          <w:rFonts w:hint="eastAsia" w:ascii="仿宋_GB2312" w:hAnsi="仿宋_GB2312" w:eastAsia="仿宋_GB2312"/>
          <w:color w:val="000000"/>
          <w:sz w:val="32"/>
          <w:lang w:val="en-US"/>
        </w:rPr>
        <w:t>　　</w:t>
      </w:r>
      <w:r>
        <w:rPr>
          <w:rFonts w:hint="eastAsia" w:ascii="仿宋_GB2312" w:hAnsi="仿宋_GB2312" w:eastAsia="仿宋_GB2312"/>
          <w:color w:val="auto"/>
          <w:sz w:val="32"/>
          <w:lang w:val="en-US"/>
        </w:rPr>
        <w:t>（一）2019年度收入支出决算总体情况说明</w:t>
      </w:r>
      <w:r>
        <w:rPr>
          <w:rFonts w:hint="default" w:eastAsia="Times New Roman"/>
          <w:color w:val="auto"/>
          <w:sz w:val="32"/>
          <w:lang w:val="en-US"/>
        </w:rPr>
        <w:br w:type="textWrapping"/>
      </w:r>
      <w:r>
        <w:rPr>
          <w:rFonts w:hint="eastAsia" w:ascii="仿宋_GB2312" w:hAnsi="仿宋_GB2312" w:eastAsia="仿宋_GB2312"/>
          <w:color w:val="auto"/>
          <w:sz w:val="32"/>
          <w:lang w:val="en-US"/>
        </w:rPr>
        <w:t xml:space="preserve">    （二）2019年度收入决算情况说明</w:t>
      </w:r>
    </w:p>
    <w:p>
      <w:pPr>
        <w:spacing w:line="560"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（三）2019年度支出决算情况说明</w:t>
      </w:r>
    </w:p>
    <w:p>
      <w:pPr>
        <w:spacing w:line="560"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（四）2019年度财政拨款收入支出决算总体情况说明</w:t>
      </w:r>
    </w:p>
    <w:p>
      <w:pPr>
        <w:spacing w:line="560"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（五）2019年度一般公共预算财政拨款支出决算情况说明</w:t>
      </w:r>
    </w:p>
    <w:p>
      <w:pPr>
        <w:spacing w:line="560"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（六）2019年度一般公共预算财政拨款基本支出决算情况说明</w:t>
      </w:r>
    </w:p>
    <w:p>
      <w:pPr>
        <w:spacing w:line="560"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（七）2019年度一般公共预算财政拨款</w:t>
      </w:r>
      <w:r>
        <w:rPr>
          <w:rFonts w:hint="default" w:eastAsia="Times New Roman"/>
          <w:color w:val="auto"/>
          <w:sz w:val="32"/>
          <w:lang w:val="en-US"/>
        </w:rPr>
        <w:t>“</w:t>
      </w:r>
      <w:r>
        <w:rPr>
          <w:rFonts w:hint="eastAsia" w:ascii="仿宋_GB2312" w:hAnsi="仿宋_GB2312" w:eastAsia="仿宋_GB2312"/>
          <w:color w:val="auto"/>
          <w:sz w:val="32"/>
          <w:lang w:val="en-US"/>
        </w:rPr>
        <w:t>三公</w:t>
      </w:r>
      <w:r>
        <w:rPr>
          <w:rFonts w:hint="default" w:eastAsia="Times New Roman"/>
          <w:color w:val="auto"/>
          <w:sz w:val="32"/>
          <w:lang w:val="en-US"/>
        </w:rPr>
        <w:t>”</w:t>
      </w:r>
      <w:r>
        <w:rPr>
          <w:rFonts w:hint="eastAsia" w:ascii="仿宋_GB2312" w:hAnsi="仿宋_GB2312" w:eastAsia="仿宋_GB2312"/>
          <w:color w:val="auto"/>
          <w:sz w:val="32"/>
          <w:lang w:val="en-US"/>
        </w:rPr>
        <w:t>经费支出决算情况说明</w:t>
      </w:r>
    </w:p>
    <w:p>
      <w:pPr>
        <w:spacing w:line="560" w:lineRule="exact"/>
        <w:ind w:firstLine="640"/>
        <w:rPr>
          <w:rFonts w:hint="eastAsia" w:ascii="仿宋_GB2312" w:hAnsi="仿宋_GB2312" w:eastAsia="仿宋_GB2312"/>
          <w:color w:val="auto"/>
          <w:sz w:val="32"/>
          <w:lang w:val="en-US"/>
        </w:rPr>
      </w:pPr>
      <w:r>
        <w:rPr>
          <w:rFonts w:hint="eastAsia" w:ascii="仿宋_GB2312" w:hAnsi="仿宋_GB2312" w:eastAsia="仿宋_GB2312"/>
          <w:color w:val="auto"/>
          <w:sz w:val="32"/>
          <w:lang w:val="en-US"/>
        </w:rPr>
        <w:t>（八）2019年度政府性基金预算收入支出决算情况说明</w:t>
      </w:r>
    </w:p>
    <w:p>
      <w:pPr>
        <w:spacing w:line="560" w:lineRule="exact"/>
        <w:ind w:firstLine="640"/>
        <w:rPr>
          <w:rFonts w:hint="eastAsia" w:ascii="仿宋_GB2312" w:hAnsi="仿宋_GB2312" w:eastAsia="仿宋_GB2312"/>
          <w:color w:val="auto"/>
          <w:sz w:val="32"/>
          <w:lang w:val="en-US"/>
        </w:rPr>
      </w:pPr>
      <w:r>
        <w:rPr>
          <w:rFonts w:hint="eastAsia" w:ascii="仿宋_GB2312" w:hAnsi="仿宋_GB2312" w:eastAsia="仿宋_GB2312"/>
          <w:color w:val="auto"/>
          <w:sz w:val="32"/>
          <w:lang w:val="en-US"/>
        </w:rPr>
        <w:t>（九）预算绩效情况说明</w:t>
      </w:r>
    </w:p>
    <w:p>
      <w:pPr>
        <w:spacing w:line="560"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w:t>
      </w:r>
      <w:r>
        <w:rPr>
          <w:rFonts w:hint="eastAsia" w:ascii="仿宋_GB2312" w:hAnsi="仿宋_GB2312" w:eastAsia="仿宋_GB2312"/>
          <w:color w:val="auto"/>
          <w:sz w:val="32"/>
          <w:lang w:val="zh-CN"/>
        </w:rPr>
        <w:t>十</w:t>
      </w:r>
      <w:r>
        <w:rPr>
          <w:rFonts w:hint="eastAsia" w:ascii="仿宋_GB2312" w:hAnsi="仿宋_GB2312" w:eastAsia="仿宋_GB2312"/>
          <w:color w:val="auto"/>
          <w:sz w:val="32"/>
          <w:lang w:val="en-US"/>
        </w:rPr>
        <w:t>）其他重要事项的情况说明</w:t>
      </w:r>
    </w:p>
    <w:p>
      <w:pPr>
        <w:ind w:firstLine="645"/>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四、名词解释</w:t>
      </w:r>
    </w:p>
    <w:p>
      <w:pPr>
        <w:ind w:firstLine="645"/>
        <w:rPr>
          <w:rFonts w:hint="default" w:eastAsia="Times New Roman"/>
          <w:color w:val="000000"/>
          <w:sz w:val="32"/>
          <w:lang w:val="en-US"/>
        </w:rPr>
      </w:pPr>
      <w:r>
        <w:rPr>
          <w:rFonts w:hint="eastAsia" w:ascii="仿宋_GB2312" w:hAnsi="仿宋_GB2312" w:eastAsia="仿宋_GB2312"/>
          <w:color w:val="000000"/>
          <w:sz w:val="32"/>
          <w:lang w:val="en-US"/>
        </w:rPr>
        <w:t>五、附件</w:t>
      </w:r>
    </w:p>
    <w:p>
      <w:pPr>
        <w:spacing w:line="560" w:lineRule="exact"/>
        <w:jc w:val="center"/>
        <w:rPr>
          <w:rFonts w:hint="default" w:eastAsia="Times New Roman"/>
          <w:b/>
          <w:color w:val="auto"/>
          <w:sz w:val="44"/>
          <w:lang w:val="en-US"/>
        </w:rPr>
      </w:pPr>
    </w:p>
    <w:p>
      <w:pPr>
        <w:spacing w:line="560" w:lineRule="exact"/>
        <w:ind w:firstLine="590"/>
        <w:rPr>
          <w:rFonts w:hint="default" w:eastAsia="Times New Roman"/>
          <w:b/>
          <w:color w:val="000000"/>
          <w:sz w:val="30"/>
          <w:lang w:val="en-US"/>
        </w:rPr>
      </w:pPr>
    </w:p>
    <w:p>
      <w:pPr>
        <w:spacing w:line="560" w:lineRule="exact"/>
        <w:ind w:firstLine="640"/>
        <w:rPr>
          <w:rFonts w:hint="default" w:eastAsia="Times New Roman"/>
          <w:color w:val="000000"/>
          <w:sz w:val="32"/>
          <w:lang w:val="en-US"/>
        </w:rPr>
      </w:pPr>
      <w:r>
        <w:rPr>
          <w:rFonts w:hint="eastAsia" w:ascii="黑体" w:hAnsi="黑体" w:eastAsia="黑体"/>
          <w:color w:val="000000"/>
          <w:sz w:val="32"/>
          <w:lang w:val="en-US"/>
        </w:rPr>
        <w:t>一、贵州省贵阳市粮食和物资储备局概况</w:t>
      </w:r>
    </w:p>
    <w:p>
      <w:pPr>
        <w:spacing w:line="560" w:lineRule="exact"/>
        <w:ind w:firstLine="640"/>
        <w:rPr>
          <w:rFonts w:hint="default" w:eastAsia="Times New Roman"/>
          <w:b/>
          <w:color w:val="auto"/>
          <w:sz w:val="32"/>
          <w:lang w:val="en-US"/>
        </w:rPr>
      </w:pPr>
      <w:r>
        <w:rPr>
          <w:rFonts w:hint="eastAsia" w:ascii="楷体_GB2312" w:hAnsi="楷体_GB2312" w:eastAsia="楷体_GB2312"/>
          <w:b/>
          <w:color w:val="auto"/>
          <w:sz w:val="32"/>
          <w:lang w:val="en-US"/>
        </w:rPr>
        <w:t>（一）主要职能</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rPr>
        <w:t>1.</w:t>
      </w:r>
      <w:r>
        <w:rPr>
          <w:rFonts w:hint="eastAsia" w:ascii="仿宋" w:hAnsi="仿宋" w:eastAsia="仿宋"/>
          <w:sz w:val="32"/>
        </w:rPr>
        <w:t>起草全市粮食流通和物资储备管理的地方性法规、规范性文件草案。贯彻执行国家粮食流通体制改革的实施方针、政策，研究提出市级粮食流通和物资储备体制改革方案并组织实施。</w:t>
      </w:r>
    </w:p>
    <w:p>
      <w:pPr>
        <w:spacing w:line="560" w:lineRule="exact"/>
        <w:ind w:firstLine="640" w:firstLineChars="200"/>
        <w:rPr>
          <w:rFonts w:hint="eastAsia" w:ascii="仿宋" w:hAnsi="仿宋" w:eastAsia="仿宋"/>
          <w:sz w:val="32"/>
        </w:rPr>
      </w:pPr>
      <w:bookmarkStart w:id="0" w:name="OLE_LINK1"/>
      <w:r>
        <w:rPr>
          <w:rFonts w:hint="eastAsia" w:ascii="仿宋_GB2312" w:hAnsi="仿宋_GB2312" w:eastAsia="仿宋_GB2312"/>
          <w:color w:val="auto"/>
          <w:sz w:val="32"/>
          <w:lang w:val="en-US" w:eastAsia="zh-CN"/>
        </w:rPr>
        <w:t>2</w:t>
      </w:r>
      <w:r>
        <w:rPr>
          <w:rFonts w:hint="eastAsia" w:ascii="仿宋_GB2312" w:hAnsi="仿宋_GB2312" w:eastAsia="仿宋_GB2312"/>
          <w:color w:val="auto"/>
          <w:sz w:val="32"/>
          <w:lang w:val="en-US"/>
        </w:rPr>
        <w:t>.</w:t>
      </w:r>
      <w:r>
        <w:rPr>
          <w:rFonts w:hint="eastAsia" w:ascii="仿宋" w:hAnsi="仿宋" w:eastAsia="仿宋"/>
          <w:sz w:val="32"/>
        </w:rPr>
        <w:t>拟订市级储备发展规划和重要物资储备规划、储备品种目录，并组织实施。根据市级储备发展规划和品种目录，组织市级重要物资和应急储备物资的收储、轮换和日常管理，落实有关动用计划和指令。指导各区（市、县）粮食、重要物资和应急储备物资的收储、轮换和日常管理工作。</w:t>
      </w:r>
      <w:bookmarkEnd w:id="0"/>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3</w:t>
      </w:r>
      <w:r>
        <w:rPr>
          <w:rFonts w:hint="eastAsia" w:ascii="仿宋_GB2312" w:hAnsi="仿宋_GB2312" w:eastAsia="仿宋_GB2312"/>
          <w:color w:val="auto"/>
          <w:sz w:val="32"/>
          <w:lang w:val="en-US"/>
        </w:rPr>
        <w:t>.</w:t>
      </w:r>
      <w:r>
        <w:rPr>
          <w:rFonts w:hint="eastAsia" w:ascii="仿宋" w:hAnsi="仿宋" w:eastAsia="仿宋"/>
          <w:sz w:val="32"/>
        </w:rPr>
        <w:t>按规定管理市级粮食、食糖、药品、食盐、救灾物资等储备，并结合实际适时做出调整，负责市级储备粮等行政管理。监测全市粮食和重要物资供求变化并预测预警，承担全市粮食流通宏观调控的具体工作。对粮油的“购、销、调、存、加”进行宏观管理，协调本市所辖区（市、县）间粮食余缺调剂。承担全市粮食安全责任制考核工作。</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4</w:t>
      </w:r>
      <w:r>
        <w:rPr>
          <w:rFonts w:hint="eastAsia" w:ascii="仿宋_GB2312" w:hAnsi="仿宋_GB2312" w:eastAsia="仿宋_GB2312"/>
          <w:color w:val="auto"/>
          <w:sz w:val="32"/>
          <w:lang w:val="en-US"/>
        </w:rPr>
        <w:t>.</w:t>
      </w:r>
      <w:r>
        <w:rPr>
          <w:rFonts w:hint="eastAsia" w:ascii="仿宋" w:hAnsi="仿宋" w:eastAsia="仿宋"/>
          <w:sz w:val="32"/>
        </w:rPr>
        <w:t>组织实施国家、省、市粮食和物资储备仓储管理有关技术标准和规范，负责市级粮食流通、加工行业安全生产工作的监督管理，承担市级物资储备承储单位安全生产的监管责任。负责本部门、本行业领域的安全生产和消防安全工作。</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5</w:t>
      </w:r>
      <w:r>
        <w:rPr>
          <w:rFonts w:hint="eastAsia" w:ascii="仿宋_GB2312" w:hAnsi="仿宋_GB2312" w:eastAsia="仿宋_GB2312"/>
          <w:color w:val="auto"/>
          <w:sz w:val="32"/>
          <w:lang w:val="en-US"/>
        </w:rPr>
        <w:t>.</w:t>
      </w:r>
      <w:r>
        <w:rPr>
          <w:rFonts w:hint="eastAsia" w:ascii="仿宋" w:hAnsi="仿宋" w:eastAsia="仿宋"/>
          <w:sz w:val="32"/>
        </w:rPr>
        <w:t>根据全市储备发展规划，统一负责储备基础设施建设和管理。拟订市级储备基础设施、粮食流通设施建设规划并组织实施，管理有关储备基础设施和粮食流通设施投资项目。</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lang w:val="en-US"/>
        </w:rPr>
        <w:t>.</w:t>
      </w:r>
      <w:r>
        <w:rPr>
          <w:rFonts w:hint="eastAsia" w:ascii="仿宋" w:hAnsi="仿宋" w:eastAsia="仿宋"/>
          <w:sz w:val="32"/>
        </w:rPr>
        <w:t>负责对管理的政府储备、企业储备以及储备政策落实情况进行监督检查。执行国家、省粮食收购政策，负责粮食收购许可证办理工作。配合有关部门做好粮食收购资金封闭运行和价格管理工作。负责全市粮食流通监督检查，负责粮食收购、储存、运输环节粮食质量安全和原粮卫生的监督管理，组织实施全市粮食库存检查工作。</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7</w:t>
      </w:r>
      <w:r>
        <w:rPr>
          <w:rFonts w:hint="eastAsia" w:ascii="仿宋_GB2312" w:hAnsi="仿宋_GB2312" w:eastAsia="仿宋_GB2312"/>
          <w:color w:val="auto"/>
          <w:sz w:val="32"/>
          <w:lang w:val="en-US"/>
        </w:rPr>
        <w:t>.</w:t>
      </w:r>
      <w:r>
        <w:rPr>
          <w:rFonts w:hint="eastAsia" w:ascii="仿宋" w:hAnsi="仿宋" w:eastAsia="仿宋"/>
          <w:sz w:val="32"/>
        </w:rPr>
        <w:t>负责全市粮食流通行业管理，拟订行业发展规划并组织实施，组织实施粮食流通和物资储备有关标准、粮食质量标准和有关技术规范。</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8</w:t>
      </w:r>
      <w:r>
        <w:rPr>
          <w:rFonts w:hint="eastAsia" w:ascii="仿宋_GB2312" w:hAnsi="仿宋_GB2312" w:eastAsia="仿宋_GB2312"/>
          <w:color w:val="auto"/>
          <w:sz w:val="32"/>
          <w:lang w:val="en-US"/>
        </w:rPr>
        <w:t>.</w:t>
      </w:r>
      <w:r>
        <w:rPr>
          <w:rFonts w:hint="eastAsia" w:ascii="仿宋" w:hAnsi="仿宋" w:eastAsia="仿宋"/>
          <w:sz w:val="32"/>
        </w:rPr>
        <w:t>承担保障驻筑部队军粮供应工作，指导各区（市、县）军粮供应队伍和供应网络建设。指导灾区、水库移民、缺粮地区和贫困地区的粮食供应工作。</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9</w:t>
      </w:r>
      <w:r>
        <w:rPr>
          <w:rFonts w:hint="eastAsia" w:ascii="仿宋_GB2312" w:hAnsi="仿宋_GB2312" w:eastAsia="仿宋_GB2312"/>
          <w:color w:val="auto"/>
          <w:sz w:val="32"/>
          <w:lang w:val="en-US"/>
        </w:rPr>
        <w:t>.</w:t>
      </w:r>
      <w:r>
        <w:rPr>
          <w:rFonts w:hint="eastAsia" w:ascii="仿宋" w:hAnsi="仿宋" w:eastAsia="仿宋"/>
          <w:sz w:val="32"/>
        </w:rPr>
        <w:t>贯彻实施国家粮食财务、统计、审计制度，指导、监督本系统财务、统计、审计工作。开展社会粮食供需平衡调查统计工作。</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10</w:t>
      </w:r>
      <w:r>
        <w:rPr>
          <w:rFonts w:hint="eastAsia" w:ascii="仿宋_GB2312" w:hAnsi="仿宋_GB2312" w:eastAsia="仿宋_GB2312"/>
          <w:color w:val="auto"/>
          <w:sz w:val="32"/>
          <w:lang w:val="en-US"/>
        </w:rPr>
        <w:t>.</w:t>
      </w:r>
      <w:r>
        <w:rPr>
          <w:rFonts w:hint="eastAsia" w:ascii="仿宋" w:hAnsi="仿宋" w:eastAsia="仿宋"/>
          <w:sz w:val="32"/>
        </w:rPr>
        <w:t>结合部门职责，做好军民融合、扶贫开发等相关工作。加大科技投入，提高科技创新能力，为推进创新驱动发展提供保障。按规定做好大数据发展应用和政务数据资源管理相关工作，依法促进部门政务数据资源规范管理、共享和开放。</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11</w:t>
      </w:r>
      <w:r>
        <w:rPr>
          <w:rFonts w:hint="eastAsia" w:ascii="仿宋_GB2312" w:hAnsi="仿宋_GB2312" w:eastAsia="仿宋_GB2312"/>
          <w:color w:val="auto"/>
          <w:sz w:val="32"/>
          <w:lang w:val="en-US"/>
        </w:rPr>
        <w:t>.</w:t>
      </w:r>
      <w:r>
        <w:rPr>
          <w:rFonts w:hint="eastAsia" w:ascii="仿宋" w:hAnsi="仿宋" w:eastAsia="仿宋"/>
          <w:sz w:val="32"/>
        </w:rPr>
        <w:t>承办市委、市政府和上级部门交办的其他任务。</w:t>
      </w:r>
    </w:p>
    <w:p>
      <w:pPr>
        <w:spacing w:line="560" w:lineRule="exact"/>
        <w:ind w:firstLine="640" w:firstLineChars="200"/>
        <w:rPr>
          <w:rFonts w:hint="eastAsia" w:ascii="仿宋" w:hAnsi="仿宋" w:eastAsia="仿宋"/>
          <w:sz w:val="32"/>
        </w:rPr>
      </w:pPr>
      <w:r>
        <w:rPr>
          <w:rFonts w:hint="eastAsia" w:ascii="仿宋_GB2312" w:hAnsi="仿宋_GB2312" w:eastAsia="仿宋_GB2312"/>
          <w:color w:val="auto"/>
          <w:sz w:val="32"/>
          <w:lang w:val="en-US" w:eastAsia="zh-CN"/>
        </w:rPr>
        <w:t>12</w:t>
      </w:r>
      <w:r>
        <w:rPr>
          <w:rFonts w:hint="eastAsia" w:ascii="仿宋_GB2312" w:hAnsi="仿宋_GB2312" w:eastAsia="仿宋_GB2312"/>
          <w:color w:val="auto"/>
          <w:sz w:val="32"/>
          <w:lang w:val="en-US"/>
        </w:rPr>
        <w:t>.</w:t>
      </w:r>
      <w:r>
        <w:rPr>
          <w:rFonts w:hint="eastAsia" w:ascii="仿宋" w:hAnsi="仿宋" w:eastAsia="仿宋"/>
          <w:sz w:val="32"/>
        </w:rPr>
        <w:t>职责调整。</w:t>
      </w:r>
    </w:p>
    <w:p>
      <w:pPr>
        <w:spacing w:line="560" w:lineRule="exact"/>
        <w:ind w:firstLine="640" w:firstLineChars="200"/>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1</w:t>
      </w:r>
      <w:r>
        <w:rPr>
          <w:rFonts w:hint="eastAsia" w:ascii="仿宋" w:hAnsi="仿宋" w:eastAsia="仿宋"/>
          <w:sz w:val="32"/>
          <w:lang w:eastAsia="zh-CN"/>
        </w:rPr>
        <w:t>）</w:t>
      </w:r>
      <w:r>
        <w:rPr>
          <w:rFonts w:hint="eastAsia" w:ascii="仿宋" w:hAnsi="仿宋" w:eastAsia="仿宋"/>
          <w:sz w:val="32"/>
        </w:rPr>
        <w:t>.将市粮食局的职责，以及市发展和改革委员会、市商务局、市民政局等部门的组织实施市级重要物资和应急储备物资收储、轮换和日常管理职责等划入。</w:t>
      </w:r>
    </w:p>
    <w:p>
      <w:pPr>
        <w:spacing w:line="560" w:lineRule="exact"/>
        <w:rPr>
          <w:rFonts w:hint="eastAsia" w:ascii="仿宋" w:hAnsi="仿宋" w:eastAsia="仿宋"/>
          <w:sz w:val="32"/>
        </w:rPr>
      </w:pPr>
      <w:r>
        <w:rPr>
          <w:rFonts w:hint="eastAsia" w:ascii="仿宋" w:hAnsi="仿宋" w:eastAsia="仿宋"/>
          <w:sz w:val="32"/>
        </w:rPr>
        <w:t xml:space="preserve">    </w:t>
      </w:r>
      <w:r>
        <w:rPr>
          <w:rFonts w:hint="eastAsia" w:ascii="仿宋" w:hAnsi="仿宋" w:eastAsia="仿宋"/>
          <w:sz w:val="32"/>
          <w:lang w:eastAsia="zh-CN"/>
        </w:rPr>
        <w:t>（</w:t>
      </w:r>
      <w:r>
        <w:rPr>
          <w:rFonts w:hint="eastAsia" w:ascii="仿宋" w:hAnsi="仿宋" w:eastAsia="仿宋"/>
          <w:sz w:val="32"/>
          <w:lang w:val="en-US" w:eastAsia="zh-CN"/>
        </w:rPr>
        <w:t>2</w:t>
      </w:r>
      <w:r>
        <w:rPr>
          <w:rFonts w:hint="eastAsia" w:ascii="仿宋" w:hAnsi="仿宋" w:eastAsia="仿宋"/>
          <w:sz w:val="32"/>
          <w:lang w:eastAsia="zh-CN"/>
        </w:rPr>
        <w:t>）</w:t>
      </w:r>
      <w:r>
        <w:rPr>
          <w:rFonts w:hint="eastAsia" w:ascii="仿宋" w:hAnsi="仿宋" w:eastAsia="仿宋"/>
          <w:sz w:val="32"/>
        </w:rPr>
        <w:t>.将市粮食和储备局所属事业单位承担的行政职能收回机关，涉及更名等其他机构编制事项另行规定。</w:t>
      </w:r>
    </w:p>
    <w:p>
      <w:pPr>
        <w:spacing w:line="560" w:lineRule="exact"/>
        <w:ind w:firstLine="640" w:firstLineChars="200"/>
        <w:rPr>
          <w:rFonts w:hint="eastAsia" w:ascii="仿宋" w:hAnsi="仿宋" w:eastAsia="仿宋"/>
          <w:sz w:val="32"/>
        </w:rPr>
      </w:pPr>
      <w:r>
        <w:rPr>
          <w:rFonts w:hint="eastAsia" w:ascii="仿宋" w:hAnsi="仿宋" w:eastAsia="仿宋"/>
          <w:sz w:val="32"/>
          <w:lang w:val="en-US" w:eastAsia="zh-CN"/>
        </w:rPr>
        <w:t>13.</w:t>
      </w:r>
      <w:r>
        <w:rPr>
          <w:rFonts w:hint="eastAsia" w:ascii="仿宋" w:hAnsi="仿宋" w:eastAsia="仿宋"/>
          <w:sz w:val="32"/>
        </w:rPr>
        <w:t>职能转变。</w:t>
      </w:r>
    </w:p>
    <w:p>
      <w:pPr>
        <w:spacing w:line="560" w:lineRule="exact"/>
        <w:ind w:firstLine="640" w:firstLineChars="200"/>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1</w:t>
      </w:r>
      <w:r>
        <w:rPr>
          <w:rFonts w:hint="eastAsia" w:ascii="仿宋" w:hAnsi="仿宋" w:eastAsia="仿宋"/>
          <w:sz w:val="32"/>
          <w:lang w:eastAsia="zh-CN"/>
        </w:rPr>
        <w:t>）</w:t>
      </w:r>
      <w:r>
        <w:rPr>
          <w:rFonts w:hint="eastAsia" w:ascii="仿宋" w:hAnsi="仿宋" w:eastAsia="仿宋"/>
          <w:sz w:val="32"/>
        </w:rPr>
        <w:t>.充分发挥市场在资源配置中的决定性作用，进一步精简行政审批，减少环节、简化程序、提高效率，大幅降低制度性交易成本。</w:t>
      </w:r>
    </w:p>
    <w:p>
      <w:pPr>
        <w:spacing w:line="560" w:lineRule="exact"/>
        <w:ind w:firstLine="640" w:firstLineChars="200"/>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2</w:t>
      </w:r>
      <w:r>
        <w:rPr>
          <w:rFonts w:hint="eastAsia" w:ascii="仿宋" w:hAnsi="仿宋" w:eastAsia="仿宋"/>
          <w:sz w:val="32"/>
          <w:lang w:eastAsia="zh-CN"/>
        </w:rPr>
        <w:t>）</w:t>
      </w:r>
      <w:r>
        <w:rPr>
          <w:rFonts w:hint="eastAsia" w:ascii="仿宋" w:hAnsi="仿宋" w:eastAsia="仿宋"/>
          <w:sz w:val="32"/>
        </w:rPr>
        <w:t>．改革完善储备体系和运营方式，完善地方储备，进一步发挥政府储备引导作用，鼓励企业商业储备，推动形成政府储备与企业储备互为补充的协同发展格局。</w:t>
      </w:r>
    </w:p>
    <w:p>
      <w:pPr>
        <w:spacing w:line="560" w:lineRule="exact"/>
        <w:ind w:firstLine="640" w:firstLineChars="200"/>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3</w:t>
      </w:r>
      <w:r>
        <w:rPr>
          <w:rFonts w:hint="eastAsia" w:ascii="仿宋" w:hAnsi="仿宋" w:eastAsia="仿宋"/>
          <w:sz w:val="32"/>
          <w:lang w:eastAsia="zh-CN"/>
        </w:rPr>
        <w:t>）</w:t>
      </w:r>
      <w:r>
        <w:rPr>
          <w:rFonts w:hint="eastAsia" w:ascii="仿宋" w:hAnsi="仿宋" w:eastAsia="仿宋"/>
          <w:sz w:val="32"/>
        </w:rPr>
        <w:t>．加强市场分析预测和监测预警，充分运用大数据等科技手段，强化动态监控，提高储备防风险能力，增强储备在保障国家安全、稳定社会预期、引导市场方面的作用。</w:t>
      </w:r>
    </w:p>
    <w:p>
      <w:pPr>
        <w:spacing w:line="560" w:lineRule="exact"/>
        <w:ind w:firstLine="640" w:firstLineChars="200"/>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4</w:t>
      </w:r>
      <w:r>
        <w:rPr>
          <w:rFonts w:hint="eastAsia" w:ascii="仿宋" w:hAnsi="仿宋" w:eastAsia="仿宋"/>
          <w:sz w:val="32"/>
          <w:lang w:eastAsia="zh-CN"/>
        </w:rPr>
        <w:t>）</w:t>
      </w:r>
      <w:r>
        <w:rPr>
          <w:rFonts w:hint="eastAsia" w:ascii="仿宋" w:hAnsi="仿宋" w:eastAsia="仿宋"/>
          <w:sz w:val="32"/>
        </w:rPr>
        <w:t>．加强监督管理，创新监管方式，全面推进“双随机、一公开”和“互联网＋监管”，着力加强安全生产，根据市级储备总体发展规划和品种目录及动用指令，监督储备主体做好收储、轮换，确保市级储备物资收得进、储得好、调得动、用得上。</w:t>
      </w:r>
    </w:p>
    <w:p>
      <w:pPr>
        <w:spacing w:line="560" w:lineRule="exact"/>
        <w:ind w:firstLine="640" w:firstLineChars="200"/>
        <w:rPr>
          <w:rFonts w:hint="eastAsia" w:ascii="仿宋" w:hAnsi="仿宋" w:eastAsia="仿宋"/>
          <w:sz w:val="32"/>
        </w:rPr>
      </w:pPr>
      <w:r>
        <w:rPr>
          <w:rFonts w:hint="eastAsia" w:ascii="仿宋" w:hAnsi="仿宋" w:eastAsia="仿宋"/>
          <w:sz w:val="32"/>
          <w:lang w:val="en-US" w:eastAsia="zh-CN"/>
        </w:rPr>
        <w:t>14.</w:t>
      </w:r>
      <w:r>
        <w:rPr>
          <w:rFonts w:hint="eastAsia" w:ascii="仿宋" w:hAnsi="仿宋" w:eastAsia="仿宋"/>
          <w:sz w:val="32"/>
        </w:rPr>
        <w:t>有关职责分工。</w:t>
      </w:r>
    </w:p>
    <w:p>
      <w:pPr>
        <w:spacing w:line="560" w:lineRule="exact"/>
        <w:ind w:firstLine="640" w:firstLineChars="200"/>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1</w:t>
      </w:r>
      <w:r>
        <w:rPr>
          <w:rFonts w:hint="eastAsia" w:ascii="仿宋" w:hAnsi="仿宋" w:eastAsia="仿宋"/>
          <w:sz w:val="32"/>
          <w:lang w:eastAsia="zh-CN"/>
        </w:rPr>
        <w:t>）</w:t>
      </w:r>
      <w:r>
        <w:rPr>
          <w:rFonts w:hint="eastAsia" w:ascii="仿宋" w:hAnsi="仿宋" w:eastAsia="仿宋"/>
          <w:sz w:val="32"/>
        </w:rPr>
        <w:t>.与市发展和改革委员会的职责分工。市粮食和储备局拟订粮食、食糖、药品、食盐等市级重要物资储备规划、总量计划及储备品种目录。根据市级储备发展规划和品种目录，组织开展市级重要物资的收储、轮换、日常管理以及市级储备粮动用工作，根据市人民政府批准的市级储备粮动用方案下达动用指令并组织实施，紧急情况下，市人民政府直接决定动用市级储备粮并下达动用指令。市发展和改革委员会配合市粮食和储备局开展粮食等有关重要物资仓储的建设，负责有关项目建设的立项审批等相关工作，根据市人民政府要求，下达除粮食以外的其他重要物资动用指令，由市粮食和储备局组织调出。</w:t>
      </w:r>
    </w:p>
    <w:p>
      <w:pPr>
        <w:spacing w:line="560" w:lineRule="exact"/>
        <w:ind w:firstLine="640" w:firstLineChars="200"/>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2</w:t>
      </w:r>
      <w:r>
        <w:rPr>
          <w:rFonts w:hint="eastAsia" w:ascii="仿宋" w:hAnsi="仿宋" w:eastAsia="仿宋"/>
          <w:sz w:val="32"/>
          <w:lang w:eastAsia="zh-CN"/>
        </w:rPr>
        <w:t>）</w:t>
      </w:r>
      <w:r>
        <w:rPr>
          <w:rFonts w:hint="eastAsia" w:ascii="仿宋" w:hAnsi="仿宋" w:eastAsia="仿宋"/>
          <w:sz w:val="32"/>
        </w:rPr>
        <w:t>.与市应急管理局的职责分工。市应急管理局负责提出市级救灾物资的储备需求和动用决策，组织编制市级救灾物资储备规划、品种目录和标准，会同市粮食和储备局等部门确定年度购置计划并组织实施，根据需要下达动用指令</w:t>
      </w:r>
      <w:r>
        <w:rPr>
          <w:rFonts w:hint="eastAsia" w:ascii="仿宋" w:hAnsi="仿宋" w:eastAsia="仿宋"/>
          <w:sz w:val="32"/>
          <w:lang w:eastAsia="zh-CN"/>
        </w:rPr>
        <w:t>并组织调出</w:t>
      </w:r>
      <w:r>
        <w:rPr>
          <w:rFonts w:hint="eastAsia" w:ascii="仿宋" w:hAnsi="仿宋" w:eastAsia="仿宋"/>
          <w:sz w:val="32"/>
        </w:rPr>
        <w:t>。</w:t>
      </w:r>
    </w:p>
    <w:p>
      <w:pPr>
        <w:spacing w:line="560" w:lineRule="exact"/>
        <w:ind w:firstLine="640" w:firstLineChars="200"/>
        <w:rPr>
          <w:rFonts w:hint="eastAsia" w:ascii="仿宋" w:hAnsi="仿宋" w:eastAsia="仿宋"/>
          <w:sz w:val="32"/>
          <w:lang w:eastAsia="zh-CN"/>
        </w:rPr>
      </w:pPr>
      <w:r>
        <w:rPr>
          <w:rFonts w:hint="eastAsia" w:ascii="仿宋" w:hAnsi="仿宋" w:eastAsia="仿宋"/>
          <w:sz w:val="32"/>
        </w:rPr>
        <w:t>市粮食和储备局根据市级救灾物资储备规划、品种目录和标准、年度购置计划，会同市应急管理局负责指导市级救灾物资储备管理，委托市应急管理局所属市减灾中心承担市级救灾物资的收储、轮换和日常管理工作</w:t>
      </w:r>
      <w:r>
        <w:rPr>
          <w:rFonts w:hint="eastAsia" w:ascii="仿宋" w:hAnsi="仿宋" w:eastAsia="仿宋"/>
          <w:sz w:val="32"/>
          <w:lang w:eastAsia="zh-CN"/>
        </w:rPr>
        <w:t>。</w:t>
      </w:r>
    </w:p>
    <w:p>
      <w:pPr>
        <w:spacing w:line="560" w:lineRule="exact"/>
        <w:ind w:firstLine="640" w:firstLineChars="200"/>
        <w:rPr>
          <w:rFonts w:hint="default" w:eastAsia="Times New Roman"/>
          <w:color w:val="auto"/>
          <w:sz w:val="32"/>
          <w:lang w:val="en-US"/>
        </w:rPr>
      </w:pPr>
      <w:r>
        <w:rPr>
          <w:rFonts w:hint="eastAsia" w:ascii="仿宋" w:hAnsi="仿宋" w:eastAsia="仿宋"/>
          <w:sz w:val="32"/>
          <w:lang w:eastAsia="zh-CN"/>
        </w:rPr>
        <w:t>（</w:t>
      </w:r>
      <w:r>
        <w:rPr>
          <w:rFonts w:hint="eastAsia" w:ascii="仿宋" w:hAnsi="仿宋" w:eastAsia="仿宋"/>
          <w:sz w:val="32"/>
          <w:lang w:val="en-US" w:eastAsia="zh-CN"/>
        </w:rPr>
        <w:t>3</w:t>
      </w:r>
      <w:r>
        <w:rPr>
          <w:rFonts w:hint="eastAsia" w:ascii="仿宋" w:hAnsi="仿宋" w:eastAsia="仿宋"/>
          <w:sz w:val="32"/>
          <w:lang w:eastAsia="zh-CN"/>
        </w:rPr>
        <w:t>）</w:t>
      </w:r>
      <w:r>
        <w:rPr>
          <w:rFonts w:hint="eastAsia" w:ascii="仿宋" w:hAnsi="仿宋" w:eastAsia="仿宋"/>
          <w:sz w:val="32"/>
        </w:rPr>
        <w:t>.与市农业农村局（市扶贫办、市生态移民局）的职责分工。市农业农村局（市扶贫办、市生态移民局）负责粮食生产环节的质量安全监管，市粮食和储备局负责粮食（含食用植物油）收购、储存、运输环节和政策性用粮购销中的粮食安全和原粮卫生的监督管理。</w:t>
      </w:r>
    </w:p>
    <w:p>
      <w:pPr>
        <w:spacing w:line="560" w:lineRule="exact"/>
        <w:ind w:firstLine="640"/>
        <w:rPr>
          <w:rFonts w:hint="default" w:eastAsia="Times New Roman"/>
          <w:b/>
          <w:color w:val="auto"/>
          <w:sz w:val="32"/>
          <w:lang w:val="en-US"/>
        </w:rPr>
      </w:pPr>
      <w:r>
        <w:rPr>
          <w:rFonts w:hint="eastAsia" w:ascii="楷体_GB2312" w:hAnsi="楷体_GB2312" w:eastAsia="楷体_GB2312"/>
          <w:b/>
          <w:color w:val="auto"/>
          <w:sz w:val="32"/>
          <w:lang w:val="en-US"/>
        </w:rPr>
        <w:t>（二）机构设置及部门决算单位构成</w:t>
      </w:r>
    </w:p>
    <w:p>
      <w:pPr>
        <w:spacing w:line="572" w:lineRule="exact"/>
        <w:ind w:firstLine="640"/>
        <w:rPr>
          <w:rFonts w:hint="eastAsia" w:ascii="仿宋_GB2312" w:hAnsi="仿宋_GB2312" w:eastAsia="仿宋_GB2312"/>
          <w:color w:val="auto"/>
          <w:sz w:val="32"/>
          <w:lang w:val="en-US"/>
        </w:rPr>
      </w:pPr>
      <w:r>
        <w:rPr>
          <w:rFonts w:hint="eastAsia" w:ascii="仿宋_GB2312" w:hAnsi="仿宋_GB2312" w:eastAsia="仿宋_GB2312"/>
          <w:color w:val="auto"/>
          <w:sz w:val="32"/>
          <w:lang w:val="en-US"/>
        </w:rPr>
        <w:t>本单位（部门）内设</w:t>
      </w:r>
      <w:r>
        <w:rPr>
          <w:rFonts w:hint="eastAsia" w:ascii="仿宋_GB2312" w:hAnsi="仿宋_GB2312" w:eastAsia="仿宋_GB2312"/>
          <w:color w:val="auto"/>
          <w:sz w:val="32"/>
          <w:lang w:val="en-US" w:eastAsia="zh-CN"/>
        </w:rPr>
        <w:t>8</w:t>
      </w:r>
      <w:r>
        <w:rPr>
          <w:rFonts w:hint="eastAsia" w:ascii="仿宋_GB2312" w:hAnsi="仿宋_GB2312" w:eastAsia="仿宋_GB2312"/>
          <w:color w:val="auto"/>
          <w:sz w:val="32"/>
          <w:lang w:val="en-US"/>
        </w:rPr>
        <w:t>个处室，下属</w:t>
      </w:r>
      <w:r>
        <w:rPr>
          <w:rFonts w:hint="eastAsia" w:ascii="仿宋_GB2312" w:hAnsi="仿宋_GB2312" w:eastAsia="仿宋_GB2312"/>
          <w:color w:val="auto"/>
          <w:sz w:val="32"/>
          <w:lang w:val="en-US" w:eastAsia="zh-CN"/>
        </w:rPr>
        <w:t>2</w:t>
      </w:r>
      <w:r>
        <w:rPr>
          <w:rFonts w:hint="eastAsia" w:ascii="仿宋_GB2312" w:hAnsi="仿宋_GB2312" w:eastAsia="仿宋_GB2312"/>
          <w:color w:val="auto"/>
          <w:sz w:val="32"/>
          <w:lang w:val="en-US"/>
        </w:rPr>
        <w:t xml:space="preserve"> 个</w:t>
      </w:r>
      <w:r>
        <w:rPr>
          <w:rFonts w:hint="eastAsia" w:ascii="仿宋_GB2312" w:hAnsi="仿宋_GB2312" w:eastAsia="仿宋_GB2312"/>
          <w:color w:val="auto"/>
          <w:sz w:val="32"/>
          <w:lang w:val="en-US" w:eastAsia="zh-CN"/>
        </w:rPr>
        <w:t>事业</w:t>
      </w:r>
      <w:r>
        <w:rPr>
          <w:rFonts w:hint="eastAsia" w:ascii="仿宋_GB2312" w:hAnsi="仿宋_GB2312" w:eastAsia="仿宋_GB2312"/>
          <w:color w:val="auto"/>
          <w:sz w:val="32"/>
          <w:lang w:val="en-US"/>
        </w:rPr>
        <w:t>单位。从预算单位构成看，贵州省贵阳市粮食和物资储备局部门决算包括：本级决算、所属</w:t>
      </w:r>
      <w:r>
        <w:rPr>
          <w:rFonts w:hint="eastAsia" w:ascii="仿宋_GB2312" w:eastAsia="仿宋_GB2312"/>
          <w:sz w:val="32"/>
        </w:rPr>
        <w:t>贵阳市粮食执法监察大队（参公事业单位）</w:t>
      </w:r>
      <w:r>
        <w:rPr>
          <w:rFonts w:hint="eastAsia" w:ascii="仿宋_GB2312" w:hAnsi="仿宋_GB2312" w:eastAsia="仿宋_GB2312"/>
          <w:color w:val="auto"/>
          <w:sz w:val="32"/>
          <w:lang w:val="en-US"/>
        </w:rPr>
        <w:t>单位决算。</w:t>
      </w:r>
    </w:p>
    <w:p>
      <w:pPr>
        <w:spacing w:line="572" w:lineRule="exact"/>
        <w:ind w:firstLine="640"/>
        <w:rPr>
          <w:rFonts w:hint="eastAsia" w:ascii="仿宋_GB2312" w:hAnsi="仿宋_GB2312" w:eastAsia="仿宋_GB2312"/>
          <w:color w:val="auto"/>
          <w:sz w:val="32"/>
          <w:lang w:val="en-US"/>
        </w:rPr>
      </w:pPr>
      <w:r>
        <w:rPr>
          <w:rFonts w:hint="eastAsia" w:ascii="仿宋_GB2312" w:eastAsia="仿宋_GB2312"/>
          <w:sz w:val="32"/>
        </w:rPr>
        <w:t>所属贵阳市粮食局军粮供应站（差额事业单位）未纳入预算管理。</w:t>
      </w:r>
    </w:p>
    <w:p>
      <w:pPr>
        <w:spacing w:line="560" w:lineRule="exact"/>
        <w:ind w:firstLine="640"/>
        <w:rPr>
          <w:rFonts w:hint="default" w:eastAsia="Times New Roman"/>
          <w:color w:val="000000"/>
          <w:sz w:val="32"/>
          <w:lang w:val="en-US"/>
        </w:rPr>
      </w:pPr>
      <w:r>
        <w:rPr>
          <w:rFonts w:hint="eastAsia" w:ascii="黑体" w:hAnsi="黑体" w:eastAsia="黑体"/>
          <w:color w:val="000000"/>
          <w:sz w:val="32"/>
          <w:lang w:val="en-US"/>
        </w:rPr>
        <w:t>二、</w:t>
      </w:r>
      <w:r>
        <w:rPr>
          <w:rFonts w:hint="eastAsia" w:ascii="黑体" w:hAnsi="黑体" w:eastAsia="黑体"/>
          <w:color w:val="000000"/>
          <w:sz w:val="32"/>
          <w:lang w:val="zh-CN"/>
        </w:rPr>
        <w:t>贵州省贵阳市粮食和物资储备局</w:t>
      </w:r>
      <w:r>
        <w:rPr>
          <w:rFonts w:hint="eastAsia" w:ascii="黑体" w:hAnsi="黑体" w:eastAsia="黑体"/>
          <w:color w:val="000000"/>
          <w:sz w:val="32"/>
          <w:lang w:val="en-US"/>
        </w:rPr>
        <w:t>2019年度部门决算公开报表（见附表）</w:t>
      </w:r>
    </w:p>
    <w:p>
      <w:pPr>
        <w:spacing w:line="560" w:lineRule="exact"/>
        <w:ind w:firstLine="640"/>
        <w:rPr>
          <w:rFonts w:hint="default" w:eastAsia="Times New Roman"/>
          <w:b/>
          <w:color w:val="auto"/>
          <w:sz w:val="32"/>
          <w:lang w:val="en-US"/>
        </w:rPr>
      </w:pPr>
      <w:r>
        <w:rPr>
          <w:rFonts w:hint="eastAsia" w:ascii="黑体" w:hAnsi="黑体" w:eastAsia="黑体"/>
          <w:color w:val="000000"/>
          <w:sz w:val="32"/>
          <w:lang w:val="zh-CN"/>
        </w:rPr>
        <w:t>三、</w:t>
      </w:r>
      <w:r>
        <w:rPr>
          <w:rFonts w:hint="eastAsia" w:ascii="黑体" w:hAnsi="黑体" w:eastAsia="黑体"/>
          <w:color w:val="000000"/>
          <w:sz w:val="32"/>
          <w:lang w:val="en-US"/>
        </w:rPr>
        <w:t>贵州省贵阳市粮食和物资储备局2019年度部门决算情况说明</w:t>
      </w:r>
      <w:r>
        <w:rPr>
          <w:rFonts w:hint="default" w:eastAsia="Times New Roman"/>
          <w:color w:val="000000"/>
          <w:sz w:val="32"/>
          <w:lang w:val="en-US"/>
        </w:rPr>
        <w:br w:type="textWrapping"/>
      </w:r>
      <w:r>
        <w:rPr>
          <w:rFonts w:hint="eastAsia" w:ascii="仿宋_GB2312" w:hAnsi="仿宋_GB2312" w:eastAsia="仿宋_GB2312"/>
          <w:color w:val="000000"/>
          <w:sz w:val="32"/>
          <w:lang w:val="en-US"/>
        </w:rPr>
        <w:t>　　</w:t>
      </w:r>
      <w:r>
        <w:rPr>
          <w:rFonts w:hint="eastAsia" w:ascii="楷体_GB2312" w:hAnsi="楷体_GB2312" w:eastAsia="楷体_GB2312"/>
          <w:b/>
          <w:color w:val="auto"/>
          <w:sz w:val="32"/>
          <w:lang w:val="en-US"/>
        </w:rPr>
        <w:t>（一）贵州省贵阳市粮食和物资储备局2019年度收入支出决算总体情况说明</w:t>
      </w:r>
      <w:r>
        <w:rPr>
          <w:rFonts w:hint="default" w:eastAsia="Times New Roman"/>
          <w:b/>
          <w:color w:val="auto"/>
          <w:sz w:val="32"/>
          <w:lang w:val="en-US"/>
        </w:rPr>
        <w:br w:type="textWrapping"/>
      </w:r>
      <w:r>
        <w:rPr>
          <w:rFonts w:hint="eastAsia" w:ascii="仿宋_GB2312" w:hAnsi="仿宋_GB2312" w:eastAsia="仿宋_GB2312"/>
          <w:color w:val="000000"/>
          <w:sz w:val="32"/>
          <w:lang w:val="en-US"/>
        </w:rPr>
        <w:t>　　</w:t>
      </w:r>
      <w:r>
        <w:rPr>
          <w:rFonts w:hint="eastAsia" w:ascii="仿宋_GB2312" w:hAnsi="仿宋_GB2312" w:eastAsia="仿宋_GB2312"/>
          <w:color w:val="auto"/>
          <w:sz w:val="32"/>
          <w:lang w:val="en-US"/>
        </w:rPr>
        <w:t>贵州省贵阳市粮食和物资储备局2019年度收支决算总计7,738.13万元，与2018年相比，增加3,497.67万元，增长82.48%。主要原因是：</w:t>
      </w:r>
      <w:r>
        <w:rPr>
          <w:rFonts w:hint="eastAsia" w:ascii="仿宋_GB2312" w:eastAsia="仿宋_GB2312"/>
          <w:sz w:val="32"/>
        </w:rPr>
        <w:t>一是由于人员调整，本年基本支出资金收入为</w:t>
      </w:r>
      <w:r>
        <w:rPr>
          <w:rFonts w:hint="eastAsia" w:ascii="仿宋_GB2312" w:eastAsia="仿宋_GB2312"/>
          <w:sz w:val="32"/>
          <w:lang w:val="en-US" w:eastAsia="zh-CN"/>
        </w:rPr>
        <w:t>1199.17万元</w:t>
      </w:r>
      <w:r>
        <w:rPr>
          <w:rFonts w:hint="eastAsia" w:ascii="仿宋_GB2312" w:eastAsia="仿宋_GB2312"/>
          <w:sz w:val="32"/>
        </w:rPr>
        <w:t>，比201</w:t>
      </w:r>
      <w:r>
        <w:rPr>
          <w:rFonts w:hint="eastAsia" w:ascii="仿宋_GB2312" w:eastAsia="仿宋_GB2312"/>
          <w:sz w:val="32"/>
          <w:lang w:val="en-US" w:eastAsia="zh-CN"/>
        </w:rPr>
        <w:t>8</w:t>
      </w:r>
      <w:r>
        <w:rPr>
          <w:rFonts w:hint="eastAsia" w:ascii="仿宋_GB2312" w:eastAsia="仿宋_GB2312"/>
          <w:sz w:val="32"/>
        </w:rPr>
        <w:t>年的</w:t>
      </w:r>
      <w:r>
        <w:rPr>
          <w:rFonts w:hint="eastAsia" w:ascii="仿宋_GB2312" w:eastAsia="仿宋_GB2312"/>
          <w:sz w:val="32"/>
          <w:lang w:val="en-US" w:eastAsia="zh-CN"/>
        </w:rPr>
        <w:t>1114.69</w:t>
      </w:r>
      <w:r>
        <w:rPr>
          <w:rFonts w:hint="eastAsia" w:ascii="仿宋_GB2312" w:eastAsia="仿宋_GB2312"/>
          <w:sz w:val="32"/>
        </w:rPr>
        <w:t>万元</w:t>
      </w:r>
      <w:r>
        <w:rPr>
          <w:rFonts w:hint="eastAsia" w:ascii="仿宋_GB2312" w:eastAsia="仿宋_GB2312"/>
          <w:sz w:val="32"/>
          <w:lang w:eastAsia="zh-CN"/>
        </w:rPr>
        <w:t>多</w:t>
      </w:r>
      <w:r>
        <w:rPr>
          <w:rFonts w:hint="eastAsia" w:ascii="仿宋_GB2312" w:eastAsia="仿宋_GB2312"/>
          <w:sz w:val="32"/>
          <w:lang w:val="en-US" w:eastAsia="zh-CN"/>
        </w:rPr>
        <w:t>84.48</w:t>
      </w:r>
      <w:r>
        <w:rPr>
          <w:rFonts w:hint="eastAsia" w:ascii="仿宋_GB2312" w:eastAsia="仿宋_GB2312"/>
          <w:sz w:val="32"/>
        </w:rPr>
        <w:t>万元，二是根据工作调整项目支出增加，本年项目支出资金收入为</w:t>
      </w:r>
      <w:r>
        <w:rPr>
          <w:rFonts w:hint="eastAsia" w:ascii="仿宋_GB2312" w:eastAsia="仿宋_GB2312"/>
          <w:sz w:val="32"/>
          <w:lang w:val="en-US" w:eastAsia="zh-CN"/>
        </w:rPr>
        <w:t>6536.48万元</w:t>
      </w:r>
      <w:r>
        <w:rPr>
          <w:rFonts w:hint="eastAsia" w:ascii="仿宋_GB2312" w:eastAsia="仿宋_GB2312"/>
          <w:sz w:val="32"/>
        </w:rPr>
        <w:t>，比201</w:t>
      </w:r>
      <w:r>
        <w:rPr>
          <w:rFonts w:hint="eastAsia" w:ascii="仿宋_GB2312" w:eastAsia="仿宋_GB2312"/>
          <w:sz w:val="32"/>
          <w:lang w:val="en-US" w:eastAsia="zh-CN"/>
        </w:rPr>
        <w:t>8</w:t>
      </w:r>
      <w:r>
        <w:rPr>
          <w:rFonts w:hint="eastAsia" w:ascii="仿宋_GB2312" w:eastAsia="仿宋_GB2312"/>
          <w:sz w:val="32"/>
        </w:rPr>
        <w:t>年的</w:t>
      </w:r>
      <w:r>
        <w:rPr>
          <w:rFonts w:hint="eastAsia" w:ascii="仿宋_GB2312" w:eastAsia="仿宋_GB2312"/>
          <w:sz w:val="32"/>
          <w:lang w:val="en-US" w:eastAsia="zh-CN"/>
        </w:rPr>
        <w:t>3120.29</w:t>
      </w:r>
      <w:r>
        <w:rPr>
          <w:rFonts w:hint="eastAsia" w:ascii="仿宋_GB2312" w:eastAsia="仿宋_GB2312"/>
          <w:sz w:val="32"/>
        </w:rPr>
        <w:t>万元多</w:t>
      </w:r>
      <w:r>
        <w:rPr>
          <w:rFonts w:hint="eastAsia" w:ascii="仿宋_GB2312" w:eastAsia="仿宋_GB2312"/>
          <w:sz w:val="32"/>
          <w:lang w:val="en-US" w:eastAsia="zh-CN"/>
        </w:rPr>
        <w:t>3416.19</w:t>
      </w:r>
      <w:r>
        <w:rPr>
          <w:rFonts w:hint="eastAsia" w:ascii="仿宋_GB2312" w:eastAsia="仿宋_GB2312"/>
          <w:sz w:val="32"/>
        </w:rPr>
        <w:t>万元。</w:t>
      </w:r>
      <w:r>
        <w:rPr>
          <w:rFonts w:hint="eastAsia" w:ascii="仿宋_GB2312" w:hAnsi="仿宋_GB2312" w:eastAsia="仿宋_GB2312"/>
          <w:color w:val="000000"/>
          <w:sz w:val="32"/>
          <w:lang w:val="en-US"/>
        </w:rPr>
        <w:t>　　</w:t>
      </w:r>
      <w:r>
        <w:rPr>
          <w:rFonts w:hint="eastAsia" w:ascii="楷体_GB2312" w:hAnsi="楷体_GB2312" w:eastAsia="楷体_GB2312"/>
          <w:b/>
          <w:color w:val="auto"/>
          <w:sz w:val="32"/>
          <w:lang w:val="en-US"/>
        </w:rPr>
        <w:t>（二）</w:t>
      </w:r>
      <w:r>
        <w:rPr>
          <w:rFonts w:hint="eastAsia" w:ascii="楷体_GB2312" w:hAnsi="楷体_GB2312" w:eastAsia="楷体_GB2312"/>
          <w:b/>
          <w:color w:val="auto"/>
          <w:sz w:val="32"/>
          <w:lang w:val="zh-CN"/>
        </w:rPr>
        <w:t>贵州省贵阳市粮食和物资储备局</w:t>
      </w:r>
      <w:r>
        <w:rPr>
          <w:rFonts w:hint="eastAsia" w:ascii="楷体_GB2312" w:hAnsi="楷体_GB2312" w:eastAsia="楷体_GB2312"/>
          <w:b/>
          <w:color w:val="auto"/>
          <w:sz w:val="32"/>
          <w:lang w:val="en-US"/>
        </w:rPr>
        <w:t>2019年度收入决算情况说明</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本年收入合计7,735.65万元，其中：财政拨款收入7,735.65万元，占100%；上级补助收入0万元，占0%；事业收入0万元，占0%；经营收入0万元，占0%；附属单位缴款0万元，占0%；其他收入0万元，占0%。</w:t>
      </w:r>
    </w:p>
    <w:p>
      <w:pPr>
        <w:spacing w:line="560" w:lineRule="exact"/>
        <w:ind w:firstLine="640"/>
        <w:rPr>
          <w:rFonts w:hint="default" w:eastAsia="Times New Roman"/>
          <w:b/>
          <w:color w:val="auto"/>
          <w:sz w:val="32"/>
          <w:lang w:val="en-US"/>
        </w:rPr>
      </w:pPr>
      <w:r>
        <w:rPr>
          <w:rFonts w:hint="eastAsia" w:ascii="楷体_GB2312" w:hAnsi="楷体_GB2312" w:eastAsia="楷体_GB2312"/>
          <w:b/>
          <w:color w:val="auto"/>
          <w:sz w:val="32"/>
          <w:lang w:val="en-US"/>
        </w:rPr>
        <w:t>（三）</w:t>
      </w:r>
      <w:r>
        <w:rPr>
          <w:rFonts w:hint="eastAsia" w:ascii="楷体_GB2312" w:hAnsi="楷体_GB2312" w:eastAsia="楷体_GB2312"/>
          <w:b/>
          <w:color w:val="auto"/>
          <w:sz w:val="32"/>
          <w:lang w:val="zh-CN"/>
        </w:rPr>
        <w:t>贵州省贵阳市粮食和物资储备局</w:t>
      </w:r>
      <w:r>
        <w:rPr>
          <w:rFonts w:hint="eastAsia" w:ascii="楷体_GB2312" w:hAnsi="楷体_GB2312" w:eastAsia="楷体_GB2312"/>
          <w:b/>
          <w:color w:val="auto"/>
          <w:sz w:val="32"/>
          <w:lang w:val="en-US"/>
        </w:rPr>
        <w:t>2019年度支出决算情况说明</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本年支出合计7,735.65万元，其中：基本支出1,199.17万元，占15.5%；项目支出6,536.48万元，占84.5%；上缴上级支出0万元，占0%；经营支出0万元，占0%；对附属单位补助支出0万元，占0%。</w:t>
      </w:r>
    </w:p>
    <w:p>
      <w:pPr>
        <w:spacing w:line="560" w:lineRule="exact"/>
        <w:ind w:firstLine="640"/>
        <w:rPr>
          <w:rFonts w:hint="default" w:eastAsia="Times New Roman"/>
          <w:b/>
          <w:color w:val="auto"/>
          <w:sz w:val="32"/>
          <w:lang w:val="en-US"/>
        </w:rPr>
      </w:pPr>
      <w:r>
        <w:rPr>
          <w:rFonts w:hint="eastAsia" w:ascii="楷体_GB2312" w:hAnsi="楷体_GB2312" w:eastAsia="楷体_GB2312"/>
          <w:b/>
          <w:color w:val="auto"/>
          <w:sz w:val="32"/>
          <w:lang w:val="en-US"/>
        </w:rPr>
        <w:t>（四）</w:t>
      </w:r>
      <w:r>
        <w:rPr>
          <w:rFonts w:hint="eastAsia" w:ascii="楷体_GB2312" w:hAnsi="楷体_GB2312" w:eastAsia="楷体_GB2312"/>
          <w:b/>
          <w:color w:val="auto"/>
          <w:sz w:val="32"/>
          <w:lang w:val="zh-CN"/>
        </w:rPr>
        <w:t>贵州省贵阳市粮食和物资储备局</w:t>
      </w:r>
      <w:r>
        <w:rPr>
          <w:rFonts w:hint="eastAsia" w:ascii="楷体_GB2312" w:hAnsi="楷体_GB2312" w:eastAsia="楷体_GB2312"/>
          <w:b/>
          <w:color w:val="auto"/>
          <w:sz w:val="32"/>
          <w:lang w:val="en-US"/>
        </w:rPr>
        <w:t>2019年度财政拨款收入支出决算总体情况说明</w:t>
      </w:r>
    </w:p>
    <w:p>
      <w:pPr>
        <w:spacing w:line="560" w:lineRule="exact"/>
        <w:ind w:firstLine="640"/>
        <w:rPr>
          <w:rFonts w:hint="default" w:eastAsia="Times New Roman"/>
          <w:color w:val="FF0000"/>
          <w:sz w:val="32"/>
          <w:lang w:val="en-US"/>
        </w:rPr>
      </w:pPr>
      <w:r>
        <w:rPr>
          <w:rFonts w:hint="eastAsia" w:ascii="仿宋_GB2312" w:hAnsi="仿宋_GB2312" w:eastAsia="仿宋_GB2312"/>
          <w:color w:val="auto"/>
          <w:sz w:val="32"/>
          <w:lang w:val="zh-CN"/>
        </w:rPr>
        <w:t>贵州省贵阳市粮食和物资储备局</w:t>
      </w:r>
      <w:r>
        <w:rPr>
          <w:rFonts w:hint="eastAsia" w:ascii="仿宋_GB2312" w:hAnsi="仿宋_GB2312" w:eastAsia="仿宋_GB2312"/>
          <w:color w:val="auto"/>
          <w:sz w:val="32"/>
          <w:lang w:val="en-US"/>
        </w:rPr>
        <w:t>2019年度财政拨款收支决算总计7,735.65万元。与2018年相比，增加3,502.85万元，增长82.75%。主要原因是：</w:t>
      </w:r>
      <w:r>
        <w:rPr>
          <w:rFonts w:hint="eastAsia" w:ascii="仿宋_GB2312" w:eastAsia="仿宋_GB2312"/>
          <w:sz w:val="32"/>
        </w:rPr>
        <w:t>一是由于人员调整，本年基本支出资金收入为</w:t>
      </w:r>
      <w:r>
        <w:rPr>
          <w:rFonts w:hint="eastAsia" w:ascii="仿宋_GB2312" w:eastAsia="仿宋_GB2312"/>
          <w:sz w:val="32"/>
          <w:lang w:val="en-US" w:eastAsia="zh-CN"/>
        </w:rPr>
        <w:t>1199.17万元</w:t>
      </w:r>
      <w:r>
        <w:rPr>
          <w:rFonts w:hint="eastAsia" w:ascii="仿宋_GB2312" w:eastAsia="仿宋_GB2312"/>
          <w:sz w:val="32"/>
        </w:rPr>
        <w:t>，比201</w:t>
      </w:r>
      <w:r>
        <w:rPr>
          <w:rFonts w:hint="eastAsia" w:ascii="仿宋_GB2312" w:eastAsia="仿宋_GB2312"/>
          <w:sz w:val="32"/>
          <w:lang w:val="en-US" w:eastAsia="zh-CN"/>
        </w:rPr>
        <w:t>8</w:t>
      </w:r>
      <w:r>
        <w:rPr>
          <w:rFonts w:hint="eastAsia" w:ascii="仿宋_GB2312" w:eastAsia="仿宋_GB2312"/>
          <w:sz w:val="32"/>
        </w:rPr>
        <w:t>年的</w:t>
      </w:r>
      <w:r>
        <w:rPr>
          <w:rFonts w:hint="eastAsia" w:ascii="仿宋_GB2312" w:eastAsia="仿宋_GB2312"/>
          <w:sz w:val="32"/>
          <w:lang w:val="en-US" w:eastAsia="zh-CN"/>
        </w:rPr>
        <w:t>1114.69</w:t>
      </w:r>
      <w:r>
        <w:rPr>
          <w:rFonts w:hint="eastAsia" w:ascii="仿宋_GB2312" w:eastAsia="仿宋_GB2312"/>
          <w:sz w:val="32"/>
        </w:rPr>
        <w:t>万元</w:t>
      </w:r>
      <w:r>
        <w:rPr>
          <w:rFonts w:hint="eastAsia" w:ascii="仿宋_GB2312" w:eastAsia="仿宋_GB2312"/>
          <w:sz w:val="32"/>
          <w:lang w:eastAsia="zh-CN"/>
        </w:rPr>
        <w:t>多</w:t>
      </w:r>
      <w:r>
        <w:rPr>
          <w:rFonts w:hint="eastAsia" w:ascii="仿宋_GB2312" w:eastAsia="仿宋_GB2312"/>
          <w:sz w:val="32"/>
          <w:lang w:val="en-US" w:eastAsia="zh-CN"/>
        </w:rPr>
        <w:t>84.48</w:t>
      </w:r>
      <w:r>
        <w:rPr>
          <w:rFonts w:hint="eastAsia" w:ascii="仿宋_GB2312" w:eastAsia="仿宋_GB2312"/>
          <w:sz w:val="32"/>
        </w:rPr>
        <w:t>万元，二是根据工作调整项目支出增加，本年项目支出资金收入为</w:t>
      </w:r>
      <w:r>
        <w:rPr>
          <w:rFonts w:hint="eastAsia" w:ascii="仿宋_GB2312" w:eastAsia="仿宋_GB2312"/>
          <w:sz w:val="32"/>
          <w:lang w:val="en-US" w:eastAsia="zh-CN"/>
        </w:rPr>
        <w:t>6536.48万元</w:t>
      </w:r>
      <w:r>
        <w:rPr>
          <w:rFonts w:hint="eastAsia" w:ascii="仿宋_GB2312" w:eastAsia="仿宋_GB2312"/>
          <w:sz w:val="32"/>
        </w:rPr>
        <w:t>，比201</w:t>
      </w:r>
      <w:r>
        <w:rPr>
          <w:rFonts w:hint="eastAsia" w:ascii="仿宋_GB2312" w:eastAsia="仿宋_GB2312"/>
          <w:sz w:val="32"/>
          <w:lang w:val="en-US" w:eastAsia="zh-CN"/>
        </w:rPr>
        <w:t>8</w:t>
      </w:r>
      <w:r>
        <w:rPr>
          <w:rFonts w:hint="eastAsia" w:ascii="仿宋_GB2312" w:eastAsia="仿宋_GB2312"/>
          <w:sz w:val="32"/>
        </w:rPr>
        <w:t>年的</w:t>
      </w:r>
      <w:r>
        <w:rPr>
          <w:rFonts w:hint="eastAsia" w:ascii="仿宋_GB2312" w:eastAsia="仿宋_GB2312"/>
          <w:sz w:val="32"/>
          <w:lang w:val="en-US" w:eastAsia="zh-CN"/>
        </w:rPr>
        <w:t>3120.29</w:t>
      </w:r>
      <w:r>
        <w:rPr>
          <w:rFonts w:hint="eastAsia" w:ascii="仿宋_GB2312" w:eastAsia="仿宋_GB2312"/>
          <w:sz w:val="32"/>
        </w:rPr>
        <w:t>万元多</w:t>
      </w:r>
      <w:r>
        <w:rPr>
          <w:rFonts w:hint="eastAsia" w:ascii="仿宋_GB2312" w:eastAsia="仿宋_GB2312"/>
          <w:sz w:val="32"/>
          <w:lang w:val="en-US" w:eastAsia="zh-CN"/>
        </w:rPr>
        <w:t>3416.19</w:t>
      </w:r>
      <w:r>
        <w:rPr>
          <w:rFonts w:hint="eastAsia" w:ascii="仿宋_GB2312" w:eastAsia="仿宋_GB2312"/>
          <w:sz w:val="32"/>
        </w:rPr>
        <w:t>万元。</w:t>
      </w:r>
    </w:p>
    <w:p>
      <w:pPr>
        <w:spacing w:line="560" w:lineRule="exact"/>
        <w:ind w:firstLine="640"/>
        <w:rPr>
          <w:rFonts w:hint="default" w:eastAsia="Times New Roman"/>
          <w:b/>
          <w:color w:val="auto"/>
          <w:sz w:val="32"/>
          <w:lang w:val="en-US"/>
        </w:rPr>
      </w:pPr>
      <w:r>
        <w:rPr>
          <w:rFonts w:hint="eastAsia" w:ascii="楷体_GB2312" w:hAnsi="楷体_GB2312" w:eastAsia="楷体_GB2312"/>
          <w:b/>
          <w:color w:val="auto"/>
          <w:sz w:val="32"/>
          <w:lang w:val="en-US"/>
        </w:rPr>
        <w:t>（五）</w:t>
      </w:r>
      <w:r>
        <w:rPr>
          <w:rFonts w:hint="eastAsia" w:ascii="楷体_GB2312" w:hAnsi="楷体_GB2312" w:eastAsia="楷体_GB2312"/>
          <w:b/>
          <w:color w:val="auto"/>
          <w:sz w:val="32"/>
          <w:lang w:val="zh-CN"/>
        </w:rPr>
        <w:t>贵州省贵阳市粮食和物资储备局</w:t>
      </w:r>
      <w:r>
        <w:rPr>
          <w:rFonts w:hint="eastAsia" w:ascii="楷体_GB2312" w:hAnsi="楷体_GB2312" w:eastAsia="楷体_GB2312"/>
          <w:b/>
          <w:color w:val="auto"/>
          <w:sz w:val="32"/>
          <w:lang w:val="en-US"/>
        </w:rPr>
        <w:t>2019年度一般公共预算财政拨款支出决算情况说明</w:t>
      </w:r>
    </w:p>
    <w:p>
      <w:pPr>
        <w:spacing w:line="560" w:lineRule="exact"/>
        <w:ind w:firstLine="640"/>
        <w:rPr>
          <w:rFonts w:hint="default" w:eastAsia="Times New Roman"/>
          <w:b/>
          <w:color w:val="000000"/>
          <w:sz w:val="32"/>
          <w:lang w:val="en-US"/>
        </w:rPr>
      </w:pPr>
      <w:r>
        <w:rPr>
          <w:rFonts w:hint="eastAsia" w:ascii="仿宋_GB2312" w:hAnsi="仿宋_GB2312" w:eastAsia="仿宋_GB2312"/>
          <w:b/>
          <w:color w:val="000000"/>
          <w:sz w:val="32"/>
          <w:lang w:val="en-US"/>
        </w:rPr>
        <w:t>1、一般公共财政拨款支出决算总体情况</w:t>
      </w:r>
      <w:r>
        <w:rPr>
          <w:rFonts w:hint="default" w:eastAsia="Times New Roman"/>
          <w:b/>
          <w:color w:val="000000"/>
          <w:sz w:val="32"/>
          <w:lang w:val="en-US"/>
        </w:rPr>
        <w:tab/>
      </w:r>
    </w:p>
    <w:p>
      <w:pPr>
        <w:spacing w:line="560" w:lineRule="exact"/>
        <w:ind w:firstLine="640"/>
        <w:rPr>
          <w:rFonts w:hint="default" w:eastAsia="Times New Roman"/>
          <w:color w:val="000000"/>
          <w:sz w:val="32"/>
          <w:lang w:val="en-US"/>
        </w:rPr>
      </w:pPr>
      <w:r>
        <w:rPr>
          <w:rFonts w:hint="eastAsia" w:ascii="仿宋_GB2312" w:hAnsi="仿宋_GB2312" w:eastAsia="仿宋_GB2312"/>
          <w:color w:val="auto"/>
          <w:sz w:val="32"/>
          <w:lang w:val="en-US"/>
        </w:rPr>
        <w:t>贵州省贵阳市粮食和物资储备局2019年度一般公共预算财政拨款支出7,735.65万元，占本年支出合计的100%。与2018年相比，一般公共预算财政拨款支出增加3,502.85万元，增长82.75%。主要原因是：</w:t>
      </w:r>
      <w:r>
        <w:rPr>
          <w:rFonts w:hint="eastAsia" w:ascii="仿宋_GB2312" w:eastAsia="仿宋_GB2312"/>
          <w:sz w:val="32"/>
        </w:rPr>
        <w:t>一是由于人员调整，本年基本支出资金收入为</w:t>
      </w:r>
      <w:r>
        <w:rPr>
          <w:rFonts w:hint="eastAsia" w:ascii="仿宋_GB2312" w:eastAsia="仿宋_GB2312"/>
          <w:sz w:val="32"/>
          <w:lang w:val="en-US" w:eastAsia="zh-CN"/>
        </w:rPr>
        <w:t>1199.17万元</w:t>
      </w:r>
      <w:r>
        <w:rPr>
          <w:rFonts w:hint="eastAsia" w:ascii="仿宋_GB2312" w:eastAsia="仿宋_GB2312"/>
          <w:sz w:val="32"/>
        </w:rPr>
        <w:t>，比201</w:t>
      </w:r>
      <w:r>
        <w:rPr>
          <w:rFonts w:hint="eastAsia" w:ascii="仿宋_GB2312" w:eastAsia="仿宋_GB2312"/>
          <w:sz w:val="32"/>
          <w:lang w:val="en-US" w:eastAsia="zh-CN"/>
        </w:rPr>
        <w:t>8</w:t>
      </w:r>
      <w:r>
        <w:rPr>
          <w:rFonts w:hint="eastAsia" w:ascii="仿宋_GB2312" w:eastAsia="仿宋_GB2312"/>
          <w:sz w:val="32"/>
        </w:rPr>
        <w:t>年的</w:t>
      </w:r>
      <w:r>
        <w:rPr>
          <w:rFonts w:hint="eastAsia" w:ascii="仿宋_GB2312" w:eastAsia="仿宋_GB2312"/>
          <w:sz w:val="32"/>
          <w:lang w:val="en-US" w:eastAsia="zh-CN"/>
        </w:rPr>
        <w:t>1114.69</w:t>
      </w:r>
      <w:r>
        <w:rPr>
          <w:rFonts w:hint="eastAsia" w:ascii="仿宋_GB2312" w:eastAsia="仿宋_GB2312"/>
          <w:sz w:val="32"/>
        </w:rPr>
        <w:t>万元</w:t>
      </w:r>
      <w:r>
        <w:rPr>
          <w:rFonts w:hint="eastAsia" w:ascii="仿宋_GB2312" w:eastAsia="仿宋_GB2312"/>
          <w:sz w:val="32"/>
          <w:lang w:eastAsia="zh-CN"/>
        </w:rPr>
        <w:t>多</w:t>
      </w:r>
      <w:r>
        <w:rPr>
          <w:rFonts w:hint="eastAsia" w:ascii="仿宋_GB2312" w:eastAsia="仿宋_GB2312"/>
          <w:sz w:val="32"/>
          <w:lang w:val="en-US" w:eastAsia="zh-CN"/>
        </w:rPr>
        <w:t>84.48</w:t>
      </w:r>
      <w:r>
        <w:rPr>
          <w:rFonts w:hint="eastAsia" w:ascii="仿宋_GB2312" w:eastAsia="仿宋_GB2312"/>
          <w:sz w:val="32"/>
        </w:rPr>
        <w:t>万元，二是根据工作调整项目支出增加，本年项目支出资金收入为</w:t>
      </w:r>
      <w:r>
        <w:rPr>
          <w:rFonts w:hint="eastAsia" w:ascii="仿宋_GB2312" w:eastAsia="仿宋_GB2312"/>
          <w:sz w:val="32"/>
          <w:lang w:val="en-US" w:eastAsia="zh-CN"/>
        </w:rPr>
        <w:t>6536.48万元</w:t>
      </w:r>
      <w:r>
        <w:rPr>
          <w:rFonts w:hint="eastAsia" w:ascii="仿宋_GB2312" w:eastAsia="仿宋_GB2312"/>
          <w:sz w:val="32"/>
        </w:rPr>
        <w:t>，比201</w:t>
      </w:r>
      <w:r>
        <w:rPr>
          <w:rFonts w:hint="eastAsia" w:ascii="仿宋_GB2312" w:eastAsia="仿宋_GB2312"/>
          <w:sz w:val="32"/>
          <w:lang w:val="en-US" w:eastAsia="zh-CN"/>
        </w:rPr>
        <w:t>8</w:t>
      </w:r>
      <w:r>
        <w:rPr>
          <w:rFonts w:hint="eastAsia" w:ascii="仿宋_GB2312" w:eastAsia="仿宋_GB2312"/>
          <w:sz w:val="32"/>
        </w:rPr>
        <w:t>年的</w:t>
      </w:r>
      <w:r>
        <w:rPr>
          <w:rFonts w:hint="eastAsia" w:ascii="仿宋_GB2312" w:eastAsia="仿宋_GB2312"/>
          <w:sz w:val="32"/>
          <w:lang w:val="en-US" w:eastAsia="zh-CN"/>
        </w:rPr>
        <w:t>3120.29</w:t>
      </w:r>
      <w:r>
        <w:rPr>
          <w:rFonts w:hint="eastAsia" w:ascii="仿宋_GB2312" w:eastAsia="仿宋_GB2312"/>
          <w:sz w:val="32"/>
        </w:rPr>
        <w:t>万元多</w:t>
      </w:r>
      <w:r>
        <w:rPr>
          <w:rFonts w:hint="eastAsia" w:ascii="仿宋_GB2312" w:eastAsia="仿宋_GB2312"/>
          <w:sz w:val="32"/>
          <w:lang w:val="en-US" w:eastAsia="zh-CN"/>
        </w:rPr>
        <w:t>3416.19</w:t>
      </w:r>
      <w:r>
        <w:rPr>
          <w:rFonts w:hint="eastAsia" w:ascii="仿宋_GB2312" w:eastAsia="仿宋_GB2312"/>
          <w:sz w:val="32"/>
        </w:rPr>
        <w:t>万元。</w:t>
      </w:r>
      <w:r>
        <w:rPr>
          <w:rFonts w:hint="eastAsia" w:ascii="仿宋_GB2312" w:hAnsi="仿宋_GB2312" w:eastAsia="仿宋_GB2312"/>
          <w:color w:val="auto"/>
          <w:sz w:val="32"/>
          <w:lang w:val="en-US"/>
        </w:rPr>
        <w:t xml:space="preserve"> </w:t>
      </w:r>
      <w:r>
        <w:rPr>
          <w:rFonts w:hint="eastAsia" w:ascii="仿宋_GB2312" w:hAnsi="仿宋_GB2312" w:eastAsia="仿宋_GB2312"/>
          <w:color w:val="000000"/>
          <w:sz w:val="32"/>
          <w:lang w:val="en-US"/>
        </w:rPr>
        <w:t xml:space="preserve">  。</w:t>
      </w:r>
    </w:p>
    <w:p>
      <w:pPr>
        <w:spacing w:line="560" w:lineRule="exact"/>
        <w:ind w:firstLine="640"/>
        <w:rPr>
          <w:rFonts w:hint="default" w:eastAsia="Times New Roman"/>
          <w:b/>
          <w:color w:val="000000"/>
          <w:sz w:val="32"/>
          <w:lang w:val="en-US"/>
        </w:rPr>
      </w:pPr>
      <w:r>
        <w:rPr>
          <w:rFonts w:hint="eastAsia" w:ascii="仿宋_GB2312" w:hAnsi="仿宋_GB2312" w:eastAsia="仿宋_GB2312"/>
          <w:b/>
          <w:color w:val="000000"/>
          <w:sz w:val="32"/>
          <w:lang w:val="en-US"/>
        </w:rPr>
        <w:t>2、一般公共预算财政拨款支出决算结构情况</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zh-CN"/>
        </w:rPr>
        <w:t>贵州省贵阳市粮食和物资储备局</w:t>
      </w:r>
      <w:r>
        <w:rPr>
          <w:rFonts w:hint="eastAsia" w:ascii="仿宋_GB2312" w:hAnsi="仿宋_GB2312" w:eastAsia="仿宋_GB2312"/>
          <w:color w:val="auto"/>
          <w:sz w:val="32"/>
          <w:lang w:val="en-US"/>
        </w:rPr>
        <w:t>2019年度一般公共预算财政拨款支出主要用于以下方面：住房保障支出科目（类）支出</w:t>
      </w:r>
      <w:r>
        <w:rPr>
          <w:rFonts w:hint="eastAsia" w:ascii="仿宋_GB2312" w:hAnsi="仿宋_GB2312" w:eastAsia="仿宋_GB2312"/>
          <w:color w:val="auto"/>
          <w:sz w:val="32"/>
          <w:lang w:val="en-US" w:eastAsia="zh-CN"/>
        </w:rPr>
        <w:t>70.69</w:t>
      </w:r>
      <w:r>
        <w:rPr>
          <w:rFonts w:hint="eastAsia" w:ascii="仿宋_GB2312" w:hAnsi="仿宋_GB2312" w:eastAsia="仿宋_GB2312"/>
          <w:color w:val="auto"/>
          <w:sz w:val="32"/>
          <w:lang w:val="en-US"/>
        </w:rPr>
        <w:t xml:space="preserve"> 万元，占 </w:t>
      </w:r>
      <w:r>
        <w:rPr>
          <w:rFonts w:hint="eastAsia" w:ascii="仿宋_GB2312" w:hAnsi="仿宋_GB2312" w:eastAsia="仿宋_GB2312"/>
          <w:color w:val="auto"/>
          <w:sz w:val="32"/>
          <w:lang w:val="en-US" w:eastAsia="zh-CN"/>
        </w:rPr>
        <w:t>0.91</w:t>
      </w:r>
      <w:r>
        <w:rPr>
          <w:rFonts w:hint="eastAsia" w:ascii="仿宋_GB2312" w:hAnsi="仿宋_GB2312" w:eastAsia="仿宋_GB2312"/>
          <w:color w:val="auto"/>
          <w:sz w:val="32"/>
          <w:lang w:val="en-US"/>
        </w:rPr>
        <w:t>%；粮油物资储备支出科目（类）支出</w:t>
      </w:r>
      <w:r>
        <w:rPr>
          <w:rFonts w:hint="eastAsia" w:ascii="仿宋_GB2312" w:hAnsi="仿宋_GB2312" w:eastAsia="仿宋_GB2312"/>
          <w:color w:val="auto"/>
          <w:sz w:val="32"/>
          <w:lang w:val="en-US" w:eastAsia="zh-CN"/>
        </w:rPr>
        <w:t>7562.08</w:t>
      </w:r>
      <w:r>
        <w:rPr>
          <w:rFonts w:hint="eastAsia" w:ascii="仿宋_GB2312" w:hAnsi="仿宋_GB2312" w:eastAsia="仿宋_GB2312"/>
          <w:color w:val="auto"/>
          <w:sz w:val="32"/>
          <w:lang w:val="en-US"/>
        </w:rPr>
        <w:t xml:space="preserve"> 万元，占</w:t>
      </w:r>
      <w:r>
        <w:rPr>
          <w:rFonts w:hint="eastAsia" w:ascii="仿宋_GB2312" w:hAnsi="仿宋_GB2312" w:eastAsia="仿宋_GB2312"/>
          <w:color w:val="auto"/>
          <w:sz w:val="32"/>
          <w:lang w:val="en-US" w:eastAsia="zh-CN"/>
        </w:rPr>
        <w:t>97.75</w:t>
      </w:r>
      <w:r>
        <w:rPr>
          <w:rFonts w:hint="eastAsia" w:ascii="仿宋_GB2312" w:hAnsi="仿宋_GB2312" w:eastAsia="仿宋_GB2312"/>
          <w:color w:val="auto"/>
          <w:sz w:val="32"/>
          <w:lang w:val="en-US"/>
        </w:rPr>
        <w:t xml:space="preserve"> %；卫生健康支出科目（类）支出 </w:t>
      </w:r>
      <w:r>
        <w:rPr>
          <w:rFonts w:hint="eastAsia" w:ascii="仿宋_GB2312" w:hAnsi="仿宋_GB2312" w:eastAsia="仿宋_GB2312"/>
          <w:color w:val="auto"/>
          <w:sz w:val="32"/>
          <w:lang w:val="en-US" w:eastAsia="zh-CN"/>
        </w:rPr>
        <w:t>53.78</w:t>
      </w:r>
      <w:r>
        <w:rPr>
          <w:rFonts w:hint="eastAsia" w:ascii="仿宋_GB2312" w:hAnsi="仿宋_GB2312" w:eastAsia="仿宋_GB2312"/>
          <w:color w:val="auto"/>
          <w:sz w:val="32"/>
          <w:lang w:val="en-US"/>
        </w:rPr>
        <w:t>万元，占</w:t>
      </w:r>
      <w:r>
        <w:rPr>
          <w:rFonts w:hint="eastAsia" w:ascii="仿宋_GB2312" w:hAnsi="仿宋_GB2312" w:eastAsia="仿宋_GB2312"/>
          <w:color w:val="auto"/>
          <w:sz w:val="32"/>
          <w:lang w:val="en-US" w:eastAsia="zh-CN"/>
        </w:rPr>
        <w:t>0.69</w:t>
      </w:r>
      <w:r>
        <w:rPr>
          <w:rFonts w:hint="eastAsia" w:ascii="仿宋_GB2312" w:hAnsi="仿宋_GB2312" w:eastAsia="仿宋_GB2312"/>
          <w:color w:val="auto"/>
          <w:sz w:val="32"/>
          <w:lang w:val="en-US"/>
        </w:rPr>
        <w:t xml:space="preserve"> %；社会保障和就业支出 </w:t>
      </w:r>
      <w:r>
        <w:rPr>
          <w:rFonts w:hint="eastAsia" w:ascii="仿宋_GB2312" w:hAnsi="仿宋_GB2312" w:eastAsia="仿宋_GB2312"/>
          <w:color w:val="auto"/>
          <w:sz w:val="32"/>
          <w:lang w:val="en-US" w:eastAsia="zh-CN"/>
        </w:rPr>
        <w:t>49.10</w:t>
      </w:r>
      <w:r>
        <w:rPr>
          <w:rFonts w:hint="eastAsia" w:ascii="仿宋_GB2312" w:hAnsi="仿宋_GB2312" w:eastAsia="仿宋_GB2312"/>
          <w:color w:val="auto"/>
          <w:sz w:val="32"/>
          <w:lang w:val="en-US"/>
        </w:rPr>
        <w:t>万元，占</w:t>
      </w:r>
      <w:r>
        <w:rPr>
          <w:rFonts w:hint="eastAsia" w:ascii="仿宋_GB2312" w:hAnsi="仿宋_GB2312" w:eastAsia="仿宋_GB2312"/>
          <w:color w:val="auto"/>
          <w:sz w:val="32"/>
          <w:lang w:val="en-US" w:eastAsia="zh-CN"/>
        </w:rPr>
        <w:t>0.63</w:t>
      </w:r>
      <w:r>
        <w:rPr>
          <w:rFonts w:hint="eastAsia" w:ascii="仿宋_GB2312" w:hAnsi="仿宋_GB2312" w:eastAsia="仿宋_GB2312"/>
          <w:color w:val="auto"/>
          <w:sz w:val="32"/>
          <w:lang w:val="en-US"/>
        </w:rPr>
        <w:t xml:space="preserve"> %。</w:t>
      </w:r>
    </w:p>
    <w:p>
      <w:pPr>
        <w:spacing w:line="560" w:lineRule="exact"/>
        <w:ind w:firstLine="640"/>
        <w:rPr>
          <w:rFonts w:hint="default" w:eastAsia="Times New Roman"/>
          <w:b/>
          <w:color w:val="000000"/>
          <w:sz w:val="32"/>
          <w:lang w:val="en-US"/>
        </w:rPr>
      </w:pPr>
      <w:r>
        <w:rPr>
          <w:rFonts w:hint="eastAsia" w:ascii="仿宋_GB2312" w:hAnsi="仿宋_GB2312" w:eastAsia="仿宋_GB2312"/>
          <w:b/>
          <w:color w:val="000000"/>
          <w:sz w:val="32"/>
          <w:lang w:val="en-US"/>
        </w:rPr>
        <w:t>3、一般公共预算财政拨款支出决算具体情况</w:t>
      </w:r>
    </w:p>
    <w:p>
      <w:pPr>
        <w:spacing w:line="572" w:lineRule="exact"/>
        <w:ind w:firstLine="640"/>
        <w:rPr>
          <w:rFonts w:hint="eastAsia" w:ascii="仿宋_GB2312" w:hAnsi="仿宋_GB2312" w:eastAsia="仿宋_GB2312"/>
          <w:color w:val="auto"/>
          <w:sz w:val="32"/>
          <w:lang w:val="en-US"/>
        </w:rPr>
      </w:pPr>
      <w:r>
        <w:rPr>
          <w:rFonts w:hint="eastAsia" w:ascii="仿宋_GB2312" w:hAnsi="仿宋_GB2312" w:eastAsia="仿宋_GB2312"/>
          <w:color w:val="auto"/>
          <w:sz w:val="32"/>
          <w:lang w:val="zh-CN"/>
        </w:rPr>
        <w:t>贵州省贵阳市粮食和物资储备局</w:t>
      </w:r>
      <w:r>
        <w:rPr>
          <w:rFonts w:hint="eastAsia" w:ascii="仿宋_GB2312" w:hAnsi="仿宋_GB2312" w:eastAsia="仿宋_GB2312"/>
          <w:color w:val="auto"/>
          <w:sz w:val="32"/>
          <w:lang w:val="en-US"/>
        </w:rPr>
        <w:t>2019年度一般公共预算财政拨款支出当年预算为</w:t>
      </w:r>
      <w:r>
        <w:rPr>
          <w:rFonts w:hint="eastAsia" w:ascii="仿宋_GB2312" w:hAnsi="仿宋_GB2312" w:eastAsia="仿宋_GB2312"/>
          <w:color w:val="auto"/>
          <w:sz w:val="32"/>
          <w:lang w:val="en-US" w:eastAsia="zh-CN"/>
        </w:rPr>
        <w:t>10509.65万元</w:t>
      </w:r>
      <w:r>
        <w:rPr>
          <w:rFonts w:hint="eastAsia" w:ascii="仿宋_GB2312" w:hAnsi="仿宋_GB2312" w:eastAsia="仿宋_GB2312"/>
          <w:color w:val="auto"/>
          <w:sz w:val="32"/>
          <w:lang w:val="en-US"/>
        </w:rPr>
        <w:t>，支出决算为7,735.65万元，完成当年预算的</w:t>
      </w:r>
      <w:r>
        <w:rPr>
          <w:rFonts w:hint="eastAsia" w:ascii="仿宋_GB2312" w:hAnsi="仿宋_GB2312" w:eastAsia="仿宋_GB2312"/>
          <w:color w:val="auto"/>
          <w:sz w:val="32"/>
          <w:lang w:val="en-US" w:eastAsia="zh-CN"/>
        </w:rPr>
        <w:t>73</w:t>
      </w:r>
      <w:r>
        <w:rPr>
          <w:rFonts w:hint="eastAsia" w:ascii="仿宋_GB2312" w:hAnsi="仿宋_GB2312" w:eastAsia="仿宋_GB2312"/>
          <w:color w:val="auto"/>
          <w:sz w:val="32"/>
          <w:lang w:val="en-US"/>
        </w:rPr>
        <w:t>%。决算数</w:t>
      </w:r>
      <w:r>
        <w:rPr>
          <w:rFonts w:hint="eastAsia" w:ascii="仿宋_GB2312" w:hAnsi="仿宋_GB2312" w:eastAsia="仿宋_GB2312"/>
          <w:color w:val="auto"/>
          <w:sz w:val="32"/>
          <w:lang w:val="en-US" w:eastAsia="zh-CN"/>
        </w:rPr>
        <w:t>小于</w:t>
      </w:r>
      <w:r>
        <w:rPr>
          <w:rFonts w:hint="eastAsia" w:ascii="仿宋_GB2312" w:hAnsi="仿宋_GB2312" w:eastAsia="仿宋_GB2312"/>
          <w:color w:val="auto"/>
          <w:sz w:val="32"/>
          <w:lang w:val="en-US"/>
        </w:rPr>
        <w:t>于预算数</w:t>
      </w:r>
      <w:r>
        <w:rPr>
          <w:rFonts w:hint="eastAsia" w:ascii="仿宋_GB2312" w:hAnsi="仿宋_GB2312" w:eastAsia="仿宋_GB2312"/>
          <w:color w:val="auto"/>
          <w:sz w:val="32"/>
          <w:lang w:val="zh-CN"/>
        </w:rPr>
        <w:t>，</w:t>
      </w:r>
      <w:r>
        <w:rPr>
          <w:rFonts w:hint="eastAsia" w:ascii="仿宋_GB2312" w:hAnsi="仿宋_GB2312" w:eastAsia="仿宋_GB2312"/>
          <w:color w:val="auto"/>
          <w:sz w:val="32"/>
          <w:lang w:val="en-US"/>
        </w:rPr>
        <w:t>主要原因是</w:t>
      </w:r>
      <w:r>
        <w:rPr>
          <w:rFonts w:hint="eastAsia" w:ascii="仿宋_GB2312" w:hAnsi="仿宋_GB2312" w:eastAsia="仿宋_GB2312"/>
          <w:color w:val="auto"/>
          <w:sz w:val="32"/>
          <w:lang w:val="en-US" w:eastAsia="zh-CN"/>
        </w:rPr>
        <w:t>：本年项目经费预算数为7409.25万元，实际完成数为</w:t>
      </w:r>
      <w:r>
        <w:rPr>
          <w:rFonts w:hint="eastAsia" w:ascii="仿宋_GB2312" w:eastAsia="仿宋_GB2312"/>
          <w:sz w:val="32"/>
          <w:lang w:val="en-US" w:eastAsia="zh-CN"/>
        </w:rPr>
        <w:t>6536.48万元，其中917.46万元为上级补助项目资金，项目经费实际完成率为75.83%，因为粮食风险基金项目为滚动项目，所以余下4季度未拨付金额退回财政拨付，剩余粮食风险基金项目资金视同支付。</w:t>
      </w:r>
      <w:r>
        <w:rPr>
          <w:rFonts w:hint="eastAsia" w:ascii="仿宋_GB2312" w:hAnsi="仿宋_GB2312" w:eastAsia="仿宋_GB2312"/>
          <w:color w:val="auto"/>
          <w:sz w:val="32"/>
          <w:lang w:val="en-US"/>
        </w:rPr>
        <w:t xml:space="preserve"> 其中：</w:t>
      </w:r>
    </w:p>
    <w:p>
      <w:pPr>
        <w:spacing w:line="572" w:lineRule="exact"/>
        <w:ind w:firstLine="640"/>
        <w:rPr>
          <w:rFonts w:hint="eastAsia" w:ascii="仿宋_GB2312" w:hAnsi="仿宋_GB2312" w:eastAsia="仿宋_GB2312"/>
          <w:color w:val="auto"/>
          <w:sz w:val="32"/>
          <w:lang w:val="en-US"/>
        </w:rPr>
      </w:pPr>
      <w:r>
        <w:rPr>
          <w:rFonts w:hint="eastAsia" w:ascii="仿宋_GB2312" w:hAnsi="仿宋_GB2312" w:eastAsia="仿宋_GB2312"/>
          <w:color w:val="auto"/>
          <w:sz w:val="32"/>
          <w:lang w:val="en-US"/>
        </w:rPr>
        <w:t>（1）</w:t>
      </w:r>
      <w:r>
        <w:rPr>
          <w:rFonts w:hint="eastAsia" w:ascii="仿宋_GB2312" w:eastAsia="仿宋_GB2312"/>
          <w:sz w:val="32"/>
        </w:rPr>
        <w:t xml:space="preserve">  社会保障和就业支出</w:t>
      </w:r>
      <w:r>
        <w:rPr>
          <w:rFonts w:hint="eastAsia" w:ascii="仿宋_GB2312" w:hAnsi="仿宋_GB2312" w:eastAsia="仿宋_GB2312"/>
          <w:color w:val="auto"/>
          <w:sz w:val="32"/>
          <w:lang w:val="en-US"/>
        </w:rPr>
        <w:t>（类）</w:t>
      </w:r>
      <w:r>
        <w:rPr>
          <w:rFonts w:hint="eastAsia" w:ascii="仿宋_GB2312" w:eastAsia="仿宋_GB2312"/>
          <w:sz w:val="32"/>
        </w:rPr>
        <w:t>行政事业单位离退休</w:t>
      </w:r>
      <w:r>
        <w:rPr>
          <w:rFonts w:hint="eastAsia" w:ascii="仿宋_GB2312" w:hAnsi="仿宋_GB2312" w:eastAsia="仿宋_GB2312"/>
          <w:color w:val="auto"/>
          <w:sz w:val="32"/>
          <w:lang w:val="en-US"/>
        </w:rPr>
        <w:t>（款）</w:t>
      </w:r>
      <w:r>
        <w:rPr>
          <w:rFonts w:hint="eastAsia" w:ascii="仿宋_GB2312" w:eastAsia="仿宋_GB2312"/>
          <w:sz w:val="32"/>
        </w:rPr>
        <w:t xml:space="preserve"> 机关事业单位基本养老保险缴费支出</w:t>
      </w:r>
      <w:r>
        <w:rPr>
          <w:rFonts w:hint="eastAsia" w:ascii="仿宋_GB2312" w:hAnsi="仿宋_GB2312" w:eastAsia="仿宋_GB2312"/>
          <w:color w:val="auto"/>
          <w:sz w:val="32"/>
          <w:lang w:val="en-US"/>
        </w:rPr>
        <w:t xml:space="preserve">科目（项）。当年预算为 </w:t>
      </w:r>
      <w:r>
        <w:rPr>
          <w:rFonts w:hint="eastAsia" w:ascii="仿宋_GB2312" w:hAnsi="仿宋_GB2312" w:eastAsia="仿宋_GB2312"/>
          <w:color w:val="auto"/>
          <w:sz w:val="32"/>
          <w:lang w:val="en-US" w:eastAsia="zh-CN"/>
        </w:rPr>
        <w:t>49.35</w:t>
      </w:r>
      <w:r>
        <w:rPr>
          <w:rFonts w:hint="eastAsia" w:ascii="仿宋_GB2312" w:hAnsi="仿宋_GB2312" w:eastAsia="仿宋_GB2312"/>
          <w:color w:val="auto"/>
          <w:sz w:val="32"/>
          <w:lang w:val="en-US"/>
        </w:rPr>
        <w:t>万元，支出决算为</w:t>
      </w:r>
      <w:r>
        <w:rPr>
          <w:rFonts w:hint="eastAsia" w:ascii="仿宋_GB2312" w:hAnsi="仿宋_GB2312" w:eastAsia="仿宋_GB2312"/>
          <w:color w:val="auto"/>
          <w:sz w:val="32"/>
          <w:lang w:val="en-US" w:eastAsia="zh-CN"/>
        </w:rPr>
        <w:t>49.10</w:t>
      </w:r>
      <w:r>
        <w:rPr>
          <w:rFonts w:hint="eastAsia" w:ascii="仿宋_GB2312" w:hAnsi="仿宋_GB2312" w:eastAsia="仿宋_GB2312"/>
          <w:color w:val="auto"/>
          <w:sz w:val="32"/>
          <w:lang w:val="en-US"/>
        </w:rPr>
        <w:t>万元，完成当年预算的</w:t>
      </w:r>
      <w:r>
        <w:rPr>
          <w:rFonts w:hint="eastAsia" w:ascii="仿宋_GB2312" w:hAnsi="仿宋_GB2312" w:eastAsia="仿宋_GB2312"/>
          <w:color w:val="auto"/>
          <w:sz w:val="32"/>
          <w:lang w:val="en-US" w:eastAsia="zh-CN"/>
        </w:rPr>
        <w:t>99.49</w:t>
      </w:r>
      <w:r>
        <w:rPr>
          <w:rFonts w:hint="eastAsia" w:ascii="仿宋_GB2312" w:hAnsi="仿宋_GB2312" w:eastAsia="仿宋_GB2312"/>
          <w:color w:val="auto"/>
          <w:sz w:val="32"/>
          <w:lang w:val="en-US"/>
        </w:rPr>
        <w:t xml:space="preserve"> %。决算数小于预算数的主要原因是：</w:t>
      </w:r>
      <w:r>
        <w:rPr>
          <w:rFonts w:hint="eastAsia" w:ascii="仿宋_GB2312" w:hAnsi="仿宋_GB2312" w:eastAsia="仿宋_GB2312"/>
          <w:color w:val="auto"/>
          <w:sz w:val="32"/>
          <w:lang w:val="en-US" w:eastAsia="zh-CN"/>
        </w:rPr>
        <w:t>当年人员调整造成。</w:t>
      </w:r>
      <w:r>
        <w:rPr>
          <w:rFonts w:hint="eastAsia" w:ascii="仿宋_GB2312" w:hAnsi="仿宋_GB2312" w:eastAsia="仿宋_GB2312"/>
          <w:color w:val="auto"/>
          <w:sz w:val="32"/>
          <w:lang w:val="en-US"/>
        </w:rPr>
        <w:t xml:space="preserve">  </w:t>
      </w:r>
    </w:p>
    <w:p>
      <w:pPr>
        <w:spacing w:line="572" w:lineRule="exact"/>
        <w:ind w:firstLine="640"/>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rPr>
        <w:t>（</w:t>
      </w:r>
      <w:r>
        <w:rPr>
          <w:rFonts w:hint="eastAsia" w:ascii="仿宋_GB2312" w:hAnsi="仿宋_GB2312" w:eastAsia="仿宋_GB2312"/>
          <w:color w:val="auto"/>
          <w:sz w:val="32"/>
          <w:lang w:val="en-US" w:eastAsia="zh-CN"/>
        </w:rPr>
        <w:t>2</w:t>
      </w:r>
      <w:r>
        <w:rPr>
          <w:rFonts w:hint="eastAsia" w:ascii="仿宋_GB2312" w:hAnsi="仿宋_GB2312" w:eastAsia="仿宋_GB2312"/>
          <w:color w:val="auto"/>
          <w:sz w:val="32"/>
          <w:lang w:val="en-US"/>
        </w:rPr>
        <w:t>）</w:t>
      </w:r>
      <w:r>
        <w:rPr>
          <w:rFonts w:hint="eastAsia" w:ascii="仿宋_GB2312" w:eastAsia="仿宋_GB2312"/>
          <w:sz w:val="32"/>
        </w:rPr>
        <w:t xml:space="preserve">  卫生健康支出</w:t>
      </w:r>
      <w:r>
        <w:rPr>
          <w:rFonts w:hint="eastAsia" w:ascii="仿宋_GB2312" w:hAnsi="仿宋_GB2312" w:eastAsia="仿宋_GB2312"/>
          <w:color w:val="auto"/>
          <w:sz w:val="32"/>
          <w:lang w:val="en-US"/>
        </w:rPr>
        <w:t>（类）</w:t>
      </w:r>
      <w:r>
        <w:rPr>
          <w:rFonts w:hint="eastAsia" w:ascii="仿宋_GB2312" w:eastAsia="仿宋_GB2312"/>
          <w:sz w:val="32"/>
        </w:rPr>
        <w:t>行政事业单位医疗</w:t>
      </w:r>
      <w:r>
        <w:rPr>
          <w:rFonts w:hint="eastAsia" w:ascii="仿宋_GB2312" w:hAnsi="仿宋_GB2312" w:eastAsia="仿宋_GB2312"/>
          <w:color w:val="auto"/>
          <w:sz w:val="32"/>
          <w:lang w:val="en-US"/>
        </w:rPr>
        <w:t>（款）</w:t>
      </w:r>
      <w:r>
        <w:rPr>
          <w:rFonts w:hint="eastAsia" w:ascii="仿宋_GB2312" w:eastAsia="仿宋_GB2312"/>
          <w:sz w:val="32"/>
        </w:rPr>
        <w:t>行政单位医疗</w:t>
      </w:r>
      <w:r>
        <w:rPr>
          <w:rFonts w:hint="eastAsia" w:ascii="仿宋_GB2312" w:hAnsi="仿宋_GB2312" w:eastAsia="仿宋_GB2312"/>
          <w:color w:val="auto"/>
          <w:sz w:val="32"/>
          <w:lang w:val="en-US"/>
        </w:rPr>
        <w:t xml:space="preserve">（项）。当年预算为 </w:t>
      </w:r>
      <w:r>
        <w:rPr>
          <w:rFonts w:hint="eastAsia" w:ascii="仿宋_GB2312" w:hAnsi="仿宋_GB2312" w:eastAsia="仿宋_GB2312"/>
          <w:color w:val="auto"/>
          <w:sz w:val="32"/>
          <w:lang w:val="en-US" w:eastAsia="zh-CN"/>
        </w:rPr>
        <w:t>22.09</w:t>
      </w:r>
      <w:r>
        <w:rPr>
          <w:rFonts w:hint="eastAsia" w:ascii="仿宋_GB2312" w:hAnsi="仿宋_GB2312" w:eastAsia="仿宋_GB2312"/>
          <w:color w:val="auto"/>
          <w:sz w:val="32"/>
          <w:lang w:val="en-US"/>
        </w:rPr>
        <w:t>万元，支出决算为</w:t>
      </w:r>
      <w:r>
        <w:rPr>
          <w:rFonts w:hint="eastAsia" w:ascii="仿宋_GB2312" w:hAnsi="仿宋_GB2312" w:eastAsia="仿宋_GB2312"/>
          <w:color w:val="auto"/>
          <w:sz w:val="32"/>
          <w:lang w:val="en-US" w:eastAsia="zh-CN"/>
        </w:rPr>
        <w:t>33.94</w:t>
      </w:r>
      <w:r>
        <w:rPr>
          <w:rFonts w:hint="eastAsia" w:ascii="仿宋_GB2312" w:hAnsi="仿宋_GB2312" w:eastAsia="仿宋_GB2312"/>
          <w:color w:val="auto"/>
          <w:sz w:val="32"/>
          <w:lang w:val="en-US"/>
        </w:rPr>
        <w:t>万元，完成当年预算的</w:t>
      </w:r>
      <w:r>
        <w:rPr>
          <w:rFonts w:hint="eastAsia" w:ascii="仿宋_GB2312" w:hAnsi="仿宋_GB2312" w:eastAsia="仿宋_GB2312"/>
          <w:color w:val="auto"/>
          <w:sz w:val="32"/>
          <w:lang w:val="en-US" w:eastAsia="zh-CN"/>
        </w:rPr>
        <w:t>153.64</w:t>
      </w:r>
      <w:r>
        <w:rPr>
          <w:rFonts w:hint="eastAsia" w:ascii="仿宋_GB2312" w:hAnsi="仿宋_GB2312" w:eastAsia="仿宋_GB2312"/>
          <w:color w:val="auto"/>
          <w:sz w:val="32"/>
          <w:lang w:val="en-US"/>
        </w:rPr>
        <w:t xml:space="preserve"> %。决算数</w:t>
      </w:r>
      <w:r>
        <w:rPr>
          <w:rFonts w:hint="eastAsia" w:ascii="仿宋_GB2312" w:hAnsi="仿宋_GB2312" w:eastAsia="仿宋_GB2312"/>
          <w:color w:val="auto"/>
          <w:sz w:val="32"/>
          <w:lang w:val="en-US" w:eastAsia="zh-CN"/>
        </w:rPr>
        <w:t>大</w:t>
      </w:r>
      <w:r>
        <w:rPr>
          <w:rFonts w:hint="eastAsia" w:ascii="仿宋_GB2312" w:hAnsi="仿宋_GB2312" w:eastAsia="仿宋_GB2312"/>
          <w:color w:val="auto"/>
          <w:sz w:val="32"/>
          <w:lang w:val="en-US"/>
        </w:rPr>
        <w:t>于预算数的主要原因是：</w:t>
      </w:r>
      <w:r>
        <w:rPr>
          <w:rFonts w:hint="eastAsia" w:ascii="仿宋_GB2312" w:hAnsi="仿宋_GB2312" w:eastAsia="仿宋_GB2312"/>
          <w:color w:val="auto"/>
          <w:sz w:val="32"/>
          <w:lang w:val="en-US" w:eastAsia="zh-CN"/>
        </w:rPr>
        <w:t>当年人员调整造成。</w:t>
      </w:r>
    </w:p>
    <w:p>
      <w:pPr>
        <w:spacing w:line="572" w:lineRule="exact"/>
        <w:ind w:firstLine="640"/>
        <w:rPr>
          <w:rFonts w:hint="eastAsia" w:ascii="仿宋_GB2312" w:hAnsi="仿宋_GB2312" w:eastAsia="仿宋_GB2312"/>
          <w:color w:val="auto"/>
          <w:sz w:val="32"/>
          <w:lang w:val="en-US"/>
        </w:rPr>
      </w:pPr>
      <w:r>
        <w:rPr>
          <w:rFonts w:hint="eastAsia" w:ascii="仿宋_GB2312" w:hAnsi="仿宋_GB2312" w:eastAsia="仿宋_GB2312"/>
          <w:color w:val="auto"/>
          <w:sz w:val="32"/>
          <w:lang w:val="en-US"/>
        </w:rPr>
        <w:t>（</w:t>
      </w:r>
      <w:r>
        <w:rPr>
          <w:rFonts w:hint="eastAsia" w:ascii="仿宋_GB2312" w:hAnsi="仿宋_GB2312" w:eastAsia="仿宋_GB2312"/>
          <w:color w:val="auto"/>
          <w:sz w:val="32"/>
          <w:lang w:val="en-US" w:eastAsia="zh-CN"/>
        </w:rPr>
        <w:t>3</w:t>
      </w:r>
      <w:r>
        <w:rPr>
          <w:rFonts w:hint="eastAsia" w:ascii="仿宋_GB2312" w:hAnsi="仿宋_GB2312" w:eastAsia="仿宋_GB2312"/>
          <w:color w:val="auto"/>
          <w:sz w:val="32"/>
          <w:lang w:val="en-US"/>
        </w:rPr>
        <w:t>）</w:t>
      </w:r>
      <w:r>
        <w:rPr>
          <w:rFonts w:hint="eastAsia" w:ascii="仿宋_GB2312" w:eastAsia="仿宋_GB2312"/>
          <w:sz w:val="32"/>
        </w:rPr>
        <w:t xml:space="preserve">  卫生健康支出</w:t>
      </w:r>
      <w:r>
        <w:rPr>
          <w:rFonts w:hint="eastAsia" w:ascii="仿宋_GB2312" w:hAnsi="仿宋_GB2312" w:eastAsia="仿宋_GB2312"/>
          <w:color w:val="auto"/>
          <w:sz w:val="32"/>
          <w:lang w:val="en-US"/>
        </w:rPr>
        <w:t>（类）</w:t>
      </w:r>
      <w:r>
        <w:rPr>
          <w:rFonts w:hint="eastAsia" w:ascii="仿宋_GB2312" w:eastAsia="仿宋_GB2312"/>
          <w:sz w:val="32"/>
        </w:rPr>
        <w:t>行政事业单位医疗</w:t>
      </w:r>
      <w:r>
        <w:rPr>
          <w:rFonts w:hint="eastAsia" w:ascii="仿宋_GB2312" w:hAnsi="仿宋_GB2312" w:eastAsia="仿宋_GB2312"/>
          <w:color w:val="auto"/>
          <w:sz w:val="32"/>
          <w:lang w:val="en-US"/>
        </w:rPr>
        <w:t>（款）</w:t>
      </w:r>
      <w:r>
        <w:rPr>
          <w:rFonts w:hint="eastAsia" w:ascii="仿宋_GB2312" w:eastAsia="仿宋_GB2312"/>
          <w:sz w:val="32"/>
        </w:rPr>
        <w:t>公务员医疗补助</w:t>
      </w:r>
      <w:r>
        <w:rPr>
          <w:rFonts w:hint="eastAsia" w:ascii="仿宋_GB2312" w:hAnsi="仿宋_GB2312" w:eastAsia="仿宋_GB2312"/>
          <w:color w:val="auto"/>
          <w:sz w:val="32"/>
          <w:lang w:val="en-US"/>
        </w:rPr>
        <w:t xml:space="preserve">（项）。当年预算为 </w:t>
      </w:r>
      <w:r>
        <w:rPr>
          <w:rFonts w:hint="eastAsia" w:ascii="仿宋_GB2312" w:hAnsi="仿宋_GB2312" w:eastAsia="仿宋_GB2312"/>
          <w:color w:val="auto"/>
          <w:sz w:val="32"/>
          <w:lang w:val="en-US" w:eastAsia="zh-CN"/>
        </w:rPr>
        <w:t>23.50</w:t>
      </w:r>
      <w:r>
        <w:rPr>
          <w:rFonts w:hint="eastAsia" w:ascii="仿宋_GB2312" w:hAnsi="仿宋_GB2312" w:eastAsia="仿宋_GB2312"/>
          <w:color w:val="auto"/>
          <w:sz w:val="32"/>
          <w:lang w:val="en-US"/>
        </w:rPr>
        <w:t>万元，支出决算为</w:t>
      </w:r>
      <w:r>
        <w:rPr>
          <w:rFonts w:hint="eastAsia" w:ascii="仿宋_GB2312" w:hAnsi="仿宋_GB2312" w:eastAsia="仿宋_GB2312"/>
          <w:color w:val="auto"/>
          <w:sz w:val="32"/>
          <w:lang w:val="en-US" w:eastAsia="zh-CN"/>
        </w:rPr>
        <w:t>19.84</w:t>
      </w:r>
      <w:r>
        <w:rPr>
          <w:rFonts w:hint="eastAsia" w:ascii="仿宋_GB2312" w:hAnsi="仿宋_GB2312" w:eastAsia="仿宋_GB2312"/>
          <w:color w:val="auto"/>
          <w:sz w:val="32"/>
          <w:lang w:val="en-US"/>
        </w:rPr>
        <w:t>万元，完成当年预算的</w:t>
      </w:r>
      <w:r>
        <w:rPr>
          <w:rFonts w:hint="eastAsia" w:ascii="仿宋_GB2312" w:hAnsi="仿宋_GB2312" w:eastAsia="仿宋_GB2312"/>
          <w:color w:val="auto"/>
          <w:sz w:val="32"/>
          <w:lang w:val="en-US" w:eastAsia="zh-CN"/>
        </w:rPr>
        <w:t>84.42</w:t>
      </w:r>
      <w:r>
        <w:rPr>
          <w:rFonts w:hint="eastAsia" w:ascii="仿宋_GB2312" w:hAnsi="仿宋_GB2312" w:eastAsia="仿宋_GB2312"/>
          <w:color w:val="auto"/>
          <w:sz w:val="32"/>
          <w:lang w:val="en-US"/>
        </w:rPr>
        <w:t xml:space="preserve"> %。决算数</w:t>
      </w:r>
      <w:r>
        <w:rPr>
          <w:rFonts w:hint="eastAsia" w:ascii="仿宋_GB2312" w:hAnsi="仿宋_GB2312" w:eastAsia="仿宋_GB2312"/>
          <w:color w:val="auto"/>
          <w:sz w:val="32"/>
          <w:lang w:val="en-US" w:eastAsia="zh-CN"/>
        </w:rPr>
        <w:t>小</w:t>
      </w:r>
      <w:r>
        <w:rPr>
          <w:rFonts w:hint="eastAsia" w:ascii="仿宋_GB2312" w:hAnsi="仿宋_GB2312" w:eastAsia="仿宋_GB2312"/>
          <w:color w:val="auto"/>
          <w:sz w:val="32"/>
          <w:lang w:val="en-US"/>
        </w:rPr>
        <w:t>于预算数的主要原因是：</w:t>
      </w:r>
      <w:r>
        <w:rPr>
          <w:rFonts w:hint="eastAsia" w:ascii="仿宋_GB2312" w:hAnsi="仿宋_GB2312" w:eastAsia="仿宋_GB2312"/>
          <w:color w:val="auto"/>
          <w:sz w:val="32"/>
          <w:lang w:val="en-US" w:eastAsia="zh-CN"/>
        </w:rPr>
        <w:t>当年人员调整造成。</w:t>
      </w:r>
      <w:r>
        <w:rPr>
          <w:rFonts w:hint="eastAsia" w:ascii="仿宋_GB2312" w:hAnsi="仿宋_GB2312" w:eastAsia="仿宋_GB2312"/>
          <w:color w:val="auto"/>
          <w:sz w:val="32"/>
          <w:lang w:val="en-US"/>
        </w:rPr>
        <w:t xml:space="preserve">  </w:t>
      </w:r>
    </w:p>
    <w:p>
      <w:pPr>
        <w:spacing w:line="572" w:lineRule="exact"/>
        <w:ind w:firstLine="640"/>
        <w:rPr>
          <w:rFonts w:hint="eastAsia" w:ascii="仿宋_GB2312" w:hAnsi="仿宋_GB2312" w:eastAsia="仿宋_GB2312"/>
          <w:color w:val="auto"/>
          <w:sz w:val="32"/>
          <w:lang w:val="en-US"/>
        </w:rPr>
      </w:pPr>
      <w:r>
        <w:rPr>
          <w:rFonts w:hint="eastAsia" w:ascii="仿宋_GB2312" w:hAnsi="仿宋_GB2312" w:eastAsia="仿宋_GB2312"/>
          <w:color w:val="auto"/>
          <w:sz w:val="32"/>
          <w:lang w:val="en-US"/>
        </w:rPr>
        <w:t>（</w:t>
      </w:r>
      <w:r>
        <w:rPr>
          <w:rFonts w:hint="eastAsia" w:ascii="仿宋_GB2312" w:hAnsi="仿宋_GB2312" w:eastAsia="仿宋_GB2312"/>
          <w:color w:val="auto"/>
          <w:sz w:val="32"/>
          <w:lang w:val="en-US" w:eastAsia="zh-CN"/>
        </w:rPr>
        <w:t>4</w:t>
      </w:r>
      <w:r>
        <w:rPr>
          <w:rFonts w:hint="eastAsia" w:ascii="仿宋_GB2312" w:hAnsi="仿宋_GB2312" w:eastAsia="仿宋_GB2312"/>
          <w:color w:val="auto"/>
          <w:sz w:val="32"/>
          <w:lang w:val="en-US"/>
        </w:rPr>
        <w:t>）</w:t>
      </w:r>
      <w:r>
        <w:rPr>
          <w:rFonts w:hint="eastAsia" w:ascii="仿宋_GB2312" w:eastAsia="仿宋_GB2312"/>
          <w:sz w:val="32"/>
        </w:rPr>
        <w:t>住房保障支出</w:t>
      </w:r>
      <w:r>
        <w:rPr>
          <w:rFonts w:hint="eastAsia" w:ascii="仿宋_GB2312" w:hAnsi="仿宋_GB2312" w:eastAsia="仿宋_GB2312"/>
          <w:color w:val="auto"/>
          <w:sz w:val="32"/>
          <w:lang w:val="en-US"/>
        </w:rPr>
        <w:t>科目（类）</w:t>
      </w:r>
      <w:r>
        <w:rPr>
          <w:rFonts w:hint="eastAsia" w:ascii="仿宋_GB2312" w:eastAsia="仿宋_GB2312"/>
          <w:sz w:val="32"/>
        </w:rPr>
        <w:t>住房改革支出</w:t>
      </w:r>
      <w:r>
        <w:rPr>
          <w:rFonts w:hint="eastAsia" w:ascii="仿宋_GB2312" w:hAnsi="仿宋_GB2312" w:eastAsia="仿宋_GB2312"/>
          <w:color w:val="auto"/>
          <w:sz w:val="32"/>
          <w:lang w:val="en-US"/>
        </w:rPr>
        <w:t>科目（款）</w:t>
      </w:r>
      <w:r>
        <w:rPr>
          <w:rFonts w:hint="eastAsia" w:ascii="仿宋_GB2312" w:eastAsia="仿宋_GB2312"/>
          <w:sz w:val="32"/>
        </w:rPr>
        <w:t>住房公积金</w:t>
      </w:r>
      <w:r>
        <w:rPr>
          <w:rFonts w:hint="eastAsia" w:ascii="仿宋_GB2312" w:hAnsi="仿宋_GB2312" w:eastAsia="仿宋_GB2312"/>
          <w:color w:val="auto"/>
          <w:sz w:val="32"/>
          <w:lang w:val="en-US"/>
        </w:rPr>
        <w:t xml:space="preserve">科目（项）。当年预算为 </w:t>
      </w:r>
      <w:r>
        <w:rPr>
          <w:rFonts w:hint="eastAsia" w:ascii="仿宋_GB2312" w:hAnsi="仿宋_GB2312" w:eastAsia="仿宋_GB2312"/>
          <w:color w:val="auto"/>
          <w:sz w:val="32"/>
          <w:lang w:val="en-US" w:eastAsia="zh-CN"/>
        </w:rPr>
        <w:t>73.96</w:t>
      </w:r>
      <w:r>
        <w:rPr>
          <w:rFonts w:hint="eastAsia" w:ascii="仿宋_GB2312" w:hAnsi="仿宋_GB2312" w:eastAsia="仿宋_GB2312"/>
          <w:color w:val="auto"/>
          <w:sz w:val="32"/>
          <w:lang w:val="en-US"/>
        </w:rPr>
        <w:t>万元，支出决算为</w:t>
      </w:r>
      <w:r>
        <w:rPr>
          <w:rFonts w:hint="eastAsia" w:ascii="仿宋_GB2312" w:hAnsi="仿宋_GB2312" w:eastAsia="仿宋_GB2312"/>
          <w:color w:val="auto"/>
          <w:sz w:val="32"/>
          <w:lang w:val="en-US" w:eastAsia="zh-CN"/>
        </w:rPr>
        <w:t>70.69</w:t>
      </w:r>
      <w:r>
        <w:rPr>
          <w:rFonts w:hint="eastAsia" w:ascii="仿宋_GB2312" w:hAnsi="仿宋_GB2312" w:eastAsia="仿宋_GB2312"/>
          <w:color w:val="auto"/>
          <w:sz w:val="32"/>
          <w:lang w:val="en-US"/>
        </w:rPr>
        <w:t>万元，完成当年预算的</w:t>
      </w:r>
      <w:r>
        <w:rPr>
          <w:rFonts w:hint="eastAsia" w:ascii="仿宋_GB2312" w:hAnsi="仿宋_GB2312" w:eastAsia="仿宋_GB2312"/>
          <w:color w:val="auto"/>
          <w:sz w:val="32"/>
          <w:lang w:val="en-US" w:eastAsia="zh-CN"/>
        </w:rPr>
        <w:t>95</w:t>
      </w:r>
      <w:r>
        <w:rPr>
          <w:rFonts w:hint="eastAsia" w:ascii="仿宋_GB2312" w:hAnsi="仿宋_GB2312" w:eastAsia="仿宋_GB2312"/>
          <w:color w:val="auto"/>
          <w:sz w:val="32"/>
          <w:lang w:val="en-US"/>
        </w:rPr>
        <w:t xml:space="preserve"> %。决算数小于预算数的主要原因是： </w:t>
      </w:r>
      <w:r>
        <w:rPr>
          <w:rFonts w:hint="eastAsia" w:ascii="仿宋_GB2312" w:hAnsi="仿宋_GB2312" w:eastAsia="仿宋_GB2312"/>
          <w:color w:val="auto"/>
          <w:sz w:val="32"/>
          <w:lang w:val="en-US" w:eastAsia="zh-CN"/>
        </w:rPr>
        <w:t>当年人员调整在职人员退休少缴住房公积金。</w:t>
      </w:r>
      <w:r>
        <w:rPr>
          <w:rFonts w:hint="eastAsia" w:ascii="仿宋_GB2312" w:hAnsi="仿宋_GB2312" w:eastAsia="仿宋_GB2312"/>
          <w:color w:val="auto"/>
          <w:sz w:val="32"/>
          <w:lang w:val="en-US"/>
        </w:rPr>
        <w:t xml:space="preserve">  </w:t>
      </w:r>
    </w:p>
    <w:p>
      <w:pPr>
        <w:autoSpaceDE w:val="0"/>
        <w:autoSpaceDN w:val="0"/>
        <w:adjustRightInd w:val="0"/>
        <w:spacing w:line="572" w:lineRule="exact"/>
        <w:ind w:firstLine="640"/>
        <w:rPr>
          <w:rFonts w:hint="eastAsia" w:ascii="仿宋_GB2312" w:eastAsia="仿宋_GB2312"/>
          <w:sz w:val="32"/>
        </w:rPr>
      </w:pPr>
      <w:r>
        <w:rPr>
          <w:rFonts w:hint="eastAsia" w:ascii="仿宋_GB2312" w:eastAsia="仿宋_GB2312"/>
          <w:sz w:val="32"/>
        </w:rPr>
        <w:t>（</w:t>
      </w:r>
      <w:r>
        <w:rPr>
          <w:rFonts w:hint="eastAsia" w:ascii="仿宋_GB2312" w:eastAsia="仿宋_GB2312"/>
          <w:sz w:val="32"/>
          <w:lang w:val="en-US" w:eastAsia="zh-CN"/>
        </w:rPr>
        <w:t>5</w:t>
      </w:r>
      <w:r>
        <w:rPr>
          <w:rFonts w:hint="eastAsia" w:ascii="仿宋_GB2312" w:eastAsia="仿宋_GB2312"/>
          <w:sz w:val="32"/>
        </w:rPr>
        <w:t>）粮油物资储备支出科目（类）粮油事务科目（款）行政运行科目（项）。当年预算为</w:t>
      </w:r>
      <w:r>
        <w:rPr>
          <w:rFonts w:hint="eastAsia" w:ascii="仿宋_GB2312" w:eastAsia="仿宋_GB2312"/>
          <w:sz w:val="32"/>
          <w:lang w:val="en-US" w:eastAsia="zh-CN"/>
        </w:rPr>
        <w:t>984.30</w:t>
      </w:r>
      <w:r>
        <w:rPr>
          <w:rFonts w:hint="eastAsia" w:ascii="仿宋_GB2312" w:eastAsia="仿宋_GB2312"/>
          <w:sz w:val="32"/>
        </w:rPr>
        <w:t>万元，支出决算为</w:t>
      </w:r>
      <w:r>
        <w:rPr>
          <w:rFonts w:hint="eastAsia" w:ascii="仿宋_GB2312" w:eastAsia="仿宋_GB2312"/>
          <w:sz w:val="32"/>
          <w:lang w:val="en-US" w:eastAsia="zh-CN"/>
        </w:rPr>
        <w:t>1025.60</w:t>
      </w:r>
      <w:r>
        <w:rPr>
          <w:rFonts w:hint="eastAsia" w:ascii="仿宋_GB2312" w:eastAsia="仿宋_GB2312"/>
          <w:sz w:val="32"/>
        </w:rPr>
        <w:t>万元，完成当年预算的10</w:t>
      </w:r>
      <w:r>
        <w:rPr>
          <w:rFonts w:hint="eastAsia" w:ascii="仿宋_GB2312" w:eastAsia="仿宋_GB2312"/>
          <w:sz w:val="32"/>
          <w:lang w:val="en-US" w:eastAsia="zh-CN"/>
        </w:rPr>
        <w:t>4.19</w:t>
      </w:r>
      <w:r>
        <w:rPr>
          <w:rFonts w:hint="eastAsia" w:ascii="仿宋_GB2312" w:eastAsia="仿宋_GB2312"/>
          <w:sz w:val="32"/>
        </w:rPr>
        <w:t>%。决算数大于预算数的主要原因是人员调整变化造成。</w:t>
      </w:r>
    </w:p>
    <w:p>
      <w:pPr>
        <w:autoSpaceDE w:val="0"/>
        <w:autoSpaceDN w:val="0"/>
        <w:adjustRightInd w:val="0"/>
        <w:spacing w:line="572" w:lineRule="exact"/>
        <w:ind w:firstLine="640"/>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6</w:t>
      </w:r>
      <w:r>
        <w:rPr>
          <w:rFonts w:hint="eastAsia" w:ascii="仿宋_GB2312" w:eastAsia="仿宋_GB2312"/>
          <w:color w:val="auto"/>
          <w:sz w:val="32"/>
        </w:rPr>
        <w:t>）粮油物资储备支出科目（类）粮油事务科目（款）一般行政管理事务科目（项）。当年预算为</w:t>
      </w:r>
      <w:r>
        <w:rPr>
          <w:rFonts w:hint="eastAsia" w:ascii="仿宋_GB2312" w:eastAsia="仿宋_GB2312"/>
          <w:color w:val="auto"/>
          <w:sz w:val="32"/>
          <w:lang w:val="en-US" w:eastAsia="zh-CN"/>
        </w:rPr>
        <w:t>109.6</w:t>
      </w:r>
      <w:r>
        <w:rPr>
          <w:rFonts w:hint="eastAsia" w:ascii="仿宋_GB2312" w:eastAsia="仿宋_GB2312"/>
          <w:color w:val="auto"/>
          <w:sz w:val="32"/>
        </w:rPr>
        <w:t>万元，支出决算为</w:t>
      </w:r>
      <w:r>
        <w:rPr>
          <w:rFonts w:hint="eastAsia" w:ascii="仿宋_GB2312" w:eastAsia="仿宋_GB2312"/>
          <w:color w:val="auto"/>
          <w:sz w:val="32"/>
          <w:lang w:val="en-US" w:eastAsia="zh-CN"/>
        </w:rPr>
        <w:t>105.54</w:t>
      </w:r>
      <w:r>
        <w:rPr>
          <w:rFonts w:hint="eastAsia" w:ascii="仿宋_GB2312" w:eastAsia="仿宋_GB2312"/>
          <w:color w:val="auto"/>
          <w:sz w:val="32"/>
        </w:rPr>
        <w:t>万元，完成当年预算的</w:t>
      </w:r>
      <w:r>
        <w:rPr>
          <w:rFonts w:hint="eastAsia" w:ascii="仿宋_GB2312" w:eastAsia="仿宋_GB2312"/>
          <w:color w:val="auto"/>
          <w:sz w:val="32"/>
          <w:lang w:val="en-US" w:eastAsia="zh-CN"/>
        </w:rPr>
        <w:t>96.29</w:t>
      </w:r>
      <w:r>
        <w:rPr>
          <w:rFonts w:hint="eastAsia" w:ascii="仿宋_GB2312" w:eastAsia="仿宋_GB2312"/>
          <w:color w:val="auto"/>
          <w:sz w:val="32"/>
        </w:rPr>
        <w:t>%。决算数小于预算数的主要原因是开展项目过程中节约了部分资金。</w:t>
      </w:r>
    </w:p>
    <w:p>
      <w:pPr>
        <w:autoSpaceDE w:val="0"/>
        <w:autoSpaceDN w:val="0"/>
        <w:adjustRightInd w:val="0"/>
        <w:spacing w:line="572" w:lineRule="exact"/>
        <w:ind w:firstLine="640"/>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7</w:t>
      </w:r>
      <w:r>
        <w:rPr>
          <w:rFonts w:hint="eastAsia" w:ascii="仿宋_GB2312" w:eastAsia="仿宋_GB2312"/>
          <w:color w:val="auto"/>
          <w:sz w:val="32"/>
        </w:rPr>
        <w:t>）粮油物资储备支出科目（类）粮油事务科目（款）</w:t>
      </w:r>
      <w:r>
        <w:rPr>
          <w:rFonts w:hint="eastAsia" w:ascii="仿宋_GB2312" w:eastAsia="仿宋_GB2312"/>
          <w:color w:val="auto"/>
          <w:sz w:val="32"/>
          <w:lang w:eastAsia="zh-CN"/>
        </w:rPr>
        <w:t>粮食风险基金</w:t>
      </w:r>
      <w:r>
        <w:rPr>
          <w:rFonts w:hint="eastAsia" w:ascii="仿宋_GB2312" w:eastAsia="仿宋_GB2312"/>
          <w:color w:val="auto"/>
          <w:sz w:val="32"/>
        </w:rPr>
        <w:t>科目（项）。当年预算</w:t>
      </w:r>
      <w:r>
        <w:rPr>
          <w:rFonts w:hint="eastAsia" w:ascii="仿宋_GB2312" w:eastAsia="仿宋_GB2312"/>
          <w:color w:val="auto"/>
          <w:sz w:val="32"/>
          <w:lang w:eastAsia="zh-CN"/>
        </w:rPr>
        <w:t>调整</w:t>
      </w:r>
      <w:r>
        <w:rPr>
          <w:rFonts w:hint="eastAsia" w:ascii="仿宋_GB2312" w:eastAsia="仿宋_GB2312"/>
          <w:color w:val="auto"/>
          <w:sz w:val="32"/>
        </w:rPr>
        <w:t>为</w:t>
      </w:r>
      <w:r>
        <w:rPr>
          <w:rFonts w:hint="eastAsia" w:ascii="仿宋_GB2312" w:eastAsia="仿宋_GB2312"/>
          <w:color w:val="auto"/>
          <w:sz w:val="32"/>
          <w:lang w:val="en-US" w:eastAsia="zh-CN"/>
        </w:rPr>
        <w:t>6970</w:t>
      </w:r>
      <w:r>
        <w:rPr>
          <w:rFonts w:hint="eastAsia" w:ascii="仿宋_GB2312" w:eastAsia="仿宋_GB2312"/>
          <w:color w:val="auto"/>
          <w:sz w:val="32"/>
        </w:rPr>
        <w:t>万元，支出决算为</w:t>
      </w:r>
      <w:r>
        <w:rPr>
          <w:rFonts w:hint="eastAsia" w:ascii="仿宋_GB2312" w:eastAsia="仿宋_GB2312"/>
          <w:color w:val="auto"/>
          <w:sz w:val="32"/>
          <w:lang w:val="en-US" w:eastAsia="zh-CN"/>
        </w:rPr>
        <w:t>5203.83</w:t>
      </w:r>
      <w:r>
        <w:rPr>
          <w:rFonts w:hint="eastAsia" w:ascii="仿宋_GB2312" w:eastAsia="仿宋_GB2312"/>
          <w:color w:val="auto"/>
          <w:sz w:val="32"/>
        </w:rPr>
        <w:t>万元，完成当年预算的</w:t>
      </w:r>
      <w:r>
        <w:rPr>
          <w:rFonts w:hint="eastAsia" w:ascii="仿宋_GB2312" w:eastAsia="仿宋_GB2312"/>
          <w:color w:val="auto"/>
          <w:sz w:val="32"/>
          <w:lang w:val="en-US" w:eastAsia="zh-CN"/>
        </w:rPr>
        <w:t>74.66</w:t>
      </w:r>
      <w:r>
        <w:rPr>
          <w:rFonts w:hint="eastAsia" w:ascii="仿宋_GB2312" w:eastAsia="仿宋_GB2312"/>
          <w:color w:val="auto"/>
          <w:sz w:val="32"/>
        </w:rPr>
        <w:t>%。决算数小于预算数的主要原因是</w:t>
      </w:r>
      <w:r>
        <w:rPr>
          <w:rFonts w:hint="eastAsia" w:ascii="仿宋_GB2312" w:eastAsia="仿宋_GB2312"/>
          <w:sz w:val="32"/>
          <w:lang w:val="en-US" w:eastAsia="zh-CN"/>
        </w:rPr>
        <w:t>因为粮食风险基金项目为滚动项目，所以余下4季度未拨付金额退回财政拨付，相关资金视同支付</w:t>
      </w:r>
      <w:r>
        <w:rPr>
          <w:rFonts w:hint="eastAsia" w:ascii="仿宋_GB2312" w:eastAsia="仿宋_GB2312"/>
          <w:color w:val="auto"/>
          <w:sz w:val="32"/>
        </w:rPr>
        <w:t>。</w:t>
      </w:r>
    </w:p>
    <w:p>
      <w:pPr>
        <w:autoSpaceDE w:val="0"/>
        <w:autoSpaceDN w:val="0"/>
        <w:adjustRightInd w:val="0"/>
        <w:spacing w:line="572" w:lineRule="exact"/>
        <w:ind w:firstLine="640"/>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8</w:t>
      </w:r>
      <w:r>
        <w:rPr>
          <w:rFonts w:hint="eastAsia" w:ascii="仿宋_GB2312" w:eastAsia="仿宋_GB2312"/>
          <w:color w:val="auto"/>
          <w:sz w:val="32"/>
        </w:rPr>
        <w:t>）粮油物资储备支出科目（类）粮油事务科目（款）其他粮油事务科目（项）。当年预算为</w:t>
      </w:r>
      <w:r>
        <w:rPr>
          <w:rFonts w:hint="eastAsia" w:ascii="仿宋_GB2312" w:eastAsia="仿宋_GB2312"/>
          <w:color w:val="auto"/>
          <w:sz w:val="32"/>
          <w:lang w:val="en-US" w:eastAsia="zh-CN"/>
        </w:rPr>
        <w:t>1009.65</w:t>
      </w:r>
      <w:r>
        <w:rPr>
          <w:rFonts w:hint="eastAsia" w:ascii="仿宋_GB2312" w:eastAsia="仿宋_GB2312"/>
          <w:color w:val="auto"/>
          <w:sz w:val="32"/>
        </w:rPr>
        <w:t>万元，支出决算为</w:t>
      </w:r>
      <w:r>
        <w:rPr>
          <w:rFonts w:hint="eastAsia" w:ascii="仿宋_GB2312" w:eastAsia="仿宋_GB2312"/>
          <w:color w:val="auto"/>
          <w:sz w:val="32"/>
          <w:lang w:val="en-US" w:eastAsia="zh-CN"/>
        </w:rPr>
        <w:t>987.11</w:t>
      </w:r>
      <w:r>
        <w:rPr>
          <w:rFonts w:hint="eastAsia" w:ascii="仿宋_GB2312" w:eastAsia="仿宋_GB2312"/>
          <w:color w:val="auto"/>
          <w:sz w:val="32"/>
        </w:rPr>
        <w:t>万元，完成当年预算的</w:t>
      </w:r>
      <w:r>
        <w:rPr>
          <w:rFonts w:hint="eastAsia" w:ascii="仿宋_GB2312" w:eastAsia="仿宋_GB2312"/>
          <w:color w:val="auto"/>
          <w:sz w:val="32"/>
          <w:lang w:val="en-US" w:eastAsia="zh-CN"/>
        </w:rPr>
        <w:t>97.76</w:t>
      </w:r>
      <w:r>
        <w:rPr>
          <w:rFonts w:hint="eastAsia" w:ascii="仿宋_GB2312" w:eastAsia="仿宋_GB2312"/>
          <w:color w:val="auto"/>
          <w:sz w:val="32"/>
        </w:rPr>
        <w:t>%。决算数小于预算数的主要原因是开展项目过程中节约了部分资金。</w:t>
      </w:r>
    </w:p>
    <w:p>
      <w:pPr>
        <w:autoSpaceDE w:val="0"/>
        <w:autoSpaceDN w:val="0"/>
        <w:adjustRightInd w:val="0"/>
        <w:spacing w:line="572" w:lineRule="exact"/>
        <w:ind w:firstLine="640"/>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9</w:t>
      </w:r>
      <w:r>
        <w:rPr>
          <w:rFonts w:hint="eastAsia" w:ascii="仿宋_GB2312" w:eastAsia="仿宋_GB2312"/>
          <w:color w:val="auto"/>
          <w:sz w:val="32"/>
        </w:rPr>
        <w:t>）粮油物资储备支出科目（类）粮油事务科目（款）</w:t>
      </w:r>
      <w:r>
        <w:rPr>
          <w:rFonts w:hint="eastAsia" w:ascii="仿宋_GB2312" w:eastAsia="仿宋_GB2312"/>
          <w:color w:val="auto"/>
          <w:sz w:val="32"/>
          <w:lang w:eastAsia="zh-CN"/>
        </w:rPr>
        <w:t>重要商品储备</w:t>
      </w:r>
      <w:r>
        <w:rPr>
          <w:rFonts w:hint="eastAsia" w:ascii="仿宋_GB2312" w:eastAsia="仿宋_GB2312"/>
          <w:color w:val="auto"/>
          <w:sz w:val="32"/>
        </w:rPr>
        <w:t>科目（项）。当年预算为</w:t>
      </w:r>
      <w:r>
        <w:rPr>
          <w:rFonts w:hint="eastAsia" w:ascii="仿宋_GB2312" w:eastAsia="仿宋_GB2312"/>
          <w:color w:val="auto"/>
          <w:sz w:val="32"/>
          <w:lang w:val="en-US" w:eastAsia="zh-CN"/>
        </w:rPr>
        <w:t>240</w:t>
      </w:r>
      <w:r>
        <w:rPr>
          <w:rFonts w:hint="eastAsia" w:ascii="仿宋_GB2312" w:eastAsia="仿宋_GB2312"/>
          <w:color w:val="auto"/>
          <w:sz w:val="32"/>
        </w:rPr>
        <w:t>万元，支出决算为</w:t>
      </w:r>
      <w:r>
        <w:rPr>
          <w:rFonts w:hint="eastAsia" w:ascii="仿宋_GB2312" w:eastAsia="仿宋_GB2312"/>
          <w:color w:val="auto"/>
          <w:sz w:val="32"/>
          <w:lang w:val="en-US" w:eastAsia="zh-CN"/>
        </w:rPr>
        <w:t>240</w:t>
      </w:r>
      <w:r>
        <w:rPr>
          <w:rFonts w:hint="eastAsia" w:ascii="仿宋_GB2312" w:eastAsia="仿宋_GB2312"/>
          <w:color w:val="auto"/>
          <w:sz w:val="32"/>
        </w:rPr>
        <w:t>万元，完成当年预算的</w:t>
      </w:r>
      <w:r>
        <w:rPr>
          <w:rFonts w:hint="eastAsia" w:ascii="仿宋_GB2312" w:eastAsia="仿宋_GB2312"/>
          <w:color w:val="auto"/>
          <w:sz w:val="32"/>
          <w:lang w:val="en-US" w:eastAsia="zh-CN"/>
        </w:rPr>
        <w:t>100</w:t>
      </w:r>
      <w:r>
        <w:rPr>
          <w:rFonts w:hint="eastAsia" w:ascii="仿宋_GB2312" w:eastAsia="仿宋_GB2312"/>
          <w:color w:val="auto"/>
          <w:sz w:val="32"/>
        </w:rPr>
        <w:t>%。决算数</w:t>
      </w:r>
      <w:r>
        <w:rPr>
          <w:rFonts w:hint="eastAsia" w:ascii="仿宋_GB2312" w:eastAsia="仿宋_GB2312"/>
          <w:color w:val="auto"/>
          <w:sz w:val="32"/>
          <w:lang w:eastAsia="zh-CN"/>
        </w:rPr>
        <w:t>等于</w:t>
      </w:r>
      <w:r>
        <w:rPr>
          <w:rFonts w:hint="eastAsia" w:ascii="仿宋_GB2312" w:eastAsia="仿宋_GB2312"/>
          <w:color w:val="auto"/>
          <w:sz w:val="32"/>
        </w:rPr>
        <w:t>预算数。</w:t>
      </w:r>
    </w:p>
    <w:p>
      <w:pPr>
        <w:autoSpaceDE w:val="0"/>
        <w:autoSpaceDN w:val="0"/>
        <w:adjustRightInd w:val="0"/>
        <w:spacing w:line="572" w:lineRule="exact"/>
        <w:ind w:firstLine="640"/>
        <w:rPr>
          <w:rFonts w:hint="eastAsia" w:ascii="仿宋_GB2312" w:eastAsia="仿宋_GB2312"/>
          <w:color w:val="auto"/>
          <w:sz w:val="32"/>
        </w:rPr>
      </w:pPr>
    </w:p>
    <w:p>
      <w:pPr>
        <w:spacing w:line="572" w:lineRule="exact"/>
        <w:ind w:firstLine="640"/>
        <w:rPr>
          <w:rFonts w:hint="eastAsia" w:ascii="仿宋_GB2312" w:hAnsi="仿宋_GB2312" w:eastAsia="仿宋_GB2312"/>
          <w:color w:val="auto"/>
          <w:sz w:val="32"/>
          <w:lang w:val="en-US"/>
        </w:rPr>
      </w:pPr>
    </w:p>
    <w:p>
      <w:pPr>
        <w:spacing w:line="560" w:lineRule="exact"/>
        <w:ind w:firstLine="640"/>
        <w:rPr>
          <w:rFonts w:hint="default" w:eastAsia="Times New Roman"/>
          <w:b/>
          <w:color w:val="auto"/>
          <w:sz w:val="32"/>
          <w:lang w:val="en-US"/>
        </w:rPr>
      </w:pPr>
      <w:r>
        <w:rPr>
          <w:rFonts w:hint="eastAsia" w:ascii="楷体_GB2312" w:hAnsi="楷体_GB2312" w:eastAsia="楷体_GB2312"/>
          <w:b/>
          <w:color w:val="auto"/>
          <w:sz w:val="32"/>
          <w:lang w:val="en-US"/>
        </w:rPr>
        <w:t>（六）</w:t>
      </w:r>
      <w:r>
        <w:rPr>
          <w:rFonts w:hint="eastAsia" w:ascii="楷体_GB2312" w:hAnsi="楷体_GB2312" w:eastAsia="楷体_GB2312"/>
          <w:b/>
          <w:color w:val="auto"/>
          <w:sz w:val="32"/>
          <w:lang w:val="zh-CN"/>
        </w:rPr>
        <w:t>贵州省贵阳市粮食和物资储备局</w:t>
      </w:r>
      <w:r>
        <w:rPr>
          <w:rFonts w:hint="eastAsia" w:ascii="楷体_GB2312" w:hAnsi="楷体_GB2312" w:eastAsia="楷体_GB2312"/>
          <w:b/>
          <w:color w:val="auto"/>
          <w:sz w:val="32"/>
          <w:lang w:val="en-US"/>
        </w:rPr>
        <w:t>2019年度一般公共预算财政拨款基本支出决算情况说明</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zh-CN"/>
        </w:rPr>
        <w:t>贵州省贵阳市粮食和物资储备局</w:t>
      </w:r>
      <w:r>
        <w:rPr>
          <w:rFonts w:hint="eastAsia" w:ascii="仿宋_GB2312" w:hAnsi="仿宋_GB2312" w:eastAsia="仿宋_GB2312"/>
          <w:color w:val="auto"/>
          <w:sz w:val="32"/>
          <w:lang w:val="en-US"/>
        </w:rPr>
        <w:t>2019年度一般公共预算财政拨款基本支出1,199.17万元，其中：人员经费1,053.68万元，主要包括基本工资、津贴补贴、离退休费等；公用经费145.49万元，主要包括办公费、水电费、差旅费等。</w:t>
      </w:r>
    </w:p>
    <w:p>
      <w:pPr>
        <w:spacing w:line="560" w:lineRule="exact"/>
        <w:ind w:firstLine="640"/>
        <w:rPr>
          <w:rFonts w:hint="default" w:eastAsia="Times New Roman"/>
          <w:b/>
          <w:color w:val="auto"/>
          <w:sz w:val="32"/>
          <w:lang w:val="en-US"/>
        </w:rPr>
      </w:pPr>
      <w:r>
        <w:rPr>
          <w:rFonts w:hint="eastAsia" w:ascii="楷体_GB2312" w:hAnsi="楷体_GB2312" w:eastAsia="楷体_GB2312"/>
          <w:b/>
          <w:color w:val="auto"/>
          <w:sz w:val="32"/>
          <w:lang w:val="en-US"/>
        </w:rPr>
        <w:t>（七）</w:t>
      </w:r>
      <w:r>
        <w:rPr>
          <w:rFonts w:hint="eastAsia" w:ascii="楷体_GB2312" w:hAnsi="楷体_GB2312" w:eastAsia="楷体_GB2312"/>
          <w:b/>
          <w:color w:val="auto"/>
          <w:sz w:val="32"/>
          <w:lang w:val="zh-CN"/>
        </w:rPr>
        <w:t>贵州省贵阳市粮食和物资储备局</w:t>
      </w:r>
      <w:r>
        <w:rPr>
          <w:rFonts w:hint="eastAsia" w:ascii="楷体_GB2312" w:hAnsi="楷体_GB2312" w:eastAsia="楷体_GB2312"/>
          <w:b/>
          <w:color w:val="auto"/>
          <w:sz w:val="32"/>
          <w:lang w:val="en-US"/>
        </w:rPr>
        <w:t>2019年度一般公共预算财政拨款</w:t>
      </w:r>
      <w:r>
        <w:rPr>
          <w:rFonts w:hint="default" w:eastAsia="Times New Roman"/>
          <w:b/>
          <w:color w:val="auto"/>
          <w:sz w:val="32"/>
          <w:lang w:val="en-US"/>
        </w:rPr>
        <w:t>“</w:t>
      </w:r>
      <w:r>
        <w:rPr>
          <w:rFonts w:hint="eastAsia" w:ascii="楷体_GB2312" w:hAnsi="楷体_GB2312" w:eastAsia="楷体_GB2312"/>
          <w:b/>
          <w:color w:val="auto"/>
          <w:sz w:val="32"/>
          <w:lang w:val="en-US"/>
        </w:rPr>
        <w:t>三公</w:t>
      </w:r>
      <w:r>
        <w:rPr>
          <w:rFonts w:hint="default" w:eastAsia="Times New Roman"/>
          <w:b/>
          <w:color w:val="auto"/>
          <w:sz w:val="32"/>
          <w:lang w:val="en-US"/>
        </w:rPr>
        <w:t>”</w:t>
      </w:r>
      <w:r>
        <w:rPr>
          <w:rFonts w:hint="eastAsia" w:ascii="楷体_GB2312" w:hAnsi="楷体_GB2312" w:eastAsia="楷体_GB2312"/>
          <w:b/>
          <w:color w:val="auto"/>
          <w:sz w:val="32"/>
          <w:lang w:val="en-US"/>
        </w:rPr>
        <w:t>经费支出决算情况说明</w:t>
      </w:r>
    </w:p>
    <w:p>
      <w:pPr>
        <w:ind w:firstLine="640"/>
        <w:rPr>
          <w:rFonts w:hint="eastAsia" w:ascii="仿宋" w:hAnsi="仿宋" w:eastAsia="仿宋"/>
          <w:color w:val="auto"/>
          <w:sz w:val="32"/>
          <w:lang w:val="en-US"/>
        </w:rPr>
      </w:pPr>
      <w:r>
        <w:rPr>
          <w:rFonts w:hint="eastAsia" w:ascii="仿宋" w:hAnsi="仿宋" w:eastAsia="仿宋"/>
          <w:color w:val="auto"/>
          <w:sz w:val="32"/>
          <w:lang w:val="en-US"/>
        </w:rPr>
        <w:t>1．“三公”经费财政拨款支出情况总体说明</w:t>
      </w:r>
    </w:p>
    <w:p>
      <w:pPr>
        <w:spacing w:line="572" w:lineRule="exact"/>
        <w:ind w:firstLine="640"/>
        <w:rPr>
          <w:rFonts w:hint="eastAsia" w:ascii="宋体" w:hAnsi="宋体"/>
          <w:color w:val="auto"/>
          <w:sz w:val="32"/>
          <w:lang w:val="en-US"/>
        </w:rPr>
      </w:pPr>
      <w:r>
        <w:rPr>
          <w:rFonts w:hint="eastAsia" w:ascii="仿宋" w:hAnsi="仿宋" w:eastAsia="仿宋"/>
          <w:color w:val="auto"/>
          <w:sz w:val="32"/>
          <w:lang w:val="en-US"/>
        </w:rPr>
        <w:t>2019年度“三公”经费财政拨款支出预算为5.53万元，支出决算为2.77万元，</w:t>
      </w:r>
      <w:r>
        <w:rPr>
          <w:rFonts w:hint="eastAsia" w:ascii="仿宋" w:hAnsi="仿宋" w:eastAsia="仿宋"/>
          <w:color w:val="auto"/>
          <w:sz w:val="32"/>
          <w:highlight w:val="white"/>
          <w:lang w:val="en-US"/>
        </w:rPr>
        <w:t>决算数小于预算数，</w:t>
      </w:r>
      <w:r>
        <w:rPr>
          <w:rFonts w:hint="eastAsia" w:ascii="仿宋" w:hAnsi="仿宋" w:eastAsia="仿宋"/>
          <w:color w:val="auto"/>
          <w:sz w:val="32"/>
          <w:lang w:val="en-US"/>
        </w:rPr>
        <w:t>主要原因是</w:t>
      </w:r>
      <w:bookmarkStart w:id="1" w:name="OLE_LINK7"/>
      <w:r>
        <w:rPr>
          <w:rFonts w:hint="eastAsia" w:ascii="仿宋_GB2312" w:eastAsia="仿宋_GB2312"/>
          <w:color w:val="000000"/>
          <w:sz w:val="32"/>
        </w:rPr>
        <w:t>结合工作实际，进一步落实中央八项规定，厉行节约</w:t>
      </w:r>
      <w:bookmarkEnd w:id="1"/>
      <w:r>
        <w:rPr>
          <w:rFonts w:hint="eastAsia" w:ascii="宋体" w:hAnsi="宋体"/>
          <w:color w:val="auto"/>
          <w:sz w:val="32"/>
          <w:lang w:val="en-US"/>
        </w:rPr>
        <w:t>。</w:t>
      </w:r>
    </w:p>
    <w:p>
      <w:pPr>
        <w:spacing w:line="572" w:lineRule="exact"/>
        <w:ind w:firstLine="640"/>
        <w:rPr>
          <w:rFonts w:hint="eastAsia" w:ascii="仿宋" w:hAnsi="仿宋" w:eastAsia="仿宋"/>
          <w:color w:val="auto"/>
          <w:sz w:val="32"/>
          <w:lang w:val="en-US"/>
        </w:rPr>
      </w:pPr>
      <w:r>
        <w:rPr>
          <w:rFonts w:hint="eastAsia" w:ascii="宋体" w:hAnsi="宋体"/>
          <w:color w:val="auto"/>
          <w:sz w:val="32"/>
          <w:lang w:val="en-US"/>
        </w:rPr>
        <w:t>2．“三公”经费财政拨款支出决算具体情况说明</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2019年度</w:t>
      </w:r>
      <w:r>
        <w:rPr>
          <w:rFonts w:hint="default" w:eastAsia="Times New Roman"/>
          <w:color w:val="auto"/>
          <w:sz w:val="32"/>
          <w:lang w:val="en-US"/>
        </w:rPr>
        <w:t>“</w:t>
      </w:r>
      <w:r>
        <w:rPr>
          <w:rFonts w:hint="eastAsia" w:ascii="仿宋_GB2312" w:hAnsi="仿宋_GB2312" w:eastAsia="仿宋_GB2312"/>
          <w:color w:val="auto"/>
          <w:sz w:val="32"/>
          <w:lang w:val="en-US"/>
        </w:rPr>
        <w:t>三公</w:t>
      </w:r>
      <w:r>
        <w:rPr>
          <w:rFonts w:hint="default" w:eastAsia="Times New Roman"/>
          <w:color w:val="auto"/>
          <w:sz w:val="32"/>
          <w:lang w:val="en-US"/>
        </w:rPr>
        <w:t>”</w:t>
      </w:r>
      <w:r>
        <w:rPr>
          <w:rFonts w:hint="eastAsia" w:ascii="仿宋_GB2312" w:hAnsi="仿宋_GB2312" w:eastAsia="仿宋_GB2312"/>
          <w:color w:val="auto"/>
          <w:sz w:val="32"/>
          <w:lang w:val="en-US"/>
        </w:rPr>
        <w:t>经费一般公共预算财政拨款支出决算2.77万元，比上年减少1.33万元，降低32.44%，减少原因是</w:t>
      </w:r>
      <w:r>
        <w:rPr>
          <w:rFonts w:hint="eastAsia" w:ascii="仿宋_GB2312" w:eastAsia="仿宋_GB2312"/>
          <w:color w:val="000000"/>
          <w:sz w:val="32"/>
        </w:rPr>
        <w:t>结合工作实际，进一步落实中央八项规定，厉行节约</w:t>
      </w:r>
      <w:r>
        <w:rPr>
          <w:rFonts w:hint="eastAsia" w:ascii="仿宋_GB2312" w:hAnsi="仿宋_GB2312" w:eastAsia="仿宋_GB2312"/>
          <w:color w:val="auto"/>
          <w:sz w:val="32"/>
          <w:lang w:val="en-US"/>
        </w:rPr>
        <w:t>。其中，因公出国（境）费支出</w:t>
      </w:r>
      <w:r>
        <w:rPr>
          <w:rFonts w:hint="eastAsia" w:ascii="仿宋_GB2312" w:hAnsi="仿宋_GB2312" w:eastAsia="仿宋_GB2312"/>
          <w:color w:val="auto"/>
          <w:sz w:val="32"/>
          <w:lang w:val="zh-CN"/>
        </w:rPr>
        <w:t>0</w:t>
      </w:r>
      <w:r>
        <w:rPr>
          <w:rFonts w:hint="eastAsia" w:ascii="仿宋_GB2312" w:hAnsi="仿宋_GB2312" w:eastAsia="仿宋_GB2312"/>
          <w:color w:val="auto"/>
          <w:sz w:val="32"/>
          <w:lang w:val="en-US"/>
        </w:rPr>
        <w:t>万元，占0%，比上年减少0万元，降低0%，减少原因是</w:t>
      </w:r>
      <w:r>
        <w:rPr>
          <w:rFonts w:hint="eastAsia" w:ascii="仿宋_GB2312" w:eastAsia="仿宋_GB2312"/>
          <w:sz w:val="32"/>
        </w:rPr>
        <w:t>原因是我单位上年及本年均无相关业务</w:t>
      </w:r>
      <w:r>
        <w:rPr>
          <w:rFonts w:hint="eastAsia" w:ascii="仿宋_GB2312" w:hAnsi="仿宋_GB2312" w:eastAsia="仿宋_GB2312"/>
          <w:color w:val="auto"/>
          <w:sz w:val="32"/>
          <w:lang w:val="en-US"/>
        </w:rPr>
        <w:t>；公务用车购置及运行维护费支出</w:t>
      </w:r>
      <w:r>
        <w:rPr>
          <w:rFonts w:hint="eastAsia" w:ascii="仿宋_GB2312" w:hAnsi="仿宋_GB2312" w:eastAsia="仿宋_GB2312"/>
          <w:color w:val="auto"/>
          <w:sz w:val="32"/>
          <w:lang w:val="zh-CN"/>
        </w:rPr>
        <w:t>2.15</w:t>
      </w:r>
      <w:r>
        <w:rPr>
          <w:rFonts w:hint="eastAsia" w:ascii="仿宋_GB2312" w:hAnsi="仿宋_GB2312" w:eastAsia="仿宋_GB2312"/>
          <w:color w:val="auto"/>
          <w:sz w:val="32"/>
          <w:lang w:val="en-US"/>
        </w:rPr>
        <w:t>万元，占77.66%，比上年减少1.79万元，降低45.37%，减少原因是</w:t>
      </w:r>
      <w:r>
        <w:rPr>
          <w:rFonts w:hint="eastAsia" w:ascii="仿宋_GB2312" w:eastAsia="仿宋_GB2312"/>
          <w:color w:val="000000"/>
          <w:sz w:val="32"/>
          <w:lang w:eastAsia="zh-CN"/>
        </w:rPr>
        <w:t>由于外出检查事务减少，所以公务用车运行经费相应增加</w:t>
      </w:r>
      <w:r>
        <w:rPr>
          <w:rFonts w:hint="eastAsia" w:ascii="仿宋_GB2312" w:hAnsi="仿宋_GB2312" w:eastAsia="仿宋_GB2312"/>
          <w:color w:val="auto"/>
          <w:sz w:val="32"/>
          <w:lang w:val="en-US"/>
        </w:rPr>
        <w:t>；公务接待费支出</w:t>
      </w:r>
      <w:r>
        <w:rPr>
          <w:rFonts w:hint="eastAsia" w:ascii="仿宋_GB2312" w:hAnsi="仿宋_GB2312" w:eastAsia="仿宋_GB2312"/>
          <w:color w:val="auto"/>
          <w:sz w:val="32"/>
          <w:lang w:val="zh-CN"/>
        </w:rPr>
        <w:t>0.62</w:t>
      </w:r>
      <w:r>
        <w:rPr>
          <w:rFonts w:hint="eastAsia" w:ascii="仿宋_GB2312" w:hAnsi="仿宋_GB2312" w:eastAsia="仿宋_GB2312"/>
          <w:color w:val="auto"/>
          <w:sz w:val="32"/>
          <w:lang w:val="en-US"/>
        </w:rPr>
        <w:t>万元，占22.34%，比上年增加0.46万元，增长280.8%，增加原因是</w:t>
      </w:r>
      <w:r>
        <w:rPr>
          <w:rFonts w:hint="eastAsia" w:ascii="仿宋_GB2312" w:hAnsi="仿宋_GB2312" w:eastAsia="仿宋_GB2312"/>
          <w:color w:val="auto"/>
          <w:sz w:val="32"/>
          <w:lang w:val="en-US" w:eastAsia="zh-CN"/>
        </w:rPr>
        <w:t>虽然</w:t>
      </w:r>
      <w:r>
        <w:rPr>
          <w:rFonts w:hint="eastAsia" w:ascii="仿宋_GB2312" w:eastAsia="仿宋_GB2312"/>
          <w:color w:val="000000"/>
          <w:sz w:val="32"/>
        </w:rPr>
        <w:t>进一步落实中央八项规定，厉行节约</w:t>
      </w:r>
      <w:r>
        <w:rPr>
          <w:rFonts w:hint="eastAsia" w:ascii="仿宋_GB2312" w:eastAsia="仿宋_GB2312"/>
          <w:color w:val="000000"/>
          <w:sz w:val="32"/>
          <w:lang w:eastAsia="zh-CN"/>
        </w:rPr>
        <w:t>的原则，但是根据实际情况本年发生发生招待</w:t>
      </w:r>
      <w:r>
        <w:rPr>
          <w:rFonts w:hint="eastAsia" w:ascii="仿宋_GB2312" w:eastAsia="仿宋_GB2312"/>
          <w:color w:val="000000"/>
          <w:sz w:val="32"/>
          <w:lang w:val="en-US" w:eastAsia="zh-CN"/>
        </w:rPr>
        <w:t>3次，对比上年招待次数增加</w:t>
      </w:r>
      <w:r>
        <w:rPr>
          <w:rFonts w:hint="eastAsia" w:ascii="仿宋_GB2312" w:hAnsi="仿宋_GB2312" w:eastAsia="仿宋_GB2312"/>
          <w:color w:val="auto"/>
          <w:sz w:val="32"/>
          <w:lang w:val="en-US"/>
        </w:rPr>
        <w:t>。具体情况如下：</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（1）因公出国（境）费支出</w:t>
      </w:r>
      <w:r>
        <w:rPr>
          <w:rFonts w:hint="eastAsia" w:ascii="仿宋_GB2312" w:hAnsi="仿宋_GB2312" w:eastAsia="仿宋_GB2312"/>
          <w:color w:val="auto"/>
          <w:sz w:val="32"/>
          <w:lang w:val="zh-CN"/>
        </w:rPr>
        <w:t>0</w:t>
      </w:r>
      <w:r>
        <w:rPr>
          <w:rFonts w:hint="eastAsia" w:ascii="仿宋_GB2312" w:hAnsi="仿宋_GB2312" w:eastAsia="仿宋_GB2312"/>
          <w:color w:val="auto"/>
          <w:sz w:val="32"/>
          <w:lang w:val="en-US"/>
        </w:rPr>
        <w:t>万元。</w:t>
      </w:r>
      <w:r>
        <w:rPr>
          <w:rFonts w:hint="eastAsia" w:ascii="仿宋_GB2312" w:hAnsi="仿宋_GB2312" w:eastAsia="仿宋_GB2312"/>
          <w:color w:val="auto"/>
          <w:sz w:val="32"/>
          <w:lang w:val="zh-CN"/>
        </w:rPr>
        <w:t>贵州省贵阳市粮食和物资储备局</w:t>
      </w:r>
      <w:r>
        <w:rPr>
          <w:rFonts w:hint="eastAsia" w:ascii="仿宋_GB2312" w:hAnsi="仿宋_GB2312" w:eastAsia="仿宋_GB2312"/>
          <w:color w:val="auto"/>
          <w:sz w:val="32"/>
          <w:lang w:val="en-US"/>
        </w:rPr>
        <w:t>全年使用一般公共预算财政拨款安排的出国（境）团组0个，累计0人次。</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（2）公务用车购置及运行维护费</w:t>
      </w:r>
      <w:r>
        <w:rPr>
          <w:rFonts w:hint="eastAsia" w:ascii="仿宋_GB2312" w:hAnsi="仿宋_GB2312" w:eastAsia="仿宋_GB2312"/>
          <w:color w:val="auto"/>
          <w:sz w:val="32"/>
          <w:lang w:val="zh-CN"/>
        </w:rPr>
        <w:t>2.15</w:t>
      </w:r>
      <w:r>
        <w:rPr>
          <w:rFonts w:hint="eastAsia" w:ascii="仿宋_GB2312" w:hAnsi="仿宋_GB2312" w:eastAsia="仿宋_GB2312"/>
          <w:color w:val="auto"/>
          <w:sz w:val="32"/>
          <w:lang w:val="en-US"/>
        </w:rPr>
        <w:t>万元</w:t>
      </w:r>
      <w:r>
        <w:rPr>
          <w:rFonts w:hint="default" w:eastAsia="Times New Roman"/>
          <w:color w:val="auto"/>
          <w:sz w:val="32"/>
          <w:lang w:val="en-US"/>
        </w:rPr>
        <w:t>,</w:t>
      </w:r>
      <w:r>
        <w:rPr>
          <w:rFonts w:hint="eastAsia" w:ascii="仿宋_GB2312" w:hAnsi="仿宋_GB2312" w:eastAsia="仿宋_GB2312"/>
          <w:color w:val="auto"/>
          <w:sz w:val="32"/>
          <w:lang w:val="en-US"/>
        </w:rPr>
        <w:t>其中，公务用车购置</w:t>
      </w:r>
      <w:r>
        <w:rPr>
          <w:rFonts w:hint="eastAsia" w:ascii="仿宋_GB2312" w:hAnsi="仿宋_GB2312" w:eastAsia="仿宋_GB2312"/>
          <w:color w:val="auto"/>
          <w:sz w:val="32"/>
          <w:lang w:val="zh-CN"/>
        </w:rPr>
        <w:t>0</w:t>
      </w:r>
      <w:r>
        <w:rPr>
          <w:rFonts w:hint="eastAsia" w:ascii="仿宋_GB2312" w:hAnsi="仿宋_GB2312" w:eastAsia="仿宋_GB2312"/>
          <w:color w:val="auto"/>
          <w:sz w:val="32"/>
          <w:lang w:val="en-US"/>
        </w:rPr>
        <w:t>万元，</w:t>
      </w:r>
      <w:r>
        <w:rPr>
          <w:rFonts w:hint="eastAsia" w:ascii="仿宋_GB2312" w:hAnsi="仿宋_GB2312" w:eastAsia="仿宋_GB2312"/>
          <w:color w:val="000000"/>
          <w:sz w:val="32"/>
          <w:lang w:val="en-US"/>
        </w:rPr>
        <w:t>购置公务用车0辆；</w:t>
      </w:r>
      <w:r>
        <w:rPr>
          <w:rFonts w:hint="eastAsia" w:ascii="仿宋_GB2312" w:hAnsi="仿宋_GB2312" w:eastAsia="仿宋_GB2312"/>
          <w:color w:val="auto"/>
          <w:sz w:val="32"/>
          <w:lang w:val="en-US"/>
        </w:rPr>
        <w:t>公务用车运行维护费</w:t>
      </w:r>
      <w:r>
        <w:rPr>
          <w:rFonts w:hint="eastAsia" w:ascii="仿宋_GB2312" w:hAnsi="仿宋_GB2312" w:eastAsia="仿宋_GB2312"/>
          <w:color w:val="auto"/>
          <w:sz w:val="32"/>
          <w:lang w:val="zh-CN"/>
        </w:rPr>
        <w:t>2.15</w:t>
      </w:r>
      <w:r>
        <w:rPr>
          <w:rFonts w:hint="eastAsia" w:ascii="仿宋_GB2312" w:hAnsi="仿宋_GB2312" w:eastAsia="仿宋_GB2312"/>
          <w:color w:val="auto"/>
          <w:sz w:val="32"/>
          <w:lang w:val="en-US"/>
        </w:rPr>
        <w:t>万元。主要用于</w:t>
      </w:r>
      <w:r>
        <w:rPr>
          <w:rFonts w:hint="eastAsia" w:ascii="仿宋_GB2312" w:eastAsia="仿宋_GB2312"/>
          <w:sz w:val="32"/>
        </w:rPr>
        <w:t>燃料费、过路费、停车费、洗车费、维护费等</w:t>
      </w:r>
      <w:r>
        <w:rPr>
          <w:rFonts w:hint="eastAsia" w:ascii="仿宋_GB2312" w:hAnsi="仿宋_GB2312" w:eastAsia="仿宋_GB2312"/>
          <w:color w:val="auto"/>
          <w:sz w:val="32"/>
          <w:lang w:val="en-US"/>
        </w:rPr>
        <w:t>。2019年，单位开支财政拨款的公务用车保有量为2辆。</w:t>
      </w:r>
    </w:p>
    <w:p>
      <w:pPr>
        <w:spacing w:line="572" w:lineRule="exact"/>
        <w:ind w:firstLine="640"/>
        <w:rPr>
          <w:rFonts w:hint="eastAsia" w:ascii="仿宋_GB2312" w:hAnsi="仿宋_GB2312" w:eastAsia="仿宋_GB2312"/>
          <w:color w:val="auto"/>
          <w:sz w:val="32"/>
          <w:lang w:val="zh-CN"/>
        </w:rPr>
      </w:pPr>
      <w:r>
        <w:rPr>
          <w:rFonts w:hint="eastAsia" w:ascii="仿宋_GB2312" w:hAnsi="仿宋_GB2312" w:eastAsia="仿宋_GB2312"/>
          <w:color w:val="auto"/>
          <w:sz w:val="32"/>
          <w:lang w:val="en-US"/>
        </w:rPr>
        <w:t>（3）公务接待费</w:t>
      </w:r>
      <w:r>
        <w:rPr>
          <w:rFonts w:hint="eastAsia" w:ascii="仿宋_GB2312" w:hAnsi="仿宋_GB2312" w:eastAsia="仿宋_GB2312"/>
          <w:color w:val="auto"/>
          <w:sz w:val="32"/>
          <w:lang w:val="zh-CN"/>
        </w:rPr>
        <w:t>0.62</w:t>
      </w:r>
      <w:r>
        <w:rPr>
          <w:rFonts w:hint="eastAsia" w:ascii="仿宋_GB2312" w:hAnsi="仿宋_GB2312" w:eastAsia="仿宋_GB2312"/>
          <w:color w:val="auto"/>
          <w:sz w:val="32"/>
          <w:lang w:val="en-US"/>
        </w:rPr>
        <w:t>万元。</w:t>
      </w:r>
      <w:r>
        <w:rPr>
          <w:rFonts w:hint="eastAsia" w:ascii="仿宋_GB2312" w:hAnsi="仿宋_GB2312" w:eastAsia="仿宋_GB2312"/>
          <w:color w:val="auto"/>
          <w:sz w:val="32"/>
          <w:lang w:val="zh-CN"/>
        </w:rPr>
        <w:t>具体是：</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国内公务接待支出0.62万元，主要是</w:t>
      </w:r>
      <w:r>
        <w:rPr>
          <w:rFonts w:hint="eastAsia" w:ascii="仿宋_GB2312" w:eastAsia="仿宋_GB2312"/>
          <w:sz w:val="32"/>
        </w:rPr>
        <w:t>接待考察组</w:t>
      </w:r>
      <w:r>
        <w:rPr>
          <w:rFonts w:hint="eastAsia" w:ascii="仿宋_GB2312" w:hAnsi="仿宋_GB2312" w:eastAsia="仿宋_GB2312"/>
          <w:color w:val="auto"/>
          <w:sz w:val="32"/>
          <w:lang w:val="en-US"/>
        </w:rPr>
        <w:t>等。</w:t>
      </w:r>
      <w:r>
        <w:rPr>
          <w:rFonts w:hint="eastAsia" w:ascii="仿宋_GB2312" w:hAnsi="仿宋_GB2312" w:eastAsia="仿宋_GB2312"/>
          <w:color w:val="auto"/>
          <w:sz w:val="32"/>
          <w:lang w:val="zh-CN"/>
        </w:rPr>
        <w:t>贵州省贵阳市粮食和物资储备局</w:t>
      </w:r>
      <w:r>
        <w:rPr>
          <w:rFonts w:hint="eastAsia" w:ascii="仿宋_GB2312" w:hAnsi="仿宋_GB2312" w:eastAsia="仿宋_GB2312"/>
          <w:color w:val="auto"/>
          <w:sz w:val="32"/>
          <w:lang w:val="en-US"/>
        </w:rPr>
        <w:t>2019年国内公务接待3批次，24人次。</w:t>
      </w:r>
    </w:p>
    <w:p>
      <w:pPr>
        <w:spacing w:line="560" w:lineRule="exact"/>
        <w:ind w:firstLine="640"/>
        <w:rPr>
          <w:rFonts w:hint="default" w:eastAsia="Times New Roman"/>
          <w:b/>
          <w:color w:val="auto"/>
          <w:sz w:val="32"/>
          <w:lang w:val="en-US"/>
        </w:rPr>
      </w:pPr>
      <w:r>
        <w:rPr>
          <w:rFonts w:hint="eastAsia" w:ascii="楷体_GB2312" w:hAnsi="楷体_GB2312" w:eastAsia="楷体_GB2312"/>
          <w:b/>
          <w:color w:val="auto"/>
          <w:sz w:val="32"/>
          <w:lang w:val="en-US"/>
        </w:rPr>
        <w:t>（八）政府性基金预算收入支出决算情况说明</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贵州省贵阳市粮食和物资储备局2019年政府性基金预算财政拨款本年收入0万元，本年支出0万元。</w:t>
      </w:r>
    </w:p>
    <w:p>
      <w:pPr>
        <w:spacing w:line="572" w:lineRule="exact"/>
        <w:ind w:firstLine="640"/>
        <w:rPr>
          <w:rFonts w:hint="default" w:eastAsia="Times New Roman"/>
          <w:b/>
          <w:color w:val="auto"/>
          <w:sz w:val="32"/>
          <w:lang w:val="zh-CN"/>
        </w:rPr>
      </w:pPr>
      <w:r>
        <w:rPr>
          <w:rFonts w:hint="eastAsia" w:ascii="楷体_GB2312" w:hAnsi="楷体_GB2312" w:eastAsia="楷体_GB2312"/>
          <w:b/>
          <w:color w:val="auto"/>
          <w:sz w:val="32"/>
          <w:lang w:val="en-US"/>
        </w:rPr>
        <w:t>（九）</w:t>
      </w:r>
      <w:r>
        <w:rPr>
          <w:rFonts w:hint="eastAsia" w:ascii="楷体_GB2312" w:hAnsi="楷体_GB2312" w:eastAsia="楷体_GB2312"/>
          <w:b/>
          <w:color w:val="auto"/>
          <w:sz w:val="32"/>
          <w:lang w:val="zh-CN"/>
        </w:rPr>
        <w:t>预算绩效情况说明</w:t>
      </w:r>
    </w:p>
    <w:p>
      <w:pPr>
        <w:spacing w:line="572" w:lineRule="exact"/>
        <w:ind w:firstLine="640"/>
        <w:rPr>
          <w:rFonts w:hint="default" w:eastAsia="Times New Roman"/>
          <w:b/>
          <w:color w:val="auto"/>
          <w:sz w:val="32"/>
          <w:lang w:val="zh-CN"/>
        </w:rPr>
      </w:pPr>
      <w:r>
        <w:rPr>
          <w:rFonts w:hint="eastAsia" w:ascii="楷体_GB2312" w:hAnsi="楷体_GB2312" w:eastAsia="楷体_GB2312"/>
          <w:b/>
          <w:color w:val="auto"/>
          <w:sz w:val="32"/>
          <w:lang w:val="zh-CN"/>
        </w:rPr>
        <w:t>1、预算绩效管理工作开展情况</w:t>
      </w:r>
    </w:p>
    <w:p>
      <w:pPr>
        <w:spacing w:line="560" w:lineRule="exact"/>
        <w:ind w:firstLine="640"/>
        <w:rPr>
          <w:rFonts w:hint="default" w:eastAsia="Times New Roman"/>
          <w:color w:val="000000"/>
          <w:sz w:val="32"/>
          <w:lang w:val="en-US"/>
        </w:rPr>
      </w:pPr>
      <w:r>
        <w:rPr>
          <w:rFonts w:hint="eastAsia" w:ascii="仿宋_GB2312" w:hAnsi="仿宋_GB2312" w:eastAsia="仿宋_GB2312"/>
          <w:color w:val="000000"/>
          <w:sz w:val="32"/>
          <w:lang w:val="en-US"/>
        </w:rPr>
        <w:t>根据财政预算管理要求，我单位组织对2019年度财政拨款项目支出开展了绩效自评工作。共计</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en-US"/>
        </w:rPr>
        <w:t>个项目进行了绩效自评，涉及资金</w:t>
      </w:r>
      <w:r>
        <w:rPr>
          <w:rFonts w:hint="eastAsia" w:ascii="仿宋_GB2312" w:hAnsi="仿宋_GB2312" w:eastAsia="仿宋_GB2312"/>
          <w:color w:val="000000"/>
          <w:sz w:val="32"/>
          <w:lang w:val="en-US" w:eastAsia="zh-CN"/>
        </w:rPr>
        <w:t>7210</w:t>
      </w:r>
      <w:r>
        <w:rPr>
          <w:rFonts w:hint="eastAsia" w:ascii="仿宋_GB2312" w:hAnsi="仿宋_GB2312" w:eastAsia="仿宋_GB2312"/>
          <w:color w:val="000000"/>
          <w:sz w:val="32"/>
          <w:lang w:val="en-US"/>
        </w:rPr>
        <w:t>万元，自评覆盖率达到</w:t>
      </w:r>
      <w:r>
        <w:rPr>
          <w:rFonts w:hint="eastAsia" w:ascii="仿宋_GB2312" w:hAnsi="仿宋_GB2312" w:eastAsia="仿宋_GB2312"/>
          <w:color w:val="000000"/>
          <w:sz w:val="32"/>
          <w:lang w:val="en-US" w:eastAsia="zh-CN"/>
        </w:rPr>
        <w:t>28.57</w:t>
      </w:r>
      <w:r>
        <w:rPr>
          <w:rFonts w:hint="eastAsia" w:ascii="仿宋_GB2312" w:hAnsi="仿宋_GB2312" w:eastAsia="仿宋_GB2312"/>
          <w:color w:val="000000"/>
          <w:sz w:val="32"/>
          <w:lang w:val="en-US"/>
        </w:rPr>
        <w:t>%。</w:t>
      </w:r>
    </w:p>
    <w:p>
      <w:pPr>
        <w:spacing w:line="572" w:lineRule="exact"/>
        <w:ind w:firstLine="640"/>
        <w:rPr>
          <w:rFonts w:hint="eastAsia" w:ascii="楷体_GB2312" w:hAnsi="楷体_GB2312" w:eastAsia="楷体_GB2312"/>
          <w:b/>
          <w:color w:val="auto"/>
          <w:sz w:val="32"/>
          <w:lang w:val="zh-CN"/>
        </w:rPr>
      </w:pPr>
      <w:r>
        <w:rPr>
          <w:rFonts w:hint="eastAsia" w:ascii="楷体_GB2312" w:hAnsi="楷体_GB2312" w:eastAsia="楷体_GB2312"/>
          <w:b/>
          <w:color w:val="auto"/>
          <w:sz w:val="32"/>
          <w:lang w:val="zh-CN"/>
        </w:rPr>
        <w:t>2、项目支出绩效自评报告</w:t>
      </w:r>
    </w:p>
    <w:p>
      <w:pPr>
        <w:spacing w:line="560" w:lineRule="exact"/>
        <w:ind w:firstLine="640"/>
        <w:rPr>
          <w:rFonts w:hint="default" w:eastAsia="Times New Roman"/>
          <w:color w:val="auto"/>
          <w:sz w:val="32"/>
          <w:lang w:val="en-US"/>
        </w:rPr>
      </w:pPr>
      <w:r>
        <w:rPr>
          <w:rFonts w:hint="eastAsia" w:ascii="仿宋_GB2312" w:hAnsi="仿宋_GB2312" w:eastAsia="仿宋_GB2312"/>
          <w:color w:val="000000"/>
          <w:sz w:val="32"/>
          <w:lang w:val="en-US"/>
        </w:rPr>
        <w:t>见“五、附件 《</w:t>
      </w:r>
      <w:r>
        <w:rPr>
          <w:rFonts w:hint="eastAsia" w:ascii="仿宋_GB2312" w:hAnsi="仿宋_GB2312" w:eastAsia="仿宋_GB2312"/>
          <w:color w:val="000000"/>
          <w:sz w:val="32"/>
          <w:lang w:val="en-US" w:eastAsia="zh-CN"/>
        </w:rPr>
        <w:t>粮食风险基金</w:t>
      </w:r>
      <w:r>
        <w:rPr>
          <w:rFonts w:hint="eastAsia" w:ascii="仿宋_GB2312" w:hAnsi="仿宋_GB2312" w:eastAsia="仿宋_GB2312"/>
          <w:color w:val="000000"/>
          <w:sz w:val="32"/>
          <w:lang w:val="en-US"/>
        </w:rPr>
        <w:t>项目绩效自评价报告》、《</w:t>
      </w:r>
      <w:r>
        <w:rPr>
          <w:rFonts w:hint="eastAsia" w:ascii="仿宋_GB2312" w:hAnsi="仿宋_GB2312" w:eastAsia="仿宋_GB2312"/>
          <w:color w:val="000000"/>
          <w:sz w:val="32"/>
          <w:lang w:val="en-US" w:eastAsia="zh-CN"/>
        </w:rPr>
        <w:t>猪肉</w:t>
      </w:r>
      <w:r>
        <w:rPr>
          <w:rFonts w:hint="eastAsia" w:ascii="仿宋_GB2312" w:hAnsi="仿宋_GB2312" w:eastAsia="仿宋_GB2312"/>
          <w:color w:val="000000"/>
          <w:sz w:val="32"/>
          <w:lang w:val="en-US"/>
        </w:rPr>
        <w:t>项目绩效自评价报告》”。</w:t>
      </w:r>
    </w:p>
    <w:p>
      <w:pPr>
        <w:spacing w:line="560" w:lineRule="exact"/>
        <w:ind w:firstLine="640"/>
        <w:rPr>
          <w:rFonts w:hint="default" w:eastAsia="Times New Roman"/>
          <w:b/>
          <w:color w:val="auto"/>
          <w:sz w:val="32"/>
          <w:lang w:val="en-US"/>
        </w:rPr>
      </w:pPr>
      <w:r>
        <w:rPr>
          <w:rFonts w:hint="eastAsia" w:ascii="楷体_GB2312" w:hAnsi="楷体_GB2312" w:eastAsia="楷体_GB2312"/>
          <w:b/>
          <w:color w:val="auto"/>
          <w:sz w:val="32"/>
          <w:lang w:val="en-US"/>
        </w:rPr>
        <w:t>（十）其他重要事项的情况说明</w:t>
      </w:r>
    </w:p>
    <w:p>
      <w:pPr>
        <w:spacing w:line="560" w:lineRule="exact"/>
        <w:ind w:firstLine="640"/>
        <w:rPr>
          <w:rFonts w:hint="default" w:eastAsia="Times New Roman"/>
          <w:b/>
          <w:color w:val="000000"/>
          <w:sz w:val="32"/>
          <w:lang w:val="en-US"/>
        </w:rPr>
      </w:pPr>
      <w:r>
        <w:rPr>
          <w:rFonts w:hint="eastAsia" w:ascii="仿宋_GB2312" w:hAnsi="仿宋_GB2312" w:eastAsia="仿宋_GB2312"/>
          <w:b/>
          <w:color w:val="000000"/>
          <w:sz w:val="32"/>
          <w:lang w:val="en-US"/>
        </w:rPr>
        <w:t>1、机关运行经费支出情况</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2019年贵州省贵阳市粮食和物资储备局机关运行经费支出145.49万元，比2018年增加31.73万元，增长27.89%，主要原因是</w:t>
      </w:r>
      <w:r>
        <w:rPr>
          <w:rFonts w:hint="eastAsia" w:ascii="仿宋_GB2312" w:eastAsia="仿宋_GB2312"/>
          <w:sz w:val="32"/>
        </w:rPr>
        <w:t>人员</w:t>
      </w:r>
      <w:r>
        <w:rPr>
          <w:rFonts w:hint="eastAsia" w:ascii="仿宋_GB2312" w:eastAsia="仿宋_GB2312"/>
          <w:sz w:val="32"/>
          <w:lang w:eastAsia="zh-CN"/>
        </w:rPr>
        <w:t>结构调整</w:t>
      </w:r>
      <w:r>
        <w:rPr>
          <w:rFonts w:hint="eastAsia" w:ascii="仿宋_GB2312" w:eastAsia="仿宋_GB2312"/>
          <w:sz w:val="32"/>
        </w:rPr>
        <w:t>变化造成</w:t>
      </w:r>
      <w:r>
        <w:rPr>
          <w:rFonts w:hint="eastAsia" w:ascii="仿宋_GB2312" w:hAnsi="仿宋_GB2312" w:eastAsia="仿宋_GB2312"/>
          <w:color w:val="auto"/>
          <w:sz w:val="32"/>
          <w:lang w:val="en-US"/>
        </w:rPr>
        <w:t>。</w:t>
      </w:r>
    </w:p>
    <w:p>
      <w:pPr>
        <w:spacing w:line="560" w:lineRule="exact"/>
        <w:ind w:firstLine="640"/>
        <w:rPr>
          <w:rFonts w:hint="default" w:eastAsia="Times New Roman"/>
          <w:b/>
          <w:color w:val="000000"/>
          <w:sz w:val="32"/>
          <w:lang w:val="en-US"/>
        </w:rPr>
      </w:pPr>
      <w:r>
        <w:rPr>
          <w:rFonts w:hint="eastAsia" w:ascii="仿宋_GB2312" w:hAnsi="仿宋_GB2312" w:eastAsia="仿宋_GB2312"/>
          <w:b/>
          <w:color w:val="000000"/>
          <w:sz w:val="32"/>
          <w:lang w:val="en-US"/>
        </w:rPr>
        <w:t>2、政府采购支出情况</w:t>
      </w:r>
    </w:p>
    <w:p>
      <w:pPr>
        <w:spacing w:line="572" w:lineRule="exact"/>
        <w:ind w:firstLine="640"/>
        <w:rPr>
          <w:rFonts w:hint="default" w:eastAsia="Times New Roman"/>
          <w:color w:val="auto"/>
          <w:sz w:val="32"/>
          <w:highlight w:val="white"/>
          <w:lang w:val="en-US"/>
        </w:rPr>
      </w:pPr>
      <w:r>
        <w:rPr>
          <w:rFonts w:hint="eastAsia" w:ascii="仿宋_GB2312" w:hAnsi="仿宋_GB2312" w:eastAsia="仿宋_GB2312"/>
          <w:color w:val="auto"/>
          <w:sz w:val="32"/>
          <w:lang w:val="en-US"/>
        </w:rPr>
        <w:t>2019年贵州省贵阳市粮食和物资储备局政府采购支出总额0万元，其中：政府采购货物支出0万元、政府采购工程支出0万元、政府采购服务支出0万元，</w:t>
      </w:r>
      <w:r>
        <w:rPr>
          <w:rFonts w:hint="eastAsia" w:ascii="仿宋_GB2312" w:hAnsi="仿宋_GB2312" w:eastAsia="仿宋_GB2312"/>
          <w:color w:val="auto"/>
          <w:sz w:val="32"/>
          <w:highlight w:val="white"/>
          <w:lang w:val="en-US"/>
        </w:rPr>
        <w:t>授予中小企业合同金额0万元，占政府采购支出总额的0%，其中：授予小微企业合同金额0万元，占政府采购支出总额的0%。</w:t>
      </w:r>
    </w:p>
    <w:p>
      <w:pPr>
        <w:spacing w:line="560" w:lineRule="exact"/>
        <w:ind w:firstLine="640"/>
        <w:rPr>
          <w:rFonts w:hint="default" w:eastAsia="Times New Roman"/>
          <w:b/>
          <w:color w:val="000000"/>
          <w:sz w:val="32"/>
          <w:lang w:val="en-US"/>
        </w:rPr>
      </w:pPr>
      <w:r>
        <w:rPr>
          <w:rFonts w:hint="eastAsia" w:ascii="仿宋_GB2312" w:hAnsi="仿宋_GB2312" w:eastAsia="仿宋_GB2312"/>
          <w:b/>
          <w:color w:val="000000"/>
          <w:sz w:val="32"/>
          <w:lang w:val="en-US"/>
        </w:rPr>
        <w:t>3、国有资产占用情况</w:t>
      </w:r>
    </w:p>
    <w:p>
      <w:pPr>
        <w:spacing w:line="572" w:lineRule="exact"/>
        <w:ind w:firstLine="640"/>
        <w:rPr>
          <w:rFonts w:hint="default" w:eastAsia="Times New Roman"/>
          <w:color w:val="auto"/>
          <w:sz w:val="32"/>
          <w:lang w:val="en-US"/>
        </w:rPr>
      </w:pPr>
      <w:r>
        <w:rPr>
          <w:rFonts w:hint="eastAsia" w:ascii="仿宋_GB2312" w:hAnsi="仿宋_GB2312" w:eastAsia="仿宋_GB2312"/>
          <w:color w:val="auto"/>
          <w:sz w:val="32"/>
          <w:lang w:val="en-US"/>
        </w:rPr>
        <w:t>截至2019年12月31日，贵州省贵阳市粮食和物资储备局共有车辆2辆，其中，主要领导干部用车</w:t>
      </w:r>
      <w:r>
        <w:rPr>
          <w:rFonts w:hint="eastAsia" w:ascii="仿宋_GB2312" w:hAnsi="仿宋_GB2312" w:eastAsia="仿宋_GB2312"/>
          <w:color w:val="auto"/>
          <w:sz w:val="32"/>
          <w:highlight w:val="white"/>
          <w:lang w:val="en-US"/>
        </w:rPr>
        <w:t>0</w:t>
      </w:r>
      <w:r>
        <w:rPr>
          <w:rFonts w:hint="eastAsia" w:ascii="仿宋_GB2312" w:hAnsi="仿宋_GB2312" w:eastAsia="仿宋_GB2312"/>
          <w:color w:val="auto"/>
          <w:sz w:val="32"/>
          <w:lang w:val="en-US"/>
        </w:rPr>
        <w:t>辆、机要通信用</w:t>
      </w:r>
      <w:r>
        <w:rPr>
          <w:rFonts w:hint="eastAsia" w:ascii="仿宋_GB2312" w:hAnsi="仿宋_GB2312" w:eastAsia="仿宋_GB2312"/>
          <w:color w:val="auto"/>
          <w:sz w:val="32"/>
          <w:highlight w:val="white"/>
          <w:lang w:val="en-US"/>
        </w:rPr>
        <w:t>车1</w:t>
      </w:r>
      <w:r>
        <w:rPr>
          <w:rFonts w:hint="eastAsia" w:ascii="仿宋_GB2312" w:hAnsi="仿宋_GB2312" w:eastAsia="仿宋_GB2312"/>
          <w:color w:val="auto"/>
          <w:sz w:val="32"/>
          <w:lang w:val="en-US"/>
        </w:rPr>
        <w:t>辆、应急保障用车0辆、执勤执法用车0辆、特种专业技术用车0辆、离退休干部用车1辆、其他用车0辆（其他用车主要是：  ）；单位价值50万元以上通用设备1台（套），单位价值100万元以上专用设备0台（套）。</w:t>
      </w:r>
    </w:p>
    <w:p>
      <w:pPr>
        <w:ind w:firstLine="645"/>
        <w:rPr>
          <w:rFonts w:hint="default" w:eastAsia="Times New Roman"/>
          <w:color w:val="000000"/>
          <w:sz w:val="32"/>
          <w:lang w:val="en-US"/>
        </w:rPr>
      </w:pPr>
      <w:r>
        <w:rPr>
          <w:rFonts w:hint="eastAsia" w:ascii="黑体" w:hAnsi="黑体" w:eastAsia="黑体"/>
          <w:color w:val="000000"/>
          <w:sz w:val="32"/>
          <w:lang w:val="en-US"/>
        </w:rPr>
        <w:t>四、名词解释</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（一）财政拨款收入：</w:t>
      </w:r>
      <w:r>
        <w:rPr>
          <w:rFonts w:hint="eastAsia" w:ascii="仿宋_GB2312" w:hAnsi="仿宋_GB2312" w:eastAsia="仿宋_GB2312"/>
          <w:color w:val="auto"/>
          <w:sz w:val="32"/>
          <w:lang w:val="en-US"/>
        </w:rPr>
        <w:t>指同级财政当年拨付的资金。</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（二）上级补助收入：</w:t>
      </w:r>
      <w:r>
        <w:rPr>
          <w:rFonts w:hint="eastAsia" w:ascii="仿宋_GB2312" w:hAnsi="仿宋_GB2312" w:eastAsia="仿宋_GB2312"/>
          <w:color w:val="auto"/>
          <w:sz w:val="32"/>
          <w:lang w:val="en-US"/>
        </w:rPr>
        <w:t>指事业单位从主管部门和上级单位取得的非财政补助收入。</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（三）事业收入：</w:t>
      </w:r>
      <w:r>
        <w:rPr>
          <w:rFonts w:hint="eastAsia" w:ascii="仿宋_GB2312" w:hAnsi="仿宋_GB2312" w:eastAsia="仿宋_GB2312"/>
          <w:color w:val="auto"/>
          <w:sz w:val="32"/>
          <w:lang w:val="en-US"/>
        </w:rPr>
        <w:t>指事业单位开展专业业务活动及其辅助活动所取得的收入。</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（四）经营收入：</w:t>
      </w:r>
      <w:r>
        <w:rPr>
          <w:rFonts w:hint="eastAsia" w:ascii="仿宋_GB2312" w:hAnsi="仿宋_GB2312" w:eastAsia="仿宋_GB2312"/>
          <w:color w:val="auto"/>
          <w:sz w:val="32"/>
          <w:lang w:val="en-US"/>
        </w:rPr>
        <w:t>指事业单位在专业业务活动及其辅助活动之外开展非独立核算经营活动取得的收入。</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（五）附属单位缴款：</w:t>
      </w:r>
      <w:r>
        <w:rPr>
          <w:rFonts w:hint="eastAsia" w:ascii="仿宋_GB2312" w:hAnsi="仿宋_GB2312" w:eastAsia="仿宋_GB2312"/>
          <w:color w:val="auto"/>
          <w:sz w:val="32"/>
          <w:lang w:val="en-US"/>
        </w:rPr>
        <w:t>指事业单位附属的独立核算单位按有关规定上缴的收入。</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（六）其他收入</w:t>
      </w:r>
      <w:r>
        <w:rPr>
          <w:rFonts w:hint="eastAsia" w:ascii="仿宋_GB2312" w:hAnsi="仿宋_GB2312" w:eastAsia="仿宋_GB2312"/>
          <w:color w:val="auto"/>
          <w:sz w:val="32"/>
          <w:lang w:val="en-US"/>
        </w:rPr>
        <w:t>：指除上述</w:t>
      </w:r>
      <w:r>
        <w:rPr>
          <w:rFonts w:hint="default" w:eastAsia="Times New Roman"/>
          <w:color w:val="auto"/>
          <w:sz w:val="32"/>
          <w:lang w:val="en-US"/>
        </w:rPr>
        <w:t>“</w:t>
      </w:r>
      <w:r>
        <w:rPr>
          <w:rFonts w:hint="eastAsia" w:ascii="仿宋_GB2312" w:hAnsi="仿宋_GB2312" w:eastAsia="仿宋_GB2312"/>
          <w:color w:val="auto"/>
          <w:sz w:val="32"/>
          <w:lang w:val="en-US"/>
        </w:rPr>
        <w:t>财政拨款收入</w:t>
      </w:r>
      <w:r>
        <w:rPr>
          <w:rFonts w:hint="default" w:eastAsia="Times New Roman"/>
          <w:color w:val="auto"/>
          <w:sz w:val="32"/>
          <w:lang w:val="en-US"/>
        </w:rPr>
        <w:t>”</w:t>
      </w:r>
      <w:r>
        <w:rPr>
          <w:rFonts w:hint="eastAsia" w:ascii="仿宋_GB2312" w:hAnsi="仿宋_GB2312" w:eastAsia="仿宋_GB2312"/>
          <w:color w:val="auto"/>
          <w:sz w:val="32"/>
          <w:lang w:val="en-US"/>
        </w:rPr>
        <w:t>、</w:t>
      </w:r>
      <w:r>
        <w:rPr>
          <w:rFonts w:hint="default" w:eastAsia="Times New Roman"/>
          <w:color w:val="auto"/>
          <w:sz w:val="32"/>
          <w:lang w:val="en-US"/>
        </w:rPr>
        <w:t>“</w:t>
      </w:r>
      <w:r>
        <w:rPr>
          <w:rFonts w:hint="eastAsia" w:ascii="仿宋_GB2312" w:hAnsi="仿宋_GB2312" w:eastAsia="仿宋_GB2312"/>
          <w:color w:val="auto"/>
          <w:sz w:val="32"/>
          <w:lang w:val="en-US"/>
        </w:rPr>
        <w:t>事业收入</w:t>
      </w:r>
      <w:r>
        <w:rPr>
          <w:rFonts w:hint="default" w:eastAsia="Times New Roman"/>
          <w:color w:val="auto"/>
          <w:sz w:val="32"/>
          <w:lang w:val="en-US"/>
        </w:rPr>
        <w:t>”</w:t>
      </w:r>
      <w:r>
        <w:rPr>
          <w:rFonts w:hint="eastAsia" w:ascii="仿宋_GB2312" w:hAnsi="仿宋_GB2312" w:eastAsia="仿宋_GB2312"/>
          <w:color w:val="auto"/>
          <w:sz w:val="32"/>
          <w:lang w:val="en-US"/>
        </w:rPr>
        <w:t>、</w:t>
      </w:r>
      <w:r>
        <w:rPr>
          <w:rFonts w:hint="default" w:eastAsia="Times New Roman"/>
          <w:color w:val="auto"/>
          <w:sz w:val="32"/>
          <w:lang w:val="en-US"/>
        </w:rPr>
        <w:t>“</w:t>
      </w:r>
      <w:r>
        <w:rPr>
          <w:rFonts w:hint="eastAsia" w:ascii="仿宋_GB2312" w:hAnsi="仿宋_GB2312" w:eastAsia="仿宋_GB2312"/>
          <w:color w:val="auto"/>
          <w:sz w:val="32"/>
          <w:lang w:val="en-US"/>
        </w:rPr>
        <w:t>经营收入</w:t>
      </w:r>
      <w:r>
        <w:rPr>
          <w:rFonts w:hint="default" w:eastAsia="Times New Roman"/>
          <w:color w:val="auto"/>
          <w:sz w:val="32"/>
          <w:lang w:val="en-US"/>
        </w:rPr>
        <w:t>”</w:t>
      </w:r>
      <w:r>
        <w:rPr>
          <w:rFonts w:hint="eastAsia" w:ascii="仿宋_GB2312" w:hAnsi="仿宋_GB2312" w:eastAsia="仿宋_GB2312"/>
          <w:color w:val="auto"/>
          <w:sz w:val="32"/>
          <w:lang w:val="en-US"/>
        </w:rPr>
        <w:t>、</w:t>
      </w:r>
      <w:r>
        <w:rPr>
          <w:rFonts w:hint="default" w:eastAsia="Times New Roman"/>
          <w:color w:val="auto"/>
          <w:sz w:val="32"/>
          <w:lang w:val="en-US"/>
        </w:rPr>
        <w:t>“</w:t>
      </w:r>
      <w:r>
        <w:rPr>
          <w:rFonts w:hint="eastAsia" w:ascii="仿宋_GB2312" w:hAnsi="仿宋_GB2312" w:eastAsia="仿宋_GB2312"/>
          <w:color w:val="auto"/>
          <w:sz w:val="32"/>
          <w:lang w:val="en-US"/>
        </w:rPr>
        <w:t>附属单位缴款</w:t>
      </w:r>
      <w:r>
        <w:rPr>
          <w:rFonts w:hint="default" w:eastAsia="Times New Roman"/>
          <w:color w:val="auto"/>
          <w:sz w:val="32"/>
          <w:lang w:val="en-US"/>
        </w:rPr>
        <w:t>”</w:t>
      </w:r>
      <w:r>
        <w:rPr>
          <w:rFonts w:hint="eastAsia" w:ascii="仿宋_GB2312" w:hAnsi="仿宋_GB2312" w:eastAsia="仿宋_GB2312"/>
          <w:color w:val="auto"/>
          <w:sz w:val="32"/>
          <w:lang w:val="en-US"/>
        </w:rPr>
        <w:t>等之外取得的收入。</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（七）用事业基金弥补收支差额：</w:t>
      </w:r>
      <w:r>
        <w:rPr>
          <w:rFonts w:hint="eastAsia" w:ascii="仿宋_GB2312" w:hAnsi="仿宋_GB2312" w:eastAsia="仿宋_GB2312"/>
          <w:color w:val="auto"/>
          <w:sz w:val="32"/>
          <w:lang w:val="en-US"/>
        </w:rPr>
        <w:t>指事业单位在当年的</w:t>
      </w:r>
      <w:r>
        <w:rPr>
          <w:rFonts w:hint="default" w:eastAsia="Times New Roman"/>
          <w:color w:val="auto"/>
          <w:sz w:val="32"/>
          <w:lang w:val="en-US"/>
        </w:rPr>
        <w:t>“</w:t>
      </w:r>
      <w:r>
        <w:rPr>
          <w:rFonts w:hint="eastAsia" w:ascii="仿宋_GB2312" w:hAnsi="仿宋_GB2312" w:eastAsia="仿宋_GB2312"/>
          <w:color w:val="auto"/>
          <w:sz w:val="32"/>
          <w:lang w:val="en-US"/>
        </w:rPr>
        <w:t>财政拨款收入</w:t>
      </w:r>
      <w:r>
        <w:rPr>
          <w:rFonts w:hint="default" w:eastAsia="Times New Roman"/>
          <w:color w:val="auto"/>
          <w:sz w:val="32"/>
          <w:lang w:val="en-US"/>
        </w:rPr>
        <w:t>”</w:t>
      </w:r>
      <w:r>
        <w:rPr>
          <w:rFonts w:hint="eastAsia" w:ascii="仿宋_GB2312" w:hAnsi="仿宋_GB2312" w:eastAsia="仿宋_GB2312"/>
          <w:color w:val="auto"/>
          <w:sz w:val="32"/>
          <w:lang w:val="en-US"/>
        </w:rPr>
        <w:t>、</w:t>
      </w:r>
      <w:r>
        <w:rPr>
          <w:rFonts w:hint="default" w:eastAsia="Times New Roman"/>
          <w:color w:val="auto"/>
          <w:sz w:val="32"/>
          <w:lang w:val="en-US"/>
        </w:rPr>
        <w:t>“</w:t>
      </w:r>
      <w:r>
        <w:rPr>
          <w:rFonts w:hint="eastAsia" w:ascii="仿宋_GB2312" w:hAnsi="仿宋_GB2312" w:eastAsia="仿宋_GB2312"/>
          <w:color w:val="auto"/>
          <w:sz w:val="32"/>
          <w:lang w:val="en-US"/>
        </w:rPr>
        <w:t>财政拨款结转和结余资金</w:t>
      </w:r>
      <w:r>
        <w:rPr>
          <w:rFonts w:hint="default" w:eastAsia="Times New Roman"/>
          <w:color w:val="auto"/>
          <w:sz w:val="32"/>
          <w:lang w:val="en-US"/>
        </w:rPr>
        <w:t>”</w:t>
      </w:r>
      <w:r>
        <w:rPr>
          <w:rFonts w:hint="eastAsia" w:ascii="仿宋_GB2312" w:hAnsi="仿宋_GB2312" w:eastAsia="仿宋_GB2312"/>
          <w:color w:val="auto"/>
          <w:sz w:val="32"/>
          <w:lang w:val="en-US"/>
        </w:rPr>
        <w:t>、</w:t>
      </w:r>
      <w:r>
        <w:rPr>
          <w:rFonts w:hint="default" w:eastAsia="Times New Roman"/>
          <w:color w:val="auto"/>
          <w:sz w:val="32"/>
          <w:lang w:val="en-US"/>
        </w:rPr>
        <w:t>“</w:t>
      </w:r>
      <w:r>
        <w:rPr>
          <w:rFonts w:hint="eastAsia" w:ascii="仿宋_GB2312" w:hAnsi="仿宋_GB2312" w:eastAsia="仿宋_GB2312"/>
          <w:color w:val="auto"/>
          <w:sz w:val="32"/>
          <w:lang w:val="en-US"/>
        </w:rPr>
        <w:t>事业收入</w:t>
      </w:r>
      <w:r>
        <w:rPr>
          <w:rFonts w:hint="default" w:eastAsia="Times New Roman"/>
          <w:color w:val="auto"/>
          <w:sz w:val="32"/>
          <w:lang w:val="en-US"/>
        </w:rPr>
        <w:t>”</w:t>
      </w:r>
      <w:r>
        <w:rPr>
          <w:rFonts w:hint="eastAsia" w:ascii="仿宋_GB2312" w:hAnsi="仿宋_GB2312" w:eastAsia="仿宋_GB2312"/>
          <w:color w:val="auto"/>
          <w:sz w:val="32"/>
          <w:lang w:val="en-US"/>
        </w:rPr>
        <w:t>、</w:t>
      </w:r>
      <w:r>
        <w:rPr>
          <w:rFonts w:hint="default" w:eastAsia="Times New Roman"/>
          <w:color w:val="auto"/>
          <w:sz w:val="32"/>
          <w:lang w:val="en-US"/>
        </w:rPr>
        <w:t>“</w:t>
      </w:r>
      <w:r>
        <w:rPr>
          <w:rFonts w:hint="eastAsia" w:ascii="仿宋_GB2312" w:hAnsi="仿宋_GB2312" w:eastAsia="仿宋_GB2312"/>
          <w:color w:val="auto"/>
          <w:sz w:val="32"/>
          <w:lang w:val="en-US"/>
        </w:rPr>
        <w:t>事业单位经营收入</w:t>
      </w:r>
      <w:r>
        <w:rPr>
          <w:rFonts w:hint="default" w:eastAsia="Times New Roman"/>
          <w:color w:val="auto"/>
          <w:sz w:val="32"/>
          <w:lang w:val="en-US"/>
        </w:rPr>
        <w:t>”</w:t>
      </w:r>
      <w:r>
        <w:rPr>
          <w:rFonts w:hint="eastAsia" w:ascii="仿宋_GB2312" w:hAnsi="仿宋_GB2312" w:eastAsia="仿宋_GB2312"/>
          <w:color w:val="auto"/>
          <w:sz w:val="32"/>
          <w:lang w:val="en-US"/>
        </w:rPr>
        <w:t>、</w:t>
      </w:r>
      <w:r>
        <w:rPr>
          <w:rFonts w:hint="default" w:eastAsia="Times New Roman"/>
          <w:color w:val="auto"/>
          <w:sz w:val="32"/>
          <w:lang w:val="en-US"/>
        </w:rPr>
        <w:t>“</w:t>
      </w:r>
      <w:r>
        <w:rPr>
          <w:rFonts w:hint="eastAsia" w:ascii="仿宋_GB2312" w:hAnsi="仿宋_GB2312" w:eastAsia="仿宋_GB2312"/>
          <w:color w:val="auto"/>
          <w:sz w:val="32"/>
          <w:lang w:val="en-US"/>
        </w:rPr>
        <w:t>其他收入</w:t>
      </w:r>
      <w:r>
        <w:rPr>
          <w:rFonts w:hint="default" w:eastAsia="Times New Roman"/>
          <w:color w:val="auto"/>
          <w:sz w:val="32"/>
          <w:lang w:val="en-US"/>
        </w:rPr>
        <w:t>”</w:t>
      </w:r>
      <w:r>
        <w:rPr>
          <w:rFonts w:hint="eastAsia" w:ascii="仿宋_GB2312" w:hAnsi="仿宋_GB2312" w:eastAsia="仿宋_GB2312"/>
          <w:color w:val="auto"/>
          <w:sz w:val="32"/>
          <w:lang w:val="en-US"/>
        </w:rPr>
        <w:t>不足以安排当年支出的情况下，使用以前年度积累的事业基金（即事业单位当年收支相抵后按国家规定提取、用于弥补以后年度收支差额的基金）弥补本年度收支缺口的资金。</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（八）上年结转和结余：</w:t>
      </w:r>
      <w:r>
        <w:rPr>
          <w:rFonts w:hint="eastAsia" w:ascii="仿宋_GB2312" w:hAnsi="仿宋_GB2312" w:eastAsia="仿宋_GB2312"/>
          <w:color w:val="auto"/>
          <w:sz w:val="32"/>
          <w:lang w:val="en-US"/>
        </w:rPr>
        <w:t>指以前年度支出预算因客观条件变化未执行完毕、结转到本年度按有关规定继续使用的资金，既包括财政拨款结转和结余，也包括事业收入、经营收入、其他收入的结转和结余。</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（九）结余分配：</w:t>
      </w:r>
      <w:r>
        <w:rPr>
          <w:rFonts w:hint="eastAsia" w:ascii="仿宋_GB2312" w:hAnsi="仿宋_GB2312" w:eastAsia="仿宋_GB2312"/>
          <w:color w:val="auto"/>
          <w:sz w:val="32"/>
          <w:lang w:val="en-US"/>
        </w:rPr>
        <w:t>反映单位当年结余的分配情况。</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（十）年末结转和结余：</w:t>
      </w:r>
      <w:r>
        <w:rPr>
          <w:rFonts w:hint="eastAsia" w:ascii="仿宋_GB2312" w:hAnsi="仿宋_GB2312" w:eastAsia="仿宋_GB2312"/>
          <w:color w:val="auto"/>
          <w:sz w:val="32"/>
          <w:lang w:val="en-US"/>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（十一）基本支出：</w:t>
      </w:r>
      <w:r>
        <w:rPr>
          <w:rFonts w:hint="eastAsia" w:ascii="仿宋_GB2312" w:hAnsi="仿宋_GB2312" w:eastAsia="仿宋_GB2312"/>
          <w:color w:val="auto"/>
          <w:sz w:val="32"/>
          <w:lang w:val="en-US"/>
        </w:rPr>
        <w:t>指为保障机构正常运转、完成日常工作任务而发生的人员支出和公用支出。</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（十二）项目支出：</w:t>
      </w:r>
      <w:r>
        <w:rPr>
          <w:rFonts w:hint="eastAsia" w:ascii="仿宋_GB2312" w:hAnsi="仿宋_GB2312" w:eastAsia="仿宋_GB2312"/>
          <w:color w:val="auto"/>
          <w:sz w:val="32"/>
          <w:lang w:val="en-US"/>
        </w:rPr>
        <w:t>指在基本支出之外为完成特定行政任务和事业发展目标所发生的支出。</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（十三）经营支出：</w:t>
      </w:r>
      <w:r>
        <w:rPr>
          <w:rFonts w:hint="eastAsia" w:ascii="仿宋_GB2312" w:hAnsi="仿宋_GB2312" w:eastAsia="仿宋_GB2312"/>
          <w:color w:val="auto"/>
          <w:sz w:val="32"/>
          <w:lang w:val="en-US"/>
        </w:rPr>
        <w:t>指事业单位在专业业务活动及其辅助活动之外开展非独立核算经营活动发生的支出。</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（十四）对附属单位补助支出：</w:t>
      </w:r>
      <w:r>
        <w:rPr>
          <w:rFonts w:hint="eastAsia" w:ascii="仿宋_GB2312" w:hAnsi="仿宋_GB2312" w:eastAsia="仿宋_GB2312"/>
          <w:color w:val="auto"/>
          <w:sz w:val="32"/>
          <w:lang w:val="en-US"/>
        </w:rPr>
        <w:t>指事业单位发生的用非财政预算资金对附属单位的补助支出。</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（十五）</w:t>
      </w:r>
      <w:r>
        <w:rPr>
          <w:rFonts w:hint="default" w:eastAsia="Times New Roman"/>
          <w:b/>
          <w:color w:val="auto"/>
          <w:sz w:val="32"/>
          <w:lang w:val="en-US"/>
        </w:rPr>
        <w:t>“</w:t>
      </w:r>
      <w:r>
        <w:rPr>
          <w:rFonts w:hint="eastAsia" w:ascii="楷体_GB2312" w:hAnsi="楷体_GB2312" w:eastAsia="楷体_GB2312"/>
          <w:b/>
          <w:color w:val="auto"/>
          <w:sz w:val="32"/>
          <w:lang w:val="en-US"/>
        </w:rPr>
        <w:t>三公</w:t>
      </w:r>
      <w:r>
        <w:rPr>
          <w:rFonts w:hint="default" w:eastAsia="Times New Roman"/>
          <w:b/>
          <w:color w:val="auto"/>
          <w:sz w:val="32"/>
          <w:lang w:val="en-US"/>
        </w:rPr>
        <w:t>”</w:t>
      </w:r>
      <w:r>
        <w:rPr>
          <w:rFonts w:hint="eastAsia" w:ascii="楷体_GB2312" w:hAnsi="楷体_GB2312" w:eastAsia="楷体_GB2312"/>
          <w:b/>
          <w:color w:val="auto"/>
          <w:sz w:val="32"/>
          <w:lang w:val="en-US"/>
        </w:rPr>
        <w:t>经费：</w:t>
      </w:r>
      <w:r>
        <w:rPr>
          <w:rFonts w:hint="eastAsia" w:ascii="仿宋_GB2312" w:hAnsi="仿宋_GB2312" w:eastAsia="仿宋_GB2312"/>
          <w:color w:val="auto"/>
          <w:sz w:val="32"/>
          <w:lang w:val="en-US"/>
        </w:rPr>
        <w:t>纳入同级财政预决算管理的</w:t>
      </w:r>
      <w:r>
        <w:rPr>
          <w:rFonts w:hint="default" w:eastAsia="Times New Roman"/>
          <w:color w:val="auto"/>
          <w:sz w:val="32"/>
          <w:lang w:val="en-US"/>
        </w:rPr>
        <w:t>“</w:t>
      </w:r>
      <w:r>
        <w:rPr>
          <w:rFonts w:hint="eastAsia" w:ascii="仿宋_GB2312" w:hAnsi="仿宋_GB2312" w:eastAsia="仿宋_GB2312"/>
          <w:color w:val="auto"/>
          <w:sz w:val="32"/>
          <w:lang w:val="en-US"/>
        </w:rPr>
        <w:t>三公</w:t>
      </w:r>
      <w:r>
        <w:rPr>
          <w:rFonts w:hint="default" w:eastAsia="Times New Roman"/>
          <w:color w:val="auto"/>
          <w:sz w:val="32"/>
          <w:lang w:val="en-US"/>
        </w:rPr>
        <w:t>”</w:t>
      </w:r>
      <w:r>
        <w:rPr>
          <w:rFonts w:hint="eastAsia" w:ascii="仿宋_GB2312" w:hAnsi="仿宋_GB2312" w:eastAsia="仿宋_GB2312"/>
          <w:color w:val="auto"/>
          <w:sz w:val="32"/>
          <w:lang w:val="en-US"/>
        </w:rPr>
        <w:t>经费是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（十六）机关运行经费：</w:t>
      </w:r>
      <w:r>
        <w:rPr>
          <w:rFonts w:hint="eastAsia" w:ascii="仿宋_GB2312" w:hAnsi="仿宋_GB2312" w:eastAsia="仿宋_GB2312"/>
          <w:color w:val="auto"/>
          <w:sz w:val="32"/>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2" w:lineRule="exact"/>
        <w:ind w:firstLine="643"/>
        <w:rPr>
          <w:rFonts w:hint="eastAsia" w:eastAsia="仿宋_GB2312"/>
          <w:color w:val="auto"/>
          <w:sz w:val="32"/>
          <w:lang w:val="en-US" w:eastAsia="zh-CN"/>
        </w:rPr>
      </w:pPr>
      <w:r>
        <w:rPr>
          <w:rFonts w:hint="eastAsia" w:ascii="楷体_GB2312" w:hAnsi="楷体_GB2312" w:eastAsia="楷体_GB2312"/>
          <w:b/>
          <w:color w:val="auto"/>
          <w:sz w:val="32"/>
          <w:lang w:val="en-US"/>
        </w:rPr>
        <w:t>（十七） 社会保障和就业支出（类）行政事业单位离退休（款） 机关事业单位基本养老保险缴费支出（项）：</w:t>
      </w:r>
      <w:r>
        <w:rPr>
          <w:rFonts w:hint="eastAsia" w:ascii="仿宋_GB2312" w:hAnsi="仿宋_GB2312" w:eastAsia="仿宋_GB2312"/>
          <w:color w:val="auto"/>
          <w:sz w:val="32"/>
          <w:lang w:val="en-US"/>
        </w:rPr>
        <w:t>反映</w:t>
      </w:r>
      <w:r>
        <w:rPr>
          <w:rFonts w:hint="eastAsia" w:ascii="仿宋_GB2312" w:hAnsi="仿宋_GB2312" w:eastAsia="仿宋_GB2312"/>
          <w:color w:val="auto"/>
          <w:sz w:val="32"/>
          <w:lang w:val="en-US" w:eastAsia="zh-CN"/>
        </w:rPr>
        <w:t>贵阳市粮食物资储备局</w:t>
      </w:r>
      <w:r>
        <w:rPr>
          <w:rFonts w:hint="eastAsia" w:ascii="仿宋_GB2312" w:hAnsi="仿宋_GB2312" w:eastAsia="仿宋_GB2312"/>
          <w:color w:val="auto"/>
          <w:sz w:val="32"/>
          <w:lang w:val="en-US"/>
        </w:rPr>
        <w:t>（包括实行公务员管理的事业单位）的基本支出</w:t>
      </w:r>
      <w:r>
        <w:rPr>
          <w:rFonts w:hint="eastAsia" w:ascii="仿宋_GB2312" w:hAnsi="仿宋_GB2312" w:eastAsia="仿宋_GB2312"/>
          <w:color w:val="auto"/>
          <w:sz w:val="32"/>
          <w:lang w:val="en-US" w:eastAsia="zh-CN"/>
        </w:rPr>
        <w:t>中人员经费的养老保险经费支出。</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（十八）  卫生健康支出（类） 行政事业单位医疗（款）行政单位医疗（项）：</w:t>
      </w:r>
      <w:r>
        <w:rPr>
          <w:rFonts w:hint="eastAsia" w:ascii="仿宋_GB2312" w:hAnsi="仿宋_GB2312" w:eastAsia="仿宋_GB2312"/>
          <w:color w:val="auto"/>
          <w:sz w:val="32"/>
          <w:lang w:val="en-US"/>
        </w:rPr>
        <w:t>反映</w:t>
      </w:r>
      <w:r>
        <w:rPr>
          <w:rFonts w:hint="eastAsia" w:ascii="仿宋_GB2312" w:hAnsi="仿宋_GB2312" w:eastAsia="仿宋_GB2312"/>
          <w:color w:val="auto"/>
          <w:sz w:val="32"/>
          <w:lang w:val="en-US" w:eastAsia="zh-CN"/>
        </w:rPr>
        <w:t>贵阳市粮食物资储备局</w:t>
      </w:r>
      <w:r>
        <w:rPr>
          <w:rFonts w:hint="eastAsia" w:ascii="仿宋_GB2312" w:hAnsi="仿宋_GB2312" w:eastAsia="仿宋_GB2312"/>
          <w:color w:val="auto"/>
          <w:sz w:val="32"/>
          <w:lang w:val="en-US"/>
        </w:rPr>
        <w:t>（包括实行公务员管理的事业单位）的基本支出</w:t>
      </w:r>
      <w:r>
        <w:rPr>
          <w:rFonts w:hint="eastAsia" w:ascii="仿宋_GB2312" w:hAnsi="仿宋_GB2312" w:eastAsia="仿宋_GB2312"/>
          <w:color w:val="auto"/>
          <w:sz w:val="32"/>
          <w:lang w:val="en-US" w:eastAsia="zh-CN"/>
        </w:rPr>
        <w:t>中人员经费的单位医疗保险经费支出</w:t>
      </w:r>
      <w:r>
        <w:rPr>
          <w:rFonts w:hint="eastAsia" w:ascii="仿宋_GB2312" w:hAnsi="仿宋_GB2312" w:eastAsia="仿宋_GB2312"/>
          <w:color w:val="auto"/>
          <w:sz w:val="32"/>
          <w:lang w:val="en-US"/>
        </w:rPr>
        <w:t>。</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（十</w:t>
      </w:r>
      <w:r>
        <w:rPr>
          <w:rFonts w:hint="eastAsia" w:ascii="楷体_GB2312" w:hAnsi="楷体_GB2312" w:eastAsia="楷体_GB2312"/>
          <w:b/>
          <w:color w:val="auto"/>
          <w:sz w:val="32"/>
          <w:lang w:val="en-US" w:eastAsia="zh-CN"/>
        </w:rPr>
        <w:t>九</w:t>
      </w:r>
      <w:r>
        <w:rPr>
          <w:rFonts w:hint="eastAsia" w:ascii="楷体_GB2312" w:hAnsi="楷体_GB2312" w:eastAsia="楷体_GB2312"/>
          <w:b/>
          <w:color w:val="auto"/>
          <w:sz w:val="32"/>
          <w:lang w:val="en-US"/>
        </w:rPr>
        <w:t>）  卫生健康支出（类）行政事业单位医疗（款）公务员医疗补助（项）：</w:t>
      </w:r>
      <w:r>
        <w:rPr>
          <w:rFonts w:hint="eastAsia" w:ascii="仿宋_GB2312" w:hAnsi="仿宋_GB2312" w:eastAsia="仿宋_GB2312"/>
          <w:color w:val="auto"/>
          <w:sz w:val="32"/>
          <w:lang w:val="en-US"/>
        </w:rPr>
        <w:t>反映</w:t>
      </w:r>
      <w:r>
        <w:rPr>
          <w:rFonts w:hint="eastAsia" w:ascii="仿宋_GB2312" w:hAnsi="仿宋_GB2312" w:eastAsia="仿宋_GB2312"/>
          <w:color w:val="auto"/>
          <w:sz w:val="32"/>
          <w:lang w:val="en-US" w:eastAsia="zh-CN"/>
        </w:rPr>
        <w:t>贵阳市粮食物资储备局</w:t>
      </w:r>
      <w:r>
        <w:rPr>
          <w:rFonts w:hint="eastAsia" w:ascii="仿宋_GB2312" w:hAnsi="仿宋_GB2312" w:eastAsia="仿宋_GB2312"/>
          <w:color w:val="auto"/>
          <w:sz w:val="32"/>
          <w:lang w:val="en-US"/>
        </w:rPr>
        <w:t>（包括实行公务员管理的事业单位）的基本支出</w:t>
      </w:r>
      <w:r>
        <w:rPr>
          <w:rFonts w:hint="eastAsia" w:ascii="仿宋_GB2312" w:hAnsi="仿宋_GB2312" w:eastAsia="仿宋_GB2312"/>
          <w:color w:val="auto"/>
          <w:sz w:val="32"/>
          <w:lang w:val="en-US" w:eastAsia="zh-CN"/>
        </w:rPr>
        <w:t>中人员经费的公务员补助经费支出</w:t>
      </w:r>
      <w:r>
        <w:rPr>
          <w:rFonts w:hint="eastAsia" w:ascii="仿宋_GB2312" w:hAnsi="仿宋_GB2312" w:eastAsia="仿宋_GB2312"/>
          <w:color w:val="auto"/>
          <w:sz w:val="32"/>
          <w:lang w:val="en-US"/>
        </w:rPr>
        <w:t>。</w:t>
      </w: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w:t>
      </w:r>
      <w:r>
        <w:rPr>
          <w:rFonts w:hint="eastAsia" w:ascii="楷体_GB2312" w:hAnsi="楷体_GB2312" w:eastAsia="楷体_GB2312"/>
          <w:b/>
          <w:color w:val="auto"/>
          <w:sz w:val="32"/>
          <w:lang w:val="en-US" w:eastAsia="zh-CN"/>
        </w:rPr>
        <w:t>二十</w:t>
      </w:r>
      <w:r>
        <w:rPr>
          <w:rFonts w:hint="eastAsia" w:ascii="楷体_GB2312" w:hAnsi="楷体_GB2312" w:eastAsia="楷体_GB2312"/>
          <w:b/>
          <w:color w:val="auto"/>
          <w:sz w:val="32"/>
          <w:lang w:val="en-US"/>
        </w:rPr>
        <w:t>）住房保障支出（类）住房改革支出（款）住房公积金（项）：</w:t>
      </w:r>
      <w:r>
        <w:rPr>
          <w:rFonts w:hint="eastAsia" w:ascii="仿宋_GB2312" w:hAnsi="仿宋_GB2312" w:eastAsia="仿宋_GB2312"/>
          <w:color w:val="auto"/>
          <w:sz w:val="32"/>
          <w:lang w:val="en-US"/>
        </w:rPr>
        <w:t>反映</w:t>
      </w:r>
      <w:r>
        <w:rPr>
          <w:rFonts w:hint="eastAsia" w:ascii="仿宋_GB2312" w:hAnsi="仿宋_GB2312" w:eastAsia="仿宋_GB2312"/>
          <w:color w:val="auto"/>
          <w:sz w:val="32"/>
          <w:lang w:val="en-US" w:eastAsia="zh-CN"/>
        </w:rPr>
        <w:t>贵阳市粮食物资储备局</w:t>
      </w:r>
      <w:r>
        <w:rPr>
          <w:rFonts w:hint="eastAsia" w:ascii="仿宋_GB2312" w:hAnsi="仿宋_GB2312" w:eastAsia="仿宋_GB2312"/>
          <w:color w:val="auto"/>
          <w:sz w:val="32"/>
          <w:lang w:val="en-US"/>
        </w:rPr>
        <w:t>（包括实行公务员管理的事业单位）的基本支出</w:t>
      </w:r>
      <w:r>
        <w:rPr>
          <w:rFonts w:hint="eastAsia" w:ascii="仿宋_GB2312" w:hAnsi="仿宋_GB2312" w:eastAsia="仿宋_GB2312"/>
          <w:color w:val="auto"/>
          <w:sz w:val="32"/>
          <w:lang w:val="en-US" w:eastAsia="zh-CN"/>
        </w:rPr>
        <w:t>中人员经费的住房公积金经费支出</w:t>
      </w:r>
      <w:r>
        <w:rPr>
          <w:rFonts w:hint="eastAsia" w:ascii="仿宋_GB2312" w:hAnsi="仿宋_GB2312" w:eastAsia="仿宋_GB2312"/>
          <w:color w:val="auto"/>
          <w:sz w:val="32"/>
          <w:lang w:val="en-US"/>
        </w:rPr>
        <w:t>。</w:t>
      </w:r>
    </w:p>
    <w:p>
      <w:pPr>
        <w:spacing w:line="572" w:lineRule="exact"/>
        <w:ind w:firstLine="643"/>
        <w:rPr>
          <w:rFonts w:hint="default" w:eastAsia="Times New Roman"/>
          <w:color w:val="auto"/>
          <w:sz w:val="32"/>
          <w:lang w:val="en-US"/>
        </w:rPr>
      </w:pPr>
    </w:p>
    <w:p>
      <w:pPr>
        <w:spacing w:line="572" w:lineRule="exact"/>
        <w:ind w:firstLine="643"/>
        <w:rPr>
          <w:rFonts w:hint="default" w:eastAsia="Times New Roman"/>
          <w:color w:val="auto"/>
          <w:sz w:val="32"/>
          <w:lang w:val="en-US"/>
        </w:rPr>
      </w:pPr>
      <w:r>
        <w:rPr>
          <w:rFonts w:hint="eastAsia" w:ascii="楷体_GB2312" w:hAnsi="楷体_GB2312" w:eastAsia="楷体_GB2312"/>
          <w:b/>
          <w:color w:val="auto"/>
          <w:sz w:val="32"/>
          <w:lang w:val="en-US"/>
        </w:rPr>
        <w:t>（</w:t>
      </w:r>
      <w:r>
        <w:rPr>
          <w:rFonts w:hint="eastAsia" w:ascii="楷体_GB2312" w:hAnsi="楷体_GB2312" w:eastAsia="楷体_GB2312"/>
          <w:b/>
          <w:color w:val="auto"/>
          <w:sz w:val="32"/>
          <w:lang w:val="en-US" w:eastAsia="zh-CN"/>
        </w:rPr>
        <w:t>二十一</w:t>
      </w:r>
      <w:r>
        <w:rPr>
          <w:rFonts w:hint="eastAsia" w:ascii="楷体_GB2312" w:hAnsi="楷体_GB2312" w:eastAsia="楷体_GB2312"/>
          <w:b/>
          <w:color w:val="auto"/>
          <w:sz w:val="32"/>
          <w:lang w:val="en-US"/>
        </w:rPr>
        <w:t>） 粮油物资储备支出（类）粮油事务（款）行政运行（项）：</w:t>
      </w:r>
      <w:r>
        <w:rPr>
          <w:rFonts w:hint="eastAsia" w:ascii="仿宋_GB2312" w:hAnsi="仿宋_GB2312" w:eastAsia="仿宋_GB2312"/>
          <w:color w:val="auto"/>
          <w:sz w:val="32"/>
          <w:lang w:val="en-US"/>
        </w:rPr>
        <w:t>反映</w:t>
      </w:r>
      <w:r>
        <w:rPr>
          <w:rFonts w:hint="eastAsia" w:ascii="仿宋_GB2312" w:hAnsi="仿宋_GB2312" w:eastAsia="仿宋_GB2312"/>
          <w:color w:val="auto"/>
          <w:sz w:val="32"/>
          <w:lang w:val="en-US" w:eastAsia="zh-CN"/>
        </w:rPr>
        <w:t>贵阳市粮食物资储备局</w:t>
      </w:r>
      <w:r>
        <w:rPr>
          <w:rFonts w:hint="eastAsia" w:ascii="仿宋_GB2312" w:hAnsi="仿宋_GB2312" w:eastAsia="仿宋_GB2312"/>
          <w:color w:val="auto"/>
          <w:sz w:val="32"/>
          <w:lang w:val="en-US"/>
        </w:rPr>
        <w:t>（包括实行公务员管理的事业单位）的基本支出</w:t>
      </w:r>
      <w:r>
        <w:rPr>
          <w:rFonts w:hint="eastAsia" w:ascii="仿宋_GB2312" w:hAnsi="仿宋_GB2312" w:eastAsia="仿宋_GB2312"/>
          <w:color w:val="auto"/>
          <w:sz w:val="32"/>
          <w:lang w:val="en-US" w:eastAsia="zh-CN"/>
        </w:rPr>
        <w:t>中人员经费的工资、津补贴、退休人员津补贴、办公经费等</w:t>
      </w:r>
      <w:r>
        <w:rPr>
          <w:rFonts w:hint="eastAsia" w:ascii="仿宋_GB2312" w:hAnsi="仿宋_GB2312" w:eastAsia="仿宋_GB2312"/>
          <w:color w:val="auto"/>
          <w:sz w:val="32"/>
          <w:lang w:val="en-US"/>
        </w:rPr>
        <w:t>。</w:t>
      </w:r>
    </w:p>
    <w:p>
      <w:pPr>
        <w:spacing w:line="572" w:lineRule="exact"/>
        <w:ind w:firstLine="643"/>
        <w:rPr>
          <w:rFonts w:hint="eastAsia" w:ascii="仿宋_GB2312" w:hAnsi="仿宋_GB2312" w:eastAsia="仿宋_GB2312"/>
          <w:color w:val="auto"/>
          <w:sz w:val="32"/>
          <w:lang w:val="en-US"/>
        </w:rPr>
      </w:pPr>
      <w:r>
        <w:rPr>
          <w:rFonts w:hint="eastAsia" w:ascii="楷体_GB2312" w:hAnsi="楷体_GB2312" w:eastAsia="楷体_GB2312"/>
          <w:b/>
          <w:color w:val="auto"/>
          <w:sz w:val="32"/>
          <w:lang w:val="en-US"/>
        </w:rPr>
        <w:t>（</w:t>
      </w:r>
      <w:r>
        <w:rPr>
          <w:rFonts w:hint="eastAsia" w:ascii="楷体_GB2312" w:hAnsi="楷体_GB2312" w:eastAsia="楷体_GB2312"/>
          <w:b/>
          <w:color w:val="auto"/>
          <w:sz w:val="32"/>
          <w:lang w:val="en-US" w:eastAsia="zh-CN"/>
        </w:rPr>
        <w:t>二十二</w:t>
      </w:r>
      <w:r>
        <w:rPr>
          <w:rFonts w:hint="eastAsia" w:ascii="楷体_GB2312" w:hAnsi="楷体_GB2312" w:eastAsia="楷体_GB2312"/>
          <w:b/>
          <w:color w:val="auto"/>
          <w:sz w:val="32"/>
          <w:lang w:val="en-US"/>
        </w:rPr>
        <w:t>）粮油物资储备支出（类）粮油事务（款）  一般行政管理事务（项）：</w:t>
      </w:r>
      <w:r>
        <w:rPr>
          <w:rFonts w:hint="eastAsia" w:ascii="仿宋_GB2312" w:hAnsi="仿宋_GB2312" w:eastAsia="仿宋_GB2312"/>
          <w:color w:val="auto"/>
          <w:sz w:val="32"/>
          <w:lang w:val="en-US"/>
        </w:rPr>
        <w:t>反映</w:t>
      </w:r>
      <w:r>
        <w:rPr>
          <w:rFonts w:hint="eastAsia" w:ascii="仿宋_GB2312" w:hAnsi="仿宋_GB2312" w:eastAsia="仿宋_GB2312"/>
          <w:color w:val="auto"/>
          <w:sz w:val="32"/>
          <w:lang w:val="en-US" w:eastAsia="zh-CN"/>
        </w:rPr>
        <w:t>贵阳市粮食物资储备局</w:t>
      </w:r>
      <w:r>
        <w:rPr>
          <w:rFonts w:hint="eastAsia" w:ascii="仿宋_GB2312" w:hAnsi="仿宋_GB2312" w:eastAsia="仿宋_GB2312"/>
          <w:color w:val="auto"/>
          <w:sz w:val="32"/>
          <w:lang w:val="en-US"/>
        </w:rPr>
        <w:t>（包括实行公务员管理的事业单位）的</w:t>
      </w:r>
      <w:r>
        <w:rPr>
          <w:rFonts w:hint="eastAsia" w:ascii="仿宋_GB2312" w:hAnsi="仿宋_GB2312" w:eastAsia="仿宋_GB2312"/>
          <w:color w:val="auto"/>
          <w:sz w:val="32"/>
          <w:lang w:val="en-US" w:eastAsia="zh-CN"/>
        </w:rPr>
        <w:t>项目经费支出中的一般项目经费支出</w:t>
      </w:r>
      <w:r>
        <w:rPr>
          <w:rFonts w:hint="eastAsia" w:ascii="仿宋_GB2312" w:hAnsi="仿宋_GB2312" w:eastAsia="仿宋_GB2312"/>
          <w:color w:val="auto"/>
          <w:sz w:val="32"/>
          <w:lang w:val="en-US"/>
        </w:rPr>
        <w:t>。</w:t>
      </w:r>
    </w:p>
    <w:p>
      <w:pPr>
        <w:spacing w:line="572" w:lineRule="exact"/>
        <w:ind w:firstLine="643"/>
        <w:rPr>
          <w:rFonts w:hint="eastAsia" w:ascii="仿宋_GB2312" w:hAnsi="仿宋_GB2312" w:eastAsia="仿宋_GB2312"/>
          <w:color w:val="auto"/>
          <w:sz w:val="32"/>
          <w:lang w:val="en-US"/>
        </w:rPr>
      </w:pPr>
      <w:r>
        <w:rPr>
          <w:rFonts w:hint="eastAsia" w:ascii="楷体_GB2312" w:hAnsi="楷体_GB2312" w:eastAsia="楷体_GB2312"/>
          <w:b/>
          <w:color w:val="auto"/>
          <w:sz w:val="32"/>
          <w:lang w:val="en-US"/>
        </w:rPr>
        <w:t>（</w:t>
      </w:r>
      <w:r>
        <w:rPr>
          <w:rFonts w:hint="eastAsia" w:ascii="楷体_GB2312" w:hAnsi="楷体_GB2312" w:eastAsia="楷体_GB2312"/>
          <w:b/>
          <w:color w:val="auto"/>
          <w:sz w:val="32"/>
          <w:lang w:val="en-US" w:eastAsia="zh-CN"/>
        </w:rPr>
        <w:t>二十三</w:t>
      </w:r>
      <w:r>
        <w:rPr>
          <w:rFonts w:hint="eastAsia" w:ascii="楷体_GB2312" w:hAnsi="楷体_GB2312" w:eastAsia="楷体_GB2312"/>
          <w:b/>
          <w:color w:val="auto"/>
          <w:sz w:val="32"/>
          <w:lang w:val="en-US"/>
        </w:rPr>
        <w:t>）粮油物资储备支出（类）粮油事务（款）粮食风险基金（项）：</w:t>
      </w:r>
      <w:r>
        <w:rPr>
          <w:rFonts w:hint="eastAsia" w:ascii="仿宋_GB2312" w:hAnsi="仿宋_GB2312" w:eastAsia="仿宋_GB2312"/>
          <w:color w:val="auto"/>
          <w:sz w:val="32"/>
          <w:lang w:val="en-US"/>
        </w:rPr>
        <w:t>反映</w:t>
      </w:r>
      <w:r>
        <w:rPr>
          <w:rFonts w:hint="eastAsia" w:ascii="仿宋_GB2312" w:hAnsi="仿宋_GB2312" w:eastAsia="仿宋_GB2312"/>
          <w:color w:val="auto"/>
          <w:sz w:val="32"/>
          <w:lang w:val="en-US" w:eastAsia="zh-CN"/>
        </w:rPr>
        <w:t>贵阳市粮食物资储备局</w:t>
      </w:r>
      <w:r>
        <w:rPr>
          <w:rFonts w:hint="eastAsia" w:ascii="仿宋_GB2312" w:hAnsi="仿宋_GB2312" w:eastAsia="仿宋_GB2312"/>
          <w:color w:val="auto"/>
          <w:sz w:val="32"/>
          <w:lang w:val="en-US"/>
        </w:rPr>
        <w:t>（包括实行公务员管理的事业单位）的</w:t>
      </w:r>
      <w:r>
        <w:rPr>
          <w:rFonts w:hint="eastAsia" w:ascii="仿宋_GB2312" w:hAnsi="仿宋_GB2312" w:eastAsia="仿宋_GB2312"/>
          <w:color w:val="auto"/>
          <w:sz w:val="32"/>
          <w:lang w:val="en-US" w:eastAsia="zh-CN"/>
        </w:rPr>
        <w:t>项目经费支出中的粮食风险基金经费支出</w:t>
      </w:r>
      <w:r>
        <w:rPr>
          <w:rFonts w:hint="eastAsia" w:ascii="仿宋_GB2312" w:hAnsi="仿宋_GB2312" w:eastAsia="仿宋_GB2312"/>
          <w:color w:val="auto"/>
          <w:sz w:val="32"/>
          <w:lang w:val="en-US"/>
        </w:rPr>
        <w:t>。</w:t>
      </w:r>
    </w:p>
    <w:p>
      <w:pPr>
        <w:spacing w:line="572" w:lineRule="exact"/>
        <w:ind w:firstLine="643"/>
        <w:rPr>
          <w:rFonts w:hint="eastAsia" w:ascii="仿宋_GB2312" w:hAnsi="仿宋_GB2312" w:eastAsia="仿宋_GB2312"/>
          <w:color w:val="auto"/>
          <w:sz w:val="32"/>
          <w:lang w:val="en-US"/>
        </w:rPr>
      </w:pPr>
      <w:r>
        <w:rPr>
          <w:rFonts w:hint="eastAsia" w:ascii="楷体_GB2312" w:hAnsi="楷体_GB2312" w:eastAsia="楷体_GB2312"/>
          <w:b/>
          <w:color w:val="auto"/>
          <w:sz w:val="32"/>
          <w:lang w:val="en-US"/>
        </w:rPr>
        <w:t>（</w:t>
      </w:r>
      <w:r>
        <w:rPr>
          <w:rFonts w:hint="eastAsia" w:ascii="楷体_GB2312" w:hAnsi="楷体_GB2312" w:eastAsia="楷体_GB2312"/>
          <w:b/>
          <w:color w:val="auto"/>
          <w:sz w:val="32"/>
          <w:lang w:val="en-US" w:eastAsia="zh-CN"/>
        </w:rPr>
        <w:t>二十四</w:t>
      </w:r>
      <w:r>
        <w:rPr>
          <w:rFonts w:hint="eastAsia" w:ascii="楷体_GB2312" w:hAnsi="楷体_GB2312" w:eastAsia="楷体_GB2312"/>
          <w:b/>
          <w:color w:val="auto"/>
          <w:sz w:val="32"/>
          <w:lang w:val="en-US"/>
        </w:rPr>
        <w:t>）粮油物资储备支出（类）粮油事务（款）其他粮油事务支出（项）：</w:t>
      </w:r>
      <w:r>
        <w:rPr>
          <w:rFonts w:hint="eastAsia" w:ascii="仿宋_GB2312" w:hAnsi="仿宋_GB2312" w:eastAsia="仿宋_GB2312"/>
          <w:color w:val="auto"/>
          <w:sz w:val="32"/>
          <w:lang w:val="en-US"/>
        </w:rPr>
        <w:t>反映</w:t>
      </w:r>
      <w:r>
        <w:rPr>
          <w:rFonts w:hint="eastAsia" w:ascii="仿宋_GB2312" w:hAnsi="仿宋_GB2312" w:eastAsia="仿宋_GB2312"/>
          <w:color w:val="auto"/>
          <w:sz w:val="32"/>
          <w:lang w:val="en-US" w:eastAsia="zh-CN"/>
        </w:rPr>
        <w:t>贵阳市粮食物资储备局</w:t>
      </w:r>
      <w:r>
        <w:rPr>
          <w:rFonts w:hint="eastAsia" w:ascii="仿宋_GB2312" w:hAnsi="仿宋_GB2312" w:eastAsia="仿宋_GB2312"/>
          <w:color w:val="auto"/>
          <w:sz w:val="32"/>
          <w:lang w:val="en-US"/>
        </w:rPr>
        <w:t>（包括实行公务员管理的事业单位）的</w:t>
      </w:r>
      <w:r>
        <w:rPr>
          <w:rFonts w:hint="eastAsia" w:ascii="仿宋_GB2312" w:hAnsi="仿宋_GB2312" w:eastAsia="仿宋_GB2312"/>
          <w:color w:val="auto"/>
          <w:sz w:val="32"/>
          <w:lang w:val="en-US" w:eastAsia="zh-CN"/>
        </w:rPr>
        <w:t>项目经费支出中的其他粮油事务经费支出</w:t>
      </w:r>
      <w:r>
        <w:rPr>
          <w:rFonts w:hint="eastAsia" w:ascii="仿宋_GB2312" w:hAnsi="仿宋_GB2312" w:eastAsia="仿宋_GB2312"/>
          <w:color w:val="auto"/>
          <w:sz w:val="32"/>
          <w:lang w:val="en-US"/>
        </w:rPr>
        <w:t>。</w:t>
      </w:r>
    </w:p>
    <w:p>
      <w:pPr>
        <w:spacing w:line="572" w:lineRule="exact"/>
        <w:ind w:firstLine="643"/>
        <w:rPr>
          <w:rFonts w:hint="eastAsia" w:ascii="仿宋_GB2312" w:hAnsi="仿宋_GB2312" w:eastAsia="仿宋_GB2312"/>
          <w:color w:val="auto"/>
          <w:sz w:val="32"/>
          <w:lang w:val="en-US"/>
        </w:rPr>
      </w:pPr>
      <w:r>
        <w:rPr>
          <w:rFonts w:hint="eastAsia" w:ascii="楷体_GB2312" w:hAnsi="楷体_GB2312" w:eastAsia="楷体_GB2312"/>
          <w:b/>
          <w:color w:val="auto"/>
          <w:sz w:val="32"/>
          <w:lang w:val="en-US"/>
        </w:rPr>
        <w:t>（</w:t>
      </w:r>
      <w:r>
        <w:rPr>
          <w:rFonts w:hint="eastAsia" w:ascii="楷体_GB2312" w:hAnsi="楷体_GB2312" w:eastAsia="楷体_GB2312"/>
          <w:b/>
          <w:color w:val="auto"/>
          <w:sz w:val="32"/>
          <w:lang w:val="en-US" w:eastAsia="zh-CN"/>
        </w:rPr>
        <w:t>二十五</w:t>
      </w:r>
      <w:r>
        <w:rPr>
          <w:rFonts w:hint="eastAsia" w:ascii="楷体_GB2312" w:hAnsi="楷体_GB2312" w:eastAsia="楷体_GB2312"/>
          <w:b/>
          <w:color w:val="auto"/>
          <w:sz w:val="32"/>
          <w:lang w:val="en-US"/>
        </w:rPr>
        <w:t>）粮油物资储备支出（类）重要商品储备（款）肉类储备（项）：</w:t>
      </w:r>
      <w:r>
        <w:rPr>
          <w:rFonts w:hint="eastAsia" w:ascii="仿宋_GB2312" w:hAnsi="仿宋_GB2312" w:eastAsia="仿宋_GB2312"/>
          <w:color w:val="auto"/>
          <w:sz w:val="32"/>
          <w:lang w:val="en-US"/>
        </w:rPr>
        <w:t>反映</w:t>
      </w:r>
      <w:r>
        <w:rPr>
          <w:rFonts w:hint="eastAsia" w:ascii="仿宋_GB2312" w:hAnsi="仿宋_GB2312" w:eastAsia="仿宋_GB2312"/>
          <w:color w:val="auto"/>
          <w:sz w:val="32"/>
          <w:lang w:val="en-US" w:eastAsia="zh-CN"/>
        </w:rPr>
        <w:t>贵阳市粮食物资储备局</w:t>
      </w:r>
      <w:r>
        <w:rPr>
          <w:rFonts w:hint="eastAsia" w:ascii="仿宋_GB2312" w:hAnsi="仿宋_GB2312" w:eastAsia="仿宋_GB2312"/>
          <w:color w:val="auto"/>
          <w:sz w:val="32"/>
          <w:lang w:val="en-US"/>
        </w:rPr>
        <w:t>（包括实行公务员管理的事业单位）的</w:t>
      </w:r>
      <w:r>
        <w:rPr>
          <w:rFonts w:hint="eastAsia" w:ascii="仿宋_GB2312" w:hAnsi="仿宋_GB2312" w:eastAsia="仿宋_GB2312"/>
          <w:color w:val="auto"/>
          <w:sz w:val="32"/>
          <w:lang w:val="en-US" w:eastAsia="zh-CN"/>
        </w:rPr>
        <w:t>项目经费支出中的重要商品储备中肉类储备项目经费支出</w:t>
      </w:r>
      <w:r>
        <w:rPr>
          <w:rFonts w:hint="eastAsia" w:ascii="仿宋_GB2312" w:hAnsi="仿宋_GB2312" w:eastAsia="仿宋_GB2312"/>
          <w:color w:val="auto"/>
          <w:sz w:val="32"/>
          <w:lang w:val="en-US"/>
        </w:rPr>
        <w:t>。</w:t>
      </w:r>
    </w:p>
    <w:p>
      <w:pPr>
        <w:spacing w:line="572" w:lineRule="exact"/>
        <w:ind w:firstLine="643"/>
        <w:rPr>
          <w:rFonts w:hint="default" w:eastAsia="Times New Roman"/>
          <w:b/>
          <w:color w:val="auto"/>
          <w:sz w:val="32"/>
          <w:lang w:val="en-US"/>
        </w:rPr>
      </w:pPr>
      <w:r>
        <w:rPr>
          <w:rFonts w:hint="eastAsia" w:ascii="仿宋_GB2312" w:hAnsi="仿宋_GB2312" w:eastAsia="仿宋_GB2312"/>
          <w:b/>
          <w:color w:val="auto"/>
          <w:sz w:val="32"/>
          <w:lang w:val="en-US"/>
        </w:rPr>
        <w:t>五、附件</w:t>
      </w:r>
    </w:p>
    <w:p>
      <w:pPr>
        <w:spacing w:line="572" w:lineRule="exact"/>
        <w:ind w:firstLine="643"/>
        <w:rPr>
          <w:rFonts w:hint="default" w:eastAsia="Times New Roman"/>
          <w:b/>
          <w:color w:val="auto"/>
          <w:sz w:val="32"/>
          <w:lang w:val="en-US"/>
        </w:rPr>
      </w:pPr>
      <w:r>
        <w:rPr>
          <w:rFonts w:hint="eastAsia" w:ascii="仿宋_GB2312" w:hAnsi="仿宋_GB2312" w:eastAsia="仿宋_GB2312"/>
          <w:b/>
          <w:color w:val="auto"/>
          <w:sz w:val="32"/>
          <w:lang w:val="en-US"/>
        </w:rPr>
        <w:t>1、</w:t>
      </w:r>
      <w:r>
        <w:rPr>
          <w:rFonts w:hint="eastAsia"/>
          <w:b/>
          <w:color w:val="auto"/>
          <w:sz w:val="32"/>
          <w:lang w:val="en-US" w:eastAsia="zh-CN"/>
        </w:rPr>
        <w:t>粮食风险基金</w:t>
      </w:r>
      <w:r>
        <w:rPr>
          <w:rFonts w:hint="eastAsia" w:ascii="仿宋_GB2312" w:hAnsi="仿宋_GB2312" w:eastAsia="仿宋_GB2312"/>
          <w:b/>
          <w:color w:val="auto"/>
          <w:sz w:val="32"/>
          <w:lang w:val="en-US"/>
        </w:rPr>
        <w:t>项目支出绩效自评价报告</w:t>
      </w:r>
    </w:p>
    <w:p>
      <w:pPr>
        <w:ind w:firstLine="645"/>
        <w:rPr>
          <w:rFonts w:hint="eastAsia" w:ascii="仿宋" w:hAnsi="仿宋" w:eastAsia="仿宋"/>
          <w:color w:val="333333"/>
          <w:kern w:val="0"/>
          <w:sz w:val="32"/>
        </w:rPr>
      </w:pPr>
      <w:r>
        <w:rPr>
          <w:rFonts w:hint="eastAsia" w:ascii="仿宋" w:hAnsi="仿宋" w:eastAsia="仿宋"/>
          <w:b/>
          <w:color w:val="auto"/>
          <w:sz w:val="32"/>
          <w:lang w:val="en-US"/>
        </w:rPr>
        <w:t>（1）项目概况</w:t>
      </w:r>
      <w:r>
        <w:rPr>
          <w:rFonts w:hint="eastAsia" w:ascii="仿宋" w:hAnsi="仿宋" w:eastAsia="仿宋"/>
          <w:b/>
          <w:color w:val="auto"/>
          <w:sz w:val="32"/>
          <w:lang w:val="en-US" w:eastAsia="zh-CN"/>
        </w:rPr>
        <w:t>：</w:t>
      </w:r>
      <w:r>
        <w:rPr>
          <w:rFonts w:hint="eastAsia" w:ascii="仿宋" w:hAnsi="仿宋" w:eastAsia="仿宋"/>
          <w:sz w:val="32"/>
        </w:rPr>
        <w:t>“粮食风险基金项目”用于平抑粮食市场价格，维护粮食正常</w:t>
      </w:r>
      <w:r>
        <w:rPr>
          <w:rFonts w:hint="eastAsia" w:ascii="仿宋" w:hAnsi="仿宋" w:eastAsia="仿宋"/>
          <w:color w:val="333333"/>
          <w:kern w:val="0"/>
          <w:sz w:val="32"/>
        </w:rPr>
        <w:t>流通秩序，实施经济调控的专项资金。</w:t>
      </w:r>
    </w:p>
    <w:p>
      <w:pPr>
        <w:ind w:firstLine="645"/>
        <w:rPr>
          <w:rFonts w:hint="eastAsia" w:ascii="仿宋_GB2312" w:eastAsia="仿宋_GB2312"/>
          <w:color w:val="000000"/>
          <w:sz w:val="32"/>
        </w:rPr>
      </w:pPr>
      <w:r>
        <w:rPr>
          <w:rFonts w:hint="eastAsia" w:ascii="仿宋" w:hAnsi="仿宋" w:eastAsia="仿宋"/>
          <w:b/>
          <w:color w:val="auto"/>
          <w:sz w:val="32"/>
          <w:lang w:val="en-US"/>
        </w:rPr>
        <w:t>（2）自评价结论</w:t>
      </w:r>
      <w:r>
        <w:rPr>
          <w:rFonts w:hint="eastAsia" w:ascii="仿宋" w:hAnsi="仿宋" w:eastAsia="仿宋"/>
          <w:b/>
          <w:color w:val="auto"/>
          <w:sz w:val="32"/>
          <w:lang w:val="en-US" w:eastAsia="zh-CN"/>
        </w:rPr>
        <w:t>：</w:t>
      </w:r>
      <w:r>
        <w:rPr>
          <w:rFonts w:hint="eastAsia" w:ascii="仿宋_GB2312" w:eastAsia="仿宋_GB2312"/>
          <w:color w:val="000000"/>
          <w:sz w:val="32"/>
        </w:rPr>
        <w:t>自评得分为</w:t>
      </w:r>
      <w:r>
        <w:rPr>
          <w:rFonts w:hint="eastAsia" w:ascii="仿宋_GB2312" w:eastAsia="仿宋_GB2312"/>
          <w:color w:val="000000"/>
          <w:sz w:val="32"/>
          <w:lang w:val="en-US" w:eastAsia="zh-CN"/>
        </w:rPr>
        <w:t>98</w:t>
      </w:r>
      <w:r>
        <w:rPr>
          <w:rFonts w:hint="eastAsia" w:ascii="仿宋_GB2312" w:eastAsia="仿宋_GB2312"/>
          <w:color w:val="000000"/>
          <w:sz w:val="32"/>
        </w:rPr>
        <w:t>分</w:t>
      </w:r>
    </w:p>
    <w:p>
      <w:pPr>
        <w:ind w:firstLine="645"/>
        <w:rPr>
          <w:rFonts w:hint="eastAsia" w:eastAsia="仿宋"/>
          <w:b/>
          <w:color w:val="FF0000"/>
          <w:sz w:val="32"/>
          <w:lang w:val="en-US" w:eastAsia="zh-CN"/>
        </w:rPr>
      </w:pPr>
      <w:r>
        <w:rPr>
          <w:rFonts w:hint="eastAsia" w:ascii="仿宋" w:hAnsi="仿宋" w:eastAsia="仿宋"/>
          <w:b/>
          <w:color w:val="auto"/>
          <w:sz w:val="32"/>
          <w:lang w:val="en-US"/>
        </w:rPr>
        <w:t>（3）主要存在的问题</w:t>
      </w:r>
      <w:r>
        <w:rPr>
          <w:rFonts w:hint="eastAsia" w:ascii="仿宋" w:hAnsi="仿宋" w:eastAsia="仿宋"/>
          <w:b/>
          <w:color w:val="auto"/>
          <w:sz w:val="32"/>
          <w:lang w:val="en-US" w:eastAsia="zh-CN"/>
        </w:rPr>
        <w:t>：</w:t>
      </w:r>
      <w:r>
        <w:rPr>
          <w:rFonts w:hint="eastAsia" w:ascii="仿宋" w:hAnsi="仿宋" w:eastAsia="仿宋"/>
          <w:sz w:val="32"/>
        </w:rPr>
        <w:t>目前我市采取的是年度预算确保粮食储备、调控及相关工作经费，</w:t>
      </w:r>
      <w:r>
        <w:rPr>
          <w:rFonts w:hint="eastAsia" w:ascii="仿宋" w:hAnsi="仿宋" w:eastAsia="仿宋"/>
          <w:sz w:val="32"/>
          <w:lang w:eastAsia="zh-CN"/>
        </w:rPr>
        <w:t>存在一定的项目结余数，</w:t>
      </w:r>
      <w:r>
        <w:rPr>
          <w:rFonts w:hint="eastAsia" w:ascii="仿宋" w:hAnsi="仿宋" w:eastAsia="仿宋"/>
          <w:sz w:val="32"/>
        </w:rPr>
        <w:t>如有结余</w:t>
      </w:r>
      <w:r>
        <w:rPr>
          <w:rFonts w:hint="eastAsia" w:ascii="仿宋" w:hAnsi="仿宋" w:eastAsia="仿宋"/>
          <w:sz w:val="32"/>
          <w:lang w:eastAsia="zh-CN"/>
        </w:rPr>
        <w:t>年底统一</w:t>
      </w:r>
      <w:r>
        <w:rPr>
          <w:rFonts w:hint="eastAsia" w:ascii="仿宋" w:hAnsi="仿宋" w:eastAsia="仿宋"/>
          <w:sz w:val="32"/>
        </w:rPr>
        <w:t>转入市财政局粮食风险基金专户，用于解决每年部门预算下达前粮食储备费用补贴拨补，储备基础设施建设及突发事件处置等开支。</w:t>
      </w:r>
    </w:p>
    <w:p>
      <w:pPr>
        <w:spacing w:line="560" w:lineRule="exact"/>
        <w:ind w:firstLine="643" w:firstLineChars="200"/>
        <w:rPr>
          <w:rFonts w:hint="eastAsia" w:eastAsia="仿宋"/>
          <w:b/>
          <w:color w:val="auto"/>
          <w:sz w:val="32"/>
          <w:lang w:val="en-US" w:eastAsia="zh-CN"/>
        </w:rPr>
      </w:pPr>
      <w:r>
        <w:rPr>
          <w:rFonts w:hint="eastAsia" w:ascii="仿宋" w:hAnsi="仿宋" w:eastAsia="仿宋"/>
          <w:b/>
          <w:color w:val="auto"/>
          <w:sz w:val="32"/>
          <w:lang w:val="en-US"/>
        </w:rPr>
        <w:t>（4）经验及建议</w:t>
      </w:r>
      <w:r>
        <w:rPr>
          <w:rFonts w:hint="eastAsia" w:ascii="仿宋" w:hAnsi="仿宋" w:eastAsia="仿宋"/>
          <w:b/>
          <w:color w:val="auto"/>
          <w:sz w:val="32"/>
          <w:lang w:val="en-US" w:eastAsia="zh-CN"/>
        </w:rPr>
        <w:t>：</w:t>
      </w:r>
      <w:r>
        <w:rPr>
          <w:rFonts w:hint="eastAsia" w:ascii="仿宋" w:hAnsi="仿宋" w:eastAsia="仿宋"/>
          <w:sz w:val="32"/>
        </w:rPr>
        <w:t>为保证市级储备粮油调得动、用得上、能应急，必须对储备粮油加强管理，定期组织轮换，随时保证储备粮油的数量和质量安全。</w:t>
      </w:r>
    </w:p>
    <w:p>
      <w:pPr>
        <w:ind w:firstLine="645"/>
        <w:rPr>
          <w:rFonts w:hint="default" w:eastAsia="Times New Roman"/>
          <w:b/>
          <w:color w:val="auto"/>
          <w:sz w:val="32"/>
          <w:lang w:val="en-US"/>
        </w:rPr>
      </w:pPr>
      <w:r>
        <w:rPr>
          <w:rFonts w:hint="eastAsia" w:ascii="仿宋" w:hAnsi="仿宋" w:eastAsia="仿宋"/>
          <w:b/>
          <w:color w:val="auto"/>
          <w:sz w:val="32"/>
          <w:lang w:val="en-US"/>
        </w:rPr>
        <w:t>（5）项目支出自评表</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
        <w:gridCol w:w="1541"/>
        <w:gridCol w:w="3520"/>
        <w:gridCol w:w="1180"/>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9351" w:type="dxa"/>
            <w:gridSpan w:val="5"/>
            <w:tcBorders>
              <w:top w:val="nil"/>
              <w:left w:val="nil"/>
              <w:bottom w:val="nil"/>
              <w:right w:val="nil"/>
              <w:tl2br w:val="nil"/>
              <w:tr2bl w:val="nil"/>
            </w:tcBorders>
            <w:noWrap w:val="0"/>
            <w:vAlign w:val="top"/>
          </w:tcPr>
          <w:p>
            <w:pPr>
              <w:jc w:val="left"/>
              <w:rPr>
                <w:rFonts w:hint="default" w:eastAsia="Times New Roman"/>
                <w:color w:val="000000"/>
                <w:kern w:val="0"/>
                <w:sz w:val="28"/>
                <w:lang w:val="en-US"/>
              </w:rPr>
            </w:pPr>
            <w:r>
              <w:rPr>
                <w:rFonts w:hint="eastAsia" w:ascii="黑体" w:hAnsi="黑体" w:eastAsia="黑体"/>
                <w:color w:val="000000"/>
                <w:kern w:val="0"/>
                <w:sz w:val="28"/>
                <w:lang w:val="en-US"/>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0" w:hRule="atLeast"/>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项目名称</w:t>
            </w:r>
          </w:p>
        </w:tc>
        <w:tc>
          <w:tcPr>
            <w:tcW w:w="7100" w:type="dxa"/>
            <w:gridSpan w:val="3"/>
            <w:tcBorders>
              <w:top w:val="single" w:color="auto" w:sz="6" w:space="0"/>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粮食风险基金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主管部门</w:t>
            </w:r>
          </w:p>
        </w:tc>
        <w:tc>
          <w:tcPr>
            <w:tcW w:w="3520" w:type="dxa"/>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贵阳市粮食和物资储备局</w:t>
            </w:r>
          </w:p>
        </w:tc>
        <w:tc>
          <w:tcPr>
            <w:tcW w:w="1180"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实施单位</w:t>
            </w:r>
          </w:p>
        </w:tc>
        <w:tc>
          <w:tcPr>
            <w:tcW w:w="2400" w:type="dxa"/>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下属各粮库企业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资金来源</w:t>
            </w:r>
          </w:p>
        </w:tc>
        <w:tc>
          <w:tcPr>
            <w:tcW w:w="1541"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资金总额（万元）</w:t>
            </w:r>
          </w:p>
        </w:tc>
        <w:tc>
          <w:tcPr>
            <w:tcW w:w="7100" w:type="dxa"/>
            <w:gridSpan w:val="3"/>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6970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jc w:val="left"/>
              <w:rPr>
                <w:rFonts w:hint="default" w:eastAsia="Times New Roman"/>
                <w:color w:val="000000"/>
                <w:kern w:val="0"/>
                <w:sz w:val="18"/>
                <w:lang w:val="en-US"/>
              </w:rPr>
            </w:pPr>
          </w:p>
        </w:tc>
        <w:tc>
          <w:tcPr>
            <w:tcW w:w="1541"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财政资金</w:t>
            </w:r>
          </w:p>
        </w:tc>
        <w:tc>
          <w:tcPr>
            <w:tcW w:w="7100" w:type="dxa"/>
            <w:gridSpan w:val="3"/>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6970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jc w:val="left"/>
              <w:rPr>
                <w:rFonts w:hint="default" w:eastAsia="Times New Roman"/>
                <w:color w:val="000000"/>
                <w:kern w:val="0"/>
                <w:sz w:val="18"/>
                <w:lang w:val="en-US"/>
              </w:rPr>
            </w:pPr>
          </w:p>
        </w:tc>
        <w:tc>
          <w:tcPr>
            <w:tcW w:w="1541"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其中：本级安排</w:t>
            </w:r>
          </w:p>
        </w:tc>
        <w:tc>
          <w:tcPr>
            <w:tcW w:w="7100" w:type="dxa"/>
            <w:gridSpan w:val="3"/>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6970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p>
        </w:tc>
        <w:tc>
          <w:tcPr>
            <w:tcW w:w="1541"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其他资金</w:t>
            </w:r>
          </w:p>
        </w:tc>
        <w:tc>
          <w:tcPr>
            <w:tcW w:w="7100" w:type="dxa"/>
            <w:gridSpan w:val="3"/>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single" w:color="auto" w:sz="6" w:space="0"/>
              <w:left w:val="single" w:color="auto" w:sz="6" w:space="0"/>
              <w:bottom w:val="nil"/>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绩效目标</w:t>
            </w:r>
          </w:p>
        </w:tc>
        <w:tc>
          <w:tcPr>
            <w:tcW w:w="3520" w:type="dxa"/>
            <w:tcBorders>
              <w:top w:val="nil"/>
              <w:left w:val="nil"/>
              <w:bottom w:val="single" w:color="auto" w:sz="6" w:space="0"/>
              <w:right w:val="single" w:color="auto" w:sz="6" w:space="0"/>
              <w:tl2br w:val="nil"/>
              <w:tr2bl w:val="nil"/>
            </w:tcBorders>
            <w:noWrap w:val="0"/>
            <w:vAlign w:val="top"/>
          </w:tcPr>
          <w:p>
            <w:pPr>
              <w:jc w:val="left"/>
              <w:rPr>
                <w:rFonts w:hint="eastAsia" w:eastAsia="仿宋"/>
                <w:color w:val="000000"/>
                <w:kern w:val="0"/>
                <w:sz w:val="18"/>
                <w:lang w:val="en-US" w:eastAsia="zh-CN"/>
              </w:rPr>
            </w:pPr>
            <w:r>
              <w:rPr>
                <w:rFonts w:hint="eastAsia" w:ascii="等线" w:hAnsi="等线" w:eastAsia="等线"/>
                <w:color w:val="000000"/>
                <w:kern w:val="0"/>
                <w:sz w:val="18"/>
                <w:lang w:val="en-US"/>
              </w:rPr>
              <w:t>项目绩效目标</w:t>
            </w:r>
            <w:r>
              <w:rPr>
                <w:rFonts w:hint="eastAsia" w:ascii="等线" w:hAnsi="等线" w:eastAsia="等线"/>
                <w:color w:val="000000"/>
                <w:kern w:val="0"/>
                <w:sz w:val="18"/>
                <w:lang w:val="en-US" w:eastAsia="zh-CN"/>
              </w:rPr>
              <w:t>：1、</w:t>
            </w:r>
            <w:r>
              <w:rPr>
                <w:rFonts w:hint="eastAsia" w:ascii="仿宋" w:hAnsi="仿宋" w:eastAsia="仿宋"/>
                <w:color w:val="333333"/>
                <w:kern w:val="0"/>
                <w:sz w:val="21"/>
              </w:rPr>
              <w:t>主要用于市级储备粮油的利息、费用支出和在特殊情况下需动用市级储备粮调节粮食市场价格时所需的开支</w:t>
            </w:r>
            <w:r>
              <w:rPr>
                <w:rFonts w:hint="eastAsia" w:ascii="仿宋" w:hAnsi="仿宋" w:eastAsia="仿宋"/>
                <w:color w:val="333333"/>
                <w:kern w:val="0"/>
                <w:sz w:val="21"/>
                <w:lang w:eastAsia="zh-CN"/>
              </w:rPr>
              <w:t>。</w:t>
            </w:r>
          </w:p>
        </w:tc>
        <w:tc>
          <w:tcPr>
            <w:tcW w:w="3580" w:type="dxa"/>
            <w:gridSpan w:val="2"/>
            <w:tcBorders>
              <w:top w:val="single" w:color="auto" w:sz="6" w:space="0"/>
              <w:left w:val="nil"/>
              <w:bottom w:val="single" w:color="auto" w:sz="6" w:space="0"/>
              <w:right w:val="single" w:color="auto" w:sz="6" w:space="0"/>
              <w:tl2br w:val="nil"/>
              <w:tr2bl w:val="nil"/>
            </w:tcBorders>
            <w:noWrap w:val="0"/>
            <w:vAlign w:val="top"/>
          </w:tcPr>
          <w:p>
            <w:pPr>
              <w:jc w:val="left"/>
              <w:rPr>
                <w:rFonts w:hint="eastAsia" w:eastAsia="等线"/>
                <w:color w:val="000000"/>
                <w:kern w:val="0"/>
                <w:sz w:val="18"/>
                <w:lang w:val="en-US" w:eastAsia="zh-CN"/>
              </w:rPr>
            </w:pPr>
            <w:r>
              <w:rPr>
                <w:rFonts w:hint="eastAsia" w:ascii="等线" w:hAnsi="等线" w:eastAsia="等线"/>
                <w:color w:val="000000"/>
                <w:kern w:val="0"/>
                <w:sz w:val="18"/>
                <w:lang w:val="en-US"/>
              </w:rPr>
              <w:t>目标完成情况</w:t>
            </w:r>
            <w:r>
              <w:rPr>
                <w:rFonts w:hint="eastAsia" w:ascii="等线" w:hAnsi="等线" w:eastAsia="等线"/>
                <w:color w:val="000000"/>
                <w:kern w:val="0"/>
                <w:sz w:val="18"/>
                <w:lang w:val="en-US" w:eastAsia="zh-CN"/>
              </w:rPr>
              <w:t>：1、完成了市级粮油每个季度的费用、利息补贴及轮换费用的拨付。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nil"/>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p>
        </w:tc>
        <w:tc>
          <w:tcPr>
            <w:tcW w:w="3520" w:type="dxa"/>
            <w:tcBorders>
              <w:top w:val="nil"/>
              <w:left w:val="nil"/>
              <w:bottom w:val="single" w:color="auto" w:sz="6" w:space="0"/>
              <w:right w:val="single" w:color="auto" w:sz="6" w:space="0"/>
              <w:tl2br w:val="nil"/>
              <w:tr2bl w:val="nil"/>
            </w:tcBorders>
            <w:noWrap w:val="0"/>
            <w:vAlign w:val="top"/>
          </w:tcPr>
          <w:p>
            <w:pPr>
              <w:jc w:val="left"/>
              <w:rPr>
                <w:rFonts w:hint="eastAsia" w:eastAsia="仿宋"/>
                <w:color w:val="000000"/>
                <w:kern w:val="0"/>
                <w:sz w:val="18"/>
                <w:lang w:val="en-US" w:eastAsia="zh-CN"/>
              </w:rPr>
            </w:pPr>
            <w:r>
              <w:rPr>
                <w:rFonts w:hint="eastAsia" w:ascii="仿宋" w:hAnsi="仿宋" w:eastAsia="仿宋"/>
                <w:color w:val="333333"/>
                <w:kern w:val="0"/>
                <w:sz w:val="21"/>
                <w:lang w:val="en-US" w:eastAsia="zh-CN"/>
              </w:rPr>
              <w:t>2、</w:t>
            </w:r>
            <w:r>
              <w:rPr>
                <w:rFonts w:hint="eastAsia" w:ascii="仿宋" w:hAnsi="仿宋" w:eastAsia="仿宋"/>
                <w:color w:val="333333"/>
                <w:kern w:val="0"/>
                <w:sz w:val="21"/>
              </w:rPr>
              <w:t>开展对城乡低保居民粮食供应和水淹区农村居民政策性粮食供应的开支的补助</w:t>
            </w:r>
            <w:r>
              <w:rPr>
                <w:rFonts w:hint="eastAsia" w:ascii="仿宋" w:hAnsi="仿宋" w:eastAsia="仿宋"/>
                <w:color w:val="333333"/>
                <w:kern w:val="0"/>
                <w:sz w:val="21"/>
                <w:lang w:eastAsia="zh-CN"/>
              </w:rPr>
              <w:t>。</w:t>
            </w:r>
          </w:p>
        </w:tc>
        <w:tc>
          <w:tcPr>
            <w:tcW w:w="3580" w:type="dxa"/>
            <w:gridSpan w:val="2"/>
            <w:tcBorders>
              <w:top w:val="single" w:color="auto" w:sz="6" w:space="0"/>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2、完成了本年低保粮油的招投标采购及上年发放工作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自评价分数</w:t>
            </w:r>
          </w:p>
        </w:tc>
        <w:tc>
          <w:tcPr>
            <w:tcW w:w="7100" w:type="dxa"/>
            <w:gridSpan w:val="3"/>
            <w:tcBorders>
              <w:top w:val="single" w:color="auto" w:sz="6" w:space="0"/>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98分</w:t>
            </w:r>
          </w:p>
        </w:tc>
      </w:tr>
    </w:tbl>
    <w:p>
      <w:pPr>
        <w:ind w:firstLine="645"/>
        <w:rPr>
          <w:rFonts w:hint="default" w:eastAsia="Times New Roman"/>
          <w:b/>
          <w:color w:val="auto"/>
          <w:sz w:val="32"/>
          <w:lang w:val="en-US"/>
        </w:rPr>
      </w:pPr>
    </w:p>
    <w:p>
      <w:pPr>
        <w:spacing w:line="572" w:lineRule="exact"/>
        <w:ind w:firstLine="643"/>
        <w:rPr>
          <w:rFonts w:hint="default" w:eastAsia="Times New Roman"/>
          <w:b/>
          <w:color w:val="auto"/>
          <w:sz w:val="32"/>
          <w:lang w:val="en-US"/>
        </w:rPr>
      </w:pPr>
      <w:r>
        <w:rPr>
          <w:rFonts w:hint="default" w:eastAsia="Times New Roman"/>
          <w:b/>
          <w:color w:val="auto"/>
          <w:sz w:val="32"/>
          <w:lang w:val="en-US"/>
        </w:rPr>
        <w:t>2</w:t>
      </w:r>
      <w:r>
        <w:rPr>
          <w:rFonts w:hint="eastAsia" w:ascii="等线" w:hAnsi="等线" w:eastAsia="等线"/>
          <w:b/>
          <w:color w:val="auto"/>
          <w:sz w:val="32"/>
          <w:lang w:val="en-US"/>
        </w:rPr>
        <w:t>、</w:t>
      </w:r>
      <w:r>
        <w:rPr>
          <w:rFonts w:hint="eastAsia" w:ascii="等线" w:hAnsi="等线" w:eastAsia="等线"/>
          <w:b/>
          <w:color w:val="auto"/>
          <w:sz w:val="32"/>
          <w:lang w:val="en-US" w:eastAsia="zh-CN"/>
        </w:rPr>
        <w:t>肉类储备</w:t>
      </w:r>
      <w:r>
        <w:rPr>
          <w:rFonts w:hint="eastAsia" w:ascii="仿宋_GB2312" w:hAnsi="仿宋_GB2312" w:eastAsia="仿宋_GB2312"/>
          <w:b/>
          <w:color w:val="auto"/>
          <w:sz w:val="32"/>
          <w:lang w:val="en-US"/>
        </w:rPr>
        <w:t>项目支出绩效自评价报告</w:t>
      </w:r>
    </w:p>
    <w:p>
      <w:pPr>
        <w:ind w:firstLine="645"/>
        <w:rPr>
          <w:rFonts w:hint="eastAsia" w:ascii="仿宋_GB2312" w:hAnsi="仿宋" w:eastAsia="仿宋_GB2312"/>
          <w:color w:val="000000"/>
          <w:sz w:val="32"/>
        </w:rPr>
      </w:pPr>
      <w:r>
        <w:rPr>
          <w:rFonts w:hint="eastAsia" w:ascii="仿宋" w:hAnsi="仿宋" w:eastAsia="仿宋"/>
          <w:b/>
          <w:color w:val="auto"/>
          <w:sz w:val="32"/>
          <w:lang w:val="en-US"/>
        </w:rPr>
        <w:t>（1）项目概况</w:t>
      </w:r>
      <w:r>
        <w:rPr>
          <w:rFonts w:hint="eastAsia" w:ascii="仿宋" w:hAnsi="仿宋" w:eastAsia="仿宋"/>
          <w:b/>
          <w:color w:val="auto"/>
          <w:sz w:val="32"/>
          <w:lang w:val="en-US" w:eastAsia="zh-CN"/>
        </w:rPr>
        <w:t>：</w:t>
      </w:r>
      <w:r>
        <w:rPr>
          <w:rFonts w:hint="eastAsia" w:ascii="仿宋_GB2312" w:hAnsi="仿宋" w:eastAsia="仿宋_GB2312"/>
          <w:color w:val="000000"/>
          <w:sz w:val="32"/>
        </w:rPr>
        <w:t>按照2019年9月5日省政府召开的全省稳定生猪生产保障市年供应专题会议要求以及省、市文件精神，我市须完冻猪肉储备任务。</w:t>
      </w:r>
    </w:p>
    <w:p>
      <w:pPr>
        <w:ind w:firstLine="645"/>
        <w:rPr>
          <w:rFonts w:hint="eastAsia" w:eastAsia="仿宋"/>
          <w:b/>
          <w:color w:val="auto"/>
          <w:sz w:val="32"/>
          <w:lang w:val="en-US" w:eastAsia="zh-CN"/>
        </w:rPr>
      </w:pPr>
      <w:r>
        <w:rPr>
          <w:rFonts w:hint="eastAsia" w:ascii="仿宋" w:hAnsi="仿宋" w:eastAsia="仿宋"/>
          <w:b/>
          <w:color w:val="auto"/>
          <w:sz w:val="32"/>
          <w:lang w:val="en-US"/>
        </w:rPr>
        <w:t>（2）自评价结论</w:t>
      </w:r>
      <w:r>
        <w:rPr>
          <w:rFonts w:hint="eastAsia" w:ascii="仿宋" w:hAnsi="仿宋" w:eastAsia="仿宋"/>
          <w:b/>
          <w:color w:val="auto"/>
          <w:sz w:val="32"/>
          <w:lang w:val="en-US" w:eastAsia="zh-CN"/>
        </w:rPr>
        <w:t>：</w:t>
      </w:r>
      <w:r>
        <w:rPr>
          <w:rFonts w:hint="eastAsia" w:ascii="仿宋_GB2312" w:eastAsia="仿宋_GB2312"/>
          <w:color w:val="000000"/>
          <w:sz w:val="32"/>
        </w:rPr>
        <w:t>自评得分为</w:t>
      </w:r>
      <w:r>
        <w:rPr>
          <w:rFonts w:hint="eastAsia" w:ascii="仿宋_GB2312" w:eastAsia="仿宋_GB2312"/>
          <w:color w:val="000000"/>
          <w:sz w:val="32"/>
          <w:lang w:val="en-US" w:eastAsia="zh-CN"/>
        </w:rPr>
        <w:t>98</w:t>
      </w:r>
      <w:r>
        <w:rPr>
          <w:rFonts w:hint="eastAsia" w:ascii="仿宋_GB2312" w:eastAsia="仿宋_GB2312"/>
          <w:color w:val="000000"/>
          <w:sz w:val="32"/>
        </w:rPr>
        <w:t>分</w:t>
      </w:r>
      <w:r>
        <w:rPr>
          <w:rFonts w:hint="eastAsia" w:ascii="仿宋_GB2312" w:eastAsia="仿宋_GB2312"/>
          <w:color w:val="000000"/>
          <w:sz w:val="32"/>
          <w:lang w:eastAsia="zh-CN"/>
        </w:rPr>
        <w:t>，较好的完成率该物资储备。</w:t>
      </w:r>
    </w:p>
    <w:p>
      <w:pPr>
        <w:spacing w:line="578" w:lineRule="exact"/>
        <w:ind w:firstLine="710" w:firstLineChars="221"/>
        <w:jc w:val="left"/>
        <w:rPr>
          <w:rFonts w:hint="eastAsia" w:eastAsia="仿宋_GB2312"/>
          <w:b/>
          <w:color w:val="FF0000"/>
          <w:sz w:val="32"/>
          <w:lang w:val="en-US" w:eastAsia="zh-CN"/>
        </w:rPr>
      </w:pPr>
      <w:r>
        <w:rPr>
          <w:rFonts w:hint="eastAsia" w:ascii="仿宋" w:hAnsi="仿宋" w:eastAsia="仿宋"/>
          <w:b/>
          <w:color w:val="auto"/>
          <w:sz w:val="32"/>
          <w:lang w:val="en-US"/>
        </w:rPr>
        <w:t>（3）主要存在的问题</w:t>
      </w:r>
      <w:r>
        <w:rPr>
          <w:rFonts w:hint="eastAsia" w:ascii="仿宋_GB2312" w:eastAsia="仿宋_GB2312"/>
          <w:sz w:val="32"/>
        </w:rPr>
        <w:t>冻猪肉储备管理费用为包干费用，但是企业在开展储备中要投入很大的资金，同时由于猪肉出现价格波动时，企业面临市场风险高</w:t>
      </w:r>
      <w:r>
        <w:rPr>
          <w:rFonts w:hint="eastAsia" w:ascii="仿宋_GB2312" w:eastAsia="仿宋_GB2312"/>
          <w:sz w:val="32"/>
          <w:lang w:eastAsia="zh-CN"/>
        </w:rPr>
        <w:t>等问题。</w:t>
      </w:r>
    </w:p>
    <w:p>
      <w:pPr>
        <w:spacing w:line="578" w:lineRule="exact"/>
        <w:ind w:firstLine="710" w:firstLineChars="221"/>
        <w:jc w:val="left"/>
        <w:rPr>
          <w:rFonts w:hint="eastAsia" w:eastAsia="仿宋"/>
          <w:b/>
          <w:color w:val="auto"/>
          <w:sz w:val="32"/>
          <w:lang w:val="en-US" w:eastAsia="zh-CN"/>
        </w:rPr>
      </w:pPr>
      <w:r>
        <w:rPr>
          <w:rFonts w:hint="eastAsia" w:ascii="仿宋" w:hAnsi="仿宋" w:eastAsia="仿宋"/>
          <w:b/>
          <w:color w:val="auto"/>
          <w:sz w:val="32"/>
          <w:lang w:val="en-US"/>
        </w:rPr>
        <w:t>（4）经验及建议</w:t>
      </w:r>
      <w:r>
        <w:rPr>
          <w:rFonts w:hint="eastAsia" w:ascii="仿宋" w:hAnsi="仿宋" w:eastAsia="仿宋"/>
          <w:b/>
          <w:color w:val="auto"/>
          <w:sz w:val="32"/>
          <w:lang w:val="en-US" w:eastAsia="zh-CN"/>
        </w:rPr>
        <w:t>：</w:t>
      </w:r>
      <w:r>
        <w:rPr>
          <w:rFonts w:hint="eastAsia" w:ascii="仿宋_GB2312" w:eastAsia="仿宋_GB2312"/>
          <w:sz w:val="32"/>
        </w:rPr>
        <w:t>，如果能</w:t>
      </w:r>
      <w:r>
        <w:rPr>
          <w:rFonts w:hint="eastAsia" w:ascii="仿宋_GB2312" w:eastAsia="仿宋_GB2312"/>
          <w:sz w:val="32"/>
          <w:lang w:eastAsia="zh-CN"/>
        </w:rPr>
        <w:t>根据市场变化</w:t>
      </w:r>
      <w:r>
        <w:rPr>
          <w:rFonts w:hint="eastAsia" w:ascii="仿宋_GB2312" w:eastAsia="仿宋_GB2312"/>
          <w:sz w:val="32"/>
        </w:rPr>
        <w:t>提供适当的资金补贴，能有效降低企业</w:t>
      </w:r>
      <w:r>
        <w:rPr>
          <w:rFonts w:hint="eastAsia" w:ascii="仿宋_GB2312" w:eastAsia="仿宋_GB2312"/>
          <w:sz w:val="32"/>
          <w:lang w:eastAsia="zh-CN"/>
        </w:rPr>
        <w:t>储备的</w:t>
      </w:r>
      <w:r>
        <w:rPr>
          <w:rFonts w:hint="eastAsia" w:ascii="仿宋_GB2312" w:eastAsia="仿宋_GB2312"/>
          <w:sz w:val="32"/>
        </w:rPr>
        <w:t>风险和成本。</w:t>
      </w:r>
    </w:p>
    <w:p>
      <w:pPr>
        <w:ind w:firstLine="645"/>
        <w:rPr>
          <w:rFonts w:hint="default" w:eastAsia="Times New Roman"/>
          <w:b/>
          <w:color w:val="auto"/>
          <w:sz w:val="32"/>
          <w:lang w:val="en-US"/>
        </w:rPr>
      </w:pPr>
      <w:r>
        <w:rPr>
          <w:rFonts w:hint="eastAsia" w:ascii="仿宋" w:hAnsi="仿宋" w:eastAsia="仿宋"/>
          <w:b/>
          <w:color w:val="auto"/>
          <w:sz w:val="32"/>
          <w:lang w:val="en-US"/>
        </w:rPr>
        <w:t>（5）项目支出自评表</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
        <w:gridCol w:w="1541"/>
        <w:gridCol w:w="3520"/>
        <w:gridCol w:w="1180"/>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9351" w:type="dxa"/>
            <w:gridSpan w:val="5"/>
            <w:tcBorders>
              <w:top w:val="nil"/>
              <w:left w:val="nil"/>
              <w:bottom w:val="nil"/>
              <w:right w:val="nil"/>
              <w:tl2br w:val="nil"/>
              <w:tr2bl w:val="nil"/>
            </w:tcBorders>
            <w:noWrap w:val="0"/>
            <w:vAlign w:val="top"/>
          </w:tcPr>
          <w:p>
            <w:pPr>
              <w:jc w:val="left"/>
              <w:rPr>
                <w:rFonts w:hint="default" w:eastAsia="Times New Roman"/>
                <w:color w:val="000000"/>
                <w:kern w:val="0"/>
                <w:sz w:val="28"/>
                <w:lang w:val="en-US"/>
              </w:rPr>
            </w:pPr>
            <w:r>
              <w:rPr>
                <w:rFonts w:hint="eastAsia" w:ascii="黑体" w:hAnsi="黑体" w:eastAsia="黑体"/>
                <w:color w:val="000000"/>
                <w:kern w:val="0"/>
                <w:sz w:val="28"/>
                <w:lang w:val="en-US"/>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项目名称</w:t>
            </w:r>
          </w:p>
        </w:tc>
        <w:tc>
          <w:tcPr>
            <w:tcW w:w="7100" w:type="dxa"/>
            <w:gridSpan w:val="3"/>
            <w:tcBorders>
              <w:top w:val="single" w:color="auto" w:sz="6" w:space="0"/>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肉类储备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主管部门</w:t>
            </w:r>
          </w:p>
        </w:tc>
        <w:tc>
          <w:tcPr>
            <w:tcW w:w="3520" w:type="dxa"/>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贵阳市粮食和物资储备局</w:t>
            </w:r>
          </w:p>
        </w:tc>
        <w:tc>
          <w:tcPr>
            <w:tcW w:w="1180"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实施单位</w:t>
            </w:r>
          </w:p>
        </w:tc>
        <w:tc>
          <w:tcPr>
            <w:tcW w:w="2400" w:type="dxa"/>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贵阳市农业农垦实施发展有限公司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资金来源</w:t>
            </w:r>
          </w:p>
        </w:tc>
        <w:tc>
          <w:tcPr>
            <w:tcW w:w="1541"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资金总额（万元）</w:t>
            </w:r>
          </w:p>
        </w:tc>
        <w:tc>
          <w:tcPr>
            <w:tcW w:w="7100" w:type="dxa"/>
            <w:gridSpan w:val="3"/>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jc w:val="left"/>
              <w:rPr>
                <w:rFonts w:hint="default" w:eastAsia="Times New Roman"/>
                <w:color w:val="000000"/>
                <w:kern w:val="0"/>
                <w:sz w:val="18"/>
                <w:lang w:val="en-US"/>
              </w:rPr>
            </w:pPr>
          </w:p>
        </w:tc>
        <w:tc>
          <w:tcPr>
            <w:tcW w:w="1541"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财政资金</w:t>
            </w:r>
          </w:p>
        </w:tc>
        <w:tc>
          <w:tcPr>
            <w:tcW w:w="7100" w:type="dxa"/>
            <w:gridSpan w:val="3"/>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jc w:val="left"/>
              <w:rPr>
                <w:rFonts w:hint="default" w:eastAsia="Times New Roman"/>
                <w:color w:val="000000"/>
                <w:kern w:val="0"/>
                <w:sz w:val="18"/>
                <w:lang w:val="en-US"/>
              </w:rPr>
            </w:pPr>
          </w:p>
        </w:tc>
        <w:tc>
          <w:tcPr>
            <w:tcW w:w="1541"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其中：本级安排</w:t>
            </w:r>
          </w:p>
        </w:tc>
        <w:tc>
          <w:tcPr>
            <w:tcW w:w="7100" w:type="dxa"/>
            <w:gridSpan w:val="3"/>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p>
        </w:tc>
        <w:tc>
          <w:tcPr>
            <w:tcW w:w="1541" w:type="dxa"/>
            <w:tcBorders>
              <w:top w:val="nil"/>
              <w:left w:val="nil"/>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其他资金</w:t>
            </w:r>
          </w:p>
        </w:tc>
        <w:tc>
          <w:tcPr>
            <w:tcW w:w="7100" w:type="dxa"/>
            <w:gridSpan w:val="3"/>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single" w:color="auto" w:sz="6" w:space="0"/>
              <w:left w:val="single" w:color="auto" w:sz="6" w:space="0"/>
              <w:bottom w:val="nil"/>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绩效目标</w:t>
            </w:r>
          </w:p>
        </w:tc>
        <w:tc>
          <w:tcPr>
            <w:tcW w:w="3520" w:type="dxa"/>
            <w:tcBorders>
              <w:top w:val="nil"/>
              <w:left w:val="nil"/>
              <w:bottom w:val="single" w:color="auto" w:sz="6" w:space="0"/>
              <w:right w:val="single" w:color="auto" w:sz="6" w:space="0"/>
              <w:tl2br w:val="nil"/>
              <w:tr2bl w:val="nil"/>
            </w:tcBorders>
            <w:noWrap w:val="0"/>
            <w:vAlign w:val="top"/>
          </w:tcPr>
          <w:p>
            <w:pPr>
              <w:jc w:val="left"/>
              <w:rPr>
                <w:rFonts w:hint="eastAsia" w:eastAsia="等线"/>
                <w:color w:val="000000"/>
                <w:kern w:val="0"/>
                <w:sz w:val="18"/>
                <w:lang w:val="en-US" w:eastAsia="zh-CN"/>
              </w:rPr>
            </w:pPr>
            <w:r>
              <w:rPr>
                <w:rFonts w:hint="eastAsia" w:ascii="等线" w:hAnsi="等线" w:eastAsia="等线"/>
                <w:color w:val="000000"/>
                <w:kern w:val="0"/>
                <w:sz w:val="18"/>
                <w:lang w:val="en-US"/>
              </w:rPr>
              <w:t>项目绩效目标</w:t>
            </w:r>
            <w:r>
              <w:rPr>
                <w:rFonts w:hint="eastAsia" w:ascii="等线" w:hAnsi="等线" w:eastAsia="等线"/>
                <w:color w:val="000000"/>
                <w:kern w:val="0"/>
                <w:sz w:val="18"/>
                <w:lang w:val="en-US" w:eastAsia="zh-CN"/>
              </w:rPr>
              <w:t>：根据相关文件要求完成本</w:t>
            </w:r>
          </w:p>
        </w:tc>
        <w:tc>
          <w:tcPr>
            <w:tcW w:w="3580" w:type="dxa"/>
            <w:gridSpan w:val="2"/>
            <w:tcBorders>
              <w:top w:val="single" w:color="auto" w:sz="6" w:space="0"/>
              <w:left w:val="nil"/>
              <w:bottom w:val="single" w:color="auto" w:sz="6" w:space="0"/>
              <w:right w:val="single" w:color="auto" w:sz="6" w:space="0"/>
              <w:tl2br w:val="nil"/>
              <w:tr2bl w:val="nil"/>
            </w:tcBorders>
            <w:noWrap w:val="0"/>
            <w:vAlign w:val="top"/>
          </w:tcPr>
          <w:p>
            <w:pPr>
              <w:jc w:val="left"/>
              <w:rPr>
                <w:rFonts w:hint="eastAsia" w:eastAsia="等线"/>
                <w:color w:val="000000"/>
                <w:kern w:val="0"/>
                <w:sz w:val="18"/>
                <w:lang w:val="en-US" w:eastAsia="zh-CN"/>
              </w:rPr>
            </w:pPr>
            <w:r>
              <w:rPr>
                <w:rFonts w:hint="eastAsia" w:ascii="等线" w:hAnsi="等线" w:eastAsia="等线"/>
                <w:color w:val="000000"/>
                <w:kern w:val="0"/>
                <w:sz w:val="18"/>
                <w:lang w:val="en-US"/>
              </w:rPr>
              <w:t>目标完成情况</w:t>
            </w:r>
            <w:r>
              <w:rPr>
                <w:rFonts w:hint="eastAsia" w:ascii="等线" w:hAnsi="等线" w:eastAsia="等线"/>
                <w:color w:val="000000"/>
                <w:kern w:val="0"/>
                <w:sz w:val="18"/>
                <w:lang w:val="en-US" w:eastAsia="zh-CN"/>
              </w:rPr>
              <w:t>：较好的完成了本年肉类储备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nil"/>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p>
        </w:tc>
        <w:tc>
          <w:tcPr>
            <w:tcW w:w="3520" w:type="dxa"/>
            <w:tcBorders>
              <w:top w:val="nil"/>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肉类储备的储备计划</w:t>
            </w:r>
          </w:p>
        </w:tc>
        <w:tc>
          <w:tcPr>
            <w:tcW w:w="3580" w:type="dxa"/>
            <w:gridSpan w:val="2"/>
            <w:tcBorders>
              <w:top w:val="single" w:color="auto" w:sz="6" w:space="0"/>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的储备计划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jc w:val="left"/>
              <w:rPr>
                <w:rFonts w:hint="default" w:eastAsia="Times New Roman"/>
                <w:color w:val="000000"/>
                <w:kern w:val="0"/>
                <w:sz w:val="18"/>
                <w:lang w:val="en-US"/>
              </w:rPr>
            </w:pPr>
            <w:r>
              <w:rPr>
                <w:rFonts w:hint="eastAsia" w:ascii="等线" w:hAnsi="等线" w:eastAsia="等线"/>
                <w:color w:val="000000"/>
                <w:kern w:val="0"/>
                <w:sz w:val="18"/>
                <w:lang w:val="en-US"/>
              </w:rPr>
              <w:t>自评价分数</w:t>
            </w:r>
          </w:p>
        </w:tc>
        <w:tc>
          <w:tcPr>
            <w:tcW w:w="7100" w:type="dxa"/>
            <w:gridSpan w:val="3"/>
            <w:tcBorders>
              <w:top w:val="single" w:color="auto" w:sz="6" w:space="0"/>
              <w:left w:val="nil"/>
              <w:bottom w:val="single" w:color="auto" w:sz="6" w:space="0"/>
              <w:right w:val="single" w:color="auto" w:sz="6" w:space="0"/>
              <w:tl2br w:val="nil"/>
              <w:tr2bl w:val="nil"/>
            </w:tcBorders>
            <w:noWrap w:val="0"/>
            <w:vAlign w:val="top"/>
          </w:tcPr>
          <w:p>
            <w:pPr>
              <w:jc w:val="left"/>
              <w:rPr>
                <w:rFonts w:hint="eastAsia"/>
                <w:color w:val="000000"/>
                <w:kern w:val="0"/>
                <w:sz w:val="18"/>
                <w:lang w:val="en-US" w:eastAsia="zh-CN"/>
              </w:rPr>
            </w:pPr>
            <w:r>
              <w:rPr>
                <w:rFonts w:hint="eastAsia"/>
                <w:color w:val="000000"/>
                <w:kern w:val="0"/>
                <w:sz w:val="18"/>
                <w:lang w:val="en-US" w:eastAsia="zh-CN"/>
              </w:rPr>
              <w:t>98分</w:t>
            </w:r>
          </w:p>
        </w:tc>
      </w:tr>
    </w:tbl>
    <w:p>
      <w:pPr>
        <w:spacing w:line="572" w:lineRule="exact"/>
        <w:ind w:firstLine="643"/>
        <w:rPr>
          <w:rFonts w:hint="default" w:eastAsia="Times New Roman"/>
          <w:b/>
          <w:color w:val="auto"/>
          <w:sz w:val="32"/>
          <w:lang w:val="en-US"/>
        </w:rPr>
      </w:pPr>
    </w:p>
    <w:p>
      <w:pPr>
        <w:spacing w:line="572" w:lineRule="exact"/>
        <w:ind w:firstLine="643"/>
        <w:rPr>
          <w:rFonts w:hint="default" w:eastAsia="Times New Roman"/>
          <w:b/>
          <w:color w:val="auto"/>
          <w:sz w:val="32"/>
          <w:lang w:val="en-US"/>
        </w:rPr>
      </w:pPr>
    </w:p>
    <w:p>
      <w:pPr>
        <w:rPr>
          <w:rFonts w:hint="default" w:eastAsia="Times New Roman"/>
          <w:color w:val="auto"/>
          <w:sz w:val="21"/>
          <w:lang w:val="en-US"/>
        </w:rPr>
      </w:pPr>
    </w:p>
    <w:p>
      <w:pPr>
        <w:spacing w:line="560" w:lineRule="exact"/>
        <w:jc w:val="center"/>
        <w:rPr>
          <w:rFonts w:hint="default" w:eastAsia="Times New Roman"/>
          <w:b/>
          <w:color w:val="auto"/>
          <w:spacing w:val="15"/>
          <w:sz w:val="44"/>
          <w:lang w:val="en-US"/>
        </w:rPr>
      </w:pPr>
    </w:p>
    <w:p>
      <w:pPr>
        <w:rPr>
          <w:rFonts w:hint="default" w:eastAsia="Times New Roman"/>
          <w:color w:val="auto"/>
          <w:sz w:val="21"/>
          <w:lang w:val="en-US"/>
        </w:rPr>
      </w:pPr>
    </w:p>
    <w:p>
      <w:pPr>
        <w:jc w:val="left"/>
        <w:rPr>
          <w:rFonts w:hint="default" w:eastAsia="Times New Roman"/>
          <w:b/>
          <w:color w:val="auto"/>
          <w:spacing w:val="15"/>
          <w:sz w:val="44"/>
          <w:lang w:val="en-US"/>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5A90C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jc w:val="both"/>
    </w:pPr>
    <w:rPr>
      <w:rFonts w:hint="default" w:ascii="Times New Roman" w:hAnsi="Times New Roman" w:eastAsia="宋体"/>
      <w:kern w:val="2"/>
      <w:sz w:val="21"/>
    </w:rPr>
  </w:style>
  <w:style w:type="character" w:default="1" w:styleId="4">
    <w:name w:val="Default Paragraph Font"/>
    <w:unhideWhenUsed/>
    <w:uiPriority w:val="99"/>
    <w:rPr>
      <w:rFonts w:hint="default"/>
      <w:sz w:val="24"/>
    </w:rPr>
  </w:style>
  <w:style w:type="table" w:default="1" w:styleId="3">
    <w:name w:val="Normal Table"/>
    <w:qFormat/>
    <w:uiPriority w:val="99"/>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rFonts w:hint="default"/>
      <w:sz w:val="18"/>
    </w:rPr>
  </w:style>
  <w:style w:type="character" w:styleId="5">
    <w:name w:val="page number"/>
    <w:unhideWhenUsed/>
    <w:qFormat/>
    <w:uiPriority w:val="0"/>
    <w:rPr>
      <w:rFonts w:hint="default"/>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2021-06-01T09:02:51Z</dcterms:created>
  <dc:creator>Administrator</dc:creator>
  <cp:lastModifiedBy>❄Zgw</cp:lastModifiedBy>
  <dcterms:modified xsi:type="dcterms:W3CDTF">2021-06-01T09:03:18Z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