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ind w:firstLine="236" w:firstLineChars="100"/>
        <w:jc w:val="left"/>
        <w:rPr>
          <w:rFonts w:ascii="宋体"/>
          <w:b/>
          <w:color w:val="auto"/>
          <w:sz w:val="24"/>
          <w:szCs w:val="44"/>
          <w:highlight w:val="none"/>
        </w:rPr>
      </w:pPr>
    </w:p>
    <w:p>
      <w:pPr>
        <w:ind w:firstLine="236" w:firstLineChars="100"/>
        <w:jc w:val="left"/>
        <w:rPr>
          <w:rFonts w:ascii="宋体"/>
          <w:b/>
          <w:color w:val="auto"/>
          <w:sz w:val="24"/>
          <w:szCs w:val="44"/>
          <w:highlight w:val="none"/>
        </w:rPr>
      </w:pPr>
    </w:p>
    <w:p>
      <w:pPr>
        <w:ind w:firstLine="236" w:firstLineChars="100"/>
        <w:jc w:val="left"/>
        <w:rPr>
          <w:rFonts w:ascii="宋体"/>
          <w:b/>
          <w:color w:val="auto"/>
          <w:sz w:val="24"/>
          <w:szCs w:val="44"/>
          <w:highlight w:val="none"/>
        </w:rPr>
      </w:pPr>
    </w:p>
    <w:p>
      <w:pPr>
        <w:ind w:firstLine="236" w:firstLineChars="100"/>
        <w:jc w:val="left"/>
        <w:rPr>
          <w:rFonts w:ascii="宋体"/>
          <w:b/>
          <w:color w:val="auto"/>
          <w:sz w:val="24"/>
          <w:szCs w:val="44"/>
          <w:highlight w:val="none"/>
        </w:rPr>
      </w:pPr>
    </w:p>
    <w:p>
      <w:pPr>
        <w:jc w:val="center"/>
        <w:rPr>
          <w:rFonts w:hint="eastAsia" w:ascii="方正小标宋_GBK" w:hAnsi="方正小标宋_GBK" w:eastAsia="方正小标宋_GBK" w:cs="方正小标宋_GBK"/>
          <w:bCs/>
          <w:color w:val="auto"/>
          <w:sz w:val="52"/>
          <w:szCs w:val="52"/>
          <w:highlight w:val="none"/>
        </w:rPr>
      </w:pPr>
      <w:r>
        <w:rPr>
          <w:rFonts w:hint="eastAsia" w:ascii="方正小标宋_GBK" w:hAnsi="方正小标宋_GBK" w:eastAsia="方正小标宋_GBK" w:cs="方正小标宋_GBK"/>
          <w:b w:val="0"/>
          <w:bCs/>
          <w:color w:val="auto"/>
          <w:sz w:val="52"/>
          <w:szCs w:val="52"/>
          <w:lang w:eastAsia="zh-CN"/>
        </w:rPr>
        <w:t>（</w:t>
      </w:r>
      <w:r>
        <w:rPr>
          <w:rFonts w:hint="eastAsia" w:ascii="方正小标宋_GBK" w:hAnsi="方正小标宋_GBK" w:eastAsia="方正小标宋_GBK" w:cs="方正小标宋_GBK"/>
          <w:b w:val="0"/>
          <w:bCs/>
          <w:color w:val="auto"/>
          <w:sz w:val="52"/>
          <w:szCs w:val="52"/>
          <w:lang w:val="en-US" w:eastAsia="zh-CN"/>
        </w:rPr>
        <w:t>贵阳市粮食和物资储备局</w:t>
      </w:r>
      <w:r>
        <w:rPr>
          <w:rFonts w:hint="eastAsia" w:ascii="方正小标宋_GBK" w:hAnsi="方正小标宋_GBK" w:eastAsia="方正小标宋_GBK" w:cs="方正小标宋_GBK"/>
          <w:b w:val="0"/>
          <w:bCs/>
          <w:color w:val="auto"/>
          <w:sz w:val="52"/>
          <w:szCs w:val="52"/>
          <w:lang w:eastAsia="zh-CN"/>
        </w:rPr>
        <w:t>）部门</w:t>
      </w:r>
      <w:r>
        <w:rPr>
          <w:rFonts w:hint="eastAsia" w:ascii="方正小标宋_GBK" w:hAnsi="方正小标宋_GBK" w:eastAsia="方正小标宋_GBK" w:cs="方正小标宋_GBK"/>
          <w:bCs/>
          <w:color w:val="auto"/>
          <w:sz w:val="52"/>
          <w:szCs w:val="52"/>
          <w:highlight w:val="none"/>
        </w:rPr>
        <w:t>2021年度市级部门预算、“三公”经费预算公开说明及填报口径说明</w:t>
      </w:r>
    </w:p>
    <w:p>
      <w:pPr>
        <w:ind w:firstLine="316" w:firstLineChars="100"/>
        <w:jc w:val="left"/>
        <w:rPr>
          <w:rFonts w:ascii="新宋体" w:hAnsi="新宋体" w:eastAsia="新宋体" w:cs="新宋体"/>
          <w:b/>
          <w:color w:val="auto"/>
          <w:sz w:val="32"/>
          <w:szCs w:val="52"/>
          <w:highlight w:val="none"/>
        </w:rPr>
      </w:pPr>
    </w:p>
    <w:p>
      <w:pPr>
        <w:jc w:val="left"/>
        <w:rPr>
          <w:rFonts w:ascii="新宋体" w:hAnsi="新宋体" w:eastAsia="新宋体" w:cs="新宋体"/>
          <w:b/>
          <w:color w:val="auto"/>
          <w:sz w:val="32"/>
          <w:szCs w:val="52"/>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目</w:t>
      </w:r>
      <w:r>
        <w:rPr>
          <w:rFonts w:hint="eastAsia" w:ascii="方正小标宋_GBK" w:hAnsi="方正小标宋_GBK" w:eastAsia="方正小标宋_GBK" w:cs="方正小标宋_GBK"/>
          <w:bCs/>
          <w:color w:val="auto"/>
          <w:sz w:val="36"/>
          <w:szCs w:val="36"/>
          <w:highlight w:val="none"/>
          <w:lang w:val="en-US" w:eastAsia="zh-CN"/>
        </w:rPr>
        <w:t xml:space="preserve"> </w:t>
      </w:r>
      <w:r>
        <w:rPr>
          <w:rFonts w:hint="eastAsia" w:ascii="方正小标宋_GBK" w:hAnsi="方正小标宋_GBK" w:eastAsia="方正小标宋_GBK" w:cs="方正小标宋_GBK"/>
          <w:bCs/>
          <w:color w:val="auto"/>
          <w:sz w:val="36"/>
          <w:szCs w:val="36"/>
          <w:highlight w:val="none"/>
        </w:rPr>
        <w:t xml:space="preserve"> 录</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一、部门（单位）概况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（一）部门（单位）主要职能</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（三）部门人员构成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ascii="黑体" w:hAnsi="黑体" w:eastAsia="黑体" w:cs="黑体"/>
          <w:bCs/>
          <w:color w:val="auto"/>
          <w:sz w:val="32"/>
          <w:szCs w:val="32"/>
          <w:highlight w:val="none"/>
        </w:rPr>
        <w:t>、</w:t>
      </w:r>
      <w:r>
        <w:rPr>
          <w:rFonts w:hint="eastAsia" w:ascii="黑体" w:hAnsi="黑体" w:eastAsia="黑体" w:cs="黑体"/>
          <w:bCs/>
          <w:color w:val="auto"/>
          <w:sz w:val="32"/>
          <w:szCs w:val="32"/>
          <w:highlight w:val="none"/>
        </w:rPr>
        <w:t>部门预算安排情况说明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 w:hAnsi="仿宋" w:eastAsia="仿宋" w:cs="仿宋"/>
          <w:bCs/>
          <w:color w:val="auto"/>
          <w:sz w:val="32"/>
          <w:szCs w:val="32"/>
          <w:highlight w:val="none"/>
        </w:rPr>
        <w:t>一）部门（单位）收支总体情况（详见表1）</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（二）部门（单位）收入总体情况（详见表2）</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（三）部门（单位）支出总体情况（详见表3）</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（四）部门（单位）财政拨款收支总体情况（详见表4）</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（五）部门（单位）一般公共预算支出情况（详见表5）</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（六）部门（单位）一般公共预算基本支出情况（详见表6、7）</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（七）部门（单位）一般公共预算“三公”经费支出情况（详见表8）</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（八）部门（单位）市级对下专项转移支付项目支出情况（详见表9）</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（九）部门（单位）政府性基金预算支出情况（详见表10）</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（十）部门（单位）</w:t>
      </w:r>
      <w:r>
        <w:rPr>
          <w:rFonts w:hint="eastAsia" w:ascii="仿宋" w:hAnsi="仿宋" w:eastAsia="仿宋" w:cs="仿宋"/>
          <w:color w:val="auto"/>
          <w:sz w:val="32"/>
          <w:szCs w:val="32"/>
          <w:highlight w:val="none"/>
        </w:rPr>
        <w:t>国有资本经营预算支出情况</w:t>
      </w:r>
      <w:r>
        <w:rPr>
          <w:rFonts w:hint="eastAsia" w:ascii="仿宋" w:hAnsi="仿宋" w:eastAsia="仿宋" w:cs="仿宋"/>
          <w:bCs/>
          <w:color w:val="auto"/>
          <w:sz w:val="32"/>
          <w:szCs w:val="32"/>
          <w:highlight w:val="none"/>
        </w:rPr>
        <w:t>（详见表11）</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（十一）部门（单位）整体支出绩效目标情况（详见表12）</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（十二）部门（单位）重点项目支出绩效目标情况（详见表13、14）</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（一）机关运行经费情况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（五）项目支出安排情况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（六）专有名词解释</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五、2021年部门预算及“三公”经费预算公开表（详见附件2）</w:t>
      </w:r>
    </w:p>
    <w:p>
      <w:pPr>
        <w:ind w:firstLine="316" w:firstLineChars="100"/>
        <w:jc w:val="left"/>
        <w:rPr>
          <w:rFonts w:ascii="仿宋_GB2312" w:hAnsi="仿宋_GB2312" w:eastAsia="仿宋_GB2312" w:cs="仿宋_GB2312"/>
          <w:bCs/>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r>
        <w:rPr>
          <w:rFonts w:hint="eastAsia" w:ascii="仿宋" w:eastAsia="仿宋"/>
          <w:color w:val="auto"/>
          <w:sz w:val="32"/>
          <w:szCs w:val="32"/>
          <w:highlight w:val="none"/>
        </w:rPr>
        <w:t xml:space="preserve">  </w:t>
      </w: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pStyle w:val="7"/>
        <w:keepNext w:val="0"/>
        <w:keepLines w:val="0"/>
        <w:pageBreakBefore/>
        <w:widowControl w:val="0"/>
        <w:kinsoku/>
        <w:wordWrap/>
        <w:overflowPunct/>
        <w:topLinePunct w:val="0"/>
        <w:autoSpaceDE/>
        <w:autoSpaceDN/>
        <w:bidi w:val="0"/>
        <w:adjustRightInd/>
        <w:snapToGrid/>
        <w:spacing w:line="554" w:lineRule="exact"/>
        <w:ind w:firstLine="631"/>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一、部门（单位）概况</w:t>
      </w:r>
    </w:p>
    <w:p>
      <w:pPr>
        <w:spacing w:line="560" w:lineRule="exact"/>
        <w:ind w:firstLine="632"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（一）部门</w:t>
      </w:r>
      <w:r>
        <w:rPr>
          <w:rFonts w:hint="eastAsia" w:ascii="仿宋_GB2312" w:hAnsi="仿宋_GB2312" w:eastAsia="仿宋_GB2312" w:cs="仿宋_GB2312"/>
          <w:bCs/>
          <w:color w:val="auto"/>
          <w:sz w:val="32"/>
          <w:szCs w:val="32"/>
          <w:highlight w:val="none"/>
        </w:rPr>
        <w:t>（单位）</w:t>
      </w:r>
      <w:r>
        <w:rPr>
          <w:rFonts w:hint="eastAsia" w:ascii="楷体_GB2312" w:hAnsi="楷体_GB2312" w:eastAsia="楷体_GB2312" w:cs="楷体_GB2312"/>
          <w:bCs/>
          <w:color w:val="auto"/>
          <w:sz w:val="32"/>
          <w:szCs w:val="32"/>
          <w:highlight w:val="none"/>
        </w:rPr>
        <w:t>主要职能：</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起草全市粮食流通和物资储备管理的地方性法规、规范性文件草案。贯彻执行国家粮食流通体制改革的实施方针、政策，研究提出市级粮食流通和物资储备体制改革方案并组织实施。</w:t>
      </w:r>
    </w:p>
    <w:p>
      <w:pPr>
        <w:spacing w:line="560" w:lineRule="exact"/>
        <w:ind w:firstLine="632" w:firstLineChars="200"/>
        <w:rPr>
          <w:rFonts w:hint="eastAsia" w:ascii="仿宋" w:hAnsi="仿宋" w:eastAsia="仿宋" w:cs="仿宋"/>
          <w:sz w:val="32"/>
          <w:szCs w:val="32"/>
        </w:rPr>
      </w:pPr>
      <w:bookmarkStart w:id="0" w:name="OLE_LINK1"/>
      <w:r>
        <w:rPr>
          <w:rFonts w:hint="eastAsia" w:ascii="仿宋" w:hAnsi="仿宋" w:eastAsia="仿宋" w:cs="仿宋"/>
          <w:sz w:val="32"/>
          <w:szCs w:val="32"/>
          <w:lang w:val="en-US" w:eastAsia="zh-CN"/>
        </w:rPr>
        <w:t>2、</w:t>
      </w:r>
      <w:r>
        <w:rPr>
          <w:rFonts w:hint="eastAsia" w:ascii="仿宋" w:hAnsi="仿宋" w:eastAsia="仿宋" w:cs="仿宋"/>
          <w:sz w:val="32"/>
          <w:szCs w:val="32"/>
        </w:rPr>
        <w:t>拟订市级储备发展规划和重要物资储备规划、储备品种目录，并组织实施。根据市级储备发展规划和品种目录，组织市级重要物资和应急储备物资的收储、轮换和日常管理，落实有关动用计划和指令。指导各区（市、县）粮食、重要物资和应急储备物资的收储、轮换和日常管理工作。</w:t>
      </w:r>
      <w:bookmarkEnd w:id="0"/>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按规定管理市级粮食、食糖、药品、食盐、救灾物资等储备，并结合实际适时做出调整，负责市级储备粮等行政管理。监测全市粮食和重要物资供求变化并预测预警，承担全市粮食流通宏观调控的具体工作。对粮油的“购、销、调、存、加”进行宏观管理，协调本市所辖区（市、县）间粮食余缺调剂。承担全市粮食安全责任制考核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组织实施国家、省、市粮食和物资储备仓储管理有关技术标准和规范，负责市级粮食流通、加工行业安全生产工作的监督管理，承担市级物资储备承储单位安全生产的监管责任。负责本部门、本行业领域的安全生产和消防安全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根据全市储备发展规划，统一负责储备基础设施建设和管理。拟订市级储备基础设施、粮食流通设施建设规划并组织实施，管理有关储备基础设施和粮食流通设施投资项目。</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负责对管理的政府储备、企业储备以及储备政策落实情况进行监督检查。执行国家、省粮食收购政策，负责粮食收购许可证办理工作。配合有关部门做好粮食收购资金封闭运行和价格管理工作。负责全市粮食流通监督检查，负责粮食收购、储存、运输环节粮食质量安全和原粮卫生的监督管理，组织实施全市粮食库存检查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负责全市粮食流通行业管理，拟订行业发展规划并组织实施，组织实施粮食流通和物资储备有关标准、粮食质量标准和有关技术规范。</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承担保障驻筑部队军粮供应工作，指导各区（市、县）军粮供应队伍和供应网络建设。指导灾区、水库移民、缺粮地区和贫困地区的粮食供应工作。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贯彻实施国家粮食财务、统计、审计制度，指导、监督本系统财务、统计、审计工作。开展社会粮食供需平衡调查统计工作。</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结合部门职责，做好军民融合、扶贫开发等相关工作。加大科技投入，提高科技创新能力，为推进创新驱动发展提供保障。按规定做好大数据发展应用和政务数据资源管理相关工作，依法促进部门政务数据资源规范管理、共享和开放。</w:t>
      </w:r>
    </w:p>
    <w:p>
      <w:pPr>
        <w:spacing w:line="560" w:lineRule="exact"/>
        <w:ind w:firstLine="632"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承办市委、市政府和上级部门交办的其他任务。</w:t>
      </w:r>
    </w:p>
    <w:p>
      <w:pPr>
        <w:pStyle w:val="7"/>
        <w:keepNext w:val="0"/>
        <w:keepLines w:val="0"/>
        <w:widowControl w:val="0"/>
        <w:kinsoku/>
        <w:wordWrap/>
        <w:overflowPunct/>
        <w:topLinePunct w:val="0"/>
        <w:autoSpaceDE/>
        <w:autoSpaceDN/>
        <w:bidi w:val="0"/>
        <w:adjustRightInd/>
        <w:snapToGrid/>
        <w:spacing w:line="554" w:lineRule="exact"/>
        <w:ind w:left="156" w:leftChars="76" w:firstLine="474" w:firstLineChars="150"/>
        <w:textAlignment w:val="auto"/>
        <w:rPr>
          <w:rFonts w:ascii="仿宋_GB2312" w:hAnsi="仿宋_GB2312" w:eastAsia="仿宋_GB2312" w:cs="仿宋_GB2312"/>
          <w:bCs/>
          <w:color w:val="auto"/>
          <w:sz w:val="32"/>
          <w:szCs w:val="32"/>
          <w:highlight w:val="none"/>
        </w:rPr>
      </w:pP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（二）部门预算单位构成：</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780"/>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rPr>
                <w:rFonts w:ascii="仿宋_GB2312" w:hAnsi="楷体" w:eastAsia="仿宋_GB2312"/>
                <w:b/>
                <w:color w:val="000000"/>
                <w:sz w:val="32"/>
                <w:szCs w:val="32"/>
              </w:rPr>
            </w:pPr>
            <w:r>
              <w:rPr>
                <w:rFonts w:hint="eastAsia" w:ascii="仿宋_GB2312" w:hAnsi="楷体" w:eastAsia="仿宋_GB2312"/>
                <w:b/>
                <w:color w:val="000000"/>
                <w:sz w:val="32"/>
                <w:szCs w:val="32"/>
              </w:rPr>
              <w:t>序号</w:t>
            </w:r>
          </w:p>
        </w:tc>
        <w:tc>
          <w:tcPr>
            <w:tcW w:w="3780" w:type="dxa"/>
          </w:tcPr>
          <w:p>
            <w:pPr>
              <w:jc w:val="center"/>
              <w:rPr>
                <w:rFonts w:ascii="仿宋_GB2312" w:hAnsi="楷体" w:eastAsia="仿宋_GB2312"/>
                <w:b/>
                <w:color w:val="000000"/>
                <w:sz w:val="32"/>
                <w:szCs w:val="32"/>
              </w:rPr>
            </w:pPr>
            <w:r>
              <w:rPr>
                <w:rFonts w:hint="eastAsia" w:ascii="仿宋_GB2312" w:hAnsi="楷体" w:eastAsia="仿宋_GB2312"/>
                <w:b/>
                <w:color w:val="000000"/>
                <w:sz w:val="32"/>
                <w:szCs w:val="32"/>
              </w:rPr>
              <w:t>单</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位</w:t>
            </w:r>
          </w:p>
        </w:tc>
        <w:tc>
          <w:tcPr>
            <w:tcW w:w="3734" w:type="dxa"/>
          </w:tcPr>
          <w:p>
            <w:pPr>
              <w:jc w:val="center"/>
              <w:rPr>
                <w:rFonts w:ascii="仿宋_GB2312" w:hAnsi="楷体" w:eastAsia="仿宋_GB2312"/>
                <w:b/>
                <w:color w:val="000000"/>
                <w:sz w:val="32"/>
                <w:szCs w:val="32"/>
              </w:rPr>
            </w:pPr>
            <w:r>
              <w:rPr>
                <w:rFonts w:hint="eastAsia" w:ascii="仿宋_GB2312" w:hAnsi="楷体" w:eastAsia="仿宋_GB2312"/>
                <w:b/>
                <w:color w:val="000000"/>
                <w:sz w:val="32"/>
                <w:szCs w:val="32"/>
              </w:rPr>
              <w:t>单</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位</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类</w:t>
            </w:r>
            <w:r>
              <w:rPr>
                <w:rFonts w:ascii="仿宋_GB2312" w:hAnsi="楷体" w:eastAsia="仿宋_GB2312"/>
                <w:b/>
                <w:color w:val="000000"/>
                <w:sz w:val="32"/>
                <w:szCs w:val="32"/>
              </w:rPr>
              <w:t xml:space="preserve"> </w:t>
            </w:r>
            <w:r>
              <w:rPr>
                <w:rFonts w:hint="eastAsia" w:ascii="仿宋_GB2312" w:hAnsi="楷体" w:eastAsia="仿宋_GB2312"/>
                <w:b/>
                <w:color w:val="000000"/>
                <w:sz w:val="32"/>
                <w:szCs w:val="32"/>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仿宋_GB2312" w:hAnsi="仿宋" w:eastAsia="仿宋_GB2312"/>
                <w:color w:val="000000"/>
                <w:sz w:val="32"/>
                <w:szCs w:val="32"/>
              </w:rPr>
            </w:pPr>
            <w:r>
              <w:rPr>
                <w:rFonts w:ascii="仿宋_GB2312" w:hAnsi="仿宋" w:eastAsia="仿宋_GB2312"/>
                <w:color w:val="000000"/>
                <w:sz w:val="32"/>
                <w:szCs w:val="32"/>
              </w:rPr>
              <w:t>1</w:t>
            </w:r>
          </w:p>
        </w:tc>
        <w:tc>
          <w:tcPr>
            <w:tcW w:w="3780" w:type="dxa"/>
          </w:tcPr>
          <w:p>
            <w:pPr>
              <w:jc w:val="center"/>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贵阳市粮食和物资储备局</w:t>
            </w:r>
          </w:p>
        </w:tc>
        <w:tc>
          <w:tcPr>
            <w:tcW w:w="3734" w:type="dxa"/>
          </w:tcPr>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行政单位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仿宋_GB2312" w:hAnsi="仿宋" w:eastAsia="仿宋_GB2312"/>
                <w:color w:val="000000"/>
                <w:sz w:val="32"/>
                <w:szCs w:val="32"/>
              </w:rPr>
            </w:pPr>
            <w:r>
              <w:rPr>
                <w:rFonts w:ascii="仿宋_GB2312" w:hAnsi="仿宋" w:eastAsia="仿宋_GB2312"/>
                <w:color w:val="000000"/>
                <w:sz w:val="32"/>
                <w:szCs w:val="32"/>
              </w:rPr>
              <w:t>2</w:t>
            </w:r>
          </w:p>
        </w:tc>
        <w:tc>
          <w:tcPr>
            <w:tcW w:w="3780" w:type="dxa"/>
          </w:tcPr>
          <w:p>
            <w:pPr>
              <w:rPr>
                <w:rFonts w:ascii="仿宋_GB2312" w:hAnsi="仿宋" w:eastAsia="仿宋_GB2312"/>
                <w:color w:val="000000"/>
                <w:sz w:val="32"/>
                <w:szCs w:val="32"/>
              </w:rPr>
            </w:pPr>
            <w:r>
              <w:rPr>
                <w:rFonts w:hint="eastAsia" w:ascii="仿宋_GB2312" w:hAnsi="仿宋" w:eastAsia="仿宋_GB2312"/>
                <w:color w:val="000000"/>
                <w:sz w:val="32"/>
                <w:szCs w:val="32"/>
              </w:rPr>
              <w:t>贵阳市粮食执法监察大队</w:t>
            </w:r>
          </w:p>
        </w:tc>
        <w:tc>
          <w:tcPr>
            <w:tcW w:w="3734" w:type="dxa"/>
          </w:tcPr>
          <w:p>
            <w:pPr>
              <w:rPr>
                <w:rFonts w:ascii="仿宋_GB2312" w:hAnsi="仿宋" w:eastAsia="仿宋_GB2312"/>
                <w:color w:val="000000"/>
                <w:w w:val="90"/>
                <w:sz w:val="32"/>
                <w:szCs w:val="32"/>
              </w:rPr>
            </w:pPr>
            <w:r>
              <w:rPr>
                <w:rFonts w:hint="eastAsia" w:ascii="仿宋_GB2312" w:hAnsi="仿宋" w:eastAsia="仿宋_GB2312"/>
                <w:color w:val="000000"/>
                <w:w w:val="90"/>
                <w:sz w:val="32"/>
                <w:szCs w:val="32"/>
              </w:rPr>
              <w:t>参照公务员法管理事业单位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jc w:val="center"/>
              <w:rPr>
                <w:rFonts w:ascii="仿宋_GB2312" w:hAnsi="仿宋" w:eastAsia="仿宋_GB2312"/>
                <w:color w:val="000000"/>
                <w:sz w:val="32"/>
                <w:szCs w:val="32"/>
              </w:rPr>
            </w:pPr>
            <w:r>
              <w:rPr>
                <w:rFonts w:ascii="仿宋_GB2312" w:hAnsi="仿宋" w:eastAsia="仿宋_GB2312"/>
                <w:color w:val="000000"/>
                <w:sz w:val="32"/>
                <w:szCs w:val="32"/>
              </w:rPr>
              <w:t>3</w:t>
            </w:r>
          </w:p>
        </w:tc>
        <w:tc>
          <w:tcPr>
            <w:tcW w:w="3780" w:type="dxa"/>
          </w:tcPr>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贵阳市军粮供应站</w:t>
            </w:r>
          </w:p>
          <w:p>
            <w:pPr>
              <w:jc w:val="center"/>
              <w:rPr>
                <w:rFonts w:ascii="仿宋_GB2312" w:hAnsi="仿宋" w:eastAsia="仿宋_GB2312"/>
                <w:color w:val="000000"/>
                <w:sz w:val="32"/>
                <w:szCs w:val="32"/>
              </w:rPr>
            </w:pPr>
            <w:r>
              <w:rPr>
                <w:rFonts w:hint="eastAsia" w:ascii="仿宋_GB2312" w:hAnsi="仿宋" w:eastAsia="仿宋_GB2312"/>
                <w:color w:val="000000"/>
                <w:sz w:val="32"/>
                <w:szCs w:val="32"/>
              </w:rPr>
              <w:t>（粮油质量检测中心）</w:t>
            </w:r>
          </w:p>
        </w:tc>
        <w:tc>
          <w:tcPr>
            <w:tcW w:w="3734" w:type="dxa"/>
            <w:vAlign w:val="center"/>
          </w:tcPr>
          <w:p>
            <w:pPr>
              <w:jc w:val="center"/>
              <w:rPr>
                <w:rFonts w:ascii="仿宋_GB2312" w:hAnsi="仿宋" w:eastAsia="仿宋_GB2312"/>
                <w:color w:val="000000"/>
                <w:sz w:val="32"/>
                <w:szCs w:val="32"/>
              </w:rPr>
            </w:pPr>
            <w:r>
              <w:rPr>
                <w:rFonts w:hint="eastAsia" w:ascii="仿宋_GB2312" w:hAnsi="仿宋" w:eastAsia="仿宋_GB2312"/>
                <w:color w:val="000000"/>
                <w:sz w:val="32"/>
                <w:szCs w:val="32"/>
                <w:lang w:eastAsia="zh-CN"/>
              </w:rPr>
              <w:t>自收自支</w:t>
            </w:r>
            <w:r>
              <w:rPr>
                <w:rFonts w:hint="eastAsia" w:ascii="仿宋_GB2312" w:hAnsi="仿宋" w:eastAsia="仿宋_GB2312"/>
                <w:color w:val="000000"/>
                <w:sz w:val="32"/>
                <w:szCs w:val="32"/>
              </w:rPr>
              <w:t>事业单位</w:t>
            </w:r>
          </w:p>
        </w:tc>
      </w:tr>
    </w:tbl>
    <w:p>
      <w:pPr>
        <w:keepNext w:val="0"/>
        <w:keepLines w:val="0"/>
        <w:widowControl w:val="0"/>
        <w:kinsoku/>
        <w:wordWrap/>
        <w:overflowPunct/>
        <w:topLinePunct w:val="0"/>
        <w:autoSpaceDE/>
        <w:autoSpaceDN/>
        <w:bidi w:val="0"/>
        <w:adjustRightInd/>
        <w:snapToGrid/>
        <w:spacing w:line="554" w:lineRule="exact"/>
        <w:textAlignment w:val="auto"/>
        <w:rPr>
          <w:rFonts w:ascii="仿宋_GB2312" w:hAnsi="仿宋_GB2312" w:eastAsia="仿宋_GB2312" w:cs="仿宋_GB2312"/>
          <w:bCs/>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b w:val="0"/>
          <w:bCs/>
          <w:color w:val="0D0D0D" w:themeColor="text1" w:themeTint="F2"/>
          <w:sz w:val="32"/>
          <w:szCs w:val="32"/>
          <w14:textFill>
            <w14:solidFill>
              <w14:schemeClr w14:val="tx1">
                <w14:lumMod w14:val="95000"/>
                <w14:lumOff w14:val="5000"/>
              </w14:schemeClr>
            </w14:solidFill>
          </w14:textFill>
        </w:rPr>
      </w:pPr>
      <w:r>
        <w:rPr>
          <w:rFonts w:hint="eastAsia" w:ascii="楷体_GB2312" w:hAnsi="楷体_GB2312" w:eastAsia="楷体_GB2312" w:cs="楷体_GB2312"/>
          <w:bCs/>
          <w:color w:val="auto"/>
          <w:sz w:val="32"/>
          <w:szCs w:val="32"/>
          <w:highlight w:val="none"/>
        </w:rPr>
        <w:t>（三）部门人员构成：</w:t>
      </w:r>
      <w:r>
        <w:rPr>
          <w:rFonts w:hint="eastAsia" w:ascii="仿宋_GB2312" w:hAnsi="仿宋" w:eastAsia="仿宋_GB2312"/>
          <w:color w:val="000000"/>
          <w:sz w:val="32"/>
          <w:szCs w:val="32"/>
          <w:lang w:eastAsia="zh-CN"/>
        </w:rPr>
        <w:t>贵阳市粮食和物资储备局</w:t>
      </w:r>
      <w:r>
        <w:rPr>
          <w:rFonts w:hint="eastAsia" w:ascii="仿宋" w:eastAsia="仿宋"/>
          <w:color w:val="000000"/>
          <w:sz w:val="32"/>
          <w:szCs w:val="32"/>
        </w:rPr>
        <w:t>编制人数</w:t>
      </w:r>
      <w:r>
        <w:rPr>
          <w:rFonts w:ascii="仿宋" w:eastAsia="仿宋"/>
          <w:color w:val="000000"/>
          <w:sz w:val="32"/>
          <w:szCs w:val="32"/>
        </w:rPr>
        <w:t>34</w:t>
      </w:r>
      <w:r>
        <w:rPr>
          <w:rFonts w:hint="eastAsia" w:ascii="仿宋" w:eastAsia="仿宋"/>
          <w:color w:val="000000"/>
          <w:sz w:val="32"/>
          <w:szCs w:val="32"/>
        </w:rPr>
        <w:t>人，行政编制</w:t>
      </w:r>
      <w:r>
        <w:rPr>
          <w:rFonts w:ascii="仿宋" w:eastAsia="仿宋"/>
          <w:color w:val="000000"/>
          <w:sz w:val="32"/>
          <w:szCs w:val="32"/>
        </w:rPr>
        <w:t>29</w:t>
      </w:r>
      <w:r>
        <w:rPr>
          <w:rFonts w:hint="eastAsia" w:ascii="仿宋" w:eastAsia="仿宋"/>
          <w:color w:val="000000"/>
          <w:sz w:val="32"/>
          <w:szCs w:val="32"/>
        </w:rPr>
        <w:t>人，工勤人员编制</w:t>
      </w:r>
      <w:r>
        <w:rPr>
          <w:rFonts w:ascii="仿宋" w:eastAsia="仿宋"/>
          <w:color w:val="000000"/>
          <w:sz w:val="32"/>
          <w:szCs w:val="32"/>
        </w:rPr>
        <w:t>5</w:t>
      </w:r>
      <w:r>
        <w:rPr>
          <w:rFonts w:hint="eastAsia" w:ascii="仿宋" w:eastAsia="仿宋"/>
          <w:color w:val="000000"/>
          <w:sz w:val="32"/>
          <w:szCs w:val="32"/>
        </w:rPr>
        <w:t>人，现实有人数</w:t>
      </w:r>
      <w:r>
        <w:rPr>
          <w:rFonts w:ascii="仿宋" w:eastAsia="仿宋"/>
          <w:color w:val="000000"/>
          <w:sz w:val="32"/>
          <w:szCs w:val="32"/>
        </w:rPr>
        <w:t>29</w:t>
      </w:r>
      <w:r>
        <w:rPr>
          <w:rFonts w:hint="eastAsia" w:ascii="仿宋" w:eastAsia="仿宋"/>
          <w:color w:val="000000"/>
          <w:sz w:val="32"/>
          <w:szCs w:val="32"/>
        </w:rPr>
        <w:t>人，离退休</w:t>
      </w:r>
      <w:r>
        <w:rPr>
          <w:rFonts w:hint="eastAsia" w:ascii="仿宋" w:eastAsia="仿宋"/>
          <w:color w:val="000000"/>
          <w:sz w:val="32"/>
          <w:szCs w:val="32"/>
          <w:lang w:val="en-US" w:eastAsia="zh-CN"/>
        </w:rPr>
        <w:t>39</w:t>
      </w:r>
      <w:r>
        <w:rPr>
          <w:rFonts w:hint="eastAsia" w:ascii="仿宋" w:eastAsia="仿宋"/>
          <w:color w:val="000000"/>
          <w:sz w:val="32"/>
          <w:szCs w:val="32"/>
        </w:rPr>
        <w:t>人（其中：离休</w:t>
      </w:r>
      <w:r>
        <w:rPr>
          <w:rFonts w:ascii="仿宋" w:eastAsia="仿宋"/>
          <w:color w:val="000000"/>
          <w:sz w:val="32"/>
          <w:szCs w:val="32"/>
        </w:rPr>
        <w:t>1</w:t>
      </w:r>
      <w:r>
        <w:rPr>
          <w:rFonts w:hint="eastAsia" w:ascii="仿宋" w:eastAsia="仿宋"/>
          <w:color w:val="000000"/>
          <w:sz w:val="32"/>
          <w:szCs w:val="32"/>
        </w:rPr>
        <w:t>人），机关本级设有办公室、行业发展和调控处、储备管理处、法规监督处、财务处、人事教育处共六个处室；贵阳市粮食执法监察大队编制人数</w:t>
      </w:r>
      <w:r>
        <w:rPr>
          <w:rFonts w:ascii="仿宋" w:eastAsia="仿宋"/>
          <w:color w:val="000000"/>
          <w:sz w:val="32"/>
          <w:szCs w:val="32"/>
        </w:rPr>
        <w:t>25</w:t>
      </w:r>
      <w:r>
        <w:rPr>
          <w:rFonts w:hint="eastAsia" w:ascii="仿宋" w:eastAsia="仿宋"/>
          <w:color w:val="000000"/>
          <w:sz w:val="32"/>
          <w:szCs w:val="32"/>
        </w:rPr>
        <w:t>人，行政编制</w:t>
      </w:r>
      <w:r>
        <w:rPr>
          <w:rFonts w:ascii="仿宋" w:eastAsia="仿宋"/>
          <w:color w:val="000000"/>
          <w:sz w:val="32"/>
          <w:szCs w:val="32"/>
        </w:rPr>
        <w:t>22</w:t>
      </w:r>
      <w:r>
        <w:rPr>
          <w:rFonts w:hint="eastAsia" w:ascii="仿宋" w:eastAsia="仿宋"/>
          <w:color w:val="000000"/>
          <w:sz w:val="32"/>
          <w:szCs w:val="32"/>
        </w:rPr>
        <w:t>人，工勤人员编制</w:t>
      </w:r>
      <w:r>
        <w:rPr>
          <w:rFonts w:ascii="仿宋" w:eastAsia="仿宋"/>
          <w:color w:val="000000"/>
          <w:sz w:val="32"/>
          <w:szCs w:val="32"/>
        </w:rPr>
        <w:t>3</w:t>
      </w:r>
      <w:r>
        <w:rPr>
          <w:rFonts w:hint="eastAsia" w:ascii="仿宋" w:eastAsia="仿宋"/>
          <w:color w:val="000000"/>
          <w:sz w:val="32"/>
          <w:szCs w:val="32"/>
        </w:rPr>
        <w:t>人，现实有人数</w:t>
      </w:r>
      <w:r>
        <w:rPr>
          <w:rFonts w:ascii="仿宋" w:eastAsia="仿宋"/>
          <w:color w:val="000000"/>
          <w:sz w:val="32"/>
          <w:szCs w:val="32"/>
        </w:rPr>
        <w:t>18</w:t>
      </w:r>
      <w:r>
        <w:rPr>
          <w:rFonts w:hint="eastAsia" w:ascii="仿宋" w:eastAsia="仿宋"/>
          <w:color w:val="000000"/>
          <w:sz w:val="32"/>
          <w:szCs w:val="32"/>
        </w:rPr>
        <w:t>人，退休</w:t>
      </w:r>
      <w:r>
        <w:rPr>
          <w:rFonts w:ascii="仿宋" w:eastAsia="仿宋"/>
          <w:color w:val="000000"/>
          <w:sz w:val="32"/>
          <w:szCs w:val="32"/>
        </w:rPr>
        <w:t>1</w:t>
      </w:r>
      <w:r>
        <w:rPr>
          <w:rFonts w:hint="eastAsia" w:ascii="仿宋" w:eastAsia="仿宋"/>
          <w:color w:val="000000"/>
          <w:sz w:val="32"/>
          <w:szCs w:val="32"/>
          <w:lang w:val="en-US" w:eastAsia="zh-CN"/>
        </w:rPr>
        <w:t>1</w:t>
      </w:r>
      <w:r>
        <w:rPr>
          <w:rFonts w:hint="eastAsia" w:ascii="仿宋" w:eastAsia="仿宋"/>
          <w:color w:val="000000"/>
          <w:sz w:val="32"/>
          <w:szCs w:val="32"/>
        </w:rPr>
        <w:t>人；贵阳市粮油质量检测中心（军粮供应站）编制人数为</w:t>
      </w:r>
      <w:r>
        <w:rPr>
          <w:rFonts w:ascii="仿宋" w:eastAsia="仿宋"/>
          <w:color w:val="000000"/>
          <w:sz w:val="32"/>
          <w:szCs w:val="32"/>
        </w:rPr>
        <w:t>13</w:t>
      </w:r>
      <w:r>
        <w:rPr>
          <w:rFonts w:hint="eastAsia" w:ascii="仿宋" w:eastAsia="仿宋"/>
          <w:color w:val="000000"/>
          <w:sz w:val="32"/>
          <w:szCs w:val="32"/>
        </w:rPr>
        <w:t>人，现实有人数</w:t>
      </w:r>
      <w:r>
        <w:rPr>
          <w:rFonts w:ascii="仿宋" w:eastAsia="仿宋"/>
          <w:color w:val="000000"/>
          <w:sz w:val="32"/>
          <w:szCs w:val="32"/>
        </w:rPr>
        <w:t>9</w:t>
      </w:r>
      <w:r>
        <w:rPr>
          <w:rFonts w:hint="eastAsia" w:ascii="仿宋" w:eastAsia="仿宋"/>
          <w:color w:val="000000"/>
          <w:sz w:val="32"/>
          <w:szCs w:val="32"/>
        </w:rPr>
        <w:t>，退休</w:t>
      </w:r>
      <w:r>
        <w:rPr>
          <w:rFonts w:ascii="仿宋" w:eastAsia="仿宋"/>
          <w:color w:val="000000"/>
          <w:sz w:val="32"/>
          <w:szCs w:val="32"/>
        </w:rPr>
        <w:t>3</w:t>
      </w:r>
      <w:r>
        <w:rPr>
          <w:rFonts w:hint="eastAsia" w:ascii="仿宋" w:eastAsia="仿宋"/>
          <w:color w:val="000000"/>
          <w:sz w:val="32"/>
          <w:szCs w:val="32"/>
        </w:rPr>
        <w:t>人</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kinsoku/>
        <w:wordWrap/>
        <w:overflowPunct/>
        <w:topLinePunct w:val="0"/>
        <w:autoSpaceDE/>
        <w:autoSpaceDN/>
        <w:bidi w:val="0"/>
        <w:adjustRightInd/>
        <w:snapToGrid/>
        <w:spacing w:line="596" w:lineRule="exact"/>
        <w:ind w:firstLine="632" w:firstLineChars="200"/>
        <w:textAlignment w:val="auto"/>
        <w:rPr>
          <w:rFonts w:hint="eastAsia" w:ascii="仿宋_GB2312" w:hAnsi="宋体" w:eastAsia="仿宋_GB2312" w:cs="仿宋"/>
          <w:color w:val="auto"/>
          <w:kern w:val="1"/>
          <w:sz w:val="32"/>
          <w:szCs w:val="32"/>
          <w:lang w:eastAsia="zh-CN"/>
        </w:rPr>
      </w:pPr>
      <w:r>
        <w:rPr>
          <w:rFonts w:hint="eastAsia" w:ascii="仿宋_GB2312" w:hAnsi="仿宋_GB2312" w:eastAsia="仿宋_GB2312" w:cs="仿宋_GB2312"/>
          <w:b/>
          <w:bCs/>
          <w:color w:val="auto"/>
          <w:sz w:val="32"/>
          <w:szCs w:val="32"/>
          <w:highlight w:val="none"/>
          <w:lang w:val="en-US" w:eastAsia="zh-CN"/>
        </w:rPr>
        <w:t>1、组建政策性</w:t>
      </w:r>
      <w:r>
        <w:rPr>
          <w:rFonts w:hint="eastAsia" w:ascii="仿宋_GB2312" w:hAnsi="仿宋_GB2312" w:eastAsia="仿宋_GB2312" w:cs="仿宋_GB2312"/>
          <w:b/>
          <w:bCs/>
          <w:color w:val="auto"/>
          <w:sz w:val="32"/>
          <w:szCs w:val="32"/>
          <w:highlight w:val="none"/>
          <w:lang w:eastAsia="zh-CN"/>
        </w:rPr>
        <w:t>国有粮食储备企业</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在省局的指导下，</w:t>
      </w:r>
      <w:r>
        <w:rPr>
          <w:rFonts w:hint="eastAsia" w:ascii="仿宋_GB2312" w:hAnsi="宋体" w:eastAsia="仿宋_GB2312" w:cs="仿宋"/>
          <w:color w:val="auto"/>
          <w:kern w:val="1"/>
          <w:sz w:val="32"/>
          <w:szCs w:val="32"/>
        </w:rPr>
        <w:t>组建贵州粮食发展集团有限公司，</w:t>
      </w:r>
      <w:r>
        <w:rPr>
          <w:rFonts w:hint="eastAsia" w:ascii="仿宋_GB2312" w:eastAsia="仿宋_GB2312"/>
          <w:color w:val="auto"/>
          <w:sz w:val="32"/>
          <w:szCs w:val="32"/>
        </w:rPr>
        <w:t>专业从事粮食加工、贸易等市场经营，</w:t>
      </w:r>
      <w:r>
        <w:rPr>
          <w:rFonts w:hint="eastAsia" w:ascii="仿宋_GB2312" w:hAnsi="宋体" w:eastAsia="仿宋_GB2312" w:cs="仿宋"/>
          <w:color w:val="auto"/>
          <w:kern w:val="1"/>
          <w:sz w:val="32"/>
          <w:szCs w:val="32"/>
        </w:rPr>
        <w:t>发展壮大粮食产业经济。</w:t>
      </w:r>
      <w:r>
        <w:rPr>
          <w:rFonts w:hint="eastAsia" w:ascii="仿宋_GB2312" w:hAnsi="宋体" w:eastAsia="仿宋_GB2312" w:cs="仿宋"/>
          <w:color w:val="auto"/>
          <w:kern w:val="1"/>
          <w:sz w:val="32"/>
          <w:szCs w:val="32"/>
          <w:lang w:val="en-US" w:eastAsia="zh-CN"/>
        </w:rPr>
        <w:t>同时，</w:t>
      </w:r>
      <w:r>
        <w:rPr>
          <w:rFonts w:hint="eastAsia" w:ascii="仿宋_GB2312" w:eastAsia="仿宋_GB2312"/>
          <w:b w:val="0"/>
          <w:bCs/>
          <w:color w:val="auto"/>
          <w:sz w:val="32"/>
          <w:szCs w:val="32"/>
          <w:lang w:val="en-US" w:eastAsia="zh-CN"/>
        </w:rPr>
        <w:t>根据中央、省、市粮食储备安全机制体制改革有关文件要求，</w:t>
      </w:r>
      <w:r>
        <w:rPr>
          <w:rFonts w:hint="eastAsia" w:ascii="仿宋_GB2312" w:hAnsi="宋体" w:eastAsia="仿宋_GB2312" w:cs="仿宋"/>
          <w:color w:val="auto"/>
          <w:kern w:val="1"/>
          <w:sz w:val="32"/>
          <w:szCs w:val="32"/>
        </w:rPr>
        <w:t>组建贵阳市粮食和物资储备管理有限公司，由</w:t>
      </w:r>
      <w:r>
        <w:rPr>
          <w:rFonts w:hint="eastAsia" w:ascii="仿宋_GB2312" w:hAnsi="宋体" w:eastAsia="仿宋_GB2312" w:cs="仿宋"/>
          <w:color w:val="auto"/>
          <w:kern w:val="1"/>
          <w:sz w:val="32"/>
          <w:szCs w:val="32"/>
          <w:lang w:val="en-US" w:eastAsia="zh-CN"/>
        </w:rPr>
        <w:t>我</w:t>
      </w:r>
      <w:r>
        <w:rPr>
          <w:rFonts w:hint="eastAsia" w:ascii="仿宋_GB2312" w:hAnsi="宋体" w:eastAsia="仿宋_GB2312" w:cs="仿宋"/>
          <w:color w:val="auto"/>
          <w:kern w:val="1"/>
          <w:sz w:val="32"/>
          <w:szCs w:val="32"/>
        </w:rPr>
        <w:t>局直接管理，主要负责市级粮食和物资储备</w:t>
      </w:r>
      <w:r>
        <w:rPr>
          <w:rFonts w:hint="eastAsia" w:ascii="仿宋_GB2312" w:hAnsi="宋体" w:eastAsia="仿宋_GB2312" w:cs="仿宋"/>
          <w:color w:val="auto"/>
          <w:kern w:val="1"/>
          <w:sz w:val="32"/>
          <w:szCs w:val="32"/>
          <w:lang w:val="en-US" w:eastAsia="zh-CN"/>
        </w:rPr>
        <w:t>及其他政策性业务</w:t>
      </w:r>
      <w:r>
        <w:rPr>
          <w:rFonts w:hint="eastAsia" w:ascii="仿宋_GB2312" w:hAnsi="宋体" w:eastAsia="仿宋_GB2312" w:cs="仿宋"/>
          <w:color w:val="auto"/>
          <w:kern w:val="1"/>
          <w:sz w:val="32"/>
          <w:szCs w:val="32"/>
        </w:rPr>
        <w:t>的经营管理</w:t>
      </w:r>
      <w:r>
        <w:rPr>
          <w:rFonts w:hint="eastAsia" w:ascii="仿宋_GB2312" w:hAnsi="宋体" w:eastAsia="仿宋_GB2312" w:cs="仿宋"/>
          <w:color w:val="auto"/>
          <w:kern w:val="1"/>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6" w:lineRule="exact"/>
        <w:ind w:firstLine="632"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2、进一步提升粮食储备规模。</w:t>
      </w:r>
      <w:r>
        <w:rPr>
          <w:rFonts w:hint="eastAsia" w:ascii="仿宋_GB2312" w:hAnsi="仿宋_GB2312" w:eastAsia="仿宋_GB2312" w:cs="仿宋_GB2312"/>
          <w:b w:val="0"/>
          <w:bCs w:val="0"/>
          <w:color w:val="auto"/>
          <w:sz w:val="32"/>
          <w:szCs w:val="32"/>
          <w:highlight w:val="none"/>
          <w:lang w:val="en-US" w:eastAsia="zh-CN"/>
        </w:rPr>
        <w:t>我市属于销区城市，按照国家有关规定需建立满足6个月销量的地方储备，按照地方粮食储备以省为主、市县为辅的原则，我市在2021年将继续增加储备到26万吨。</w:t>
      </w:r>
    </w:p>
    <w:p>
      <w:pPr>
        <w:keepNext w:val="0"/>
        <w:keepLines w:val="0"/>
        <w:pageBreakBefore w:val="0"/>
        <w:widowControl w:val="0"/>
        <w:kinsoku/>
        <w:wordWrap/>
        <w:overflowPunct/>
        <w:topLinePunct w:val="0"/>
        <w:autoSpaceDE/>
        <w:autoSpaceDN/>
        <w:bidi w:val="0"/>
        <w:adjustRightInd/>
        <w:snapToGrid/>
        <w:spacing w:line="596" w:lineRule="exact"/>
        <w:ind w:firstLine="632"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val="en-US" w:eastAsia="zh-CN"/>
        </w:rPr>
        <w:t>3、进一步强化重要物资储备。</w:t>
      </w:r>
      <w:r>
        <w:rPr>
          <w:rFonts w:hint="eastAsia" w:ascii="仿宋_GB2312" w:hAnsi="仿宋_GB2312" w:eastAsia="仿宋_GB2312" w:cs="仿宋_GB2312"/>
          <w:b w:val="0"/>
          <w:bCs w:val="0"/>
          <w:color w:val="auto"/>
          <w:sz w:val="32"/>
          <w:szCs w:val="32"/>
          <w:highlight w:val="none"/>
          <w:lang w:val="en-US" w:eastAsia="zh-CN"/>
        </w:rPr>
        <w:t>结合疫情防控工作要求和突发事件应急处置需要，</w:t>
      </w:r>
      <w:r>
        <w:rPr>
          <w:rFonts w:hint="eastAsia" w:ascii="仿宋_GB2312" w:hAnsi="仿宋_GB2312" w:eastAsia="仿宋_GB2312" w:cs="仿宋_GB2312"/>
          <w:color w:val="auto"/>
          <w:sz w:val="32"/>
          <w:szCs w:val="32"/>
        </w:rPr>
        <w:t>进一步</w:t>
      </w:r>
      <w:r>
        <w:rPr>
          <w:rFonts w:hint="eastAsia" w:ascii="仿宋_GB2312" w:hAnsi="仿宋_GB2312" w:eastAsia="仿宋_GB2312" w:cs="仿宋_GB2312"/>
          <w:color w:val="auto"/>
          <w:sz w:val="32"/>
          <w:szCs w:val="32"/>
          <w:lang w:val="en-US" w:eastAsia="zh-CN"/>
        </w:rPr>
        <w:t>修订</w:t>
      </w:r>
      <w:r>
        <w:rPr>
          <w:rFonts w:hint="eastAsia" w:ascii="仿宋_GB2312" w:hAnsi="仿宋_GB2312" w:eastAsia="仿宋_GB2312" w:cs="仿宋_GB2312"/>
          <w:color w:val="auto"/>
          <w:sz w:val="32"/>
          <w:szCs w:val="32"/>
        </w:rPr>
        <w:t>完善物资储备管理制度</w:t>
      </w:r>
      <w:r>
        <w:rPr>
          <w:rFonts w:hint="eastAsia" w:ascii="仿宋_GB2312" w:hAnsi="仿宋_GB2312" w:eastAsia="仿宋_GB2312" w:cs="仿宋_GB2312"/>
          <w:color w:val="auto"/>
          <w:sz w:val="32"/>
          <w:szCs w:val="32"/>
          <w:lang w:val="en-US" w:eastAsia="zh-CN"/>
        </w:rPr>
        <w:t>和办法</w:t>
      </w:r>
      <w:r>
        <w:rPr>
          <w:rFonts w:hint="eastAsia" w:ascii="仿宋_GB2312" w:hAnsi="仿宋_GB2312" w:eastAsia="仿宋_GB2312" w:cs="仿宋_GB2312"/>
          <w:color w:val="auto"/>
          <w:sz w:val="32"/>
          <w:szCs w:val="32"/>
        </w:rPr>
        <w:t>，科学规划</w:t>
      </w:r>
      <w:r>
        <w:rPr>
          <w:rFonts w:hint="eastAsia" w:ascii="仿宋_GB2312" w:hAnsi="仿宋_GB2312" w:eastAsia="仿宋_GB2312" w:cs="仿宋_GB2312"/>
          <w:color w:val="auto"/>
          <w:sz w:val="32"/>
          <w:szCs w:val="32"/>
          <w:lang w:val="en-US" w:eastAsia="zh-CN"/>
        </w:rPr>
        <w:t>和完善</w:t>
      </w:r>
      <w:r>
        <w:rPr>
          <w:rFonts w:hint="eastAsia" w:ascii="仿宋_GB2312" w:hAnsi="仿宋_GB2312" w:eastAsia="仿宋_GB2312" w:cs="仿宋_GB2312"/>
          <w:color w:val="auto"/>
          <w:sz w:val="32"/>
          <w:szCs w:val="32"/>
        </w:rPr>
        <w:t>物资储备品种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结构</w:t>
      </w:r>
      <w:r>
        <w:rPr>
          <w:rFonts w:hint="eastAsia" w:ascii="仿宋_GB2312" w:hAnsi="仿宋_GB2312" w:eastAsia="仿宋_GB2312" w:cs="仿宋_GB2312"/>
          <w:color w:val="auto"/>
          <w:sz w:val="32"/>
          <w:szCs w:val="32"/>
        </w:rPr>
        <w:t>和数量</w:t>
      </w:r>
      <w:r>
        <w:rPr>
          <w:rFonts w:hint="eastAsia" w:ascii="仿宋_GB2312" w:hAnsi="仿宋_GB2312" w:eastAsia="仿宋_GB2312" w:cs="仿宋_GB2312"/>
          <w:color w:val="auto"/>
          <w:sz w:val="32"/>
          <w:szCs w:val="32"/>
          <w:lang w:val="en-US" w:eastAsia="zh-CN"/>
        </w:rPr>
        <w:t>规模</w:t>
      </w:r>
      <w:r>
        <w:rPr>
          <w:rFonts w:hint="eastAsia" w:ascii="仿宋_GB2312" w:hAnsi="仿宋_GB2312" w:eastAsia="仿宋_GB2312" w:cs="仿宋_GB2312"/>
          <w:color w:val="auto"/>
          <w:sz w:val="32"/>
          <w:szCs w:val="32"/>
        </w:rPr>
        <w:t>，研究构建</w:t>
      </w:r>
      <w:r>
        <w:rPr>
          <w:rFonts w:hint="eastAsia" w:ascii="仿宋_GB2312" w:hAnsi="仿宋_GB2312" w:eastAsia="仿宋_GB2312" w:cs="仿宋_GB2312"/>
          <w:color w:val="auto"/>
          <w:sz w:val="32"/>
          <w:szCs w:val="32"/>
          <w:lang w:val="en-US" w:eastAsia="zh-CN"/>
        </w:rPr>
        <w:t>统一指挥、储备合理、处置高效的突发事件</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val="en-US" w:eastAsia="zh-CN"/>
        </w:rPr>
        <w:t>处置物资保障</w:t>
      </w:r>
      <w:r>
        <w:rPr>
          <w:rFonts w:hint="eastAsia" w:ascii="仿宋_GB2312" w:hAnsi="仿宋_GB2312" w:eastAsia="仿宋_GB2312" w:cs="仿宋_GB2312"/>
          <w:color w:val="auto"/>
          <w:sz w:val="32"/>
          <w:szCs w:val="32"/>
        </w:rPr>
        <w:t>体系。</w:t>
      </w:r>
    </w:p>
    <w:p>
      <w:pPr>
        <w:keepNext w:val="0"/>
        <w:keepLines w:val="0"/>
        <w:pageBreakBefore w:val="0"/>
        <w:widowControl w:val="0"/>
        <w:kinsoku/>
        <w:wordWrap/>
        <w:overflowPunct/>
        <w:topLinePunct w:val="0"/>
        <w:autoSpaceDE/>
        <w:autoSpaceDN/>
        <w:bidi w:val="0"/>
        <w:adjustRightInd/>
        <w:snapToGrid/>
        <w:spacing w:line="596" w:lineRule="exact"/>
        <w:ind w:firstLine="699" w:firstLineChars="221"/>
        <w:jc w:val="left"/>
        <w:textAlignment w:val="auto"/>
        <w:rPr>
          <w:rFonts w:hint="eastAsia" w:ascii="仿宋_GB2312" w:hAnsi="楷体" w:eastAsia="仿宋_GB2312" w:cs="仿宋"/>
          <w:color w:val="auto"/>
          <w:kern w:val="1"/>
          <w:sz w:val="32"/>
          <w:szCs w:val="32"/>
        </w:rPr>
      </w:pPr>
      <w:r>
        <w:rPr>
          <w:rFonts w:hint="eastAsia" w:ascii="仿宋_GB2312" w:hAnsi="仿宋_GB2312" w:eastAsia="仿宋_GB2312" w:cs="仿宋_GB2312"/>
          <w:b/>
          <w:bCs/>
          <w:color w:val="auto"/>
          <w:sz w:val="32"/>
          <w:szCs w:val="32"/>
          <w:highlight w:val="none"/>
          <w:lang w:val="en-US" w:eastAsia="zh-CN"/>
        </w:rPr>
        <w:t>4、努力壮大粮食产业经济。</w:t>
      </w:r>
      <w:r>
        <w:rPr>
          <w:rFonts w:hint="eastAsia" w:ascii="仿宋_GB2312" w:hAnsi="微软雅黑" w:eastAsia="仿宋_GB2312"/>
          <w:color w:val="auto"/>
          <w:sz w:val="32"/>
          <w:szCs w:val="32"/>
        </w:rPr>
        <w:t>大力支持发展粮食贸易</w:t>
      </w:r>
      <w:r>
        <w:rPr>
          <w:rFonts w:hint="eastAsia" w:ascii="仿宋_GB2312" w:hAnsi="微软雅黑" w:eastAsia="仿宋_GB2312"/>
          <w:color w:val="auto"/>
          <w:sz w:val="32"/>
          <w:szCs w:val="32"/>
          <w:lang w:eastAsia="zh-CN"/>
        </w:rPr>
        <w:t>、</w:t>
      </w:r>
      <w:r>
        <w:rPr>
          <w:rFonts w:hint="eastAsia" w:ascii="仿宋_GB2312" w:hAnsi="微软雅黑" w:eastAsia="仿宋_GB2312"/>
          <w:color w:val="auto"/>
          <w:sz w:val="32"/>
          <w:szCs w:val="32"/>
          <w:lang w:val="en-US" w:eastAsia="zh-CN"/>
        </w:rPr>
        <w:t>粮食及其制品的精深</w:t>
      </w:r>
      <w:r>
        <w:rPr>
          <w:rFonts w:hint="eastAsia" w:ascii="仿宋_GB2312" w:hAnsi="微软雅黑" w:eastAsia="仿宋_GB2312"/>
          <w:color w:val="auto"/>
          <w:sz w:val="32"/>
          <w:szCs w:val="32"/>
        </w:rPr>
        <w:t>加工产业，</w:t>
      </w:r>
      <w:r>
        <w:rPr>
          <w:rFonts w:hint="eastAsia" w:ascii="仿宋_GB2312" w:hAnsi="微软雅黑" w:eastAsia="仿宋_GB2312"/>
          <w:color w:val="auto"/>
          <w:sz w:val="32"/>
          <w:szCs w:val="32"/>
          <w:lang w:val="en-US" w:eastAsia="zh-CN"/>
        </w:rPr>
        <w:t>探索粮食储备轮换机制，试行“库厂结合”“储加结合”等模式，</w:t>
      </w:r>
      <w:r>
        <w:rPr>
          <w:rFonts w:hint="eastAsia" w:ascii="仿宋_GB2312" w:hAnsi="微软雅黑" w:eastAsia="仿宋_GB2312"/>
          <w:color w:val="auto"/>
          <w:sz w:val="32"/>
          <w:szCs w:val="32"/>
        </w:rPr>
        <w:t>完善粮食储备上下游产业链，提高粮食轮换“吐故纳新”的能力，把粮食储备地方财政消耗性投入变成</w:t>
      </w:r>
      <w:r>
        <w:rPr>
          <w:rFonts w:hint="eastAsia" w:ascii="仿宋_GB2312" w:hAnsi="微软雅黑" w:eastAsia="仿宋_GB2312"/>
          <w:color w:val="auto"/>
          <w:sz w:val="32"/>
          <w:szCs w:val="32"/>
          <w:lang w:val="en-US" w:eastAsia="zh-CN"/>
        </w:rPr>
        <w:t>对</w:t>
      </w:r>
      <w:r>
        <w:rPr>
          <w:rFonts w:hint="eastAsia" w:ascii="仿宋_GB2312" w:hAnsi="微软雅黑" w:eastAsia="仿宋_GB2312"/>
          <w:color w:val="auto"/>
          <w:sz w:val="32"/>
          <w:szCs w:val="32"/>
        </w:rPr>
        <w:t>粮油食品产业拉动性投入。</w:t>
      </w:r>
      <w:bookmarkStart w:id="1" w:name="_Hlk37097833"/>
      <w:r>
        <w:rPr>
          <w:rFonts w:hint="eastAsia" w:ascii="仿宋_GB2312" w:hAnsi="微软雅黑" w:eastAsia="仿宋_GB2312"/>
          <w:color w:val="auto"/>
          <w:sz w:val="32"/>
          <w:szCs w:val="32"/>
          <w:lang w:val="en-US" w:eastAsia="zh-CN"/>
        </w:rPr>
        <w:t>积极联络国内大型粮油企业入驻贵阳，招强引大，</w:t>
      </w:r>
      <w:bookmarkEnd w:id="1"/>
      <w:r>
        <w:rPr>
          <w:rFonts w:hint="eastAsia" w:ascii="仿宋_GB2312" w:hAnsi="微软雅黑" w:eastAsia="仿宋_GB2312"/>
          <w:color w:val="auto"/>
          <w:sz w:val="32"/>
          <w:szCs w:val="32"/>
          <w:lang w:val="en-US" w:eastAsia="zh-CN"/>
        </w:rPr>
        <w:t>为</w:t>
      </w:r>
      <w:r>
        <w:rPr>
          <w:rFonts w:hint="eastAsia" w:ascii="仿宋_GB2312" w:hAnsi="微软雅黑" w:eastAsia="仿宋_GB2312"/>
          <w:color w:val="auto"/>
          <w:sz w:val="32"/>
          <w:szCs w:val="32"/>
        </w:rPr>
        <w:t>贵阳形成粮油大储备、大流通、大基地、大产业的格局</w:t>
      </w:r>
      <w:r>
        <w:rPr>
          <w:rFonts w:hint="eastAsia" w:ascii="仿宋_GB2312" w:hAnsi="微软雅黑" w:eastAsia="仿宋_GB2312"/>
          <w:color w:val="auto"/>
          <w:sz w:val="32"/>
          <w:szCs w:val="32"/>
          <w:lang w:val="en-US" w:eastAsia="zh-CN"/>
        </w:rPr>
        <w:t>奠定基础</w:t>
      </w:r>
      <w:r>
        <w:rPr>
          <w:rFonts w:hint="eastAsia" w:ascii="仿宋_GB2312" w:hAnsi="微软雅黑" w:eastAsia="仿宋_GB2312"/>
          <w:color w:val="auto"/>
          <w:sz w:val="32"/>
          <w:szCs w:val="32"/>
        </w:rPr>
        <w:t>。</w:t>
      </w:r>
      <w:r>
        <w:rPr>
          <w:rFonts w:hint="eastAsia" w:ascii="仿宋_GB2312" w:hAnsi="楷体" w:eastAsia="仿宋_GB2312" w:cs="仿宋"/>
          <w:color w:val="auto"/>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96" w:lineRule="exact"/>
        <w:ind w:firstLine="699" w:firstLineChars="221"/>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5、抓好重点项目建设</w:t>
      </w:r>
      <w:r>
        <w:rPr>
          <w:rFonts w:hint="eastAsia" w:ascii="楷体_GB2312" w:hAnsi="楷体_GB2312" w:eastAsia="楷体_GB2312" w:cs="楷体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b w:val="0"/>
          <w:bCs w:val="0"/>
          <w:color w:val="auto"/>
          <w:sz w:val="32"/>
          <w:szCs w:val="32"/>
          <w:highlight w:val="none"/>
          <w:lang w:val="en-US" w:eastAsia="zh-CN"/>
        </w:rPr>
        <w:t>建设智慧粮食监管平台，进一步提高我市粮食和物资储备管理的信息化、数据化应用水平，初步实现从产、购、储、加、销、用形成全链条数据分析和信息共享。</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val="0"/>
          <w:bCs w:val="0"/>
          <w:color w:val="auto"/>
          <w:sz w:val="32"/>
          <w:szCs w:val="32"/>
          <w:highlight w:val="none"/>
          <w:lang w:val="en-US" w:eastAsia="zh-CN"/>
        </w:rPr>
        <w:t>结合贵阳贵安融合发展，进一步提升粮食和物资储备保障能力，积极参与西南粮食城产业项目建设，启动粮食铁路专线货场建设项目；完成穗金公司10万吨粮仓建设项目，该项目已纳入我市2021年“十件实事”。</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val="0"/>
          <w:bCs w:val="0"/>
          <w:color w:val="auto"/>
          <w:sz w:val="32"/>
          <w:szCs w:val="32"/>
          <w:highlight w:val="none"/>
          <w:lang w:val="en-US" w:eastAsia="zh-CN"/>
        </w:rPr>
        <w:t>启动谷丰粮油食品批发市场升级改造工程建设，清镇、修文等县级粮食仓储物流基础设施建设取得实质性进展。</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三、部门预算安排情况说明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（一）部门收支总体情况（详见表1）</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hint="eastAsia" w:ascii="仿宋" w:eastAsia="仿宋"/>
          <w:sz w:val="32"/>
          <w:szCs w:val="32"/>
        </w:rPr>
        <w:t>预</w:t>
      </w:r>
      <w:r>
        <w:rPr>
          <w:rFonts w:hint="eastAsia" w:ascii="仿宋" w:eastAsia="仿宋"/>
          <w:color w:val="auto"/>
          <w:sz w:val="32"/>
          <w:szCs w:val="32"/>
        </w:rPr>
        <w:t>算</w:t>
      </w:r>
      <w:r>
        <w:rPr>
          <w:rFonts w:hint="eastAsia" w:ascii="仿宋" w:eastAsia="仿宋"/>
          <w:color w:val="auto"/>
          <w:sz w:val="32"/>
          <w:szCs w:val="32"/>
          <w:lang w:val="en-US" w:eastAsia="zh-CN"/>
        </w:rPr>
        <w:t>8685.57</w:t>
      </w:r>
      <w:r>
        <w:rPr>
          <w:rFonts w:hint="eastAsia" w:ascii="仿宋" w:eastAsia="仿宋"/>
          <w:color w:val="auto"/>
          <w:sz w:val="32"/>
          <w:szCs w:val="32"/>
        </w:rPr>
        <w:t>万</w:t>
      </w:r>
      <w:r>
        <w:rPr>
          <w:rFonts w:hint="eastAsia" w:ascii="仿宋" w:eastAsia="仿宋"/>
          <w:sz w:val="32"/>
          <w:szCs w:val="32"/>
        </w:rPr>
        <w:t>元，本预算包括本单位及二级单位预算，其中局机关</w:t>
      </w:r>
      <w:r>
        <w:rPr>
          <w:rFonts w:hint="eastAsia" w:ascii="仿宋" w:eastAsia="仿宋"/>
          <w:sz w:val="32"/>
          <w:szCs w:val="32"/>
          <w:lang w:val="en-US" w:eastAsia="zh-CN"/>
        </w:rPr>
        <w:t>8311.93</w:t>
      </w:r>
      <w:r>
        <w:rPr>
          <w:rFonts w:hint="eastAsia" w:ascii="仿宋" w:eastAsia="仿宋"/>
          <w:sz w:val="32"/>
          <w:szCs w:val="32"/>
        </w:rPr>
        <w:t>万元（基本支出</w:t>
      </w:r>
      <w:r>
        <w:rPr>
          <w:rFonts w:hint="eastAsia" w:ascii="仿宋" w:eastAsia="仿宋"/>
          <w:sz w:val="32"/>
          <w:szCs w:val="32"/>
          <w:lang w:val="en-US" w:eastAsia="zh-CN"/>
        </w:rPr>
        <w:t>818.53</w:t>
      </w:r>
      <w:r>
        <w:rPr>
          <w:rFonts w:hint="eastAsia" w:ascii="仿宋" w:eastAsia="仿宋"/>
          <w:sz w:val="32"/>
          <w:szCs w:val="32"/>
        </w:rPr>
        <w:t>万元，项目支出</w:t>
      </w:r>
      <w:r>
        <w:rPr>
          <w:rFonts w:hint="eastAsia" w:ascii="仿宋" w:eastAsia="仿宋"/>
          <w:sz w:val="32"/>
          <w:szCs w:val="32"/>
          <w:lang w:val="en-US" w:eastAsia="zh-CN"/>
        </w:rPr>
        <w:t>7493.4</w:t>
      </w:r>
      <w:r>
        <w:rPr>
          <w:rFonts w:hint="eastAsia" w:ascii="仿宋" w:eastAsia="仿宋"/>
          <w:sz w:val="32"/>
          <w:szCs w:val="32"/>
        </w:rPr>
        <w:t>万元），下属贵阳市粮食执法监察大队</w:t>
      </w:r>
      <w:r>
        <w:rPr>
          <w:rFonts w:hint="eastAsia" w:ascii="仿宋" w:eastAsia="仿宋"/>
          <w:sz w:val="32"/>
          <w:szCs w:val="32"/>
          <w:lang w:val="en-US" w:eastAsia="zh-CN"/>
        </w:rPr>
        <w:t>373.64</w:t>
      </w:r>
      <w:r>
        <w:rPr>
          <w:rFonts w:hint="eastAsia" w:ascii="仿宋" w:eastAsia="仿宋"/>
          <w:sz w:val="32"/>
          <w:szCs w:val="32"/>
        </w:rPr>
        <w:t>万元（基本支出</w:t>
      </w:r>
      <w:r>
        <w:rPr>
          <w:rFonts w:hint="eastAsia" w:ascii="仿宋" w:eastAsia="仿宋"/>
          <w:sz w:val="32"/>
          <w:szCs w:val="32"/>
          <w:lang w:val="en-US" w:eastAsia="zh-CN"/>
        </w:rPr>
        <w:t>371.16</w:t>
      </w:r>
      <w:r>
        <w:rPr>
          <w:rFonts w:hint="eastAsia" w:ascii="仿宋" w:eastAsia="仿宋"/>
          <w:sz w:val="32"/>
          <w:szCs w:val="32"/>
        </w:rPr>
        <w:t>万元，</w:t>
      </w:r>
      <w:r>
        <w:rPr>
          <w:rFonts w:hint="eastAsia" w:ascii="仿宋" w:eastAsia="仿宋"/>
          <w:sz w:val="32"/>
          <w:szCs w:val="32"/>
          <w:lang w:eastAsia="zh-CN"/>
        </w:rPr>
        <w:t>上级拨入上年结转</w:t>
      </w:r>
      <w:r>
        <w:rPr>
          <w:rFonts w:hint="eastAsia" w:ascii="仿宋" w:eastAsia="仿宋"/>
          <w:sz w:val="32"/>
          <w:szCs w:val="32"/>
        </w:rPr>
        <w:t>项目支出</w:t>
      </w:r>
      <w:r>
        <w:rPr>
          <w:rFonts w:hint="eastAsia" w:ascii="仿宋" w:eastAsia="仿宋"/>
          <w:sz w:val="32"/>
          <w:szCs w:val="32"/>
          <w:lang w:val="en-US" w:eastAsia="zh-CN"/>
        </w:rPr>
        <w:t>2.48</w:t>
      </w:r>
      <w:r>
        <w:rPr>
          <w:rFonts w:hint="eastAsia" w:ascii="仿宋" w:eastAsia="仿宋"/>
          <w:sz w:val="32"/>
          <w:szCs w:val="32"/>
        </w:rPr>
        <w:t>万元），贵阳市军粮供应站目前未纳入财政预算管理。</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贵阳市粮食和物资储备局部门</w:t>
      </w:r>
      <w:r>
        <w:rPr>
          <w:rFonts w:hint="eastAsia" w:ascii="仿宋" w:eastAsia="仿宋"/>
          <w:sz w:val="32"/>
          <w:szCs w:val="32"/>
        </w:rPr>
        <w:t>预算较</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减少</w:t>
      </w:r>
      <w:r>
        <w:rPr>
          <w:rFonts w:hint="eastAsia" w:ascii="仿宋" w:eastAsia="仿宋"/>
          <w:sz w:val="32"/>
          <w:szCs w:val="32"/>
        </w:rPr>
        <w:t>了</w:t>
      </w:r>
      <w:r>
        <w:rPr>
          <w:rFonts w:hint="eastAsia" w:ascii="仿宋" w:eastAsia="仿宋"/>
          <w:sz w:val="32"/>
          <w:szCs w:val="32"/>
          <w:lang w:val="en-US" w:eastAsia="zh-CN"/>
        </w:rPr>
        <w:t>11085.19</w:t>
      </w:r>
      <w:r>
        <w:rPr>
          <w:rFonts w:hint="eastAsia" w:ascii="仿宋" w:eastAsia="仿宋"/>
          <w:sz w:val="32"/>
          <w:szCs w:val="32"/>
        </w:rPr>
        <w:t>万元，其中基本支出比上年</w:t>
      </w:r>
      <w:r>
        <w:rPr>
          <w:rFonts w:hint="eastAsia" w:ascii="仿宋" w:eastAsia="仿宋"/>
          <w:sz w:val="32"/>
          <w:szCs w:val="32"/>
          <w:lang w:eastAsia="zh-CN"/>
        </w:rPr>
        <w:t>增加</w:t>
      </w:r>
      <w:r>
        <w:rPr>
          <w:rFonts w:hint="eastAsia" w:ascii="仿宋" w:eastAsia="仿宋"/>
          <w:sz w:val="32"/>
          <w:szCs w:val="32"/>
          <w:lang w:val="en-US" w:eastAsia="zh-CN"/>
        </w:rPr>
        <w:t>112.16</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lang w:eastAsia="zh-CN"/>
        </w:rPr>
        <w:t>。</w:t>
      </w:r>
      <w:r>
        <w:rPr>
          <w:rFonts w:hint="eastAsia" w:ascii="仿宋" w:eastAsia="仿宋"/>
          <w:sz w:val="32"/>
          <w:szCs w:val="32"/>
        </w:rPr>
        <w:t>项目支出比上年</w:t>
      </w:r>
      <w:r>
        <w:rPr>
          <w:rFonts w:hint="eastAsia" w:ascii="仿宋" w:eastAsia="仿宋"/>
          <w:sz w:val="32"/>
          <w:szCs w:val="32"/>
          <w:lang w:eastAsia="zh-CN"/>
        </w:rPr>
        <w:t>减少</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（二）部门收入总体情况（详见表2）</w:t>
      </w:r>
    </w:p>
    <w:p>
      <w:pPr>
        <w:ind w:firstLine="632" w:firstLineChars="200"/>
      </w:pPr>
      <w:r>
        <w:rPr>
          <w:rFonts w:ascii="仿宋" w:eastAsia="仿宋"/>
          <w:sz w:val="32"/>
          <w:szCs w:val="32"/>
          <w:highlight w:val="none"/>
        </w:rPr>
        <w:t>20</w:t>
      </w:r>
      <w:r>
        <w:rPr>
          <w:rFonts w:hint="eastAsia" w:ascii="仿宋" w:eastAsia="仿宋"/>
          <w:sz w:val="32"/>
          <w:szCs w:val="32"/>
          <w:highlight w:val="none"/>
          <w:lang w:val="en-US" w:eastAsia="zh-CN"/>
        </w:rPr>
        <w:t>21</w:t>
      </w:r>
      <w:r>
        <w:rPr>
          <w:rFonts w:hint="eastAsia" w:ascii="仿宋" w:eastAsia="仿宋"/>
          <w:sz w:val="32"/>
          <w:szCs w:val="32"/>
          <w:highlight w:val="none"/>
        </w:rPr>
        <w:t>年</w:t>
      </w:r>
      <w:r>
        <w:rPr>
          <w:rFonts w:hint="eastAsia" w:ascii="仿宋" w:eastAsia="仿宋"/>
          <w:sz w:val="32"/>
          <w:szCs w:val="32"/>
          <w:highlight w:val="none"/>
          <w:lang w:eastAsia="zh-CN"/>
        </w:rPr>
        <w:t>贵阳市</w:t>
      </w:r>
      <w:r>
        <w:rPr>
          <w:rFonts w:hint="eastAsia" w:ascii="仿宋" w:eastAsia="仿宋"/>
          <w:sz w:val="32"/>
          <w:szCs w:val="32"/>
          <w:lang w:eastAsia="zh-CN"/>
        </w:rPr>
        <w:t>粮食和物资储备局部门</w:t>
      </w:r>
      <w:r>
        <w:rPr>
          <w:rFonts w:hint="eastAsia" w:ascii="仿宋" w:eastAsia="仿宋"/>
          <w:sz w:val="32"/>
          <w:szCs w:val="32"/>
        </w:rPr>
        <w:t>收入</w:t>
      </w:r>
      <w:r>
        <w:rPr>
          <w:rFonts w:hint="eastAsia" w:ascii="仿宋" w:eastAsia="仿宋"/>
          <w:sz w:val="32"/>
          <w:szCs w:val="32"/>
          <w:lang w:val="en-US" w:eastAsia="zh-CN"/>
        </w:rPr>
        <w:t>8685.57</w:t>
      </w:r>
      <w:r>
        <w:rPr>
          <w:rFonts w:hint="eastAsia" w:ascii="仿宋" w:eastAsia="仿宋"/>
          <w:sz w:val="32"/>
          <w:szCs w:val="32"/>
        </w:rPr>
        <w:t>万元，其中基本支出收入</w:t>
      </w:r>
      <w:r>
        <w:rPr>
          <w:rFonts w:hint="eastAsia" w:ascii="仿宋" w:eastAsia="仿宋"/>
          <w:sz w:val="32"/>
          <w:szCs w:val="32"/>
          <w:lang w:val="en-US" w:eastAsia="zh-CN"/>
        </w:rPr>
        <w:t>1189.69</w:t>
      </w:r>
      <w:r>
        <w:rPr>
          <w:rFonts w:hint="eastAsia" w:ascii="仿宋" w:eastAsia="仿宋"/>
          <w:sz w:val="32"/>
          <w:szCs w:val="32"/>
        </w:rPr>
        <w:t>万元，比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eastAsia="zh-CN"/>
        </w:rPr>
        <w:t>增加</w:t>
      </w:r>
      <w:r>
        <w:rPr>
          <w:rFonts w:hint="eastAsia" w:ascii="仿宋" w:eastAsia="仿宋"/>
          <w:sz w:val="32"/>
          <w:szCs w:val="32"/>
        </w:rPr>
        <w:t>了</w:t>
      </w:r>
      <w:r>
        <w:rPr>
          <w:rFonts w:hint="eastAsia" w:ascii="仿宋" w:eastAsia="仿宋"/>
          <w:sz w:val="32"/>
          <w:szCs w:val="32"/>
          <w:lang w:val="en-US" w:eastAsia="zh-CN"/>
        </w:rPr>
        <w:t>112.16</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rPr>
        <w:t>；项目支出收入</w:t>
      </w:r>
      <w:r>
        <w:rPr>
          <w:rFonts w:hint="eastAsia" w:ascii="仿宋" w:eastAsia="仿宋"/>
          <w:sz w:val="32"/>
          <w:szCs w:val="32"/>
          <w:lang w:val="en-US" w:eastAsia="zh-CN"/>
        </w:rPr>
        <w:t>7493.40</w:t>
      </w:r>
      <w:r>
        <w:rPr>
          <w:rFonts w:hint="eastAsia" w:ascii="仿宋" w:eastAsia="仿宋"/>
          <w:sz w:val="32"/>
          <w:szCs w:val="32"/>
        </w:rPr>
        <w:t>万元，比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eastAsia="zh-CN"/>
        </w:rPr>
        <w:t>减少</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（三）部门支出总体情况（详见表3）</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贵阳市粮食和物资储备局部门</w:t>
      </w:r>
      <w:r>
        <w:rPr>
          <w:rFonts w:hint="eastAsia" w:ascii="仿宋" w:eastAsia="仿宋"/>
          <w:sz w:val="32"/>
          <w:szCs w:val="32"/>
        </w:rPr>
        <w:t>支出预算</w:t>
      </w:r>
      <w:r>
        <w:rPr>
          <w:rFonts w:hint="eastAsia" w:ascii="仿宋" w:eastAsia="仿宋"/>
          <w:sz w:val="32"/>
          <w:szCs w:val="32"/>
          <w:lang w:val="en-US" w:eastAsia="zh-CN"/>
        </w:rPr>
        <w:t>8685.57</w:t>
      </w:r>
      <w:r>
        <w:rPr>
          <w:rFonts w:hint="eastAsia" w:ascii="仿宋" w:eastAsia="仿宋"/>
          <w:sz w:val="32"/>
          <w:szCs w:val="32"/>
        </w:rPr>
        <w:t>万元，其中基本支出预算</w:t>
      </w:r>
      <w:r>
        <w:rPr>
          <w:rFonts w:hint="eastAsia" w:ascii="仿宋" w:eastAsia="仿宋"/>
          <w:sz w:val="32"/>
          <w:szCs w:val="32"/>
          <w:lang w:val="en-US" w:eastAsia="zh-CN"/>
        </w:rPr>
        <w:t>1189.69</w:t>
      </w:r>
      <w:r>
        <w:rPr>
          <w:rFonts w:hint="eastAsia" w:ascii="仿宋" w:eastAsia="仿宋"/>
          <w:sz w:val="32"/>
          <w:szCs w:val="32"/>
        </w:rPr>
        <w:t>万，比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eastAsia="zh-CN"/>
        </w:rPr>
        <w:t>增加</w:t>
      </w:r>
      <w:r>
        <w:rPr>
          <w:rFonts w:hint="eastAsia" w:ascii="仿宋" w:eastAsia="仿宋"/>
          <w:sz w:val="32"/>
          <w:szCs w:val="32"/>
        </w:rPr>
        <w:t>了</w:t>
      </w:r>
      <w:r>
        <w:rPr>
          <w:rFonts w:hint="eastAsia" w:ascii="仿宋" w:eastAsia="仿宋"/>
          <w:sz w:val="32"/>
          <w:szCs w:val="32"/>
          <w:lang w:val="en-US" w:eastAsia="zh-CN"/>
        </w:rPr>
        <w:t>112.16</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rPr>
        <w:t>；项目支出预算</w:t>
      </w:r>
      <w:r>
        <w:rPr>
          <w:rFonts w:hint="eastAsia" w:ascii="仿宋" w:eastAsia="仿宋"/>
          <w:sz w:val="32"/>
          <w:szCs w:val="32"/>
          <w:lang w:val="en-US" w:eastAsia="zh-CN"/>
        </w:rPr>
        <w:t>7493.40</w:t>
      </w:r>
      <w:r>
        <w:rPr>
          <w:rFonts w:hint="eastAsia" w:ascii="仿宋" w:eastAsia="仿宋"/>
          <w:sz w:val="32"/>
          <w:szCs w:val="32"/>
        </w:rPr>
        <w:t>万元，比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年度</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（四）财政拨款收支总体情况（详见表4）</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贵阳市粮食和物资储备局部门</w:t>
      </w:r>
      <w:r>
        <w:rPr>
          <w:rFonts w:hint="eastAsia" w:ascii="仿宋" w:eastAsia="仿宋"/>
          <w:sz w:val="32"/>
          <w:szCs w:val="32"/>
        </w:rPr>
        <w:t>预算财政拨款总额</w:t>
      </w:r>
      <w:r>
        <w:rPr>
          <w:rFonts w:hint="eastAsia" w:ascii="仿宋" w:eastAsia="仿宋"/>
          <w:sz w:val="32"/>
          <w:szCs w:val="32"/>
          <w:lang w:val="en-US" w:eastAsia="zh-CN"/>
        </w:rPr>
        <w:t>8685.57</w:t>
      </w:r>
      <w:r>
        <w:rPr>
          <w:rFonts w:hint="eastAsia" w:ascii="仿宋" w:eastAsia="仿宋"/>
          <w:sz w:val="32"/>
          <w:szCs w:val="32"/>
        </w:rPr>
        <w:t>万元，本预算包括本单位及二级单位预算，其中局机关</w:t>
      </w:r>
      <w:r>
        <w:rPr>
          <w:rFonts w:hint="eastAsia" w:ascii="仿宋" w:eastAsia="仿宋"/>
          <w:sz w:val="32"/>
          <w:szCs w:val="32"/>
          <w:lang w:val="en-US" w:eastAsia="zh-CN"/>
        </w:rPr>
        <w:t>8311.93万元</w:t>
      </w:r>
      <w:r>
        <w:rPr>
          <w:rFonts w:hint="eastAsia" w:ascii="仿宋" w:eastAsia="仿宋"/>
          <w:sz w:val="32"/>
          <w:szCs w:val="32"/>
        </w:rPr>
        <w:t>（基本支出</w:t>
      </w:r>
      <w:r>
        <w:rPr>
          <w:rFonts w:hint="eastAsia" w:ascii="仿宋" w:eastAsia="仿宋"/>
          <w:sz w:val="32"/>
          <w:szCs w:val="32"/>
          <w:lang w:val="en-US" w:eastAsia="zh-CN"/>
        </w:rPr>
        <w:t>818.53</w:t>
      </w:r>
      <w:r>
        <w:rPr>
          <w:rFonts w:hint="eastAsia" w:ascii="仿宋" w:eastAsia="仿宋"/>
          <w:sz w:val="32"/>
          <w:szCs w:val="32"/>
        </w:rPr>
        <w:t>万元，项目支出</w:t>
      </w:r>
      <w:r>
        <w:rPr>
          <w:rFonts w:hint="eastAsia" w:ascii="仿宋" w:eastAsia="仿宋"/>
          <w:sz w:val="32"/>
          <w:szCs w:val="32"/>
          <w:lang w:val="en-US" w:eastAsia="zh-CN"/>
        </w:rPr>
        <w:t>7493.40</w:t>
      </w:r>
      <w:r>
        <w:rPr>
          <w:rFonts w:hint="eastAsia" w:ascii="仿宋" w:eastAsia="仿宋"/>
          <w:sz w:val="32"/>
          <w:szCs w:val="32"/>
        </w:rPr>
        <w:t>万元），下属贵阳市粮食执法监察大队</w:t>
      </w:r>
      <w:r>
        <w:rPr>
          <w:rFonts w:hint="eastAsia" w:ascii="仿宋" w:eastAsia="仿宋"/>
          <w:sz w:val="32"/>
          <w:szCs w:val="32"/>
          <w:lang w:val="en-US" w:eastAsia="zh-CN"/>
        </w:rPr>
        <w:t>373.64</w:t>
      </w:r>
      <w:r>
        <w:rPr>
          <w:rFonts w:hint="eastAsia" w:ascii="仿宋" w:eastAsia="仿宋"/>
          <w:sz w:val="32"/>
          <w:szCs w:val="32"/>
        </w:rPr>
        <w:t>万元（基本支出</w:t>
      </w:r>
      <w:r>
        <w:rPr>
          <w:rFonts w:hint="eastAsia" w:ascii="仿宋" w:eastAsia="仿宋"/>
          <w:sz w:val="32"/>
          <w:szCs w:val="32"/>
          <w:lang w:val="en-US" w:eastAsia="zh-CN"/>
        </w:rPr>
        <w:t>371.16</w:t>
      </w:r>
      <w:r>
        <w:rPr>
          <w:rFonts w:hint="eastAsia" w:ascii="仿宋" w:eastAsia="仿宋"/>
          <w:sz w:val="32"/>
          <w:szCs w:val="32"/>
        </w:rPr>
        <w:t>万元，</w:t>
      </w:r>
      <w:r>
        <w:rPr>
          <w:rFonts w:hint="eastAsia" w:ascii="仿宋" w:eastAsia="仿宋"/>
          <w:sz w:val="32"/>
          <w:szCs w:val="32"/>
          <w:lang w:eastAsia="zh-CN"/>
        </w:rPr>
        <w:t>上级拨入上年结转</w:t>
      </w:r>
      <w:r>
        <w:rPr>
          <w:rFonts w:hint="eastAsia" w:ascii="仿宋" w:eastAsia="仿宋"/>
          <w:sz w:val="32"/>
          <w:szCs w:val="32"/>
        </w:rPr>
        <w:t>项目支出</w:t>
      </w:r>
      <w:r>
        <w:rPr>
          <w:rFonts w:hint="eastAsia" w:ascii="仿宋" w:eastAsia="仿宋"/>
          <w:sz w:val="32"/>
          <w:szCs w:val="32"/>
          <w:lang w:val="en-US" w:eastAsia="zh-CN"/>
        </w:rPr>
        <w:t>2.48</w:t>
      </w:r>
      <w:r>
        <w:rPr>
          <w:rFonts w:hint="eastAsia" w:ascii="仿宋" w:eastAsia="仿宋"/>
          <w:sz w:val="32"/>
          <w:szCs w:val="32"/>
        </w:rPr>
        <w:t>万元），贵阳市军粮供应站目前未纳入财政预算管理。</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贵阳市粮食和物资储备局部门</w:t>
      </w:r>
      <w:r>
        <w:rPr>
          <w:rFonts w:hint="eastAsia" w:ascii="仿宋" w:eastAsia="仿宋"/>
          <w:sz w:val="32"/>
          <w:szCs w:val="32"/>
        </w:rPr>
        <w:t>预算较</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减少</w:t>
      </w:r>
      <w:r>
        <w:rPr>
          <w:rFonts w:hint="eastAsia" w:ascii="仿宋" w:eastAsia="仿宋"/>
          <w:sz w:val="32"/>
          <w:szCs w:val="32"/>
        </w:rPr>
        <w:t>了</w:t>
      </w:r>
      <w:r>
        <w:rPr>
          <w:rFonts w:hint="eastAsia" w:ascii="仿宋" w:eastAsia="仿宋"/>
          <w:sz w:val="32"/>
          <w:szCs w:val="32"/>
          <w:lang w:val="en-US" w:eastAsia="zh-CN"/>
        </w:rPr>
        <w:t>11085.19</w:t>
      </w:r>
      <w:r>
        <w:rPr>
          <w:rFonts w:hint="eastAsia" w:ascii="仿宋" w:eastAsia="仿宋"/>
          <w:sz w:val="32"/>
          <w:szCs w:val="32"/>
        </w:rPr>
        <w:t>万元，其中基本支出比上年</w:t>
      </w:r>
      <w:r>
        <w:rPr>
          <w:rFonts w:hint="eastAsia" w:ascii="仿宋" w:eastAsia="仿宋"/>
          <w:sz w:val="32"/>
          <w:szCs w:val="32"/>
          <w:lang w:eastAsia="zh-CN"/>
        </w:rPr>
        <w:t>增加</w:t>
      </w:r>
      <w:r>
        <w:rPr>
          <w:rFonts w:hint="eastAsia" w:ascii="仿宋" w:eastAsia="仿宋"/>
          <w:sz w:val="32"/>
          <w:szCs w:val="32"/>
          <w:lang w:val="en-US" w:eastAsia="zh-CN"/>
        </w:rPr>
        <w:t>112.16</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原因是</w:t>
      </w:r>
      <w:r>
        <w:rPr>
          <w:rFonts w:hint="eastAsia" w:ascii="仿宋" w:eastAsia="仿宋"/>
          <w:sz w:val="32"/>
          <w:szCs w:val="32"/>
          <w:lang w:eastAsia="zh-CN"/>
        </w:rPr>
        <w:t>今年在职人员工资调档调级，新进</w:t>
      </w:r>
      <w:r>
        <w:rPr>
          <w:rFonts w:hint="eastAsia" w:ascii="仿宋" w:eastAsia="仿宋"/>
          <w:sz w:val="32"/>
          <w:szCs w:val="32"/>
          <w:lang w:val="en-US" w:eastAsia="zh-CN"/>
        </w:rPr>
        <w:t>2人等</w:t>
      </w:r>
      <w:r>
        <w:rPr>
          <w:rFonts w:hint="eastAsia" w:ascii="仿宋" w:eastAsia="仿宋"/>
          <w:sz w:val="32"/>
          <w:szCs w:val="32"/>
        </w:rPr>
        <w:t>；项目支出比上年</w:t>
      </w:r>
      <w:r>
        <w:rPr>
          <w:rFonts w:hint="eastAsia" w:ascii="仿宋" w:eastAsia="仿宋"/>
          <w:sz w:val="32"/>
          <w:szCs w:val="32"/>
          <w:lang w:eastAsia="zh-CN"/>
        </w:rPr>
        <w:t>减少</w:t>
      </w:r>
      <w:r>
        <w:rPr>
          <w:rFonts w:hint="eastAsia" w:ascii="仿宋" w:eastAsia="仿宋"/>
          <w:sz w:val="32"/>
          <w:szCs w:val="32"/>
          <w:lang w:val="en-US" w:eastAsia="zh-CN"/>
        </w:rPr>
        <w:t>11197.35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年度</w:t>
      </w:r>
      <w:r>
        <w:rPr>
          <w:rFonts w:hint="eastAsia" w:ascii="仿宋" w:eastAsia="仿宋"/>
          <w:sz w:val="32"/>
          <w:szCs w:val="32"/>
          <w:lang w:eastAsia="zh-CN"/>
        </w:rPr>
        <w:t>减少了</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（五）一般公共预算支出情况（详见表5）</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hint="eastAsia" w:ascii="仿宋" w:eastAsia="仿宋"/>
          <w:sz w:val="32"/>
          <w:szCs w:val="32"/>
        </w:rPr>
        <w:t>部门一般公共预算</w:t>
      </w:r>
      <w:r>
        <w:rPr>
          <w:rFonts w:hint="eastAsia" w:ascii="仿宋" w:eastAsia="仿宋"/>
          <w:sz w:val="32"/>
          <w:szCs w:val="32"/>
          <w:lang w:eastAsia="zh-CN"/>
        </w:rPr>
        <w:t>支出</w:t>
      </w:r>
      <w:r>
        <w:rPr>
          <w:rFonts w:hint="eastAsia" w:ascii="仿宋" w:eastAsia="仿宋"/>
          <w:sz w:val="32"/>
          <w:szCs w:val="32"/>
        </w:rPr>
        <w:t>总额</w:t>
      </w:r>
      <w:r>
        <w:rPr>
          <w:rFonts w:hint="eastAsia" w:ascii="仿宋" w:eastAsia="仿宋"/>
          <w:sz w:val="32"/>
          <w:szCs w:val="32"/>
          <w:lang w:val="en-US" w:eastAsia="zh-CN"/>
        </w:rPr>
        <w:t>8685.57</w:t>
      </w:r>
      <w:r>
        <w:rPr>
          <w:rFonts w:hint="eastAsia" w:ascii="仿宋" w:eastAsia="仿宋"/>
          <w:sz w:val="32"/>
          <w:szCs w:val="32"/>
        </w:rPr>
        <w:t>万元，其中社会保障和就业支出（类）</w:t>
      </w:r>
      <w:r>
        <w:rPr>
          <w:rFonts w:hint="eastAsia" w:ascii="仿宋" w:eastAsia="仿宋"/>
          <w:sz w:val="32"/>
          <w:szCs w:val="32"/>
          <w:lang w:val="en-US" w:eastAsia="zh-CN"/>
        </w:rPr>
        <w:t>304.88万元</w:t>
      </w:r>
      <w:r>
        <w:rPr>
          <w:rFonts w:hint="eastAsia" w:ascii="仿宋" w:eastAsia="仿宋"/>
          <w:sz w:val="32"/>
          <w:szCs w:val="32"/>
        </w:rPr>
        <w:t>，比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增加</w:t>
      </w:r>
      <w:r>
        <w:rPr>
          <w:rFonts w:hint="eastAsia" w:ascii="仿宋" w:eastAsia="仿宋"/>
          <w:sz w:val="32"/>
          <w:szCs w:val="32"/>
          <w:lang w:val="en-US" w:eastAsia="zh-CN"/>
        </w:rPr>
        <w:t>257.10</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原因主要是</w:t>
      </w:r>
      <w:r>
        <w:rPr>
          <w:rFonts w:hint="eastAsia" w:ascii="仿宋" w:eastAsia="仿宋"/>
          <w:sz w:val="32"/>
          <w:szCs w:val="32"/>
          <w:lang w:val="en-US" w:eastAsia="zh-CN"/>
        </w:rPr>
        <w:t>2020年</w:t>
      </w:r>
      <w:r>
        <w:rPr>
          <w:rFonts w:hint="eastAsia" w:ascii="仿宋" w:eastAsia="仿宋"/>
          <w:sz w:val="32"/>
          <w:szCs w:val="32"/>
          <w:lang w:eastAsia="zh-CN"/>
        </w:rPr>
        <w:t>退休人员退休费未纳入此核算</w:t>
      </w:r>
      <w:r>
        <w:rPr>
          <w:rFonts w:hint="eastAsia" w:ascii="仿宋" w:eastAsia="仿宋"/>
          <w:sz w:val="32"/>
          <w:szCs w:val="32"/>
        </w:rPr>
        <w:t>；卫生健康支出（类）</w:t>
      </w:r>
      <w:r>
        <w:rPr>
          <w:rFonts w:hint="eastAsia" w:ascii="仿宋" w:eastAsia="仿宋"/>
          <w:sz w:val="32"/>
          <w:szCs w:val="32"/>
          <w:lang w:val="en-US" w:eastAsia="zh-CN"/>
        </w:rPr>
        <w:t>54.77万元</w:t>
      </w:r>
      <w:r>
        <w:rPr>
          <w:rFonts w:hint="eastAsia" w:ascii="仿宋" w:eastAsia="仿宋"/>
          <w:sz w:val="32"/>
          <w:szCs w:val="32"/>
        </w:rPr>
        <w:t>，比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减少</w:t>
      </w:r>
      <w:r>
        <w:rPr>
          <w:rFonts w:hint="eastAsia" w:ascii="仿宋" w:eastAsia="仿宋"/>
          <w:sz w:val="32"/>
          <w:szCs w:val="32"/>
          <w:lang w:val="en-US" w:eastAsia="zh-CN"/>
        </w:rPr>
        <w:t>9999.75</w:t>
      </w:r>
      <w:r>
        <w:rPr>
          <w:rFonts w:hint="eastAsia" w:ascii="仿宋" w:eastAsia="仿宋"/>
          <w:sz w:val="32"/>
          <w:szCs w:val="32"/>
        </w:rPr>
        <w:t>万元</w:t>
      </w:r>
      <w:r>
        <w:rPr>
          <w:rFonts w:hint="eastAsia" w:ascii="仿宋" w:eastAsia="仿宋"/>
          <w:sz w:val="32"/>
          <w:szCs w:val="32"/>
          <w:lang w:eastAsia="zh-CN"/>
        </w:rPr>
        <w:t>，减少</w:t>
      </w:r>
      <w:r>
        <w:rPr>
          <w:rFonts w:hint="eastAsia" w:ascii="仿宋" w:eastAsia="仿宋"/>
          <w:sz w:val="32"/>
          <w:szCs w:val="32"/>
        </w:rPr>
        <w:t>原因主要是部门预算</w:t>
      </w:r>
      <w:r>
        <w:rPr>
          <w:rFonts w:hint="eastAsia" w:ascii="仿宋" w:eastAsia="仿宋"/>
          <w:sz w:val="32"/>
          <w:szCs w:val="32"/>
          <w:lang w:eastAsia="zh-CN"/>
        </w:rPr>
        <w:t>按实际人数支出实际保障数和减少</w:t>
      </w:r>
      <w:r>
        <w:rPr>
          <w:rFonts w:hint="eastAsia" w:ascii="仿宋" w:eastAsia="仿宋"/>
          <w:sz w:val="32"/>
          <w:szCs w:val="32"/>
          <w:lang w:val="en-US" w:eastAsia="zh-CN"/>
        </w:rPr>
        <w:t>2020年突发疫情期间新增的应对疫情医药和器材应急物资采购储备资金项目</w:t>
      </w:r>
      <w:r>
        <w:rPr>
          <w:rFonts w:hint="eastAsia" w:ascii="仿宋" w:eastAsia="仿宋"/>
          <w:sz w:val="32"/>
          <w:szCs w:val="32"/>
        </w:rPr>
        <w:t>；</w:t>
      </w:r>
      <w:r>
        <w:rPr>
          <w:rFonts w:hint="eastAsia" w:ascii="仿宋" w:eastAsia="仿宋"/>
          <w:sz w:val="32"/>
          <w:szCs w:val="32"/>
          <w:lang w:eastAsia="zh-CN"/>
        </w:rPr>
        <w:t>农林水支出增加</w:t>
      </w:r>
      <w:r>
        <w:rPr>
          <w:rFonts w:hint="eastAsia" w:ascii="仿宋" w:eastAsia="仿宋"/>
          <w:sz w:val="32"/>
          <w:szCs w:val="32"/>
          <w:lang w:val="en-US" w:eastAsia="zh-CN"/>
        </w:rPr>
        <w:t>743万元，增加原因是今年经费紧张，我单位粮食风险基金预算金额从农林水调节了此额度，</w:t>
      </w:r>
      <w:r>
        <w:rPr>
          <w:rFonts w:hint="eastAsia" w:ascii="仿宋" w:eastAsia="仿宋"/>
          <w:sz w:val="32"/>
          <w:szCs w:val="32"/>
        </w:rPr>
        <w:t>住房保障支出（类）</w:t>
      </w:r>
      <w:r>
        <w:rPr>
          <w:rFonts w:hint="eastAsia" w:ascii="仿宋" w:eastAsia="仿宋"/>
          <w:sz w:val="32"/>
          <w:szCs w:val="32"/>
          <w:lang w:val="en-US" w:eastAsia="zh-CN"/>
        </w:rPr>
        <w:t>76.93万元</w:t>
      </w:r>
      <w:r>
        <w:rPr>
          <w:rFonts w:hint="eastAsia" w:ascii="仿宋" w:eastAsia="仿宋"/>
          <w:sz w:val="32"/>
          <w:szCs w:val="32"/>
        </w:rPr>
        <w:t>，比</w:t>
      </w:r>
      <w:r>
        <w:rPr>
          <w:rFonts w:ascii="仿宋" w:eastAsia="仿宋"/>
          <w:sz w:val="32"/>
          <w:szCs w:val="32"/>
        </w:rPr>
        <w:t>20</w:t>
      </w:r>
      <w:r>
        <w:rPr>
          <w:rFonts w:hint="eastAsia" w:ascii="仿宋" w:eastAsia="仿宋"/>
          <w:sz w:val="32"/>
          <w:szCs w:val="32"/>
          <w:lang w:val="en-US" w:eastAsia="zh-CN"/>
        </w:rPr>
        <w:t>20</w:t>
      </w:r>
      <w:r>
        <w:rPr>
          <w:rFonts w:hint="eastAsia" w:ascii="仿宋" w:eastAsia="仿宋"/>
          <w:sz w:val="32"/>
          <w:szCs w:val="32"/>
        </w:rPr>
        <w:t>年</w:t>
      </w:r>
      <w:r>
        <w:rPr>
          <w:rFonts w:hint="eastAsia" w:ascii="仿宋" w:eastAsia="仿宋"/>
          <w:sz w:val="32"/>
          <w:szCs w:val="32"/>
          <w:lang w:eastAsia="zh-CN"/>
        </w:rPr>
        <w:t>增加</w:t>
      </w:r>
      <w:r>
        <w:rPr>
          <w:rFonts w:hint="eastAsia" w:ascii="仿宋" w:eastAsia="仿宋"/>
          <w:sz w:val="32"/>
          <w:szCs w:val="32"/>
          <w:lang w:val="en-US" w:eastAsia="zh-CN"/>
        </w:rPr>
        <w:t>4.89</w:t>
      </w:r>
      <w:r>
        <w:rPr>
          <w:rFonts w:hint="eastAsia" w:ascii="仿宋" w:eastAsia="仿宋"/>
          <w:sz w:val="32"/>
          <w:szCs w:val="32"/>
        </w:rPr>
        <w:t>万元，</w:t>
      </w:r>
      <w:r>
        <w:rPr>
          <w:rFonts w:hint="eastAsia" w:ascii="仿宋" w:eastAsia="仿宋"/>
          <w:sz w:val="32"/>
          <w:szCs w:val="32"/>
          <w:lang w:eastAsia="zh-CN"/>
        </w:rPr>
        <w:t>增加</w:t>
      </w:r>
      <w:r>
        <w:rPr>
          <w:rFonts w:hint="eastAsia" w:ascii="仿宋" w:eastAsia="仿宋"/>
          <w:sz w:val="32"/>
          <w:szCs w:val="32"/>
        </w:rPr>
        <w:t>原因主要是住房公积金计算依据变化；粮油物资储备支出（类）</w:t>
      </w:r>
      <w:r>
        <w:rPr>
          <w:rFonts w:hint="eastAsia" w:ascii="仿宋" w:eastAsia="仿宋"/>
          <w:sz w:val="32"/>
          <w:szCs w:val="32"/>
          <w:lang w:val="en-US" w:eastAsia="zh-CN"/>
        </w:rPr>
        <w:t>7505.99万元</w:t>
      </w:r>
      <w:r>
        <w:rPr>
          <w:rFonts w:hint="eastAsia" w:ascii="仿宋" w:eastAsia="仿宋"/>
          <w:sz w:val="32"/>
          <w:szCs w:val="32"/>
        </w:rPr>
        <w:t>，比上年</w:t>
      </w:r>
      <w:r>
        <w:rPr>
          <w:rFonts w:hint="eastAsia" w:ascii="仿宋" w:eastAsia="仿宋"/>
          <w:sz w:val="32"/>
          <w:szCs w:val="32"/>
          <w:lang w:eastAsia="zh-CN"/>
        </w:rPr>
        <w:t>减少</w:t>
      </w:r>
      <w:r>
        <w:rPr>
          <w:rFonts w:hint="eastAsia" w:ascii="仿宋" w:eastAsia="仿宋"/>
          <w:sz w:val="32"/>
          <w:szCs w:val="32"/>
          <w:lang w:val="en-US" w:eastAsia="zh-CN"/>
        </w:rPr>
        <w:t>2090.43万元</w:t>
      </w:r>
      <w:r>
        <w:rPr>
          <w:rFonts w:hint="eastAsia" w:ascii="仿宋" w:eastAsia="仿宋"/>
          <w:sz w:val="32"/>
          <w:szCs w:val="32"/>
        </w:rPr>
        <w:t>，</w:t>
      </w:r>
      <w:r>
        <w:rPr>
          <w:rFonts w:hint="eastAsia" w:ascii="仿宋" w:eastAsia="仿宋"/>
          <w:sz w:val="32"/>
          <w:szCs w:val="32"/>
          <w:lang w:eastAsia="zh-CN"/>
        </w:rPr>
        <w:t>减少</w:t>
      </w:r>
      <w:r>
        <w:rPr>
          <w:rFonts w:hint="eastAsia" w:ascii="仿宋" w:eastAsia="仿宋"/>
          <w:sz w:val="32"/>
          <w:szCs w:val="32"/>
        </w:rPr>
        <w:t>原因主要是</w:t>
      </w:r>
      <w:r>
        <w:rPr>
          <w:rFonts w:hint="eastAsia" w:ascii="仿宋" w:eastAsia="仿宋"/>
          <w:sz w:val="32"/>
          <w:szCs w:val="32"/>
          <w:lang w:val="en-US" w:eastAsia="zh-CN"/>
        </w:rPr>
        <w:t>2021</w:t>
      </w:r>
      <w:r>
        <w:rPr>
          <w:rFonts w:hint="eastAsia" w:ascii="仿宋" w:eastAsia="仿宋"/>
          <w:sz w:val="32"/>
          <w:szCs w:val="32"/>
        </w:rPr>
        <w:t>年</w:t>
      </w:r>
      <w:r>
        <w:rPr>
          <w:rFonts w:hint="eastAsia" w:ascii="仿宋" w:eastAsia="仿宋"/>
          <w:sz w:val="32"/>
          <w:szCs w:val="32"/>
          <w:lang w:eastAsia="zh-CN"/>
        </w:rPr>
        <w:t>厉行节约项目经费预算安置减少</w:t>
      </w:r>
      <w:r>
        <w:rPr>
          <w:rFonts w:hint="eastAsia" w:ascii="仿宋" w:eastAsia="仿宋"/>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（六）一般公共预算基本支出情况（详见表6、7）</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hint="eastAsia" w:ascii="仿宋" w:eastAsia="仿宋"/>
          <w:sz w:val="32"/>
          <w:szCs w:val="32"/>
        </w:rPr>
        <w:t>部门一般公共预算基本支出总额</w:t>
      </w:r>
      <w:r>
        <w:rPr>
          <w:rFonts w:hint="eastAsia" w:ascii="仿宋" w:eastAsia="仿宋"/>
          <w:sz w:val="32"/>
          <w:szCs w:val="32"/>
          <w:lang w:val="en-US" w:eastAsia="zh-CN"/>
        </w:rPr>
        <w:t>1189.69</w:t>
      </w:r>
      <w:r>
        <w:rPr>
          <w:rFonts w:hint="eastAsia" w:ascii="仿宋" w:eastAsia="仿宋"/>
          <w:sz w:val="32"/>
          <w:szCs w:val="32"/>
        </w:rPr>
        <w:t>万元，其中人员经费</w:t>
      </w:r>
      <w:r>
        <w:rPr>
          <w:rFonts w:hint="eastAsia" w:ascii="仿宋" w:eastAsia="仿宋"/>
          <w:sz w:val="32"/>
          <w:szCs w:val="32"/>
          <w:lang w:val="en-US" w:eastAsia="zh-CN"/>
        </w:rPr>
        <w:t>1031.79</w:t>
      </w:r>
      <w:r>
        <w:rPr>
          <w:rFonts w:hint="eastAsia" w:ascii="仿宋" w:eastAsia="仿宋"/>
          <w:sz w:val="32"/>
          <w:szCs w:val="32"/>
        </w:rPr>
        <w:t>万元，公用经费</w:t>
      </w:r>
      <w:r>
        <w:rPr>
          <w:rFonts w:hint="eastAsia" w:ascii="仿宋" w:eastAsia="仿宋"/>
          <w:sz w:val="32"/>
          <w:szCs w:val="32"/>
          <w:lang w:val="en-US" w:eastAsia="zh-CN"/>
        </w:rPr>
        <w:t>157.90</w:t>
      </w:r>
      <w:r>
        <w:rPr>
          <w:rFonts w:hint="eastAsia" w:ascii="仿宋" w:eastAsia="仿宋"/>
          <w:sz w:val="32"/>
          <w:szCs w:val="32"/>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（七）一般公共预算“三公”经费支出情况（详见表8）</w:t>
      </w:r>
    </w:p>
    <w:p>
      <w:pPr>
        <w:ind w:firstLine="632" w:firstLineChars="200"/>
      </w:pP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ascii="仿宋" w:eastAsia="仿宋"/>
          <w:sz w:val="32"/>
          <w:szCs w:val="32"/>
        </w:rPr>
        <w:t xml:space="preserve"> </w:t>
      </w:r>
      <w:r>
        <w:rPr>
          <w:rFonts w:hint="eastAsia" w:ascii="仿宋" w:eastAsia="仿宋"/>
          <w:sz w:val="32"/>
          <w:szCs w:val="32"/>
        </w:rPr>
        <w:t>“三公经费”部门预算总额</w:t>
      </w:r>
      <w:r>
        <w:rPr>
          <w:rFonts w:hint="eastAsia" w:ascii="仿宋" w:eastAsia="仿宋"/>
          <w:sz w:val="32"/>
          <w:szCs w:val="32"/>
          <w:lang w:val="en-US" w:eastAsia="zh-CN"/>
        </w:rPr>
        <w:t xml:space="preserve">4.73 </w:t>
      </w:r>
      <w:r>
        <w:rPr>
          <w:rFonts w:hint="eastAsia" w:ascii="仿宋" w:eastAsia="仿宋"/>
          <w:sz w:val="32"/>
          <w:szCs w:val="32"/>
        </w:rPr>
        <w:t>万元。其中公务用车运行费</w:t>
      </w:r>
      <w:r>
        <w:rPr>
          <w:rFonts w:ascii="仿宋" w:eastAsia="仿宋"/>
          <w:sz w:val="32"/>
          <w:szCs w:val="32"/>
        </w:rPr>
        <w:t>4.23</w:t>
      </w:r>
      <w:r>
        <w:rPr>
          <w:rFonts w:hint="eastAsia" w:ascii="仿宋" w:eastAsia="仿宋"/>
          <w:sz w:val="32"/>
          <w:szCs w:val="32"/>
        </w:rPr>
        <w:t>万元（我部门现公务用车保有量为</w:t>
      </w:r>
      <w:r>
        <w:rPr>
          <w:rFonts w:ascii="仿宋" w:eastAsia="仿宋"/>
          <w:sz w:val="32"/>
          <w:szCs w:val="32"/>
        </w:rPr>
        <w:t>2</w:t>
      </w:r>
      <w:r>
        <w:rPr>
          <w:rFonts w:hint="eastAsia" w:ascii="仿宋" w:eastAsia="仿宋"/>
          <w:sz w:val="32"/>
          <w:szCs w:val="32"/>
        </w:rPr>
        <w:t>辆），与上年相比没有变化。公务接待费</w:t>
      </w:r>
      <w:r>
        <w:rPr>
          <w:rFonts w:hint="eastAsia" w:ascii="仿宋" w:eastAsia="仿宋"/>
          <w:sz w:val="32"/>
          <w:szCs w:val="32"/>
          <w:lang w:val="en-US" w:eastAsia="zh-CN"/>
        </w:rPr>
        <w:t>0.5</w:t>
      </w:r>
      <w:r>
        <w:rPr>
          <w:rFonts w:hint="eastAsia" w:ascii="仿宋" w:eastAsia="仿宋"/>
          <w:sz w:val="32"/>
          <w:szCs w:val="32"/>
        </w:rPr>
        <w:t>万元，与上年相比没有变化。因公出国（境）费实行总</w:t>
      </w:r>
      <w:bookmarkStart w:id="2" w:name="_GoBack"/>
      <w:bookmarkEnd w:id="2"/>
      <w:r>
        <w:rPr>
          <w:rFonts w:hint="eastAsia" w:ascii="仿宋" w:eastAsia="仿宋"/>
          <w:sz w:val="32"/>
          <w:szCs w:val="32"/>
        </w:rPr>
        <w:t>额控制，年初未分配，年度间根据实际情况按照程序审批后据实列支、本年没有公务用车购置费预算安排。</w:t>
      </w:r>
      <w:r>
        <w:rPr>
          <w:rFonts w:ascii="仿宋" w:eastAsia="仿宋"/>
          <w:sz w:val="32"/>
          <w:szCs w:val="32"/>
        </w:rPr>
        <w:t>20</w:t>
      </w:r>
      <w:r>
        <w:rPr>
          <w:rFonts w:hint="eastAsia" w:ascii="仿宋" w:eastAsia="仿宋"/>
          <w:sz w:val="32"/>
          <w:szCs w:val="32"/>
          <w:lang w:val="en-US" w:eastAsia="zh-CN"/>
        </w:rPr>
        <w:t>21</w:t>
      </w:r>
      <w:r>
        <w:rPr>
          <w:rFonts w:hint="eastAsia" w:ascii="仿宋" w:eastAsia="仿宋"/>
          <w:sz w:val="32"/>
          <w:szCs w:val="32"/>
        </w:rPr>
        <w:t>年</w:t>
      </w:r>
      <w:r>
        <w:rPr>
          <w:rFonts w:hint="eastAsia" w:ascii="仿宋" w:eastAsia="仿宋"/>
          <w:sz w:val="32"/>
          <w:szCs w:val="32"/>
          <w:lang w:eastAsia="zh-CN"/>
        </w:rPr>
        <w:t>贵阳市粮食和物资储备局</w:t>
      </w:r>
      <w:r>
        <w:rPr>
          <w:rFonts w:ascii="仿宋" w:eastAsia="仿宋"/>
          <w:sz w:val="32"/>
          <w:szCs w:val="32"/>
        </w:rPr>
        <w:t xml:space="preserve"> </w:t>
      </w:r>
      <w:r>
        <w:rPr>
          <w:rFonts w:hint="eastAsia" w:ascii="仿宋" w:eastAsia="仿宋"/>
          <w:sz w:val="32"/>
          <w:szCs w:val="32"/>
        </w:rPr>
        <w:t>“三公经费”部门预算较上年</w:t>
      </w:r>
      <w:r>
        <w:rPr>
          <w:rFonts w:hint="eastAsia" w:ascii="仿宋" w:eastAsia="仿宋"/>
          <w:sz w:val="32"/>
          <w:szCs w:val="32"/>
          <w:lang w:eastAsia="zh-CN"/>
        </w:rPr>
        <w:t>不变</w:t>
      </w:r>
      <w:r>
        <w:rPr>
          <w:rFonts w:hint="eastAsia" w:ascii="仿宋" w:eastAsia="仿宋"/>
          <w:sz w:val="32"/>
          <w:szCs w:val="32"/>
        </w:rPr>
        <w:t>的原因是我部门厉行节约，控制公务接待费用支出。</w:t>
      </w:r>
    </w:p>
    <w:p>
      <w:pPr>
        <w:keepNext w:val="0"/>
        <w:keepLines w:val="0"/>
        <w:widowControl w:val="0"/>
        <w:numPr>
          <w:ilvl w:val="0"/>
          <w:numId w:val="2"/>
        </w:numPr>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市级对下专项转移支付项目支出情况（详见表9）</w:t>
      </w:r>
    </w:p>
    <w:p>
      <w:pPr>
        <w:ind w:firstLine="632" w:firstLineChars="200"/>
      </w:pPr>
      <w:r>
        <w:rPr>
          <w:rFonts w:hint="eastAsia" w:ascii="仿宋" w:eastAsia="仿宋"/>
          <w:sz w:val="32"/>
          <w:szCs w:val="32"/>
        </w:rPr>
        <w:t>部门</w:t>
      </w:r>
      <w:r>
        <w:rPr>
          <w:rFonts w:hint="eastAsia" w:ascii="仿宋" w:eastAsia="仿宋"/>
          <w:color w:val="000000"/>
          <w:sz w:val="32"/>
          <w:szCs w:val="32"/>
        </w:rPr>
        <w:t>无</w:t>
      </w:r>
      <w:r>
        <w:rPr>
          <w:rFonts w:hint="eastAsia" w:ascii="仿宋" w:hAnsi="仿宋" w:eastAsia="仿宋" w:cs="仿宋"/>
          <w:bCs/>
          <w:color w:val="auto"/>
          <w:sz w:val="32"/>
          <w:szCs w:val="32"/>
          <w:highlight w:val="none"/>
        </w:rPr>
        <w:t>对下专项转移支付项目</w:t>
      </w:r>
      <w:r>
        <w:rPr>
          <w:rFonts w:hint="eastAsia" w:ascii="仿宋" w:eastAsia="仿宋"/>
          <w:color w:val="000000"/>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（九）政府性基金预算支出情况（详见表</w:t>
      </w:r>
      <w:r>
        <w:rPr>
          <w:rFonts w:hint="eastAsia" w:ascii="楷体_GB2312" w:hAnsi="楷体_GB2312" w:eastAsia="楷体_GB2312" w:cs="楷体_GB2312"/>
          <w:bCs/>
          <w:color w:val="auto"/>
          <w:sz w:val="32"/>
          <w:szCs w:val="32"/>
          <w:highlight w:val="none"/>
          <w:lang w:val="en-US" w:eastAsia="zh-CN"/>
        </w:rPr>
        <w:t>10</w:t>
      </w:r>
      <w:r>
        <w:rPr>
          <w:rFonts w:hint="eastAsia" w:ascii="楷体_GB2312" w:hAnsi="楷体_GB2312" w:eastAsia="楷体_GB2312" w:cs="楷体_GB2312"/>
          <w:bCs/>
          <w:color w:val="auto"/>
          <w:sz w:val="32"/>
          <w:szCs w:val="32"/>
          <w:highlight w:val="none"/>
        </w:rPr>
        <w:t>）</w:t>
      </w:r>
    </w:p>
    <w:p>
      <w:pPr>
        <w:ind w:firstLine="632" w:firstLineChars="200"/>
      </w:pPr>
      <w:r>
        <w:rPr>
          <w:rFonts w:hint="eastAsia" w:ascii="仿宋" w:eastAsia="仿宋"/>
          <w:sz w:val="32"/>
          <w:szCs w:val="32"/>
        </w:rPr>
        <w:t>部门</w:t>
      </w:r>
      <w:r>
        <w:rPr>
          <w:rFonts w:hint="eastAsia" w:ascii="仿宋" w:eastAsia="仿宋"/>
          <w:color w:val="000000"/>
          <w:sz w:val="32"/>
          <w:szCs w:val="32"/>
        </w:rPr>
        <w:t>无政府性基金支出。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eastAsia="仿宋_GB2312"/>
          <w:color w:val="auto"/>
          <w:sz w:val="32"/>
          <w:szCs w:val="32"/>
          <w:highlight w:val="none"/>
        </w:rPr>
      </w:pPr>
      <w:r>
        <w:rPr>
          <w:rFonts w:hint="eastAsia" w:ascii="楷体_GB2312" w:eastAsia="楷体_GB2312"/>
          <w:b/>
          <w:color w:val="auto"/>
          <w:sz w:val="32"/>
          <w:szCs w:val="32"/>
          <w:highlight w:val="none"/>
        </w:rPr>
        <w:t>（十）</w:t>
      </w:r>
      <w:r>
        <w:rPr>
          <w:rFonts w:hint="eastAsia" w:eastAsia="仿宋_GB2312"/>
          <w:color w:val="auto"/>
          <w:sz w:val="32"/>
          <w:szCs w:val="32"/>
          <w:highlight w:val="none"/>
        </w:rPr>
        <w:t>国有资本经营预算支出情况</w:t>
      </w:r>
      <w:r>
        <w:rPr>
          <w:rFonts w:hint="eastAsia" w:ascii="楷体_GB2312" w:hAnsi="楷体_GB2312" w:eastAsia="楷体_GB2312" w:cs="楷体_GB2312"/>
          <w:bCs/>
          <w:color w:val="auto"/>
          <w:sz w:val="32"/>
          <w:szCs w:val="32"/>
          <w:highlight w:val="none"/>
        </w:rPr>
        <w:t>（详见表</w:t>
      </w:r>
      <w:r>
        <w:rPr>
          <w:rFonts w:hint="eastAsia" w:ascii="楷体_GB2312" w:hAnsi="楷体_GB2312" w:eastAsia="楷体_GB2312" w:cs="楷体_GB2312"/>
          <w:bCs/>
          <w:color w:val="auto"/>
          <w:sz w:val="32"/>
          <w:szCs w:val="32"/>
          <w:highlight w:val="none"/>
          <w:lang w:val="en-US" w:eastAsia="zh-CN"/>
        </w:rPr>
        <w:t>11</w:t>
      </w:r>
      <w:r>
        <w:rPr>
          <w:rFonts w:hint="eastAsia" w:ascii="楷体_GB2312" w:hAnsi="楷体_GB2312" w:eastAsia="楷体_GB2312" w:cs="楷体_GB2312"/>
          <w:bCs/>
          <w:color w:val="auto"/>
          <w:sz w:val="32"/>
          <w:szCs w:val="32"/>
          <w:highlight w:val="none"/>
        </w:rPr>
        <w:t>）</w:t>
      </w:r>
    </w:p>
    <w:p>
      <w:pPr>
        <w:ind w:firstLine="632" w:firstLineChars="200"/>
      </w:pPr>
      <w:r>
        <w:rPr>
          <w:rFonts w:hint="eastAsia" w:ascii="仿宋" w:eastAsia="仿宋"/>
          <w:sz w:val="32"/>
          <w:szCs w:val="32"/>
        </w:rPr>
        <w:t>部门</w:t>
      </w:r>
      <w:r>
        <w:rPr>
          <w:rFonts w:hint="eastAsia" w:ascii="仿宋" w:eastAsia="仿宋"/>
          <w:color w:val="000000"/>
          <w:sz w:val="32"/>
          <w:szCs w:val="32"/>
        </w:rPr>
        <w:t>无</w:t>
      </w:r>
      <w:r>
        <w:rPr>
          <w:rFonts w:hint="eastAsia" w:ascii="仿宋" w:eastAsia="仿宋"/>
          <w:color w:val="000000"/>
          <w:sz w:val="32"/>
          <w:szCs w:val="32"/>
          <w:lang w:eastAsia="zh-CN"/>
        </w:rPr>
        <w:t>国有资本经营预算支出</w:t>
      </w:r>
      <w:r>
        <w:rPr>
          <w:rFonts w:hint="eastAsia" w:ascii="仿宋" w:eastAsia="仿宋"/>
          <w:color w:val="000000"/>
          <w:sz w:val="32"/>
          <w:szCs w:val="32"/>
        </w:rPr>
        <w:t>。</w:t>
      </w:r>
    </w:p>
    <w:p>
      <w:pPr>
        <w:keepNext w:val="0"/>
        <w:keepLines w:val="0"/>
        <w:widowControl w:val="0"/>
        <w:kinsoku/>
        <w:wordWrap/>
        <w:overflowPunct/>
        <w:topLinePunct w:val="0"/>
        <w:autoSpaceDE/>
        <w:autoSpaceDN/>
        <w:bidi w:val="0"/>
        <w:adjustRightInd/>
        <w:snapToGrid/>
        <w:spacing w:line="554" w:lineRule="exact"/>
        <w:ind w:firstLine="632" w:firstLineChars="200"/>
        <w:jc w:val="left"/>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（十一）部门整体支出绩效目标情况（详见表12）</w:t>
      </w:r>
    </w:p>
    <w:tbl>
      <w:tblPr>
        <w:tblStyle w:val="5"/>
        <w:tblW w:w="10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81"/>
        <w:gridCol w:w="1591"/>
        <w:gridCol w:w="1501"/>
        <w:gridCol w:w="1801"/>
        <w:gridCol w:w="747"/>
        <w:gridCol w:w="1024"/>
        <w:gridCol w:w="2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0842" w:type="dxa"/>
            <w:gridSpan w:val="7"/>
            <w:tcBorders>
              <w:bottom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2021年部门整体支出绩效目标批复表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2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部门（单位）名称</w:t>
            </w:r>
          </w:p>
        </w:tc>
        <w:tc>
          <w:tcPr>
            <w:tcW w:w="40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贵阳市粮食和物资储备局</w:t>
            </w:r>
          </w:p>
        </w:tc>
        <w:tc>
          <w:tcPr>
            <w:tcW w:w="38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填报日期：2021.03.18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部门（单位）总体资金情况(万元)：</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资金总额：</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8261.93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6" w:hRule="atLeast"/>
        </w:trPr>
        <w:tc>
          <w:tcPr>
            <w:tcW w:w="2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部门职能概述</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1、起草全市粮食流通和物资储备管理的地方性法规、规范性文件草案。</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2、拟订市级储备发展规划和重要物资储备规划、储备品种目录，并组织实施。</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3、按规定管理市级粮食、食糖、药品、食盐、救灾物资等储备，并结合实际适时做出调整，负责市级储备粮等行政管理。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4、组织实施国家、省、市粮食和物资储备仓储管理有关技术标准和规范，负责市级粮食流通、加工行业安全生产工作的监督管理，承担市级物资储备承储单位安全生产的监管责任。</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5、根据全市储备发展规划，统一负责储备基础设施建设和管理。</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6、负责对管理的政府储备、企业储备以及储备政策落实情况进行监督检查。</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7、负责全市粮食流通行业管理，拟订行业发展规划并组织实施，组织实施粮食流通和物资储备有关标准、粮食质量标准和有关技术规范。</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8、承担保障驻筑部队军粮供应工作，指导各区（市、县）军粮供应队伍和供应网络建设。</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9、贯彻实施国家粮食财务、统计、审计制度，指导、监督本系统财务、统计、审计工作。开展社会粮食供需平衡调查统计工作。</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结合部门职责，做好军民融合、扶贫开发等相关工作。加大科技投入，提高科技创新能力，为推进创新驱动发展提供保障。按规定做好大数据发展应用和政务数据资源管理相关工作，依法促进部门政务数据资源规范管理、共享和开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51" w:hRule="atLeast"/>
        </w:trPr>
        <w:tc>
          <w:tcPr>
            <w:tcW w:w="2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部门绩效目标</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照省市政府安排，2021年我市将新增市级储备粮4.2万吨，我市市级储备粮规模将达到26万吨，储备油达到1.5万吨。为保证储备粮油质量安全，2021年我市计划轮换市级储备粮35268吨，轮换储备油5800吨。2、根据供应方案，2020年度供应时间为2021年3月至2021年11月，供应工作结束后依审计结论拨付价差补贴资金。3、根据《贵州省食盐管理条例》和《关于印发&lt;贵州省食盐储备管理暂行办法&gt;的通知》（黔经信办〔2017〕1号）规定，测定贵阳市贵安新区食用盐储备规模为1566吨，工业盐储备规模2500吨，共计4066吨。4、根据2019年省政府有关冻猪肉储备工作要求和2020年贵阳市人民政府关于研究猪肉保供稳价有关问题会议纪要，贵阳市储备冻猪肉规模为1200吨。5、参照省级药品储备规模2000万元，对应补贴为120万元；经市财政局建议我市医药物资储备费用按照每1000万元储备规模，支付20万元管理费用测算。我市医药物资储备规模为35400万元，实际可使用资金为2900万元，因此申请药品储备每年所需资金为：60万元。6、（1）、贵阳市龙家寨粮油仓库2020年8000m²油罐涂刷防腐降温涂料，（2）、加强储备粮油的管理，保证储备粮油数量、质量安全，可有效预防紧急情况发生时的粮食应急供应，稳定市场粮价，保证社会稳定，为经济社会健康发展做好后勤保障。7、加强人员技术能力建设，增扩检验检测项目，提升粮油物资及其产品综合检测能力，加大政策性粮食质量、安全抽检监测力度，优化管理，提升粮食质量安全监管水平。8、以政策性粮食监管为核心，切实守住“数量真实、质量良好、储存安全”的监管底线。9、准确反映粮食行业发展状况，科学研判粮油供求形势，更好地服务粮食宏观调控。按照《国家粮食流通统计制度》的规定和有关文件精神开展社会粮食、食用植物油及油料供需平衡调查是适应粮食购销市场化形势的需要，是加强和改善粮食宏观调控、确保粮食安全的重要手段。10、按相关要求，达到贵阳市粮食和物资储备局电子公文系统（含财政网专机系统、保密机系统）安全可靠应用全面替代2020年度替换比例。完成网站的改版，适应单位当前的定位。保障网站不出现安全隐患、保障日常维护准确及时。11、初步建成具备智能监管、智慧粮库、智能决策、应急指挥、AI应用等功能的市级粮食监管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2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部门绩效分目标</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目标1：2021.1.1-2021.3.31增强粮食宏观调控能力。推进重要物资储备工作</w:t>
            </w:r>
          </w:p>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目标2：2020.4.1-2020.12.31推进粮食民生工作。强化粮食行业监管。加大落实粮食安全责任制力度。抓好新增储备粮落实工作。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2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部门绩效目标阶段性计划</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（2021.01）月至（03）：完成项目立项审批到财政下发项目预算金额</w:t>
            </w:r>
          </w:p>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（2021.04）月至（12）：完成本年度立项金额的具体实施。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15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2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项目完成量</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14.4711万吨、4.2万吨、18.6711万吨、1.5万吨、20732吨粮食、3.524万吨、5800吨、10340吨、37371吨、1566吨食用盐、2500吨工业用盐、</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市级储备粮规模为14.4711万吨（含成品粮10340吨），储备油达到1.5万吨，市级储备粮3.524万吨，轮换储备油5800吨，10340吨成品粮实行动态轮换。。今年下半年将新增原粮37371吨，明年上半年将新增原粮4.2万吨。1566吨食用盐、2500吨工业用盐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18"/>
                <w:szCs w:val="18"/>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整体项目质量指标</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粮油物资储备、盐储备、肉类储备质量安全率&gt;=95%</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通过质量检测、粮油质量检验中心抽查粮油物资储备、低保粮油、盐储备、肉类储备质量安全率&gt;=95%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项目实施时间</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2021年1月1日至2021年12月31日</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2021年1月1日至2021年12月31日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2021年整体项目预算金额</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&lt;=7443.40万元</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食风险基金5158万、盐储备136万、医药储备60万、猪肉储备480万、仓储实施、设备维修改造项目300万、粮油质量检验检测项目经费83万、全市低保粮油供应差价包干补贴900万、粮食行政监督检查7万、粮食供需平衡调查7万、市级粮食监管平台建设300万、信息化建设运行项目12万、干部教育培训0.4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整体项目经济效益</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整体项目社会效益</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3月、1月、7万户贵阳市低保户、全市人员紧急粮油供应、盐储备、医药储备、猪肉储备等</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全市粮油稳定性、贵阳市低保户、全市人员紧急粮油供应、盐储备、医药储备、猪肉储备社会稳定性等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生态效益1</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整体项目可持续性影响</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全市粮油稳定性、贵阳市低保户、全市人员紧急粮油供应、盐储备、医药储备、猪肉储备等</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全市粮油稳定性、贵阳市低保户、全市人员紧急粮油供应、盐储备、医药储备、猪肉储备等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整体项目服务对象满意度</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&gt;=90%</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储备粮油、物资、低保粮油等服务对象满意度90%以上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其他1</w:t>
            </w:r>
          </w:p>
        </w:tc>
        <w:tc>
          <w:tcPr>
            <w:tcW w:w="177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27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177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27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297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其他说明的问题</w:t>
            </w:r>
          </w:p>
        </w:tc>
        <w:tc>
          <w:tcPr>
            <w:tcW w:w="787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楷体_GB2312" w:hAnsi="楷体_GB2312" w:eastAsia="楷体_GB2312" w:cs="楷体_GB2312"/>
          <w:bCs/>
          <w:color w:val="auto"/>
          <w:sz w:val="32"/>
          <w:szCs w:val="32"/>
          <w:highlight w:val="none"/>
        </w:rPr>
      </w:pP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（十二）重点项目支出绩效目标情况（详见表13、14）</w:t>
      </w:r>
    </w:p>
    <w:tbl>
      <w:tblPr>
        <w:tblStyle w:val="5"/>
        <w:tblW w:w="10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9"/>
        <w:gridCol w:w="940"/>
        <w:gridCol w:w="3643"/>
        <w:gridCol w:w="303"/>
        <w:gridCol w:w="1569"/>
        <w:gridCol w:w="1574"/>
        <w:gridCol w:w="671"/>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粮油质量检验检测项目经费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901207001</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贵阳市粮食和物资储备局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资金总额（万元）</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财政资金</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其中：本级安排</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总目标</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目标概述：加强人员技术能力建设，增扩检验检测项目，提升粮油物资及其产品综合检测能力，加大政策性粮食质量、安全抽检监测力度，优化管理，提升粮食质量安全监管水平。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分目标</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目标1：加强人员技术能力建设，增扩检验检测项目，提升粮油物资及其产品综合检测能力</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目标2：加大政策性粮食质量、安全抽检监测力度，优化管理，提升粮食质量安全监管水平。</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阶段性目标</w:t>
            </w:r>
          </w:p>
        </w:tc>
        <w:tc>
          <w:tcPr>
            <w:tcW w:w="84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 ）月至（11）月：1、完成2021年军粮抽检任务。2、完成2021年储备粮油抽检任务</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（3）月至（11）月：1、完成增扩检测项目2、完成2021年仪器检定任务。</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军粮抽检数量</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每月抽检1次、半年抽检1次</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每月抽检1次大米和面粉，每半年抽检1次菜籽油和大豆油为基数计算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7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检测质量</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检测方法100%来源于国家行业标准规范，并经过有效性确认。严格按照中心《质量手册》、《程序文件》、《检验检测工作流程管理程序》等文件制度开展检验检测工作。100%合格。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完成时效指标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1-12月</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军粮抽检任务、储备粮油抽检任务、完成增扩检测项目、仪器检定任务在规定时间内完成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预算控制额</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&lt;=83万</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预算数控制在83万元以内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20.5万吨</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贯彻国家法律法规提供技术保障，为维护粮食流通秩序依法管粮提供技术支持，对约20.5万吨的储备粮进行质量监测，守护百姓“舌尖上的安全”，使公众对贵阳市的粮油质量安全有信心，有效提升公众的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为“加大‘六稳’工作力度，落实‘保居民就业、保基本民生、保市场主体、保粮食能源安全、保产业链供应链稳定、保基层运转’‘六保’工作任务提供技术支撑，做好储备粮入库抽检、库存抽检、出库抽检工作，为储备粮安全存储期的长期质量安全保驾护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&gt;=98%</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保证军粮和全市储备粮的质量安全，确保军人、承储企业等公众满意度达到98%以上，下发200张满意度调查问卷，并对服务对象满意度进行测算。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525" w:hRule="atLeast"/>
        </w:trPr>
        <w:tc>
          <w:tcPr>
            <w:tcW w:w="9639" w:type="dxa"/>
            <w:gridSpan w:val="7"/>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2021年项目支出绩效目标批复表（项目二）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仓储设施、设备维修改造项目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主管部门及代码</w:t>
            </w:r>
          </w:p>
        </w:tc>
        <w:tc>
          <w:tcPr>
            <w:tcW w:w="39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901207001</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贵阳市粮食和物资储备局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资金来源</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资金总额（万元）</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财政资金</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其中：本级安排</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20" w:hRule="atLeast"/>
        </w:trPr>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286"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总目标</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目标概述：1、通过实施储油罐建设，可提升龙家寨粮油仓库储备菜籽油安全保管能力，满足市级储备油集储存、安全保管需要。</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2、在贵阳市甘荫塘粮食仓库贵安分库安装4组仓间罩棚，可以在下雨天进行粮食出入库作业，增强贵安库粮食出入库效率，同时也保障机械设备避免雨水侵蚀。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82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分目标</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目标1：龙库（1）月至（2）月：完成项目前期准备工作；（3）月至（4）月完成4000吨油罐建设工程招标工作；</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目标2：贵阳市甘荫塘粮食仓库贵安分库安装4组仓间罩棚前期申请项目匹配资金，预计2021年1月份开展招投标程序，2021年2月中旬开始施工。</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78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阶段性目标</w:t>
            </w:r>
          </w:p>
        </w:tc>
        <w:tc>
          <w:tcPr>
            <w:tcW w:w="77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（5）月至（11）：月完成项目主体施工及验收工作。</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（11）月至（12）月：竣工验收并投入使用。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330"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仓储设施改造</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4000吨储备油罐、安装4组仓间罩棚</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修建一个容量为4000吨储备油罐，这样可将储存在外面的储备油全部转到库区储存和管理，不仅可保障储存安全，同时每年还可为企业节约费用开支50余万元。为更好地发挥粮食储备和物流对全市粮食保供稳价作用，做大做强企业，适应经济和社会发展的需要，需改造制作安装4组仓间罩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龙库修建一个容量为4000吨储备油罐、甘库贵安分库安装4组仓间罩棚制作及安装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投出项目100%验收合格率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预算控制情况</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&lt;=300万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1、龙库该项目预算资金约600万元，由于企业资金困难，特申请财政资金150万元，剩余企业自筹。2、甘库项目预算资金约300万元，由于企业资金困难，特申请财政资金150万元，剩余企业自筹。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90分</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保证特殊情况能调用储备油的及时性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90分</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项目后续运行及成效发挥的可持续影响情况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510"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&gt;=90%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社会公众或服务对象对项目实施效果的满意程度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661" w:type="dxa"/>
          <w:trHeight w:val="405"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3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bl>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黑体" w:hAnsi="黑体" w:eastAsia="黑体" w:cs="黑体"/>
          <w:bCs/>
          <w:color w:val="auto"/>
          <w:sz w:val="32"/>
          <w:szCs w:val="32"/>
          <w:highlight w:val="none"/>
        </w:rPr>
      </w:pP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（一）</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机关运行经费情况：</w:t>
      </w:r>
      <w:r>
        <w:rPr>
          <w:rFonts w:hint="eastAsia" w:ascii="仿宋_GB2312" w:hAnsi="仿宋_GB2312" w:eastAsia="仿宋_GB2312" w:cs="仿宋_GB2312"/>
          <w:bCs/>
          <w:color w:val="auto"/>
          <w:sz w:val="32"/>
          <w:szCs w:val="32"/>
          <w:highlight w:val="none"/>
        </w:rPr>
        <w:t>今年我单位本级及下属</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家二级单位的机关（机构）运行经费财政拨款预算</w:t>
      </w:r>
      <w:r>
        <w:rPr>
          <w:rFonts w:hint="eastAsia" w:ascii="仿宋_GB2312" w:hAnsi="仿宋_GB2312" w:eastAsia="仿宋_GB2312" w:cs="仿宋_GB2312"/>
          <w:bCs/>
          <w:color w:val="auto"/>
          <w:sz w:val="32"/>
          <w:szCs w:val="32"/>
          <w:highlight w:val="none"/>
          <w:lang w:val="en-US" w:eastAsia="zh-CN"/>
        </w:rPr>
        <w:t>157.9</w:t>
      </w:r>
      <w:r>
        <w:rPr>
          <w:rFonts w:hint="eastAsia" w:ascii="仿宋_GB2312" w:hAnsi="仿宋_GB2312" w:eastAsia="仿宋_GB2312" w:cs="仿宋_GB2312"/>
          <w:bCs/>
          <w:color w:val="auto"/>
          <w:sz w:val="32"/>
          <w:szCs w:val="32"/>
          <w:highlight w:val="none"/>
        </w:rPr>
        <w:t>万元，比上年预算</w:t>
      </w:r>
      <w:r>
        <w:rPr>
          <w:rFonts w:hint="eastAsia" w:ascii="仿宋_GB2312" w:hAnsi="仿宋_GB2312" w:eastAsia="仿宋_GB2312" w:cs="仿宋_GB2312"/>
          <w:bCs/>
          <w:color w:val="auto"/>
          <w:sz w:val="32"/>
          <w:szCs w:val="32"/>
          <w:highlight w:val="none"/>
          <w:lang w:eastAsia="zh-CN"/>
        </w:rPr>
        <w:t>增加</w:t>
      </w:r>
      <w:r>
        <w:rPr>
          <w:rFonts w:hint="eastAsia" w:ascii="仿宋_GB2312" w:hAnsi="仿宋_GB2312" w:eastAsia="仿宋_GB2312" w:cs="仿宋_GB2312"/>
          <w:bCs/>
          <w:color w:val="auto"/>
          <w:sz w:val="32"/>
          <w:szCs w:val="32"/>
          <w:highlight w:val="none"/>
          <w:lang w:val="en-US" w:eastAsia="zh-CN"/>
        </w:rPr>
        <w:t>9.39</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同比增加</w:t>
      </w:r>
      <w:r>
        <w:rPr>
          <w:rFonts w:hint="eastAsia" w:ascii="仿宋_GB2312" w:hAnsi="仿宋_GB2312" w:eastAsia="仿宋_GB2312" w:cs="仿宋_GB2312"/>
          <w:bCs/>
          <w:color w:val="auto"/>
          <w:sz w:val="32"/>
          <w:szCs w:val="32"/>
          <w:highlight w:val="none"/>
          <w:lang w:val="en-US" w:eastAsia="zh-CN"/>
        </w:rPr>
        <w:t>6</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u w:val="none"/>
          <w:lang w:eastAsia="zh-CN"/>
        </w:rPr>
        <w:t>增加原因是本年新进两人，同时单位内部人员职位调整引起的工资、通讯、交通补贴增加</w:t>
      </w:r>
      <w:r>
        <w:rPr>
          <w:rFonts w:hint="eastAsia" w:eastAsia="仿宋_GB2312"/>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u w:val="single"/>
        </w:rPr>
      </w:pPr>
      <w:r>
        <w:rPr>
          <w:rFonts w:hint="eastAsia" w:ascii="楷体_GB2312" w:hAnsi="楷体_GB2312" w:eastAsia="楷体_GB2312" w:cs="楷体_GB2312"/>
          <w:bCs/>
          <w:color w:val="auto"/>
          <w:sz w:val="32"/>
          <w:szCs w:val="32"/>
          <w:highlight w:val="none"/>
        </w:rPr>
        <w:t>（二）</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政府采购情况：</w:t>
      </w:r>
      <w:r>
        <w:rPr>
          <w:rFonts w:hint="eastAsia" w:ascii="仿宋_GB2312" w:hAnsi="仿宋_GB2312" w:eastAsia="仿宋_GB2312" w:cs="仿宋_GB2312"/>
          <w:bCs/>
          <w:color w:val="auto"/>
          <w:sz w:val="32"/>
          <w:szCs w:val="32"/>
          <w:highlight w:val="none"/>
        </w:rPr>
        <w:t>今年我单位及下属</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家二级单位的政府采购预算总额</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万元，其中：政府采购货物预算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万元，政府采购工程预算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万元，政府采购服务预算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 xml:space="preserve">万元，其他采购预算    </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楷体_GB2312" w:hAnsi="楷体_GB2312" w:eastAsia="楷体_GB2312" w:cs="楷体_GB2312"/>
          <w:bCs/>
          <w:color w:val="auto"/>
          <w:sz w:val="32"/>
          <w:szCs w:val="32"/>
          <w:highlight w:val="none"/>
        </w:rPr>
        <w:t>（三）</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国有资产占有使用情况：</w:t>
      </w:r>
      <w:r>
        <w:rPr>
          <w:rFonts w:hint="eastAsia" w:ascii="仿宋_GB2312" w:hAnsi="仿宋_GB2312" w:eastAsia="仿宋_GB2312" w:cs="仿宋_GB2312"/>
          <w:bCs/>
          <w:color w:val="auto"/>
          <w:sz w:val="32"/>
          <w:szCs w:val="32"/>
          <w:highlight w:val="none"/>
        </w:rPr>
        <w:t>截止今年年初，本单位及下属</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家二级单位的国有资产合计</w:t>
      </w:r>
      <w:r>
        <w:rPr>
          <w:rFonts w:hint="eastAsia" w:ascii="仿宋_GB2312" w:hAnsi="仿宋_GB2312" w:eastAsia="仿宋_GB2312" w:cs="仿宋_GB2312"/>
          <w:bCs/>
          <w:color w:val="auto"/>
          <w:sz w:val="32"/>
          <w:szCs w:val="32"/>
          <w:highlight w:val="none"/>
          <w:lang w:val="en-US" w:eastAsia="zh-CN"/>
        </w:rPr>
        <w:t>555.53</w:t>
      </w:r>
      <w:r>
        <w:rPr>
          <w:rFonts w:hint="eastAsia" w:ascii="仿宋_GB2312" w:hAnsi="仿宋_GB2312" w:eastAsia="仿宋_GB2312" w:cs="仿宋_GB2312"/>
          <w:bCs/>
          <w:color w:val="auto"/>
          <w:sz w:val="32"/>
          <w:szCs w:val="32"/>
          <w:highlight w:val="none"/>
        </w:rPr>
        <w:t>万元，其中流动资产</w:t>
      </w:r>
      <w:r>
        <w:rPr>
          <w:rFonts w:hint="eastAsia" w:ascii="仿宋_GB2312" w:hAnsi="仿宋_GB2312" w:eastAsia="仿宋_GB2312" w:cs="仿宋_GB2312"/>
          <w:bCs/>
          <w:color w:val="auto"/>
          <w:sz w:val="32"/>
          <w:szCs w:val="32"/>
          <w:highlight w:val="none"/>
          <w:lang w:val="en-US" w:eastAsia="zh-CN"/>
        </w:rPr>
        <w:t>201.17</w:t>
      </w:r>
      <w:r>
        <w:rPr>
          <w:rFonts w:hint="eastAsia" w:ascii="仿宋_GB2312" w:hAnsi="仿宋_GB2312" w:eastAsia="仿宋_GB2312" w:cs="仿宋_GB2312"/>
          <w:bCs/>
          <w:color w:val="auto"/>
          <w:sz w:val="32"/>
          <w:szCs w:val="32"/>
          <w:highlight w:val="none"/>
        </w:rPr>
        <w:t>万元，固定资产</w:t>
      </w:r>
      <w:r>
        <w:rPr>
          <w:rFonts w:hint="eastAsia" w:ascii="仿宋_GB2312" w:hAnsi="仿宋_GB2312" w:eastAsia="仿宋_GB2312" w:cs="仿宋_GB2312"/>
          <w:bCs/>
          <w:color w:val="auto"/>
          <w:sz w:val="32"/>
          <w:szCs w:val="32"/>
          <w:highlight w:val="none"/>
          <w:lang w:val="en-US" w:eastAsia="zh-CN"/>
        </w:rPr>
        <w:t>354.36</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贵阳市粮食和物资储备局</w:t>
      </w:r>
      <w:r>
        <w:rPr>
          <w:rFonts w:hint="eastAsia" w:ascii="仿宋_GB2312" w:hAnsi="仿宋_GB2312" w:eastAsia="仿宋_GB2312" w:cs="仿宋_GB2312"/>
          <w:bCs/>
          <w:color w:val="auto"/>
          <w:sz w:val="32"/>
          <w:szCs w:val="32"/>
          <w:highlight w:val="none"/>
        </w:rPr>
        <w:t>单位机关及其所属预算单位共有车辆</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辆，其中，一般公务用车</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辆、一般执法执勤用车</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 xml:space="preserve"> 辆、特种专业技术用车</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辆、其他用车</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辆。单位价值200 万元以上大型设备</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台（套）。</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（四）</w:t>
      </w:r>
      <w:r>
        <w:rPr>
          <w:rFonts w:hint="eastAsia" w:ascii="楷体_GB2312" w:hAnsi="楷体_GB2312" w:eastAsia="楷体_GB2312" w:cs="楷体_GB2312"/>
          <w:bCs/>
          <w:color w:val="auto"/>
          <w:sz w:val="32"/>
          <w:szCs w:val="32"/>
          <w:highlight w:val="none"/>
        </w:rPr>
        <w:t>预算绩效管理情况</w:t>
      </w:r>
      <w:r>
        <w:rPr>
          <w:rFonts w:hint="eastAsia" w:ascii="楷体_GB2312" w:hAnsi="楷体_GB2312" w:eastAsia="楷体_GB2312" w:cs="楷体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2021年，实行绩效目标管理的一级项目</w:t>
      </w:r>
      <w:r>
        <w:rPr>
          <w:rFonts w:hint="eastAsia" w:ascii="仿宋_GB2312" w:hAnsi="仿宋_GB2312" w:eastAsia="仿宋_GB2312" w:cs="仿宋_GB2312"/>
          <w:bCs/>
          <w:color w:val="auto"/>
          <w:sz w:val="32"/>
          <w:szCs w:val="32"/>
          <w:highlight w:val="none"/>
          <w:lang w:val="en-US" w:eastAsia="zh-CN"/>
        </w:rPr>
        <w:t>13</w:t>
      </w:r>
      <w:r>
        <w:rPr>
          <w:rFonts w:hint="eastAsia" w:ascii="仿宋_GB2312" w:hAnsi="仿宋_GB2312" w:eastAsia="仿宋_GB2312" w:cs="仿宋_GB2312"/>
          <w:bCs/>
          <w:color w:val="auto"/>
          <w:sz w:val="32"/>
          <w:szCs w:val="32"/>
          <w:highlight w:val="none"/>
        </w:rPr>
        <w:t>个，涉及财政拨款预算</w:t>
      </w:r>
      <w:r>
        <w:rPr>
          <w:rFonts w:hint="eastAsia" w:ascii="仿宋_GB2312" w:hAnsi="仿宋_GB2312" w:eastAsia="仿宋_GB2312" w:cs="仿宋_GB2312"/>
          <w:bCs/>
          <w:color w:val="auto"/>
          <w:sz w:val="32"/>
          <w:szCs w:val="32"/>
          <w:highlight w:val="none"/>
          <w:lang w:val="en-US" w:eastAsia="zh-CN"/>
        </w:rPr>
        <w:t>7493.40</w:t>
      </w:r>
      <w:r>
        <w:rPr>
          <w:rFonts w:hint="eastAsia" w:ascii="仿宋_GB2312" w:hAnsi="仿宋_GB2312" w:eastAsia="仿宋_GB2312" w:cs="仿宋_GB2312"/>
          <w:bCs/>
          <w:color w:val="auto"/>
          <w:sz w:val="32"/>
          <w:szCs w:val="32"/>
          <w:highlight w:val="none"/>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（五）项目支出安排情况</w:t>
      </w:r>
      <w:r>
        <w:rPr>
          <w:rFonts w:hint="eastAsia" w:ascii="楷体_GB2312" w:hAnsi="楷体_GB2312" w:eastAsia="楷体_GB2312" w:cs="楷体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对2021年一般公共预算支出中的重要项目、重大支出、重点内容进行说明，特别涉及扶贫、教育、医疗等民生项目范畴的专项支出，须列明支出项目占相应预算总额的比重，并就项目概况、用途、使用方向、资金分配方案予以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（六）专有名词解释</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2.一般公共服务（类）财政事务（款）行政运行（项）：指局机关及所属事业单位用于保障机构正常运行、开展日常工作的基本支出。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3.一般公共服务（类）财政事务（款）一般行政管理事务（项）：指局机关及所属事业单位开展非税改革及票据印刷、资产清查、农村综合改革、会计工作管理等未单独设置项级科目的其他项目支出。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4.一般公共服务（类）财政事务（款）财政国库业务（项）：指本单位用于财政国库集中收付业务方面的项目支出。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5.一般公共服务（类）财政事务（款）财政监察（项）：指本单位开展财政监察、执法检查等专项事务的支出。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6.一般公共服务（类）财政事务（款）其他财政事务支出（项）：指本单位开展财政绩效评价管理、投资项目评审、债务专班管理等专项事务的支出。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7.农林水支出（类）其他农林水支出（款）其他农林水支出（项）：指本单位开展支农资金、扶贫资金监管事务方面的支出。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8.住房保障支出（类）住房改革支出（款）住房公积金（项）：指按照《住房公积金管理条例》的规定，由单位为职工缴纳的住房公积金。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9.基本支出：指为保障机构正常运转、完成日常工作任务而发生的人员支出和公用支出。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10.项目支出：指在基本支出以外为完成特定行政任务和事业发展目标所发生的支出。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 w:eastAsia="仿宋"/>
          <w:color w:val="auto"/>
          <w:sz w:val="32"/>
          <w:szCs w:val="32"/>
          <w:highlight w:val="none"/>
        </w:rPr>
      </w:pPr>
      <w:r>
        <w:rPr>
          <w:rFonts w:hint="eastAsia" w:ascii="黑体" w:hAnsi="黑体" w:eastAsia="黑体" w:cs="黑体"/>
          <w:bCs/>
          <w:color w:val="auto"/>
          <w:sz w:val="32"/>
          <w:szCs w:val="32"/>
          <w:highlight w:val="none"/>
        </w:rPr>
        <w:t>五、2021年部门预算及“三公”经费预算公开表（详见附件2）</w:t>
      </w:r>
    </w:p>
    <w:sectPr>
      <w:footerReference r:id="rId3" w:type="default"/>
      <w:footerReference r:id="rId4" w:type="even"/>
      <w:pgSz w:w="11906" w:h="16838"/>
      <w:pgMar w:top="2098" w:right="1474" w:bottom="1984" w:left="1587" w:header="851" w:footer="1587" w:gutter="0"/>
      <w:pgNumType w:fmt="numberInDash"/>
      <w:cols w:equalWidth="0" w:num="1">
        <w:col w:w="8306"/>
      </w:cols>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-150495</wp:posOffset>
              </wp:positionV>
              <wp:extent cx="1828800"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85pt;height:22.45pt;width:144pt;mso-position-horizontal:left;mso-position-horizontal-relative:margin;mso-wrap-style:none;z-index:251659264;mso-width-relative:page;mso-height-relative:page;" filled="f" stroked="f" coordsize="21600,21600" o:gfxdata="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pnywtcAAAAHAQAADwAAAAAAAAABACAAAAAiAAAAZHJzL2Rvd25yZXYueG1sUEsB&#10;AhQAFAAAAAgAh07iQCWeCiovAgAAVAQAAA4AAAAAAAAAAQAgAAAAJgEAAGRycy9lMm9Eb2MueG1s&#10;UEsFBgAAAAAGAAYAWQEAAMcFAAAAAA==&#10;">
              <v:fill on="f" focussize="0,0"/>
              <v:stroke on="f" weight="0.5pt"/>
              <v:imagedata o:title=""/>
              <o:lock v:ext="edit" aspectratio="f"/>
              <v:textbox inset="0mm,0mm,0mm,0mm">
                <w:txbxContent>
                  <w:p>
                    <w:pPr>
                      <w:pStyle w:val="3"/>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-111125</wp:posOffset>
              </wp:positionV>
              <wp:extent cx="1828800" cy="244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5pt;height:19.25pt;width:144pt;mso-position-horizontal-relative:margin;mso-wrap-style:none;z-index:251660288;mso-width-relative:page;mso-height-relative:page;" filled="f" stroked="f" coordsize="21600,21600" o:gfxdata="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hmbWTXAAAABwEAAA8AAAAAAAAAAQAgAAAAIgAAAGRycy9kb3ducmV2LnhtbFBL&#10;AQIUABQAAAAIAIdO4kD300o0MAIAAFQEAAAOAAAAAAAAAAEAIAAAACYBAABkcnMvZTJvRG9jLnht&#10;bFBLBQYAAAAABgAGAFkBAADIBQAAAAA=&#10;">
              <v:fill on="f" focussize="0,0"/>
              <v:stroke on="f" weight="0.5pt"/>
              <v:imagedata o:title=""/>
              <o:lock v:ext="edit" aspectratio="f"/>
              <v:textbox inset="0mm,0mm,0mm,0mm">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74F47"/>
    <w:multiLevelType w:val="singleLevel"/>
    <w:tmpl w:val="DDD74F47"/>
    <w:lvl w:ilvl="0" w:tentative="0">
      <w:start w:val="8"/>
      <w:numFmt w:val="chineseCounting"/>
      <w:suff w:val="nothing"/>
      <w:lvlText w:val="（%1）"/>
      <w:lvlJc w:val="left"/>
      <w:rPr>
        <w:rFonts w:hint="eastAsia"/>
      </w:rPr>
    </w:lvl>
  </w:abstractNum>
  <w:abstractNum w:abstractNumId="1">
    <w:nsid w:val="32CBC35A"/>
    <w:multiLevelType w:val="singleLevel"/>
    <w:tmpl w:val="32CBC35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97"/>
  <w:drawingGridVerticalSpacing w:val="144"/>
  <w:displayHorizontalDrawingGridEvery w:val="1"/>
  <w:displayVerticalDrawingGridEvery w:val="1"/>
  <w:doNotUseMarginsForDrawingGridOrigin w:val="1"/>
  <w:drawingGridHorizontalOrigin w:val="1702"/>
  <w:drawingGridVerticalOrigin w:val="1985"/>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NDg5OWZkMTU2NGJiMjBjODg1MThmZDI0YjU2YzYwYTAifQ=="/>
  </w:docVars>
  <w:rsids>
    <w:rsidRoot w:val="00600AB7"/>
    <w:rsid w:val="0014153B"/>
    <w:rsid w:val="00174162"/>
    <w:rsid w:val="00174AD7"/>
    <w:rsid w:val="0021158C"/>
    <w:rsid w:val="00343E4A"/>
    <w:rsid w:val="003A6A1D"/>
    <w:rsid w:val="00406CAD"/>
    <w:rsid w:val="0041333F"/>
    <w:rsid w:val="00427881"/>
    <w:rsid w:val="004C5587"/>
    <w:rsid w:val="004D608D"/>
    <w:rsid w:val="0051586F"/>
    <w:rsid w:val="005E28E4"/>
    <w:rsid w:val="00600AB7"/>
    <w:rsid w:val="006E2DD9"/>
    <w:rsid w:val="006F470F"/>
    <w:rsid w:val="00706D5B"/>
    <w:rsid w:val="00930D22"/>
    <w:rsid w:val="009441E1"/>
    <w:rsid w:val="00A14A00"/>
    <w:rsid w:val="00B97F1C"/>
    <w:rsid w:val="00BA7035"/>
    <w:rsid w:val="00BD2504"/>
    <w:rsid w:val="00C33BCC"/>
    <w:rsid w:val="00CA6509"/>
    <w:rsid w:val="00E01EB7"/>
    <w:rsid w:val="00E079E9"/>
    <w:rsid w:val="00E8431E"/>
    <w:rsid w:val="00EC5D0D"/>
    <w:rsid w:val="00EF2137"/>
    <w:rsid w:val="00F64E4B"/>
    <w:rsid w:val="00F66BBA"/>
    <w:rsid w:val="015C44B3"/>
    <w:rsid w:val="017A64BE"/>
    <w:rsid w:val="019B0331"/>
    <w:rsid w:val="044D343E"/>
    <w:rsid w:val="048B4CCD"/>
    <w:rsid w:val="05057EB4"/>
    <w:rsid w:val="058E0BB0"/>
    <w:rsid w:val="05CD19D9"/>
    <w:rsid w:val="06760D48"/>
    <w:rsid w:val="06DF53E3"/>
    <w:rsid w:val="082A44F6"/>
    <w:rsid w:val="089A14F6"/>
    <w:rsid w:val="08BB3F46"/>
    <w:rsid w:val="09184A84"/>
    <w:rsid w:val="099E5107"/>
    <w:rsid w:val="0AF23873"/>
    <w:rsid w:val="0B426DA1"/>
    <w:rsid w:val="0C347FF3"/>
    <w:rsid w:val="0C820A4C"/>
    <w:rsid w:val="0D061AE1"/>
    <w:rsid w:val="0D233A80"/>
    <w:rsid w:val="0D371F8D"/>
    <w:rsid w:val="0DB4279E"/>
    <w:rsid w:val="0DDD1A34"/>
    <w:rsid w:val="0E144EFD"/>
    <w:rsid w:val="0E1E24E9"/>
    <w:rsid w:val="0ED13B00"/>
    <w:rsid w:val="0EEE5065"/>
    <w:rsid w:val="0F4D094A"/>
    <w:rsid w:val="11531700"/>
    <w:rsid w:val="11BD3FB4"/>
    <w:rsid w:val="11F56458"/>
    <w:rsid w:val="12065B6C"/>
    <w:rsid w:val="1271057B"/>
    <w:rsid w:val="131F30E1"/>
    <w:rsid w:val="13CD2E74"/>
    <w:rsid w:val="14222065"/>
    <w:rsid w:val="15D36A23"/>
    <w:rsid w:val="160F0897"/>
    <w:rsid w:val="16171403"/>
    <w:rsid w:val="178D6395"/>
    <w:rsid w:val="181B5328"/>
    <w:rsid w:val="182D0AAE"/>
    <w:rsid w:val="188C0EEC"/>
    <w:rsid w:val="188F2832"/>
    <w:rsid w:val="18EF4ED1"/>
    <w:rsid w:val="194567B4"/>
    <w:rsid w:val="196A48CD"/>
    <w:rsid w:val="19902723"/>
    <w:rsid w:val="19BD0567"/>
    <w:rsid w:val="1A256A45"/>
    <w:rsid w:val="1A535EC0"/>
    <w:rsid w:val="1AC21931"/>
    <w:rsid w:val="1ACC4FDD"/>
    <w:rsid w:val="1ACF0CEA"/>
    <w:rsid w:val="1B980572"/>
    <w:rsid w:val="1BD75E53"/>
    <w:rsid w:val="1BEC7F24"/>
    <w:rsid w:val="1C616EA1"/>
    <w:rsid w:val="1C9C290E"/>
    <w:rsid w:val="1CD27681"/>
    <w:rsid w:val="1DC70A2E"/>
    <w:rsid w:val="1E453A77"/>
    <w:rsid w:val="1EEE3E23"/>
    <w:rsid w:val="1F506DE4"/>
    <w:rsid w:val="1FE40E25"/>
    <w:rsid w:val="205653B8"/>
    <w:rsid w:val="20F079EB"/>
    <w:rsid w:val="212975EF"/>
    <w:rsid w:val="21A716B3"/>
    <w:rsid w:val="21E25116"/>
    <w:rsid w:val="21E973A1"/>
    <w:rsid w:val="224530B3"/>
    <w:rsid w:val="226B76DE"/>
    <w:rsid w:val="22CE3D23"/>
    <w:rsid w:val="22DB2070"/>
    <w:rsid w:val="22DC63E2"/>
    <w:rsid w:val="233224CF"/>
    <w:rsid w:val="23E076E1"/>
    <w:rsid w:val="2404248F"/>
    <w:rsid w:val="25534320"/>
    <w:rsid w:val="25AB7A13"/>
    <w:rsid w:val="26163E52"/>
    <w:rsid w:val="263B0190"/>
    <w:rsid w:val="263B2B0A"/>
    <w:rsid w:val="264C7D3E"/>
    <w:rsid w:val="265B486A"/>
    <w:rsid w:val="27272BCD"/>
    <w:rsid w:val="276F11F3"/>
    <w:rsid w:val="283D4D57"/>
    <w:rsid w:val="28C16B31"/>
    <w:rsid w:val="28D90D6B"/>
    <w:rsid w:val="290B18A4"/>
    <w:rsid w:val="29831395"/>
    <w:rsid w:val="299F132A"/>
    <w:rsid w:val="2A176917"/>
    <w:rsid w:val="2A5242BA"/>
    <w:rsid w:val="2A766026"/>
    <w:rsid w:val="2A845212"/>
    <w:rsid w:val="2ADA78FE"/>
    <w:rsid w:val="2ADF3A0C"/>
    <w:rsid w:val="2B1C248B"/>
    <w:rsid w:val="2B6335F6"/>
    <w:rsid w:val="2B6E0F7D"/>
    <w:rsid w:val="2BAB20C9"/>
    <w:rsid w:val="2BBC200F"/>
    <w:rsid w:val="2BCE7FDF"/>
    <w:rsid w:val="2C35443F"/>
    <w:rsid w:val="2C673D07"/>
    <w:rsid w:val="2C7653DA"/>
    <w:rsid w:val="2C871687"/>
    <w:rsid w:val="2DF038D1"/>
    <w:rsid w:val="2DFC27F2"/>
    <w:rsid w:val="2DFD5547"/>
    <w:rsid w:val="2E3D106A"/>
    <w:rsid w:val="2E9D1940"/>
    <w:rsid w:val="2EE86BC8"/>
    <w:rsid w:val="2F4E6856"/>
    <w:rsid w:val="2FDC17D2"/>
    <w:rsid w:val="30303F89"/>
    <w:rsid w:val="30F87C0A"/>
    <w:rsid w:val="31EA58A2"/>
    <w:rsid w:val="326E42D3"/>
    <w:rsid w:val="32CB0794"/>
    <w:rsid w:val="3300669F"/>
    <w:rsid w:val="337B08E0"/>
    <w:rsid w:val="33EB5316"/>
    <w:rsid w:val="340A4D0B"/>
    <w:rsid w:val="34117516"/>
    <w:rsid w:val="341713AC"/>
    <w:rsid w:val="3431735D"/>
    <w:rsid w:val="343D7E6D"/>
    <w:rsid w:val="347315FC"/>
    <w:rsid w:val="34AC6A5F"/>
    <w:rsid w:val="34D460EE"/>
    <w:rsid w:val="351E616D"/>
    <w:rsid w:val="355F534F"/>
    <w:rsid w:val="36D67942"/>
    <w:rsid w:val="378C33D1"/>
    <w:rsid w:val="37940416"/>
    <w:rsid w:val="38047C7B"/>
    <w:rsid w:val="388A54E9"/>
    <w:rsid w:val="38F95356"/>
    <w:rsid w:val="391A1EB3"/>
    <w:rsid w:val="392927B9"/>
    <w:rsid w:val="39412B1C"/>
    <w:rsid w:val="3A75199C"/>
    <w:rsid w:val="3B3852C2"/>
    <w:rsid w:val="3B5275FB"/>
    <w:rsid w:val="3B7258E2"/>
    <w:rsid w:val="3BDA1178"/>
    <w:rsid w:val="3C2F0DAF"/>
    <w:rsid w:val="3C35283F"/>
    <w:rsid w:val="3D2834F6"/>
    <w:rsid w:val="3D32083E"/>
    <w:rsid w:val="3D3B56F0"/>
    <w:rsid w:val="3D7A14EE"/>
    <w:rsid w:val="3DD528B4"/>
    <w:rsid w:val="3E0B5319"/>
    <w:rsid w:val="3EB93B26"/>
    <w:rsid w:val="3EE36836"/>
    <w:rsid w:val="3F1F5A17"/>
    <w:rsid w:val="3F23205D"/>
    <w:rsid w:val="3F6E0B8E"/>
    <w:rsid w:val="3FA954A8"/>
    <w:rsid w:val="40154D98"/>
    <w:rsid w:val="407F1C85"/>
    <w:rsid w:val="408D1FC8"/>
    <w:rsid w:val="40EE6EEC"/>
    <w:rsid w:val="417A3E03"/>
    <w:rsid w:val="41DA7634"/>
    <w:rsid w:val="41FC680C"/>
    <w:rsid w:val="42BB2649"/>
    <w:rsid w:val="438B60BD"/>
    <w:rsid w:val="438F6F73"/>
    <w:rsid w:val="439E203F"/>
    <w:rsid w:val="43A9181D"/>
    <w:rsid w:val="43C21AC6"/>
    <w:rsid w:val="43D80B3F"/>
    <w:rsid w:val="43E67120"/>
    <w:rsid w:val="448B2625"/>
    <w:rsid w:val="44A15B92"/>
    <w:rsid w:val="44F67032"/>
    <w:rsid w:val="44FD1AF8"/>
    <w:rsid w:val="455A2199"/>
    <w:rsid w:val="456B61BB"/>
    <w:rsid w:val="46160E9A"/>
    <w:rsid w:val="46412D53"/>
    <w:rsid w:val="464A62EB"/>
    <w:rsid w:val="46677B6C"/>
    <w:rsid w:val="46824BFC"/>
    <w:rsid w:val="46CB5FCB"/>
    <w:rsid w:val="47F33B22"/>
    <w:rsid w:val="48820DFC"/>
    <w:rsid w:val="497E1B39"/>
    <w:rsid w:val="4A16249F"/>
    <w:rsid w:val="4AA87389"/>
    <w:rsid w:val="4ADA29BA"/>
    <w:rsid w:val="4AEA49AC"/>
    <w:rsid w:val="4B1B4BDE"/>
    <w:rsid w:val="4B5749B0"/>
    <w:rsid w:val="4B6D32FF"/>
    <w:rsid w:val="4CB372DB"/>
    <w:rsid w:val="4CE3517C"/>
    <w:rsid w:val="4E2B1832"/>
    <w:rsid w:val="4EA37040"/>
    <w:rsid w:val="4F3A65AB"/>
    <w:rsid w:val="507767B3"/>
    <w:rsid w:val="50A33CA1"/>
    <w:rsid w:val="50EA1D2A"/>
    <w:rsid w:val="51B769C2"/>
    <w:rsid w:val="525173E0"/>
    <w:rsid w:val="52BF0948"/>
    <w:rsid w:val="52D256A6"/>
    <w:rsid w:val="535015C7"/>
    <w:rsid w:val="536C0F29"/>
    <w:rsid w:val="54867038"/>
    <w:rsid w:val="54AA39E5"/>
    <w:rsid w:val="54DD6287"/>
    <w:rsid w:val="54E46EC4"/>
    <w:rsid w:val="55165C85"/>
    <w:rsid w:val="55481EE5"/>
    <w:rsid w:val="56227BDC"/>
    <w:rsid w:val="56C86FEC"/>
    <w:rsid w:val="57123FDC"/>
    <w:rsid w:val="5762339A"/>
    <w:rsid w:val="57AE4111"/>
    <w:rsid w:val="57BB1AEF"/>
    <w:rsid w:val="58A8281B"/>
    <w:rsid w:val="59860A2F"/>
    <w:rsid w:val="59A26A76"/>
    <w:rsid w:val="59E83BDF"/>
    <w:rsid w:val="5ACF6F8D"/>
    <w:rsid w:val="5B160421"/>
    <w:rsid w:val="5B1D7908"/>
    <w:rsid w:val="5B594BBA"/>
    <w:rsid w:val="5BC855FF"/>
    <w:rsid w:val="5C2727D3"/>
    <w:rsid w:val="5C3E0408"/>
    <w:rsid w:val="5C980D3B"/>
    <w:rsid w:val="5CA2584F"/>
    <w:rsid w:val="5D2D79DE"/>
    <w:rsid w:val="5D671A23"/>
    <w:rsid w:val="5D9A642F"/>
    <w:rsid w:val="5DB61A89"/>
    <w:rsid w:val="5E3A195D"/>
    <w:rsid w:val="5EC15D06"/>
    <w:rsid w:val="5F533B53"/>
    <w:rsid w:val="5FCF5DB3"/>
    <w:rsid w:val="5FEA28F4"/>
    <w:rsid w:val="600E576C"/>
    <w:rsid w:val="60AE1AFD"/>
    <w:rsid w:val="612E4C37"/>
    <w:rsid w:val="61AE1AD8"/>
    <w:rsid w:val="621004B9"/>
    <w:rsid w:val="6245436F"/>
    <w:rsid w:val="641C29D4"/>
    <w:rsid w:val="647F27B6"/>
    <w:rsid w:val="649356C8"/>
    <w:rsid w:val="64D32BC5"/>
    <w:rsid w:val="64DF2C0C"/>
    <w:rsid w:val="65FD0D9C"/>
    <w:rsid w:val="66A37243"/>
    <w:rsid w:val="678D79DF"/>
    <w:rsid w:val="67BA5E3C"/>
    <w:rsid w:val="67D72F0F"/>
    <w:rsid w:val="6898301A"/>
    <w:rsid w:val="68D45265"/>
    <w:rsid w:val="697F71D7"/>
    <w:rsid w:val="698D107A"/>
    <w:rsid w:val="69A57E78"/>
    <w:rsid w:val="69DD6DB4"/>
    <w:rsid w:val="6AF102DC"/>
    <w:rsid w:val="6B72725F"/>
    <w:rsid w:val="6C540744"/>
    <w:rsid w:val="6C5E7517"/>
    <w:rsid w:val="6CE36B31"/>
    <w:rsid w:val="6D235139"/>
    <w:rsid w:val="6D2E41C2"/>
    <w:rsid w:val="6E4D5D69"/>
    <w:rsid w:val="6E702150"/>
    <w:rsid w:val="6ED028B6"/>
    <w:rsid w:val="6F5E1C3E"/>
    <w:rsid w:val="704A391C"/>
    <w:rsid w:val="713F4D9B"/>
    <w:rsid w:val="71BE3A75"/>
    <w:rsid w:val="732F60EA"/>
    <w:rsid w:val="73601AA0"/>
    <w:rsid w:val="736851EA"/>
    <w:rsid w:val="746E2BD7"/>
    <w:rsid w:val="74C42D12"/>
    <w:rsid w:val="74FC4FB2"/>
    <w:rsid w:val="753D68E3"/>
    <w:rsid w:val="767A68A9"/>
    <w:rsid w:val="76AA2F8D"/>
    <w:rsid w:val="770E5F4C"/>
    <w:rsid w:val="77437B63"/>
    <w:rsid w:val="783E1927"/>
    <w:rsid w:val="78E032C5"/>
    <w:rsid w:val="790A6165"/>
    <w:rsid w:val="791F1287"/>
    <w:rsid w:val="7927511C"/>
    <w:rsid w:val="79CB2F49"/>
    <w:rsid w:val="7A0D116A"/>
    <w:rsid w:val="7A137ED4"/>
    <w:rsid w:val="7A1E09D9"/>
    <w:rsid w:val="7A331B6A"/>
    <w:rsid w:val="7A6B5763"/>
    <w:rsid w:val="7A8B470C"/>
    <w:rsid w:val="7A9E7974"/>
    <w:rsid w:val="7B7366D5"/>
    <w:rsid w:val="7B817A31"/>
    <w:rsid w:val="7B926E8F"/>
    <w:rsid w:val="7C8F2E2A"/>
    <w:rsid w:val="7CA66FDF"/>
    <w:rsid w:val="7CAF3566"/>
    <w:rsid w:val="7D43468F"/>
    <w:rsid w:val="7D8739F6"/>
    <w:rsid w:val="7D9C27B2"/>
    <w:rsid w:val="7DF33A26"/>
    <w:rsid w:val="7F1109B6"/>
    <w:rsid w:val="7F9210A9"/>
    <w:rsid w:val="7FF2106E"/>
    <w:rsid w:val="7FF3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qFormat/>
    <w:uiPriority w:val="0"/>
    <w:pPr>
      <w:widowControl w:val="0"/>
      <w:spacing w:after="120"/>
      <w:ind w:left="200" w:leftChars="200" w:firstLine="420" w:firstLineChars="200"/>
      <w:jc w:val="both"/>
    </w:pPr>
    <w:rPr>
      <w:rFonts w:ascii="Times New Roman" w:hAnsi="Times New Roman" w:eastAsia="仿宋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200" w:firstLineChars="200"/>
    </w:pPr>
  </w:style>
  <w:style w:type="character" w:customStyle="1" w:styleId="8">
    <w:name w:val="font31"/>
    <w:basedOn w:val="6"/>
    <w:qFormat/>
    <w:uiPriority w:val="0"/>
    <w:rPr>
      <w:rFonts w:ascii="黑体" w:hAnsi="宋体" w:eastAsia="黑体" w:cs="黑体"/>
      <w:color w:val="000000"/>
      <w:sz w:val="40"/>
      <w:szCs w:val="40"/>
      <w:u w:val="none"/>
    </w:rPr>
  </w:style>
  <w:style w:type="character" w:customStyle="1" w:styleId="9">
    <w:name w:val="font21"/>
    <w:basedOn w:val="6"/>
    <w:qFormat/>
    <w:uiPriority w:val="0"/>
    <w:rPr>
      <w:rFonts w:hint="eastAsia" w:ascii="宋体" w:hAnsi="宋体" w:eastAsia="宋体" w:cs="宋体"/>
      <w:b/>
      <w:color w:val="000000"/>
      <w:sz w:val="32"/>
      <w:szCs w:val="32"/>
      <w:u w:val="none"/>
    </w:rPr>
  </w:style>
  <w:style w:type="character" w:customStyle="1" w:styleId="10">
    <w:name w:val="font81"/>
    <w:basedOn w:val="6"/>
    <w:qFormat/>
    <w:uiPriority w:val="0"/>
    <w:rPr>
      <w:rFonts w:ascii="黑体" w:hAnsi="宋体" w:eastAsia="黑体" w:cs="黑体"/>
      <w:color w:val="000000"/>
      <w:sz w:val="40"/>
      <w:szCs w:val="40"/>
      <w:u w:val="none"/>
    </w:rPr>
  </w:style>
  <w:style w:type="character" w:customStyle="1" w:styleId="11">
    <w:name w:val="font11"/>
    <w:basedOn w:val="6"/>
    <w:qFormat/>
    <w:uiPriority w:val="0"/>
    <w:rPr>
      <w:rFonts w:ascii="黑体" w:hAnsi="宋体" w:eastAsia="黑体" w:cs="黑体"/>
      <w:color w:val="000000"/>
      <w:sz w:val="36"/>
      <w:szCs w:val="36"/>
      <w:u w:val="none"/>
    </w:rPr>
  </w:style>
  <w:style w:type="character" w:customStyle="1" w:styleId="12">
    <w:name w:val="font41"/>
    <w:basedOn w:val="6"/>
    <w:qFormat/>
    <w:uiPriority w:val="0"/>
    <w:rPr>
      <w:rFonts w:ascii="黑体" w:hAnsi="宋体" w:eastAsia="黑体" w:cs="黑体"/>
      <w:color w:val="000000"/>
      <w:sz w:val="36"/>
      <w:szCs w:val="36"/>
      <w:u w:val="none"/>
    </w:rPr>
  </w:style>
  <w:style w:type="character" w:customStyle="1" w:styleId="13">
    <w:name w:val="font112"/>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0A1A3-EFE5-4141-BD78-3D6DF350F9F5}">
  <ds:schemaRefs/>
</ds:datastoreItem>
</file>

<file path=docProps/app.xml><?xml version="1.0" encoding="utf-8"?>
<Properties xmlns="http://schemas.openxmlformats.org/officeDocument/2006/extended-properties" xmlns:vt="http://schemas.openxmlformats.org/officeDocument/2006/docPropsVTypes">
  <Template>Normal</Template>
  <Pages>24</Pages>
  <Words>9729</Words>
  <Characters>10560</Characters>
  <Lines>31</Lines>
  <Paragraphs>8</Paragraphs>
  <TotalTime>4</TotalTime>
  <ScaleCrop>false</ScaleCrop>
  <LinksUpToDate>false</LinksUpToDate>
  <CharactersWithSpaces>10612</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2017-10-31T03:37:00Z</dcterms:created>
  <dc:creator>czjysc</dc:creator>
  <cp:lastModifiedBy>六六勾幺</cp:lastModifiedBy>
  <cp:lastPrinted>2020-06-05T07:23:00Z</cp:lastPrinted>
  <dcterms:modified xsi:type="dcterms:W3CDTF">2023-02-10T09:31:50Z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24B131A557724DB39B13CA420DC9BF1B</vt:lpwstr>
  </property>
</Properties>
</file>