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336C7">
      <w:pPr>
        <w:ind w:firstLine="316" w:firstLineChars="100"/>
        <w:jc w:val="left"/>
        <w:rPr>
          <w:rFonts w:hint="eastAsia" w:ascii="黑体" w:eastAsia="黑体" w:cs="黑体"/>
          <w:b w:val="0"/>
          <w:bCs/>
          <w:color w:val="auto"/>
          <w:sz w:val="32"/>
          <w:szCs w:val="32"/>
          <w:highlight w:val="none"/>
          <w:lang w:val="en-US" w:eastAsia="zh-CN"/>
        </w:rPr>
      </w:pPr>
      <w:r>
        <w:rPr>
          <w:rFonts w:hint="eastAsia" w:ascii="黑体" w:eastAsia="黑体" w:cs="黑体"/>
          <w:b w:val="0"/>
          <w:bCs/>
          <w:color w:val="auto"/>
          <w:sz w:val="32"/>
          <w:szCs w:val="32"/>
          <w:highlight w:val="none"/>
          <w:lang w:eastAsia="zh-CN"/>
        </w:rPr>
        <w:t>附件</w:t>
      </w:r>
      <w:r>
        <w:rPr>
          <w:rFonts w:hint="eastAsia" w:ascii="黑体" w:eastAsia="黑体" w:cs="黑体"/>
          <w:b w:val="0"/>
          <w:bCs/>
          <w:color w:val="auto"/>
          <w:sz w:val="32"/>
          <w:szCs w:val="32"/>
          <w:highlight w:val="none"/>
          <w:lang w:val="en-US" w:eastAsia="zh-CN"/>
        </w:rPr>
        <w:t>2</w:t>
      </w:r>
    </w:p>
    <w:p w14:paraId="6A916F76">
      <w:pPr>
        <w:ind w:firstLine="236" w:firstLineChars="100"/>
        <w:jc w:val="left"/>
        <w:rPr>
          <w:rFonts w:ascii="宋体"/>
          <w:b/>
          <w:color w:val="auto"/>
          <w:sz w:val="24"/>
          <w:szCs w:val="44"/>
          <w:highlight w:val="none"/>
        </w:rPr>
      </w:pPr>
    </w:p>
    <w:p w14:paraId="599A1E0B">
      <w:pPr>
        <w:ind w:firstLine="316" w:firstLineChars="100"/>
        <w:jc w:val="left"/>
        <w:rPr>
          <w:rFonts w:ascii="宋体"/>
          <w:b/>
          <w:color w:val="auto"/>
          <w:sz w:val="32"/>
          <w:szCs w:val="32"/>
          <w:highlight w:val="none"/>
        </w:rPr>
      </w:pPr>
    </w:p>
    <w:p w14:paraId="68586975">
      <w:pPr>
        <w:ind w:firstLine="236" w:firstLineChars="100"/>
        <w:jc w:val="left"/>
        <w:rPr>
          <w:rFonts w:ascii="宋体"/>
          <w:b/>
          <w:color w:val="auto"/>
          <w:sz w:val="24"/>
          <w:szCs w:val="44"/>
          <w:highlight w:val="none"/>
        </w:rPr>
      </w:pPr>
    </w:p>
    <w:p w14:paraId="1ACE2517">
      <w:pPr>
        <w:jc w:val="center"/>
        <w:rPr>
          <w:rFonts w:hint="eastAsia" w:ascii="方正小标宋_GBK" w:eastAsia="方正小标宋_GBK" w:cs="方正小标宋_GBK"/>
          <w:bCs/>
          <w:color w:val="auto"/>
          <w:sz w:val="52"/>
          <w:szCs w:val="52"/>
          <w:highlight w:val="none"/>
        </w:rPr>
      </w:pPr>
      <w:r>
        <w:rPr>
          <w:rFonts w:hint="eastAsia" w:eastAsia="方正小标宋_GBK" w:cs="方正小标宋_GBK" w:asciiTheme="majorAscii"/>
          <w:b w:val="0"/>
          <w:bCs/>
          <w:color w:val="000000" w:themeColor="text1"/>
          <w:sz w:val="52"/>
          <w:szCs w:val="52"/>
          <w:lang w:eastAsia="zh-CN"/>
          <w14:textFill>
            <w14:solidFill>
              <w14:schemeClr w14:val="tx1"/>
            </w14:solidFill>
          </w14:textFill>
        </w:rPr>
        <w:t>（</w:t>
      </w:r>
      <w:r>
        <w:rPr>
          <w:rFonts w:hint="eastAsia" w:eastAsia="方正小标宋_GBK" w:cs="方正小标宋_GBK" w:asciiTheme="majorAscii"/>
          <w:b w:val="0"/>
          <w:bCs/>
          <w:color w:val="000000" w:themeColor="text1"/>
          <w:sz w:val="52"/>
          <w:szCs w:val="52"/>
          <w:lang w:val="en-US" w:eastAsia="zh-CN"/>
          <w14:textFill>
            <w14:solidFill>
              <w14:schemeClr w14:val="tx1"/>
            </w14:solidFill>
          </w14:textFill>
        </w:rPr>
        <w:t>贵阳市粮食和物资储备局</w:t>
      </w:r>
      <w:r>
        <w:rPr>
          <w:rFonts w:hint="eastAsia" w:eastAsia="方正小标宋_GBK" w:cs="方正小标宋_GBK" w:asciiTheme="majorAscii"/>
          <w:b w:val="0"/>
          <w:bCs/>
          <w:color w:val="000000" w:themeColor="text1"/>
          <w:sz w:val="52"/>
          <w:szCs w:val="52"/>
          <w:lang w:eastAsia="zh-CN"/>
          <w14:textFill>
            <w14:solidFill>
              <w14:schemeClr w14:val="tx1"/>
            </w14:solidFill>
          </w14:textFill>
        </w:rPr>
        <w:t>）</w:t>
      </w:r>
      <w:r>
        <w:rPr>
          <w:rFonts w:hint="eastAsia" w:ascii="方正小标宋_GBK" w:eastAsia="方正小标宋_GBK" w:cs="方正小标宋_GBK"/>
          <w:bCs/>
          <w:color w:val="000000" w:themeColor="text1"/>
          <w:sz w:val="52"/>
          <w:szCs w:val="52"/>
          <w:highlight w:val="none"/>
          <w14:textFill>
            <w14:solidFill>
              <w14:schemeClr w14:val="tx1"/>
            </w14:solidFill>
          </w14:textFill>
        </w:rPr>
        <w:t>2</w:t>
      </w:r>
      <w:r>
        <w:rPr>
          <w:rFonts w:hint="eastAsia" w:ascii="方正小标宋_GBK" w:eastAsia="方正小标宋_GBK" w:cs="方正小标宋_GBK"/>
          <w:bCs/>
          <w:color w:val="auto"/>
          <w:sz w:val="52"/>
          <w:szCs w:val="52"/>
          <w:highlight w:val="none"/>
        </w:rPr>
        <w:t>02</w:t>
      </w:r>
      <w:r>
        <w:rPr>
          <w:rFonts w:hint="eastAsia" w:ascii="方正小标宋_GBK" w:eastAsia="方正小标宋_GBK" w:cs="方正小标宋_GBK"/>
          <w:bCs/>
          <w:color w:val="auto"/>
          <w:sz w:val="52"/>
          <w:szCs w:val="52"/>
          <w:highlight w:val="none"/>
          <w:lang w:val="en-US" w:eastAsia="zh-CN"/>
        </w:rPr>
        <w:t>2</w:t>
      </w:r>
      <w:r>
        <w:rPr>
          <w:rFonts w:hint="eastAsia" w:ascii="方正小标宋_GBK" w:eastAsia="方正小标宋_GBK" w:cs="方正小标宋_GBK"/>
          <w:bCs/>
          <w:color w:val="auto"/>
          <w:sz w:val="52"/>
          <w:szCs w:val="52"/>
          <w:highlight w:val="none"/>
        </w:rPr>
        <w:t>年度部门预算、“三公”经费预算公开说明及填报口径说明</w:t>
      </w:r>
    </w:p>
    <w:p w14:paraId="19E39E90">
      <w:pPr>
        <w:ind w:firstLine="316" w:firstLineChars="100"/>
        <w:jc w:val="left"/>
        <w:rPr>
          <w:rFonts w:ascii="新宋体" w:eastAsia="新宋体" w:cs="新宋体"/>
          <w:b/>
          <w:color w:val="auto"/>
          <w:sz w:val="32"/>
          <w:szCs w:val="52"/>
          <w:highlight w:val="none"/>
        </w:rPr>
      </w:pPr>
    </w:p>
    <w:p w14:paraId="61B508D4">
      <w:pPr>
        <w:jc w:val="left"/>
        <w:rPr>
          <w:rFonts w:ascii="新宋体" w:eastAsia="新宋体" w:cs="新宋体"/>
          <w:b/>
          <w:color w:val="auto"/>
          <w:sz w:val="32"/>
          <w:szCs w:val="52"/>
          <w:highlight w:val="none"/>
        </w:rPr>
      </w:pPr>
    </w:p>
    <w:p w14:paraId="42EEFA1F">
      <w:pPr>
        <w:jc w:val="left"/>
        <w:rPr>
          <w:rFonts w:ascii="宋体"/>
          <w:b/>
          <w:color w:val="auto"/>
          <w:sz w:val="24"/>
          <w:szCs w:val="44"/>
          <w:highlight w:val="none"/>
        </w:rPr>
      </w:pPr>
    </w:p>
    <w:p w14:paraId="0C194FC4">
      <w:pPr>
        <w:jc w:val="left"/>
        <w:rPr>
          <w:rFonts w:ascii="宋体"/>
          <w:b/>
          <w:color w:val="auto"/>
          <w:sz w:val="24"/>
          <w:szCs w:val="44"/>
          <w:highlight w:val="none"/>
        </w:rPr>
      </w:pPr>
    </w:p>
    <w:p w14:paraId="67D7AFB1">
      <w:pPr>
        <w:jc w:val="left"/>
        <w:rPr>
          <w:rFonts w:ascii="宋体"/>
          <w:b/>
          <w:color w:val="auto"/>
          <w:sz w:val="24"/>
          <w:szCs w:val="44"/>
          <w:highlight w:val="none"/>
        </w:rPr>
      </w:pPr>
    </w:p>
    <w:p w14:paraId="6C490E33">
      <w:pPr>
        <w:jc w:val="left"/>
        <w:rPr>
          <w:rFonts w:ascii="宋体"/>
          <w:b/>
          <w:color w:val="auto"/>
          <w:sz w:val="24"/>
          <w:szCs w:val="44"/>
          <w:highlight w:val="none"/>
        </w:rPr>
      </w:pPr>
    </w:p>
    <w:p w14:paraId="41FB3277">
      <w:pPr>
        <w:jc w:val="left"/>
        <w:rPr>
          <w:rFonts w:ascii="宋体"/>
          <w:b/>
          <w:color w:val="auto"/>
          <w:sz w:val="24"/>
          <w:szCs w:val="44"/>
          <w:highlight w:val="none"/>
        </w:rPr>
      </w:pPr>
    </w:p>
    <w:p w14:paraId="22F96A87">
      <w:pPr>
        <w:jc w:val="left"/>
        <w:rPr>
          <w:rFonts w:ascii="宋体"/>
          <w:b/>
          <w:color w:val="auto"/>
          <w:sz w:val="24"/>
          <w:szCs w:val="44"/>
          <w:highlight w:val="none"/>
        </w:rPr>
      </w:pPr>
    </w:p>
    <w:p w14:paraId="7ECEDB5E">
      <w:pPr>
        <w:jc w:val="left"/>
        <w:rPr>
          <w:rFonts w:ascii="宋体"/>
          <w:b/>
          <w:color w:val="auto"/>
          <w:sz w:val="24"/>
          <w:szCs w:val="44"/>
          <w:highlight w:val="none"/>
        </w:rPr>
      </w:pPr>
    </w:p>
    <w:p w14:paraId="645E195C">
      <w:pPr>
        <w:jc w:val="left"/>
        <w:rPr>
          <w:rFonts w:ascii="宋体"/>
          <w:b/>
          <w:color w:val="auto"/>
          <w:sz w:val="24"/>
          <w:szCs w:val="44"/>
          <w:highlight w:val="none"/>
        </w:rPr>
      </w:pPr>
    </w:p>
    <w:p w14:paraId="7B1A9DA2">
      <w:pPr>
        <w:keepNext w:val="0"/>
        <w:keepLines w:val="0"/>
        <w:pageBreakBefore/>
        <w:widowControl w:val="0"/>
        <w:kinsoku/>
        <w:wordWrap/>
        <w:overflowPunct/>
        <w:topLinePunct w:val="0"/>
        <w:autoSpaceDE/>
        <w:autoSpaceDN/>
        <w:bidi w:val="0"/>
        <w:adjustRightInd/>
        <w:snapToGrid/>
        <w:jc w:val="center"/>
        <w:textAlignment w:val="auto"/>
        <w:rPr>
          <w:rFonts w:ascii="方正小标宋_GBK" w:eastAsia="方正小标宋_GBK" w:cs="方正小标宋_GBK"/>
          <w:bCs/>
          <w:color w:val="auto"/>
          <w:sz w:val="36"/>
          <w:szCs w:val="36"/>
          <w:highlight w:val="none"/>
        </w:rPr>
      </w:pPr>
      <w:r>
        <w:rPr>
          <w:rFonts w:hint="eastAsia" w:ascii="方正小标宋_GBK" w:eastAsia="方正小标宋_GBK" w:cs="方正小标宋_GBK"/>
          <w:bCs/>
          <w:color w:val="auto"/>
          <w:sz w:val="36"/>
          <w:szCs w:val="36"/>
          <w:highlight w:val="none"/>
        </w:rPr>
        <w:t>目</w:t>
      </w:r>
      <w:r>
        <w:rPr>
          <w:rFonts w:hint="eastAsia" w:ascii="方正小标宋_GBK" w:eastAsia="方正小标宋_GBK" w:cs="方正小标宋_GBK"/>
          <w:bCs/>
          <w:color w:val="auto"/>
          <w:sz w:val="36"/>
          <w:szCs w:val="36"/>
          <w:highlight w:val="none"/>
          <w:lang w:val="en-US" w:eastAsia="zh-CN"/>
        </w:rPr>
        <w:t xml:space="preserve"> </w:t>
      </w:r>
      <w:r>
        <w:rPr>
          <w:rFonts w:hint="eastAsia" w:ascii="方正小标宋_GBK" w:eastAsia="方正小标宋_GBK" w:cs="方正小标宋_GBK"/>
          <w:bCs/>
          <w:color w:val="auto"/>
          <w:sz w:val="36"/>
          <w:szCs w:val="36"/>
          <w:highlight w:val="none"/>
        </w:rPr>
        <w:t xml:space="preserve"> 录</w:t>
      </w:r>
    </w:p>
    <w:p w14:paraId="01FD209B">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一、部门（单位）概况</w:t>
      </w:r>
    </w:p>
    <w:p w14:paraId="3C75A9FA">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（一）部门（单位）主要职能</w:t>
      </w:r>
    </w:p>
    <w:p w14:paraId="1909AB8B">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（二）部门预算单位构成</w:t>
      </w:r>
    </w:p>
    <w:p w14:paraId="57A51837">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（三）部门人员构成</w:t>
      </w:r>
    </w:p>
    <w:p w14:paraId="524929D2">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二、部门主要工作任务和政策依据</w:t>
      </w:r>
    </w:p>
    <w:p w14:paraId="5593D5FA">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三</w:t>
      </w:r>
      <w:r>
        <w:rPr>
          <w:rFonts w:ascii="黑体" w:eastAsia="黑体" w:cs="黑体"/>
          <w:bCs/>
          <w:color w:val="auto"/>
          <w:sz w:val="32"/>
          <w:szCs w:val="32"/>
          <w:highlight w:val="none"/>
        </w:rPr>
        <w:t>、</w:t>
      </w:r>
      <w:r>
        <w:rPr>
          <w:rFonts w:hint="eastAsia" w:ascii="黑体" w:eastAsia="黑体" w:cs="黑体"/>
          <w:bCs/>
          <w:color w:val="auto"/>
          <w:sz w:val="32"/>
          <w:szCs w:val="32"/>
          <w:highlight w:val="none"/>
        </w:rPr>
        <w:t>部门预算安排情况说明</w:t>
      </w:r>
    </w:p>
    <w:p w14:paraId="73F58BDD">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四、其他重要事项说明</w:t>
      </w:r>
    </w:p>
    <w:p w14:paraId="3519F791">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（一）机关运行经费情况</w:t>
      </w:r>
    </w:p>
    <w:p w14:paraId="11D0945F">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（二）政府采购情况</w:t>
      </w:r>
    </w:p>
    <w:p w14:paraId="33E3D454">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（三）国有资产占有使用情况</w:t>
      </w:r>
    </w:p>
    <w:p w14:paraId="501568D5">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（四）预算绩效管理情况</w:t>
      </w:r>
    </w:p>
    <w:p w14:paraId="2B98218C">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（五）项目支出安排情况</w:t>
      </w:r>
    </w:p>
    <w:p w14:paraId="5D301898">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eastAsia="仿宋" w:cs="仿宋"/>
          <w:bCs/>
          <w:color w:val="auto"/>
          <w:sz w:val="32"/>
          <w:szCs w:val="32"/>
          <w:highlight w:val="none"/>
        </w:rPr>
      </w:pPr>
      <w:r>
        <w:rPr>
          <w:rFonts w:hint="eastAsia" w:ascii="仿宋" w:eastAsia="仿宋" w:cs="仿宋"/>
          <w:bCs/>
          <w:color w:val="auto"/>
          <w:sz w:val="32"/>
          <w:szCs w:val="32"/>
          <w:highlight w:val="none"/>
        </w:rPr>
        <w:t>（六）专有名词解释</w:t>
      </w:r>
    </w:p>
    <w:p w14:paraId="4446BC1B">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五、202</w:t>
      </w:r>
      <w:r>
        <w:rPr>
          <w:rFonts w:hint="eastAsia" w:ascii="黑体" w:eastAsia="黑体" w:cs="黑体"/>
          <w:bCs/>
          <w:color w:val="auto"/>
          <w:sz w:val="32"/>
          <w:szCs w:val="32"/>
          <w:highlight w:val="none"/>
          <w:lang w:val="en-US" w:eastAsia="zh-CN"/>
        </w:rPr>
        <w:t>2</w:t>
      </w:r>
      <w:r>
        <w:rPr>
          <w:rFonts w:hint="eastAsia" w:ascii="黑体" w:eastAsia="黑体" w:cs="黑体"/>
          <w:bCs/>
          <w:color w:val="auto"/>
          <w:sz w:val="32"/>
          <w:szCs w:val="32"/>
          <w:highlight w:val="none"/>
        </w:rPr>
        <w:t>年部门预算及“三公”经费预算公开表（详见附件</w:t>
      </w:r>
      <w:r>
        <w:rPr>
          <w:rFonts w:hint="eastAsia" w:ascii="黑体" w:eastAsia="黑体" w:cs="黑体"/>
          <w:bCs/>
          <w:color w:val="auto"/>
          <w:sz w:val="32"/>
          <w:szCs w:val="32"/>
          <w:highlight w:val="none"/>
          <w:lang w:val="en-US" w:eastAsia="zh-CN"/>
        </w:rPr>
        <w:t>3</w:t>
      </w:r>
      <w:r>
        <w:rPr>
          <w:rFonts w:hint="eastAsia" w:ascii="黑体" w:eastAsia="黑体" w:cs="黑体"/>
          <w:bCs/>
          <w:color w:val="auto"/>
          <w:sz w:val="32"/>
          <w:szCs w:val="32"/>
          <w:highlight w:val="none"/>
        </w:rPr>
        <w:t>）</w:t>
      </w:r>
    </w:p>
    <w:p w14:paraId="2A8607D4">
      <w:pPr>
        <w:ind w:firstLine="316" w:firstLineChars="100"/>
        <w:jc w:val="left"/>
        <w:rPr>
          <w:rFonts w:ascii="仿宋_GB2312" w:eastAsia="仿宋_GB2312" w:cs="仿宋_GB2312"/>
          <w:bCs/>
          <w:color w:val="auto"/>
          <w:sz w:val="32"/>
          <w:szCs w:val="32"/>
          <w:highlight w:val="none"/>
        </w:rPr>
      </w:pPr>
    </w:p>
    <w:p w14:paraId="547E439E">
      <w:pPr>
        <w:jc w:val="left"/>
        <w:rPr>
          <w:rFonts w:ascii="仿宋" w:eastAsia="仿宋"/>
          <w:color w:val="auto"/>
          <w:sz w:val="32"/>
          <w:szCs w:val="32"/>
          <w:highlight w:val="none"/>
        </w:rPr>
      </w:pPr>
    </w:p>
    <w:p w14:paraId="203E3689">
      <w:pPr>
        <w:jc w:val="left"/>
        <w:rPr>
          <w:rFonts w:ascii="仿宋" w:eastAsia="仿宋"/>
          <w:color w:val="auto"/>
          <w:sz w:val="32"/>
          <w:szCs w:val="32"/>
          <w:highlight w:val="none"/>
        </w:rPr>
      </w:pPr>
    </w:p>
    <w:p w14:paraId="5A2383B5">
      <w:pPr>
        <w:jc w:val="left"/>
        <w:rPr>
          <w:rFonts w:ascii="仿宋" w:eastAsia="仿宋"/>
          <w:color w:val="auto"/>
          <w:sz w:val="32"/>
          <w:szCs w:val="32"/>
          <w:highlight w:val="none"/>
        </w:rPr>
      </w:pPr>
    </w:p>
    <w:p w14:paraId="2A39CDF4">
      <w:pPr>
        <w:jc w:val="left"/>
        <w:rPr>
          <w:rFonts w:ascii="仿宋" w:eastAsia="仿宋"/>
          <w:color w:val="auto"/>
          <w:sz w:val="32"/>
          <w:szCs w:val="32"/>
          <w:highlight w:val="none"/>
        </w:rPr>
      </w:pPr>
    </w:p>
    <w:p w14:paraId="25556D74">
      <w:pPr>
        <w:jc w:val="left"/>
        <w:rPr>
          <w:rFonts w:ascii="仿宋" w:eastAsia="仿宋"/>
          <w:color w:val="auto"/>
          <w:sz w:val="32"/>
          <w:szCs w:val="32"/>
          <w:highlight w:val="none"/>
        </w:rPr>
      </w:pPr>
    </w:p>
    <w:p w14:paraId="3A21A840">
      <w:pPr>
        <w:jc w:val="left"/>
        <w:rPr>
          <w:rFonts w:ascii="仿宋" w:eastAsia="仿宋"/>
          <w:color w:val="auto"/>
          <w:sz w:val="32"/>
          <w:szCs w:val="32"/>
          <w:highlight w:val="none"/>
        </w:rPr>
      </w:pPr>
    </w:p>
    <w:p w14:paraId="4F3EBAB9">
      <w:pPr>
        <w:pStyle w:val="11"/>
        <w:keepNext w:val="0"/>
        <w:keepLines w:val="0"/>
        <w:pageBreakBefore/>
        <w:widowControl w:val="0"/>
        <w:kinsoku/>
        <w:wordWrap/>
        <w:overflowPunct/>
        <w:topLinePunct w:val="0"/>
        <w:autoSpaceDE/>
        <w:autoSpaceDN/>
        <w:bidi w:val="0"/>
        <w:adjustRightInd/>
        <w:snapToGrid/>
        <w:spacing w:line="554" w:lineRule="exact"/>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一、部门（单位）概况</w:t>
      </w:r>
    </w:p>
    <w:p w14:paraId="048C4F1B">
      <w:pPr>
        <w:spacing w:line="560" w:lineRule="exact"/>
        <w:ind w:firstLine="632" w:firstLineChars="200"/>
        <w:rPr>
          <w:rFonts w:hint="eastAsia"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（一）部门</w:t>
      </w:r>
      <w:r>
        <w:rPr>
          <w:rFonts w:hint="eastAsia" w:ascii="仿宋_GB2312" w:eastAsia="仿宋_GB2312" w:cs="仿宋_GB2312"/>
          <w:bCs/>
          <w:color w:val="auto"/>
          <w:sz w:val="32"/>
          <w:szCs w:val="32"/>
          <w:highlight w:val="none"/>
        </w:rPr>
        <w:t>（单位）</w:t>
      </w:r>
      <w:r>
        <w:rPr>
          <w:rFonts w:hint="eastAsia" w:ascii="楷体_GB2312" w:eastAsia="楷体_GB2312" w:cs="楷体_GB2312"/>
          <w:bCs/>
          <w:color w:val="auto"/>
          <w:sz w:val="32"/>
          <w:szCs w:val="32"/>
          <w:highlight w:val="none"/>
        </w:rPr>
        <w:t>主要职能：</w:t>
      </w:r>
    </w:p>
    <w:p w14:paraId="6C3947A7">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1、</w:t>
      </w:r>
      <w:r>
        <w:rPr>
          <w:rFonts w:hint="eastAsia" w:ascii="仿宋" w:eastAsia="仿宋" w:cs="仿宋"/>
          <w:sz w:val="32"/>
          <w:szCs w:val="32"/>
        </w:rPr>
        <w:t>起草全市粮食流通和物资储备管理的地方性法规、规范性文件草案。贯彻执行国家粮食流通体制改革的实施方针、政策，研究提出市级粮食流通和物资储备体制改革方案并组织实施。</w:t>
      </w:r>
    </w:p>
    <w:p w14:paraId="76E76FF0">
      <w:pPr>
        <w:spacing w:line="560" w:lineRule="exact"/>
        <w:ind w:firstLine="632" w:firstLineChars="200"/>
        <w:rPr>
          <w:rFonts w:hint="eastAsia" w:ascii="仿宋" w:eastAsia="仿宋" w:cs="仿宋"/>
          <w:sz w:val="32"/>
          <w:szCs w:val="32"/>
        </w:rPr>
      </w:pPr>
      <w:bookmarkStart w:id="0" w:name="OLE_LINK1"/>
      <w:r>
        <w:rPr>
          <w:rFonts w:hint="eastAsia" w:ascii="仿宋" w:eastAsia="仿宋" w:cs="仿宋"/>
          <w:sz w:val="32"/>
          <w:szCs w:val="32"/>
          <w:lang w:val="en-US" w:eastAsia="zh-CN"/>
        </w:rPr>
        <w:t>2、</w:t>
      </w:r>
      <w:r>
        <w:rPr>
          <w:rFonts w:hint="eastAsia" w:ascii="仿宋" w:eastAsia="仿宋" w:cs="仿宋"/>
          <w:sz w:val="32"/>
          <w:szCs w:val="32"/>
        </w:rPr>
        <w:t>拟订市级储备发展规划和重要物资储备规划、储备品种目录，并组织实施。根据市级储备发展规划和品种目录，组织市级重要物资和应急储备物资的收储、轮换和日常管理，落实有关动用计划和指令。指导各区（市、县）粮食、重要物资和应急储备物资的收储、轮换和日常管理工作。</w:t>
      </w:r>
      <w:bookmarkEnd w:id="0"/>
    </w:p>
    <w:p w14:paraId="224A467A">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3、</w:t>
      </w:r>
      <w:r>
        <w:rPr>
          <w:rFonts w:hint="eastAsia" w:ascii="仿宋" w:eastAsia="仿宋" w:cs="仿宋"/>
          <w:sz w:val="32"/>
          <w:szCs w:val="32"/>
        </w:rPr>
        <w:t>按规定管理市级粮食、食糖、药品、食盐、救灾物资等储备，并结合实际适时做出调整，负责市级储备粮等行政管理。监测全市粮食和重要物资供求变化并预测预警，承担全市粮食流通宏观调控的具体工作。对粮油的“购、销、调、存、加”进行宏观管理，协调本市所辖区（市、县）间粮食余缺调剂。承担全市粮食安全责任制考核工作。</w:t>
      </w:r>
    </w:p>
    <w:p w14:paraId="4063D2BD">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4、</w:t>
      </w:r>
      <w:r>
        <w:rPr>
          <w:rFonts w:hint="eastAsia" w:ascii="仿宋" w:eastAsia="仿宋" w:cs="仿宋"/>
          <w:sz w:val="32"/>
          <w:szCs w:val="32"/>
        </w:rPr>
        <w:t>组织实施国家、省、市粮食和物资储备仓储管理有关技术标准和规范，负责市级粮食流通、加工行业安全生产工作的监督管理，承担市级物资储备承储单位安全生产的监管责任。负责本部门、本行业领域的安全生产和消防安全工作。</w:t>
      </w:r>
    </w:p>
    <w:p w14:paraId="0FD10607">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5、</w:t>
      </w:r>
      <w:r>
        <w:rPr>
          <w:rFonts w:hint="eastAsia" w:ascii="仿宋" w:eastAsia="仿宋" w:cs="仿宋"/>
          <w:sz w:val="32"/>
          <w:szCs w:val="32"/>
        </w:rPr>
        <w:t>根据全市储备发展规划，统一负责储备基础设施建设和管理。拟订市级储备基础设施、粮食流通设施建设规划并组织实施，管理有关储备基础设施和粮食流通设施投资项目。</w:t>
      </w:r>
    </w:p>
    <w:p w14:paraId="161028E5">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6、</w:t>
      </w:r>
      <w:r>
        <w:rPr>
          <w:rFonts w:hint="eastAsia" w:ascii="仿宋" w:eastAsia="仿宋" w:cs="仿宋"/>
          <w:sz w:val="32"/>
          <w:szCs w:val="32"/>
        </w:rPr>
        <w:t>负责对管理的政府储备、企业储备以及储备政策落实情况进行监督检查。执行国家、省粮食收购政策，负责粮食收购许可证办理工作。配合有关部门做好粮食收购资金封闭运行和价格管理工作。负责全市粮食流通监督检查，负责粮食收购、储存、运输环节粮食质量安全和原粮卫生的监督管理，组织实施全市粮食库存检查工作。</w:t>
      </w:r>
    </w:p>
    <w:p w14:paraId="1E0882B4">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7、</w:t>
      </w:r>
      <w:r>
        <w:rPr>
          <w:rFonts w:hint="eastAsia" w:ascii="仿宋" w:eastAsia="仿宋" w:cs="仿宋"/>
          <w:sz w:val="32"/>
          <w:szCs w:val="32"/>
        </w:rPr>
        <w:t>负责全市粮食流通行业管理，拟订行业发展规划并组织实施，组织实施粮食流通和物资储备有关标准、粮食质量标准和有关技术规范。</w:t>
      </w:r>
    </w:p>
    <w:p w14:paraId="4CD195BE">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8、</w:t>
      </w:r>
      <w:r>
        <w:rPr>
          <w:rFonts w:hint="eastAsia" w:ascii="仿宋" w:eastAsia="仿宋" w:cs="仿宋"/>
          <w:sz w:val="32"/>
          <w:szCs w:val="32"/>
        </w:rPr>
        <w:t>承担保障驻筑部队军粮供应工作，指导各区（市、县）军粮供应队伍和供应网络建设。指导灾区、水库移民、缺粮地区和贫困地区的粮食供应工作。</w:t>
      </w:r>
    </w:p>
    <w:p w14:paraId="4A37483A">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9、</w:t>
      </w:r>
      <w:r>
        <w:rPr>
          <w:rFonts w:hint="eastAsia" w:ascii="仿宋" w:eastAsia="仿宋" w:cs="仿宋"/>
          <w:sz w:val="32"/>
          <w:szCs w:val="32"/>
        </w:rPr>
        <w:t>贯彻实施国家粮食财务、统计、审计制度，指导、监督本系统财务、统计、审计工作。开展社会粮食供需平衡调查统计工作。</w:t>
      </w:r>
    </w:p>
    <w:p w14:paraId="779963A5">
      <w:pPr>
        <w:spacing w:line="560" w:lineRule="exact"/>
        <w:ind w:firstLine="632" w:firstLineChars="200"/>
        <w:rPr>
          <w:rFonts w:hint="eastAsia" w:ascii="仿宋" w:eastAsia="仿宋" w:cs="仿宋"/>
          <w:sz w:val="32"/>
          <w:szCs w:val="32"/>
        </w:rPr>
      </w:pPr>
      <w:r>
        <w:rPr>
          <w:rFonts w:hint="eastAsia" w:ascii="仿宋" w:eastAsia="仿宋" w:cs="仿宋"/>
          <w:sz w:val="32"/>
          <w:szCs w:val="32"/>
          <w:lang w:val="en-US" w:eastAsia="zh-CN"/>
        </w:rPr>
        <w:t>10、</w:t>
      </w:r>
      <w:r>
        <w:rPr>
          <w:rFonts w:hint="eastAsia" w:ascii="仿宋" w:eastAsia="仿宋" w:cs="仿宋"/>
          <w:sz w:val="32"/>
          <w:szCs w:val="32"/>
        </w:rPr>
        <w:t>结合部门职责，做好军民融合、扶贫开发等相关工作。加大科技投入，提高科技创新能力，为推进创新驱动发展提供保障。按规定做好大数据发展应用和政务数据资源管理相关工作，依法促进部门政务数据资源规范管理、共享和开放。</w:t>
      </w:r>
    </w:p>
    <w:p w14:paraId="60624328">
      <w:pPr>
        <w:spacing w:line="560" w:lineRule="exact"/>
        <w:ind w:firstLine="632" w:firstLineChars="200"/>
        <w:rPr>
          <w:rFonts w:ascii="仿宋_GB2312" w:eastAsia="仿宋_GB2312" w:cs="仿宋_GB2312"/>
          <w:bCs/>
          <w:color w:val="auto"/>
          <w:sz w:val="32"/>
          <w:szCs w:val="32"/>
          <w:highlight w:val="none"/>
        </w:rPr>
      </w:pPr>
      <w:r>
        <w:rPr>
          <w:rFonts w:hint="eastAsia" w:ascii="仿宋" w:eastAsia="仿宋" w:cs="仿宋"/>
          <w:sz w:val="32"/>
          <w:szCs w:val="32"/>
          <w:lang w:val="en-US" w:eastAsia="zh-CN"/>
        </w:rPr>
        <w:t>11、</w:t>
      </w:r>
      <w:r>
        <w:rPr>
          <w:rFonts w:hint="eastAsia" w:ascii="仿宋" w:eastAsia="仿宋" w:cs="仿宋"/>
          <w:sz w:val="32"/>
          <w:szCs w:val="32"/>
        </w:rPr>
        <w:t>承办市委、市政府和上级部门交办的其他任务。</w:t>
      </w:r>
    </w:p>
    <w:p w14:paraId="5F824935">
      <w:pPr>
        <w:keepNext w:val="0"/>
        <w:keepLines w:val="0"/>
        <w:widowControl w:val="0"/>
        <w:numPr>
          <w:ilvl w:val="0"/>
          <w:numId w:val="1"/>
        </w:numPr>
        <w:kinsoku/>
        <w:wordWrap/>
        <w:overflowPunct/>
        <w:topLinePunct w:val="0"/>
        <w:autoSpaceDE/>
        <w:autoSpaceDN/>
        <w:bidi w:val="0"/>
        <w:adjustRightInd/>
        <w:snapToGrid/>
        <w:spacing w:line="554" w:lineRule="exact"/>
        <w:ind w:left="0" w:firstLine="632" w:firstLineChars="200"/>
        <w:textAlignment w:val="auto"/>
        <w:rPr>
          <w:rFonts w:hint="eastAsia"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部门预算单位构成：</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780"/>
        <w:gridCol w:w="3734"/>
      </w:tblGrid>
      <w:tr w14:paraId="029E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tcPr>
          <w:p w14:paraId="376AA624">
            <w:pPr>
              <w:rPr>
                <w:rFonts w:ascii="仿宋_GB2312" w:eastAsia="仿宋_GB2312"/>
                <w:b/>
                <w:color w:val="000000"/>
                <w:sz w:val="32"/>
                <w:szCs w:val="32"/>
              </w:rPr>
            </w:pPr>
            <w:r>
              <w:rPr>
                <w:rFonts w:hint="eastAsia" w:ascii="仿宋_GB2312" w:eastAsia="仿宋_GB2312"/>
                <w:b/>
                <w:color w:val="000000"/>
                <w:sz w:val="32"/>
                <w:szCs w:val="32"/>
              </w:rPr>
              <w:t>序号</w:t>
            </w:r>
          </w:p>
        </w:tc>
        <w:tc>
          <w:tcPr>
            <w:tcW w:w="3780" w:type="dxa"/>
            <w:tcBorders>
              <w:top w:val="single" w:color="auto" w:sz="4" w:space="0"/>
              <w:left w:val="single" w:color="auto" w:sz="4" w:space="0"/>
              <w:bottom w:val="single" w:color="auto" w:sz="4" w:space="0"/>
              <w:right w:val="single" w:color="auto" w:sz="4" w:space="0"/>
            </w:tcBorders>
            <w:noWrap/>
          </w:tcPr>
          <w:p w14:paraId="5494E3BE">
            <w:pPr>
              <w:jc w:val="center"/>
              <w:rPr>
                <w:rFonts w:ascii="仿宋_GB2312" w:eastAsia="仿宋_GB2312"/>
                <w:b/>
                <w:color w:val="000000"/>
                <w:sz w:val="32"/>
                <w:szCs w:val="32"/>
              </w:rPr>
            </w:pPr>
            <w:r>
              <w:rPr>
                <w:rFonts w:hint="eastAsia" w:ascii="仿宋_GB2312" w:eastAsia="仿宋_GB2312"/>
                <w:b/>
                <w:color w:val="000000"/>
                <w:sz w:val="32"/>
                <w:szCs w:val="32"/>
              </w:rPr>
              <w:t>单</w:t>
            </w:r>
            <w:r>
              <w:rPr>
                <w:rFonts w:ascii="仿宋_GB2312" w:eastAsia="仿宋_GB2312"/>
                <w:b/>
                <w:color w:val="000000"/>
                <w:sz w:val="32"/>
                <w:szCs w:val="32"/>
              </w:rPr>
              <w:t xml:space="preserve">       </w:t>
            </w:r>
            <w:r>
              <w:rPr>
                <w:rFonts w:hint="eastAsia" w:ascii="仿宋_GB2312" w:eastAsia="仿宋_GB2312"/>
                <w:b/>
                <w:color w:val="000000"/>
                <w:sz w:val="32"/>
                <w:szCs w:val="32"/>
              </w:rPr>
              <w:t>位</w:t>
            </w:r>
          </w:p>
        </w:tc>
        <w:tc>
          <w:tcPr>
            <w:tcW w:w="3734" w:type="dxa"/>
            <w:tcBorders>
              <w:top w:val="single" w:color="auto" w:sz="4" w:space="0"/>
              <w:left w:val="single" w:color="auto" w:sz="4" w:space="0"/>
              <w:bottom w:val="single" w:color="auto" w:sz="4" w:space="0"/>
              <w:right w:val="single" w:color="auto" w:sz="4" w:space="0"/>
            </w:tcBorders>
            <w:noWrap/>
          </w:tcPr>
          <w:p w14:paraId="64D974EA">
            <w:pPr>
              <w:jc w:val="center"/>
              <w:rPr>
                <w:rFonts w:ascii="仿宋_GB2312" w:eastAsia="仿宋_GB2312"/>
                <w:b/>
                <w:color w:val="000000"/>
                <w:sz w:val="32"/>
                <w:szCs w:val="32"/>
              </w:rPr>
            </w:pPr>
            <w:r>
              <w:rPr>
                <w:rFonts w:hint="eastAsia" w:ascii="仿宋_GB2312" w:eastAsia="仿宋_GB2312"/>
                <w:b/>
                <w:color w:val="000000"/>
                <w:sz w:val="32"/>
                <w:szCs w:val="32"/>
              </w:rPr>
              <w:t>单</w:t>
            </w:r>
            <w:r>
              <w:rPr>
                <w:rFonts w:ascii="仿宋_GB2312" w:eastAsia="仿宋_GB2312"/>
                <w:b/>
                <w:color w:val="000000"/>
                <w:sz w:val="32"/>
                <w:szCs w:val="32"/>
              </w:rPr>
              <w:t xml:space="preserve"> </w:t>
            </w:r>
            <w:r>
              <w:rPr>
                <w:rFonts w:hint="eastAsia" w:ascii="仿宋_GB2312" w:eastAsia="仿宋_GB2312"/>
                <w:b/>
                <w:color w:val="000000"/>
                <w:sz w:val="32"/>
                <w:szCs w:val="32"/>
              </w:rPr>
              <w:t>位</w:t>
            </w:r>
            <w:r>
              <w:rPr>
                <w:rFonts w:ascii="仿宋_GB2312" w:eastAsia="仿宋_GB2312"/>
                <w:b/>
                <w:color w:val="000000"/>
                <w:sz w:val="32"/>
                <w:szCs w:val="32"/>
              </w:rPr>
              <w:t xml:space="preserve"> </w:t>
            </w:r>
            <w:r>
              <w:rPr>
                <w:rFonts w:hint="eastAsia" w:ascii="仿宋_GB2312" w:eastAsia="仿宋_GB2312"/>
                <w:b/>
                <w:color w:val="000000"/>
                <w:sz w:val="32"/>
                <w:szCs w:val="32"/>
              </w:rPr>
              <w:t>类</w:t>
            </w:r>
            <w:r>
              <w:rPr>
                <w:rFonts w:ascii="仿宋_GB2312" w:eastAsia="仿宋_GB2312"/>
                <w:b/>
                <w:color w:val="000000"/>
                <w:sz w:val="32"/>
                <w:szCs w:val="32"/>
              </w:rPr>
              <w:t xml:space="preserve"> </w:t>
            </w:r>
            <w:r>
              <w:rPr>
                <w:rFonts w:hint="eastAsia" w:ascii="仿宋_GB2312" w:eastAsia="仿宋_GB2312"/>
                <w:b/>
                <w:color w:val="000000"/>
                <w:sz w:val="32"/>
                <w:szCs w:val="32"/>
              </w:rPr>
              <w:t>型</w:t>
            </w:r>
          </w:p>
        </w:tc>
      </w:tr>
      <w:tr w14:paraId="1C94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tcPr>
          <w:p w14:paraId="74A80E9A">
            <w:pPr>
              <w:jc w:val="center"/>
              <w:rPr>
                <w:rFonts w:ascii="仿宋_GB2312" w:eastAsia="仿宋_GB2312"/>
                <w:color w:val="000000"/>
                <w:sz w:val="32"/>
                <w:szCs w:val="32"/>
              </w:rPr>
            </w:pPr>
            <w:r>
              <w:rPr>
                <w:rFonts w:ascii="仿宋_GB2312" w:eastAsia="仿宋_GB2312"/>
                <w:color w:val="000000"/>
                <w:sz w:val="32"/>
                <w:szCs w:val="32"/>
              </w:rPr>
              <w:t>1</w:t>
            </w:r>
          </w:p>
        </w:tc>
        <w:tc>
          <w:tcPr>
            <w:tcW w:w="3780" w:type="dxa"/>
            <w:tcBorders>
              <w:top w:val="single" w:color="auto" w:sz="4" w:space="0"/>
              <w:left w:val="single" w:color="auto" w:sz="4" w:space="0"/>
              <w:bottom w:val="single" w:color="auto" w:sz="4" w:space="0"/>
              <w:right w:val="single" w:color="auto" w:sz="4" w:space="0"/>
            </w:tcBorders>
            <w:noWrap/>
          </w:tcPr>
          <w:p w14:paraId="48C2295B">
            <w:pPr>
              <w:jc w:val="cente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贵阳市粮食和物资储备局</w:t>
            </w:r>
          </w:p>
        </w:tc>
        <w:tc>
          <w:tcPr>
            <w:tcW w:w="3734" w:type="dxa"/>
            <w:tcBorders>
              <w:top w:val="single" w:color="auto" w:sz="4" w:space="0"/>
              <w:left w:val="single" w:color="auto" w:sz="4" w:space="0"/>
              <w:bottom w:val="single" w:color="auto" w:sz="4" w:space="0"/>
              <w:right w:val="single" w:color="auto" w:sz="4" w:space="0"/>
            </w:tcBorders>
            <w:noWrap/>
          </w:tcPr>
          <w:p w14:paraId="177B2675">
            <w:pPr>
              <w:jc w:val="center"/>
              <w:rPr>
                <w:rFonts w:ascii="仿宋_GB2312" w:eastAsia="仿宋_GB2312"/>
                <w:color w:val="000000"/>
                <w:sz w:val="32"/>
                <w:szCs w:val="32"/>
              </w:rPr>
            </w:pPr>
            <w:r>
              <w:rPr>
                <w:rFonts w:hint="eastAsia" w:ascii="仿宋_GB2312" w:eastAsia="仿宋_GB2312"/>
                <w:color w:val="000000"/>
                <w:sz w:val="32"/>
                <w:szCs w:val="32"/>
              </w:rPr>
              <w:t>行政单位</w:t>
            </w:r>
          </w:p>
        </w:tc>
      </w:tr>
      <w:tr w14:paraId="558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tcPr>
          <w:p w14:paraId="5620E37E">
            <w:pPr>
              <w:jc w:val="center"/>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w:t>
            </w:r>
          </w:p>
        </w:tc>
        <w:tc>
          <w:tcPr>
            <w:tcW w:w="3780" w:type="dxa"/>
            <w:tcBorders>
              <w:top w:val="single" w:color="auto" w:sz="4" w:space="0"/>
              <w:left w:val="single" w:color="auto" w:sz="4" w:space="0"/>
              <w:bottom w:val="single" w:color="auto" w:sz="4" w:space="0"/>
              <w:right w:val="single" w:color="auto" w:sz="4" w:space="0"/>
            </w:tcBorders>
            <w:noWrap/>
          </w:tcPr>
          <w:p w14:paraId="32FB476F">
            <w:pPr>
              <w:jc w:val="center"/>
              <w:rPr>
                <w:rFonts w:ascii="仿宋_GB2312" w:eastAsia="仿宋_GB2312"/>
                <w:color w:val="000000"/>
                <w:sz w:val="32"/>
                <w:szCs w:val="32"/>
              </w:rPr>
            </w:pPr>
            <w:r>
              <w:rPr>
                <w:rFonts w:hint="eastAsia" w:ascii="仿宋_GB2312" w:eastAsia="仿宋_GB2312"/>
                <w:color w:val="000000"/>
                <w:sz w:val="32"/>
                <w:szCs w:val="32"/>
              </w:rPr>
              <w:t>贵阳市军粮供应站</w:t>
            </w:r>
          </w:p>
        </w:tc>
        <w:tc>
          <w:tcPr>
            <w:tcW w:w="3734" w:type="dxa"/>
            <w:tcBorders>
              <w:top w:val="single" w:color="auto" w:sz="4" w:space="0"/>
              <w:left w:val="single" w:color="auto" w:sz="4" w:space="0"/>
              <w:bottom w:val="single" w:color="auto" w:sz="4" w:space="0"/>
              <w:right w:val="single" w:color="auto" w:sz="4" w:space="0"/>
            </w:tcBorders>
            <w:noWrap/>
            <w:vAlign w:val="center"/>
          </w:tcPr>
          <w:p w14:paraId="06349DA8">
            <w:pPr>
              <w:jc w:val="center"/>
              <w:rPr>
                <w:rFonts w:ascii="仿宋_GB2312" w:eastAsia="仿宋_GB2312"/>
                <w:color w:val="000000"/>
                <w:sz w:val="32"/>
                <w:szCs w:val="32"/>
              </w:rPr>
            </w:pPr>
            <w:r>
              <w:rPr>
                <w:rFonts w:hint="eastAsia" w:ascii="仿宋_GB2312" w:eastAsia="仿宋_GB2312"/>
                <w:color w:val="000000"/>
                <w:sz w:val="32"/>
                <w:szCs w:val="32"/>
                <w:lang w:eastAsia="zh-CN"/>
              </w:rPr>
              <w:t>全额拨</w:t>
            </w:r>
            <w:r>
              <w:rPr>
                <w:rFonts w:hint="eastAsia" w:ascii="仿宋_GB2312" w:eastAsia="仿宋_GB2312"/>
                <w:color w:val="000000"/>
                <w:sz w:val="32"/>
                <w:szCs w:val="32"/>
              </w:rPr>
              <w:t>款事业单位</w:t>
            </w:r>
          </w:p>
        </w:tc>
      </w:tr>
      <w:tr w14:paraId="0FBA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tcPr>
          <w:p w14:paraId="0D863FB0">
            <w:pPr>
              <w:jc w:val="center"/>
              <w:rPr>
                <w:rFonts w:ascii="仿宋_GB2312" w:eastAsia="仿宋_GB2312"/>
                <w:color w:val="000000"/>
                <w:sz w:val="32"/>
                <w:szCs w:val="32"/>
                <w:lang w:val="en-US" w:eastAsia="zh-CN"/>
              </w:rPr>
            </w:pPr>
            <w:r>
              <w:rPr>
                <w:rFonts w:hint="eastAsia" w:ascii="仿宋_GB2312" w:eastAsia="仿宋_GB2312"/>
                <w:color w:val="000000"/>
                <w:sz w:val="32"/>
                <w:szCs w:val="32"/>
                <w:lang w:val="en-US" w:eastAsia="zh-CN"/>
              </w:rPr>
              <w:t>3</w:t>
            </w:r>
          </w:p>
        </w:tc>
        <w:tc>
          <w:tcPr>
            <w:tcW w:w="3780" w:type="dxa"/>
            <w:tcBorders>
              <w:top w:val="single" w:color="auto" w:sz="4" w:space="0"/>
              <w:left w:val="single" w:color="auto" w:sz="4" w:space="0"/>
              <w:bottom w:val="single" w:color="auto" w:sz="4" w:space="0"/>
              <w:right w:val="single" w:color="auto" w:sz="4" w:space="0"/>
            </w:tcBorders>
            <w:noWrap/>
          </w:tcPr>
          <w:p w14:paraId="237764BE">
            <w:pPr>
              <w:jc w:val="center"/>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贵阳市粮食和物资储备安全保障中心（贵阳市粮油质量检测中心）</w:t>
            </w:r>
          </w:p>
        </w:tc>
        <w:tc>
          <w:tcPr>
            <w:tcW w:w="3734" w:type="dxa"/>
            <w:tcBorders>
              <w:top w:val="single" w:color="auto" w:sz="4" w:space="0"/>
              <w:left w:val="single" w:color="auto" w:sz="4" w:space="0"/>
              <w:bottom w:val="single" w:color="auto" w:sz="4" w:space="0"/>
              <w:right w:val="single" w:color="auto" w:sz="4" w:space="0"/>
            </w:tcBorders>
            <w:noWrap/>
            <w:vAlign w:val="center"/>
          </w:tcPr>
          <w:p w14:paraId="5BFDDCDA">
            <w:pPr>
              <w:jc w:val="center"/>
              <w:rPr>
                <w:rFonts w:ascii="仿宋_GB2312" w:eastAsia="仿宋_GB2312"/>
                <w:color w:val="000000"/>
                <w:sz w:val="32"/>
                <w:szCs w:val="32"/>
              </w:rPr>
            </w:pPr>
            <w:r>
              <w:rPr>
                <w:rFonts w:hint="eastAsia" w:ascii="仿宋_GB2312" w:eastAsia="仿宋_GB2312"/>
                <w:color w:val="000000"/>
                <w:sz w:val="32"/>
                <w:szCs w:val="32"/>
                <w:lang w:eastAsia="zh-CN"/>
              </w:rPr>
              <w:t>全额拨</w:t>
            </w:r>
            <w:r>
              <w:rPr>
                <w:rFonts w:hint="eastAsia" w:ascii="仿宋_GB2312" w:eastAsia="仿宋_GB2312"/>
                <w:color w:val="000000"/>
                <w:sz w:val="32"/>
                <w:szCs w:val="32"/>
              </w:rPr>
              <w:t>款事业单位</w:t>
            </w:r>
          </w:p>
        </w:tc>
      </w:tr>
    </w:tbl>
    <w:p w14:paraId="04E13287">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机关本级设有党政办公室、行业发展和调控处、粮食储备处、能源和物资储备处、法规监督处、财务处审计处、安全仓储科技处、人事处等共八个内设处室和机关党委。</w:t>
      </w:r>
    </w:p>
    <w:p w14:paraId="1E3FA536">
      <w:pPr>
        <w:keepNext w:val="0"/>
        <w:keepLines w:val="0"/>
        <w:pageBreakBefore w:val="0"/>
        <w:widowControl w:val="0"/>
        <w:kinsoku/>
        <w:wordWrap/>
        <w:overflowPunct/>
        <w:topLinePunct w:val="0"/>
        <w:autoSpaceDE/>
        <w:autoSpaceDN/>
        <w:adjustRightInd/>
        <w:snapToGrid/>
        <w:spacing w:line="240" w:lineRule="auto"/>
        <w:ind w:firstLine="632" w:firstLineChars="200"/>
        <w:rPr>
          <w:rFonts w:ascii="方正兰亭黑_GBK" w:hAnsi="方正兰亭黑_GBK" w:eastAsia="楷体_GB2312" w:cs="楷体_GB2312"/>
          <w:bCs/>
          <w:color w:val="auto"/>
          <w:sz w:val="32"/>
          <w:szCs w:val="32"/>
          <w:highlight w:val="none"/>
        </w:rPr>
      </w:pPr>
      <w:r>
        <w:rPr>
          <w:rFonts w:ascii="方正兰亭黑_GBK" w:hAnsi="方正兰亭黑_GBK" w:eastAsia="楷体_GB2312" w:cs="楷体_GB2312"/>
          <w:bCs/>
          <w:color w:val="auto"/>
          <w:sz w:val="32"/>
          <w:szCs w:val="32"/>
          <w:highlight w:val="none"/>
        </w:rPr>
        <w:t>(</w:t>
      </w:r>
      <w:r>
        <w:rPr>
          <w:rFonts w:ascii="方正兰亭黑_GBK" w:eastAsia="方正兰亭黑_GBK" w:cs="楷体_GB2312"/>
          <w:bCs/>
          <w:color w:val="auto"/>
          <w:sz w:val="32"/>
          <w:szCs w:val="32"/>
          <w:highlight w:val="none"/>
        </w:rPr>
        <w:t>三</w:t>
      </w:r>
      <w:r>
        <w:rPr>
          <w:rFonts w:ascii="方正兰亭黑_GBK" w:hAnsi="方正兰亭黑_GBK" w:eastAsia="楷体_GB2312" w:cs="楷体_GB2312"/>
          <w:bCs/>
          <w:color w:val="auto"/>
          <w:sz w:val="32"/>
          <w:szCs w:val="32"/>
          <w:highlight w:val="none"/>
        </w:rPr>
        <w:t>)</w:t>
      </w:r>
      <w:r>
        <w:rPr>
          <w:rFonts w:hint="eastAsia" w:ascii="楷体_GB2312" w:eastAsia="楷体_GB2312" w:cs="楷体_GB2312"/>
          <w:bCs/>
          <w:color w:val="auto"/>
          <w:sz w:val="32"/>
          <w:szCs w:val="32"/>
          <w:highlight w:val="none"/>
        </w:rPr>
        <w:t>部门人员构成：</w:t>
      </w:r>
    </w:p>
    <w:p w14:paraId="7787F458">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贵阳市粮食和物资储备局行政编制31名，现实有在职行政人员2</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人，工勤人员3人，退休人员</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lang w:eastAsia="zh-CN"/>
        </w:rPr>
        <w:t>人。</w:t>
      </w:r>
    </w:p>
    <w:p w14:paraId="65BD5F0D">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贵阳市军粮供应站编制人数13名，事业编制12名，工勤人员编制1名，现实有人数11人，退休4人，该单位目前未纳入预算管理。</w:t>
      </w:r>
    </w:p>
    <w:p w14:paraId="08612A31">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贵阳市粮食和物资储备安全保障中心（贵阳市粮油质量检测中心）事业编制22名,现实有人数0人，该单位目前未纳入预算管理。</w:t>
      </w:r>
    </w:p>
    <w:p w14:paraId="3345A027">
      <w:pPr>
        <w:keepNext w:val="0"/>
        <w:keepLines w:val="0"/>
        <w:pageBreakBefore w:val="0"/>
        <w:widowControl w:val="0"/>
        <w:kinsoku/>
        <w:wordWrap/>
        <w:overflowPunct/>
        <w:topLinePunct w:val="0"/>
        <w:autoSpaceDE/>
        <w:autoSpaceDN/>
        <w:adjustRightInd/>
        <w:snapToGrid/>
        <w:spacing w:line="240" w:lineRule="auto"/>
        <w:ind w:firstLine="632" w:firstLineChars="200"/>
        <w:rPr>
          <w:rFonts w:ascii="黑体" w:eastAsia="黑体" w:cs="黑体"/>
          <w:bCs/>
          <w:color w:val="auto"/>
          <w:sz w:val="32"/>
          <w:szCs w:val="32"/>
          <w:highlight w:val="none"/>
        </w:rPr>
      </w:pPr>
      <w:r>
        <w:rPr>
          <w:rFonts w:hint="eastAsia" w:ascii="黑体" w:eastAsia="黑体" w:cs="黑体"/>
          <w:bCs/>
          <w:color w:val="auto"/>
          <w:sz w:val="32"/>
          <w:szCs w:val="32"/>
          <w:highlight w:val="none"/>
        </w:rPr>
        <w:t>二、部门主要工作任务和政策依据</w:t>
      </w:r>
    </w:p>
    <w:p w14:paraId="08CEA309">
      <w:pPr>
        <w:pStyle w:val="6"/>
        <w:keepNext w:val="0"/>
        <w:keepLines w:val="0"/>
        <w:pageBreakBefore w:val="0"/>
        <w:widowControl w:val="0"/>
        <w:kinsoku/>
        <w:wordWrap/>
        <w:overflowPunct/>
        <w:topLinePunct w:val="0"/>
        <w:autoSpaceDE/>
        <w:autoSpaceDN/>
        <w:bidi w:val="0"/>
        <w:adjustRightInd/>
        <w:snapToGrid/>
        <w:spacing w:after="50" w:afterLines="0" w:line="620" w:lineRule="exact"/>
        <w:ind w:left="0" w:firstLine="632" w:firstLineChars="200"/>
        <w:textAlignment w:val="auto"/>
        <w:rPr>
          <w:rFonts w:hint="eastAsia" w:ascii="仿宋_GB2312"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按照“强省会”五年行动计划，围绕“四新”抓“四化”，结合“十四五”粮食和物资储备专项规划，进一步落实粮食安全保障体系建设目标任务。</w:t>
      </w:r>
    </w:p>
    <w:p w14:paraId="2B0B96F4">
      <w:pPr>
        <w:pageBreakBefore w:val="0"/>
        <w:widowControl w:val="0"/>
        <w:numPr>
          <w:ilvl w:val="0"/>
          <w:numId w:val="0"/>
        </w:numPr>
        <w:kinsoku/>
        <w:overflowPunct/>
        <w:topLinePunct w:val="0"/>
        <w:autoSpaceDE/>
        <w:autoSpaceDN/>
        <w:bidi w:val="0"/>
        <w:spacing w:line="620" w:lineRule="exact"/>
        <w:ind w:leftChars="200"/>
        <w:textAlignment w:val="auto"/>
        <w:rPr>
          <w:rFonts w:hint="eastAsia" w:ascii="仿宋_GB2312" w:eastAsia="仿宋_GB2312" w:cs="仿宋_GB2312"/>
          <w:b w:val="0"/>
          <w:bCs w:val="0"/>
          <w:color w:val="auto"/>
          <w:sz w:val="32"/>
          <w:szCs w:val="32"/>
        </w:rPr>
      </w:pPr>
      <w:r>
        <w:rPr>
          <w:rFonts w:hint="eastAsia" w:ascii="楷体_GB2312" w:eastAsia="楷体_GB2312" w:cs="楷体_GB2312"/>
          <w:b w:val="0"/>
          <w:bCs w:val="0"/>
          <w:color w:val="auto"/>
          <w:sz w:val="32"/>
          <w:szCs w:val="32"/>
          <w:highlight w:val="none"/>
          <w:lang w:val="en-US" w:eastAsia="zh-CN"/>
        </w:rPr>
        <w:t>（一）加强</w:t>
      </w:r>
      <w:r>
        <w:rPr>
          <w:rFonts w:hint="eastAsia" w:ascii="楷体_GB2312" w:eastAsia="楷体_GB2312" w:cs="楷体_GB2312"/>
          <w:b w:val="0"/>
          <w:bCs w:val="0"/>
          <w:color w:val="auto"/>
          <w:sz w:val="32"/>
          <w:szCs w:val="32"/>
        </w:rPr>
        <w:t>粮食储备</w:t>
      </w:r>
      <w:r>
        <w:rPr>
          <w:rFonts w:hint="eastAsia" w:ascii="楷体_GB2312" w:eastAsia="楷体_GB2312" w:cs="楷体_GB2312"/>
          <w:b w:val="0"/>
          <w:bCs w:val="0"/>
          <w:color w:val="auto"/>
          <w:sz w:val="32"/>
          <w:szCs w:val="32"/>
          <w:lang w:eastAsia="zh-CN"/>
        </w:rPr>
        <w:t>管理</w:t>
      </w:r>
      <w:r>
        <w:rPr>
          <w:rFonts w:hint="eastAsia" w:ascii="楷体_GB2312" w:eastAsia="楷体_GB2312" w:cs="楷体_GB2312"/>
          <w:b w:val="0"/>
          <w:bCs w:val="0"/>
          <w:color w:val="auto"/>
          <w:sz w:val="32"/>
          <w:szCs w:val="32"/>
        </w:rPr>
        <w:t>。</w:t>
      </w:r>
      <w:r>
        <w:rPr>
          <w:rFonts w:hint="eastAsia" w:ascii="仿宋_GB2312" w:eastAsia="仿宋_GB2312" w:cs="仿宋_GB2312"/>
          <w:b w:val="0"/>
          <w:bCs/>
          <w:color w:val="auto"/>
          <w:sz w:val="32"/>
          <w:szCs w:val="32"/>
          <w:lang w:eastAsia="zh-CN"/>
        </w:rPr>
        <w:t>进一步</w:t>
      </w:r>
      <w:r>
        <w:rPr>
          <w:rFonts w:hint="eastAsia" w:ascii="仿宋_GB2312" w:eastAsia="仿宋_GB2312" w:cs="仿宋_GB2312"/>
          <w:bCs/>
          <w:color w:val="auto"/>
          <w:sz w:val="32"/>
          <w:szCs w:val="32"/>
        </w:rPr>
        <w:t>调整优化储备粮结构</w:t>
      </w:r>
      <w:r>
        <w:rPr>
          <w:rFonts w:hint="eastAsia" w:ascii="仿宋_GB2312" w:eastAsia="仿宋_GB2312" w:cs="仿宋_GB2312"/>
          <w:color w:val="auto"/>
          <w:sz w:val="32"/>
          <w:szCs w:val="32"/>
        </w:rPr>
        <w:t>，探索粮食储备轮换机制，通过实施动态轮换，推进粮食产、购、储、加、销、用融合发展，提高储备效能。</w:t>
      </w:r>
      <w:r>
        <w:rPr>
          <w:rFonts w:hint="eastAsia" w:ascii="仿宋_GB2312" w:eastAsia="仿宋_GB2312" w:cs="仿宋_GB2312"/>
          <w:b w:val="0"/>
          <w:bCs w:val="0"/>
          <w:color w:val="auto"/>
          <w:sz w:val="32"/>
          <w:szCs w:val="32"/>
        </w:rPr>
        <w:t>将粮食储备与粮食加工有机结合，积极探索粮食滚动轮换机制。发挥财政补助资金的拉动作用，推动粮食加工产业持续稳定发展，实现储备粮“死储”变“活储”。</w:t>
      </w:r>
    </w:p>
    <w:p w14:paraId="2E13F536">
      <w:pPr>
        <w:keepNext w:val="0"/>
        <w:keepLines w:val="0"/>
        <w:pageBreakBefore w:val="0"/>
        <w:widowControl w:val="0"/>
        <w:kinsoku/>
        <w:wordWrap/>
        <w:overflowPunct/>
        <w:topLinePunct w:val="0"/>
        <w:autoSpaceDE w:val="0"/>
        <w:autoSpaceDN w:val="0"/>
        <w:bidi w:val="0"/>
        <w:adjustRightInd w:val="0"/>
        <w:snapToGrid/>
        <w:ind w:firstLine="632" w:firstLineChars="200"/>
        <w:textAlignment w:val="auto"/>
      </w:pPr>
      <w:r>
        <w:rPr>
          <w:rFonts w:hint="eastAsia" w:ascii="楷体_GB2312" w:eastAsia="楷体_GB2312" w:cs="楷体_GB2312"/>
          <w:b w:val="0"/>
          <w:bCs w:val="0"/>
          <w:color w:val="auto"/>
          <w:sz w:val="32"/>
          <w:szCs w:val="32"/>
          <w:lang w:val="en-US" w:eastAsia="zh-CN"/>
        </w:rPr>
        <w:t>(二）</w:t>
      </w:r>
      <w:r>
        <w:rPr>
          <w:rFonts w:hint="eastAsia" w:ascii="楷体_GB2312" w:eastAsia="楷体_GB2312" w:cs="楷体_GB2312"/>
          <w:b w:val="0"/>
          <w:bCs w:val="0"/>
          <w:color w:val="auto"/>
          <w:sz w:val="32"/>
          <w:szCs w:val="32"/>
        </w:rPr>
        <w:t>围绕应急供应保障，确保安全稳定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一是根据省粮食和储备局新修订的《贵州省粮食应急预案》，修订《贵阳贵安粮食</w:t>
      </w:r>
      <w:r>
        <w:rPr>
          <w:rFonts w:hint="eastAsia" w:ascii="仿宋_GB2312" w:hAnsi="仿宋_GB2312" w:eastAsia="仿宋_GB2312" w:cs="仿宋_GB2312"/>
          <w:color w:val="auto"/>
          <w:sz w:val="32"/>
          <w:szCs w:val="32"/>
          <w:lang w:val="en-US" w:eastAsia="zh-CN"/>
        </w:rPr>
        <w:t>供应</w:t>
      </w:r>
      <w:r>
        <w:rPr>
          <w:rFonts w:hint="eastAsia" w:ascii="仿宋_GB2312" w:hAnsi="仿宋_GB2312" w:eastAsia="仿宋_GB2312" w:cs="仿宋_GB2312"/>
          <w:color w:val="auto"/>
          <w:sz w:val="32"/>
          <w:szCs w:val="32"/>
        </w:rPr>
        <w:t>应急预案》，明确自然灾害、事故灾难、公共卫生事件、社会安全事件，以及其他特殊情况导致粮食供求关系发生突变，出现粮食库存急剧下降、粮食供应短缺脱销、群众大量集中抢购、粮食价格大幅上涨等粮食应急状态的防范应对和应急处置。二是根据不同地区、应对不同突发事件的需求，将粮油应急供应网点建设纳入我市“一圈两场三改”15分钟生活圈建设内容，制定应急供应网点的布局和标准，充分发挥现有网点作用，配备相应设施装备，提升粮油应急供应能力。将粮食零售网点、连锁超市、商场、粮油批发市场等商业场所纳入粮油应急供应网点，全年新建网点100个，全市粮油应急供应网点达254个。三是完善辖区内粮食应急物流网络，提升粮食应急运输协同保障能力。充分发挥粮油批发市场、农产品物流园、粮食铁路专用线等物流设施优势，为粮食应急运输提供接收、中转、配送等物流服务。2022年底前建成西南粮食城粮食专用线及附属设施项目，新增粮食运力200万吨/年。四是抓实安全生产监督管理。要坚持人民至上、生命至上，强化安全生产意识，坚决把安全生产责任落实到岗位、人员，做到常抓不懈。要深入开展安全生产专项整治三年行动，严格落实 "两个责任"，持续更新"两个清单"，建立完善"三张清单"，加快双控体系建设，加强全系统、全领域的安全隐患排查整改，实行清单式、台账化管理，确保安全生产不漏一个岗位、不落一个环节，将安全责任落到实处。五是根据部门职责，积极筹划盐、冻猪肉、医药防控物资、食糖、天</w:t>
      </w:r>
      <w:r>
        <w:rPr>
          <w:rFonts w:hint="eastAsia" w:ascii="仿宋_GB2312" w:hAnsi="仿宋_GB2312" w:eastAsia="仿宋_GB2312" w:cs="仿宋_GB2312"/>
          <w:color w:val="auto"/>
          <w:sz w:val="32"/>
          <w:szCs w:val="32"/>
          <w:lang w:val="en-US" w:eastAsia="zh-CN"/>
        </w:rPr>
        <w:t>然</w:t>
      </w:r>
      <w:bookmarkStart w:id="1" w:name="_GoBack"/>
      <w:bookmarkEnd w:id="1"/>
      <w:r>
        <w:rPr>
          <w:rFonts w:hint="eastAsia" w:ascii="仿宋_GB2312" w:hAnsi="仿宋_GB2312" w:eastAsia="仿宋_GB2312" w:cs="仿宋_GB2312"/>
          <w:color w:val="auto"/>
          <w:sz w:val="32"/>
          <w:szCs w:val="32"/>
        </w:rPr>
        <w:t>气等物资的市级储备工作。结合实际，加强物资储备管理制度建设，确保各类物资储备采购、储备、轮换、调配工作有章可循。根据人口、市场、保障需求，科学调整储备品种、结构、规模，积极探索储备模式，提升储备效能和综合保障能力。</w:t>
      </w:r>
    </w:p>
    <w:p w14:paraId="2E3E1ECA">
      <w:pPr>
        <w:keepNext w:val="0"/>
        <w:keepLines w:val="0"/>
        <w:pageBreakBefore w:val="0"/>
        <w:widowControl/>
        <w:kinsoku/>
        <w:wordWrap/>
        <w:overflowPunct/>
        <w:topLinePunct w:val="0"/>
        <w:autoSpaceDE/>
        <w:autoSpaceDN/>
        <w:bidi w:val="0"/>
        <w:adjustRightInd w:val="0"/>
        <w:snapToGrid w:val="0"/>
        <w:spacing w:line="620" w:lineRule="exact"/>
        <w:ind w:firstLine="632" w:firstLineChars="200"/>
        <w:textAlignment w:val="auto"/>
        <w:rPr>
          <w:rFonts w:ascii="仿宋_GB2312" w:eastAsia="仿宋_GB2312" w:cs="仿宋_GB2312"/>
          <w:b w:val="0"/>
          <w:bCs w:val="0"/>
          <w:color w:val="auto"/>
          <w:sz w:val="32"/>
          <w:szCs w:val="32"/>
          <w:lang w:val="en-US" w:eastAsia="zh-CN"/>
        </w:rPr>
      </w:pPr>
      <w:r>
        <w:rPr>
          <w:rFonts w:hint="eastAsia" w:ascii="楷体_GB2312" w:eastAsia="楷体_GB2312" w:cs="楷体_GB2312"/>
          <w:b w:val="0"/>
          <w:bCs w:val="0"/>
          <w:color w:val="auto"/>
          <w:sz w:val="32"/>
          <w:szCs w:val="32"/>
          <w:highlight w:val="none"/>
          <w:lang w:val="en-US" w:eastAsia="zh-CN"/>
        </w:rPr>
        <w:t>(三)做强做大</w:t>
      </w:r>
      <w:r>
        <w:rPr>
          <w:rFonts w:hint="eastAsia" w:ascii="楷体_GB2312" w:eastAsia="楷体_GB2312" w:cs="楷体_GB2312"/>
          <w:b w:val="0"/>
          <w:bCs w:val="0"/>
          <w:color w:val="auto"/>
          <w:sz w:val="32"/>
          <w:szCs w:val="32"/>
        </w:rPr>
        <w:t>国有粮食企业。</w:t>
      </w:r>
      <w:r>
        <w:rPr>
          <w:rFonts w:hint="eastAsia" w:ascii="仿宋_GB2312" w:eastAsia="仿宋_GB2312" w:cs="仿宋_GB2312"/>
          <w:color w:val="auto"/>
          <w:sz w:val="32"/>
          <w:szCs w:val="32"/>
        </w:rPr>
        <w:t>加强省市联动，整合省市粮食储备资源，由省、市联合出资组建</w:t>
      </w:r>
      <w:r>
        <w:rPr>
          <w:rFonts w:hint="eastAsia" w:ascii="仿宋_GB2312" w:eastAsia="仿宋_GB2312" w:cs="仿宋_GB2312"/>
          <w:color w:val="auto"/>
          <w:kern w:val="2"/>
          <w:sz w:val="32"/>
          <w:szCs w:val="32"/>
        </w:rPr>
        <w:t>贵州省粮食产业发展有限公司，</w:t>
      </w:r>
      <w:r>
        <w:rPr>
          <w:rFonts w:hint="eastAsia" w:ascii="仿宋_GB2312" w:eastAsia="仿宋_GB2312" w:cs="仿宋_GB2312"/>
          <w:color w:val="auto"/>
          <w:sz w:val="32"/>
          <w:szCs w:val="32"/>
        </w:rPr>
        <w:t>大力发展粮食精深加工产业，发挥国企优势带动全市乃至全省粮食产业化发展。</w:t>
      </w:r>
      <w:r>
        <w:rPr>
          <w:rFonts w:hint="eastAsia" w:ascii="仿宋_GB2312" w:eastAsia="仿宋_GB2312" w:cs="仿宋_GB2312"/>
          <w:b w:val="0"/>
          <w:bCs w:val="0"/>
          <w:color w:val="auto"/>
          <w:sz w:val="32"/>
          <w:szCs w:val="32"/>
          <w:lang w:val="en-US" w:eastAsia="zh-CN"/>
        </w:rPr>
        <w:t>一方面充分发挥重新整合后的</w:t>
      </w:r>
      <w:r>
        <w:rPr>
          <w:rFonts w:hint="eastAsia" w:ascii="仿宋_GB2312" w:eastAsia="仿宋_GB2312" w:cs="仿宋"/>
          <w:color w:val="auto"/>
          <w:kern w:val="2"/>
          <w:sz w:val="32"/>
          <w:szCs w:val="32"/>
          <w:highlight w:val="none"/>
        </w:rPr>
        <w:t>贵阳市</w:t>
      </w:r>
      <w:r>
        <w:rPr>
          <w:rFonts w:hint="eastAsia" w:ascii="仿宋_GB2312" w:eastAsia="仿宋_GB2312" w:cs="仿宋"/>
          <w:color w:val="auto"/>
          <w:kern w:val="2"/>
          <w:sz w:val="32"/>
          <w:szCs w:val="32"/>
          <w:highlight w:val="none"/>
          <w:lang w:val="en-US" w:eastAsia="zh-CN"/>
        </w:rPr>
        <w:t>粮食</w:t>
      </w:r>
      <w:r>
        <w:rPr>
          <w:rFonts w:hint="eastAsia" w:ascii="仿宋_GB2312" w:eastAsia="仿宋_GB2312" w:cs="仿宋"/>
          <w:color w:val="auto"/>
          <w:kern w:val="2"/>
          <w:sz w:val="32"/>
          <w:szCs w:val="32"/>
          <w:highlight w:val="none"/>
        </w:rPr>
        <w:t>储备管理</w:t>
      </w:r>
      <w:r>
        <w:rPr>
          <w:rFonts w:hint="eastAsia" w:ascii="仿宋_GB2312" w:eastAsia="仿宋_GB2312" w:cs="仿宋"/>
          <w:color w:val="auto"/>
          <w:kern w:val="2"/>
          <w:sz w:val="32"/>
          <w:szCs w:val="32"/>
          <w:highlight w:val="none"/>
          <w:lang w:val="en-US" w:eastAsia="zh-CN"/>
        </w:rPr>
        <w:t>有限</w:t>
      </w:r>
      <w:r>
        <w:rPr>
          <w:rFonts w:hint="eastAsia" w:ascii="仿宋_GB2312" w:eastAsia="仿宋_GB2312" w:cs="仿宋"/>
          <w:color w:val="auto"/>
          <w:kern w:val="2"/>
          <w:sz w:val="32"/>
          <w:szCs w:val="32"/>
          <w:highlight w:val="none"/>
        </w:rPr>
        <w:t>公司</w:t>
      </w:r>
      <w:r>
        <w:rPr>
          <w:rFonts w:hint="eastAsia" w:ascii="仿宋_GB2312" w:eastAsia="仿宋_GB2312" w:cs="仿宋"/>
          <w:color w:val="auto"/>
          <w:kern w:val="2"/>
          <w:sz w:val="32"/>
          <w:szCs w:val="32"/>
          <w:highlight w:val="none"/>
          <w:lang w:val="en-US" w:eastAsia="zh-CN"/>
        </w:rPr>
        <w:t>和</w:t>
      </w:r>
      <w:r>
        <w:rPr>
          <w:rFonts w:hint="eastAsia" w:ascii="仿宋_GB2312" w:eastAsia="仿宋_GB2312" w:cs="仿宋_GB2312"/>
          <w:color w:val="auto"/>
          <w:kern w:val="2"/>
          <w:sz w:val="32"/>
          <w:szCs w:val="32"/>
        </w:rPr>
        <w:t>贵州省粮食产业发展有限公司</w:t>
      </w:r>
      <w:r>
        <w:rPr>
          <w:rFonts w:hint="eastAsia" w:ascii="仿宋_GB2312" w:eastAsia="仿宋_GB2312" w:cs="仿宋_GB2312"/>
          <w:color w:val="auto"/>
          <w:kern w:val="2"/>
          <w:sz w:val="32"/>
          <w:szCs w:val="32"/>
          <w:lang w:eastAsia="zh-CN"/>
        </w:rPr>
        <w:t>，</w:t>
      </w:r>
      <w:r>
        <w:rPr>
          <w:rFonts w:hint="eastAsia" w:ascii="仿宋_GB2312" w:eastAsia="仿宋_GB2312" w:cs="仿宋_GB2312"/>
          <w:color w:val="auto"/>
          <w:kern w:val="2"/>
          <w:sz w:val="32"/>
          <w:szCs w:val="32"/>
          <w:lang w:val="en-US" w:eastAsia="zh-CN"/>
        </w:rPr>
        <w:t>一个负责政策性粮食、一个主抓市场经营的双重优势，充分发挥双拳效应；另一方面</w:t>
      </w:r>
      <w:r>
        <w:rPr>
          <w:rFonts w:hint="eastAsia" w:ascii="仿宋_GB2312" w:eastAsia="仿宋_GB2312" w:cs="仿宋_GB2312"/>
          <w:b w:val="0"/>
          <w:bCs w:val="0"/>
          <w:color w:val="auto"/>
          <w:sz w:val="32"/>
          <w:szCs w:val="32"/>
          <w:lang w:eastAsia="zh-CN"/>
        </w:rPr>
        <w:t>加大招商引资，</w:t>
      </w:r>
      <w:r>
        <w:rPr>
          <w:rFonts w:hint="eastAsia" w:ascii="仿宋_GB2312" w:eastAsia="仿宋_GB2312" w:cs="仿宋_GB2312"/>
          <w:b w:val="0"/>
          <w:bCs w:val="0"/>
          <w:color w:val="auto"/>
          <w:sz w:val="32"/>
          <w:szCs w:val="32"/>
          <w:lang w:val="en-US" w:eastAsia="zh-CN"/>
        </w:rPr>
        <w:t>积极引进中粮集团等大型粮商在贵阳参与粮食加工、粮食物流等项目建设，开展粮食购销合作。</w:t>
      </w:r>
    </w:p>
    <w:p w14:paraId="6A80119F">
      <w:pPr>
        <w:pStyle w:val="6"/>
        <w:keepNext w:val="0"/>
        <w:keepLines w:val="0"/>
        <w:pageBreakBefore w:val="0"/>
        <w:widowControl w:val="0"/>
        <w:kinsoku/>
        <w:wordWrap/>
        <w:overflowPunct/>
        <w:topLinePunct w:val="0"/>
        <w:autoSpaceDE/>
        <w:autoSpaceDN/>
        <w:adjustRightInd/>
        <w:snapToGrid/>
        <w:spacing w:after="50" w:afterLines="0" w:line="620" w:lineRule="exact"/>
        <w:ind w:left="0" w:firstLine="632" w:firstLineChars="200"/>
        <w:rPr>
          <w:rFonts w:hint="eastAsia" w:ascii="方正兰亭黑_GBK" w:hAnsi="方正兰亭黑_GBK" w:eastAsia="仿宋_GB2312" w:cs="仿宋_GB2312"/>
          <w:bCs/>
          <w:sz w:val="32"/>
          <w:szCs w:val="32"/>
        </w:rPr>
      </w:pPr>
      <w:r>
        <w:rPr>
          <w:rFonts w:hint="eastAsia" w:ascii="楷体_GB2312" w:eastAsia="楷体_GB2312" w:cs="楷体_GB2312"/>
          <w:b w:val="0"/>
          <w:bCs w:val="0"/>
          <w:color w:val="auto"/>
          <w:sz w:val="32"/>
          <w:szCs w:val="32"/>
          <w:highlight w:val="none"/>
          <w:lang w:val="en-US" w:eastAsia="zh-CN"/>
        </w:rPr>
        <w:t>（四）</w:t>
      </w:r>
      <w:r>
        <w:rPr>
          <w:rFonts w:hint="eastAsia" w:ascii="楷体_GB2312" w:eastAsia="楷体_GB2312" w:cs="楷体_GB2312"/>
          <w:b w:val="0"/>
          <w:bCs w:val="0"/>
          <w:color w:val="auto"/>
          <w:sz w:val="32"/>
          <w:szCs w:val="32"/>
          <w:lang w:val="en-US" w:eastAsia="zh-CN"/>
        </w:rPr>
        <w:t>推进事业单位</w:t>
      </w:r>
      <w:r>
        <w:rPr>
          <w:rFonts w:hint="eastAsia" w:ascii="仿宋_GB2312" w:hAnsi="Times New Roman" w:eastAsia="仿宋_GB2312" w:cs="仿宋_GB2312"/>
          <w:b w:val="0"/>
          <w:bCs w:val="0"/>
          <w:color w:val="auto"/>
          <w:kern w:val="2"/>
          <w:sz w:val="32"/>
          <w:szCs w:val="32"/>
          <w:lang w:val="en-US" w:eastAsia="zh-CN" w:bidi="ar-SA"/>
        </w:rPr>
        <w:t>改革。为贯彻落实中央和省关于综合执法改革精神，对所属事业单位进行优化调整。撤销我局</w:t>
      </w:r>
      <w:r>
        <w:rPr>
          <w:rFonts w:hint="eastAsia" w:ascii="仿宋_GB2312" w:eastAsia="仿宋_GB2312" w:cs="仿宋_GB2312"/>
          <w:b w:val="0"/>
          <w:bCs/>
          <w:color w:val="auto"/>
          <w:sz w:val="32"/>
          <w:szCs w:val="32"/>
          <w:highlight w:val="none"/>
          <w:lang w:val="en-US" w:eastAsia="zh-CN"/>
        </w:rPr>
        <w:t>所属参公事业单位贵阳市粮食执法监察大队，整体划转到市应急管理综合行政执法支队。新成立1家事业单位“贵阳市粮食和物资储备安全保障中心（贵阳市粮油质量检测中心）”，为贵阳市粮食和物资储备局所属正科级公益一类财政全额预算管理事业单位，为全市政策性粮油和储备物资质量安全提供服务保障。现有的“贵阳市粮食局军粮供应站（贵阳市粮油质量检测中心）”更名为“贵阳市军粮供应站”，由差额拨款调整为财政全额预算管理。</w:t>
      </w:r>
    </w:p>
    <w:p w14:paraId="0CA48C19">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三、部门预算安排情况说明</w:t>
      </w:r>
    </w:p>
    <w:p w14:paraId="332F5ECA">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方正兰亭黑_GBK" w:hAnsi="方正兰亭黑_GBK" w:eastAsia="仿宋_GB2312" w:cs="仿宋_GB2312"/>
          <w:bCs/>
          <w:color w:val="auto"/>
          <w:sz w:val="32"/>
          <w:szCs w:val="32"/>
          <w:highlight w:val="none"/>
        </w:rPr>
      </w:pPr>
      <w:r>
        <w:rPr>
          <w:rFonts w:hint="eastAsia" w:ascii="楷体_GB2312" w:eastAsia="楷体_GB2312" w:cs="楷体_GB2312"/>
          <w:bCs/>
          <w:color w:val="auto"/>
          <w:sz w:val="32"/>
          <w:szCs w:val="32"/>
          <w:highlight w:val="none"/>
        </w:rPr>
        <w:t>（一）部门收支总体情况</w:t>
      </w:r>
    </w:p>
    <w:p w14:paraId="6A90C490">
      <w:pPr>
        <w:ind w:firstLine="632" w:firstLineChars="200"/>
        <w:rPr>
          <w:rFonts w:hint="eastAsia" w:ascii="仿宋_GB2312" w:hAnsi="Times New Roman" w:eastAsia="仿宋_GB2312" w:cs="仿宋_GB2312"/>
          <w:b w:val="0"/>
          <w:bCs/>
          <w:color w:val="auto"/>
          <w:kern w:val="2"/>
          <w:sz w:val="32"/>
          <w:szCs w:val="32"/>
          <w:highlight w:val="none"/>
          <w:lang w:val="en-US" w:eastAsia="zh-CN" w:bidi="ar-SA"/>
        </w:rPr>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预算11311.09万元，下属贵阳市军粮供应站、贵阳市粮食和物资储备安全保障中心（贵阳市粮油质量检测中心）目前尚未纳入财政预算管理，本预算仅为本单位预算，其中基本支出744.19万元，项目支出10566.9万元，2022年贵阳市粮食和物资储备局部门预算较2021年增加了     2625.52万元，其中基本支出比上年减少447.98 万元，减少原因主要是原贵阳市粮食执法监察大队撤消，人员整体划入贵阳市应急管理综合行政执法支队。项目支出比上年增加</w:t>
      </w:r>
      <w:r>
        <w:rPr>
          <w:rFonts w:hint="eastAsia" w:ascii="仿宋_GB2312" w:eastAsia="仿宋_GB2312" w:cs="仿宋_GB2312"/>
          <w:b w:val="0"/>
          <w:bCs/>
          <w:color w:val="auto"/>
          <w:kern w:val="2"/>
          <w:sz w:val="32"/>
          <w:szCs w:val="32"/>
          <w:highlight w:val="none"/>
          <w:lang w:val="en-US" w:eastAsia="zh-CN" w:bidi="ar-SA"/>
        </w:rPr>
        <w:t>3123.5</w:t>
      </w:r>
      <w:r>
        <w:rPr>
          <w:rFonts w:hint="eastAsia" w:ascii="仿宋_GB2312" w:hAnsi="Times New Roman" w:eastAsia="仿宋_GB2312" w:cs="仿宋_GB2312"/>
          <w:b w:val="0"/>
          <w:bCs/>
          <w:color w:val="auto"/>
          <w:kern w:val="2"/>
          <w:sz w:val="32"/>
          <w:szCs w:val="32"/>
          <w:highlight w:val="none"/>
          <w:lang w:val="en-US" w:eastAsia="zh-CN" w:bidi="ar-SA"/>
        </w:rPr>
        <w:t>万元，增加原因主要是粮食风险基金项目资金2022年比2021年增加</w:t>
      </w:r>
      <w:r>
        <w:rPr>
          <w:rFonts w:hint="eastAsia" w:ascii="仿宋_GB2312" w:eastAsia="仿宋_GB2312" w:cs="仿宋_GB2312"/>
          <w:b w:val="0"/>
          <w:bCs/>
          <w:color w:val="auto"/>
          <w:kern w:val="2"/>
          <w:sz w:val="32"/>
          <w:szCs w:val="32"/>
          <w:highlight w:val="none"/>
          <w:lang w:val="en-US" w:eastAsia="zh-CN" w:bidi="ar-SA"/>
        </w:rPr>
        <w:t>3073.5</w:t>
      </w:r>
      <w:r>
        <w:rPr>
          <w:rFonts w:hint="eastAsia" w:ascii="仿宋_GB2312" w:hAnsi="Times New Roman" w:eastAsia="仿宋_GB2312" w:cs="仿宋_GB2312"/>
          <w:b w:val="0"/>
          <w:bCs/>
          <w:color w:val="auto"/>
          <w:kern w:val="2"/>
          <w:sz w:val="32"/>
          <w:szCs w:val="32"/>
          <w:highlight w:val="none"/>
          <w:lang w:val="en-US" w:eastAsia="zh-CN" w:bidi="ar-SA"/>
        </w:rPr>
        <w:t>万元，新增事业单位开办经费20万元。</w:t>
      </w:r>
    </w:p>
    <w:p w14:paraId="6EF90D83">
      <w:pPr>
        <w:ind w:firstLine="632" w:firstLineChars="200"/>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（二）部门收入总体情况</w:t>
      </w:r>
    </w:p>
    <w:p w14:paraId="7233583C">
      <w:pPr>
        <w:ind w:firstLine="632" w:firstLineChars="200"/>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部门收入11311.09万元，下属贵阳市军粮供应站、贵阳市粮食和物资储备安全保障中心（贵阳市粮油质量检测中心）目前尚未纳入财政预算管理，其中基本支出收入744.19万元，项目支出收入10566.9万元，2022年贵阳市粮食和物资储备局部门收入较2021年增加了2625.52万元，其中基本支出收入比上年减少447.98 万元，减少原因主要是原贵阳市粮食执法监察大队撤消，人员整体划入贵阳市应急管理综合行政执法支队。项目支出收入比上年增加3123.5万元，增加原因主要是粮食风险基金项目资金2022年比2021年增加</w:t>
      </w:r>
      <w:r>
        <w:rPr>
          <w:rFonts w:hint="eastAsia" w:ascii="仿宋_GB2312" w:eastAsia="仿宋_GB2312" w:cs="仿宋_GB2312"/>
          <w:b w:val="0"/>
          <w:bCs/>
          <w:color w:val="auto"/>
          <w:kern w:val="2"/>
          <w:sz w:val="32"/>
          <w:szCs w:val="32"/>
          <w:highlight w:val="none"/>
          <w:lang w:val="en-US" w:eastAsia="zh-CN" w:bidi="ar-SA"/>
        </w:rPr>
        <w:t>3073.5</w:t>
      </w:r>
      <w:r>
        <w:rPr>
          <w:rFonts w:hint="eastAsia" w:ascii="仿宋_GB2312" w:hAnsi="Times New Roman" w:eastAsia="仿宋_GB2312" w:cs="仿宋_GB2312"/>
          <w:b w:val="0"/>
          <w:bCs/>
          <w:color w:val="auto"/>
          <w:kern w:val="2"/>
          <w:sz w:val="32"/>
          <w:szCs w:val="32"/>
          <w:highlight w:val="none"/>
          <w:lang w:val="en-US" w:eastAsia="zh-CN" w:bidi="ar-SA"/>
        </w:rPr>
        <w:t>万元，新增事业单位开办经费20万元。</w:t>
      </w:r>
    </w:p>
    <w:p w14:paraId="2E3F78AD">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（三）部门支出总体情况</w:t>
      </w:r>
    </w:p>
    <w:p w14:paraId="0C7859A2">
      <w:pPr>
        <w:ind w:firstLine="632" w:firstLineChars="200"/>
        <w:rPr>
          <w:rFonts w:hint="eastAsia" w:ascii="仿宋_GB2312" w:hAnsi="Times New Roman" w:eastAsia="仿宋_GB2312" w:cs="仿宋_GB2312"/>
          <w:b w:val="0"/>
          <w:bCs/>
          <w:color w:val="auto"/>
          <w:kern w:val="2"/>
          <w:sz w:val="32"/>
          <w:szCs w:val="32"/>
          <w:highlight w:val="none"/>
          <w:lang w:val="en-US" w:eastAsia="zh-CN" w:bidi="ar-SA"/>
        </w:rPr>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部门支出11311.09万元，下属贵阳市军粮供应站、贵阳市粮食和物资储备安全保障中心（贵阳市粮油质量检测中心）目前尚未纳入财政预算管理，其中基本支出744.19万元，项目支出10566.9万元，2022年贵阳市粮食和物资储备局部门支出较2021年增加了2625.52万元，其中基本支出比上年减少447.98 万元，减少原因主要是原贵阳市粮食执法监察大队撤消，人员整体划入贵阳市应急管理综合行政执法支队。项目支出比上年增加3123.5万元，增加原因主要是粮食风险基金项目资金2022年比2021年增加支出</w:t>
      </w:r>
      <w:r>
        <w:rPr>
          <w:rFonts w:hint="eastAsia" w:ascii="仿宋_GB2312" w:eastAsia="仿宋_GB2312" w:cs="仿宋_GB2312"/>
          <w:b w:val="0"/>
          <w:bCs/>
          <w:color w:val="auto"/>
          <w:kern w:val="2"/>
          <w:sz w:val="32"/>
          <w:szCs w:val="32"/>
          <w:highlight w:val="none"/>
          <w:lang w:val="en-US" w:eastAsia="zh-CN" w:bidi="ar-SA"/>
        </w:rPr>
        <w:t>3073.5</w:t>
      </w:r>
      <w:r>
        <w:rPr>
          <w:rFonts w:hint="eastAsia" w:ascii="仿宋_GB2312" w:hAnsi="Times New Roman" w:eastAsia="仿宋_GB2312" w:cs="仿宋_GB2312"/>
          <w:b w:val="0"/>
          <w:bCs/>
          <w:color w:val="auto"/>
          <w:kern w:val="2"/>
          <w:sz w:val="32"/>
          <w:szCs w:val="32"/>
          <w:highlight w:val="none"/>
          <w:lang w:val="en-US" w:eastAsia="zh-CN" w:bidi="ar-SA"/>
        </w:rPr>
        <w:t>万元，新增事业单位开办经费支出20万元。</w:t>
      </w:r>
    </w:p>
    <w:p w14:paraId="23BD8C2E">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（四）财政拨款收支总体情况</w:t>
      </w:r>
    </w:p>
    <w:p w14:paraId="275BD7F6">
      <w:pPr>
        <w:ind w:firstLine="632" w:firstLineChars="200"/>
        <w:rPr>
          <w:rFonts w:hint="eastAsia" w:ascii="仿宋_GB2312" w:hAnsi="Times New Roman" w:eastAsia="仿宋_GB2312" w:cs="仿宋_GB2312"/>
          <w:b w:val="0"/>
          <w:bCs/>
          <w:color w:val="auto"/>
          <w:kern w:val="2"/>
          <w:sz w:val="32"/>
          <w:szCs w:val="32"/>
          <w:highlight w:val="none"/>
          <w:lang w:val="en-US" w:eastAsia="zh-CN" w:bidi="ar-SA"/>
        </w:rPr>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部门预算财政拨款总额11311.09万元，为一般公共预算财政拨款。下属贵阳市军粮供应站、贵阳市粮食和物资储备安全保障中心（贵阳市粮油质量检测中心）目前尚未纳入财政预算管理，其中基本支出744.19万元，项目支出10566.9万元，2022年贵阳市粮食和物资储备局部门支出较2021年增加了2625.52万元，其中基本支出比上年减少    447.98万元，减少原因主要是原贵阳市粮食执法监察大队撤消，人员整体划入贵阳市应急管理综合行政执法支队。项目支出比上年增加3123.5万元，增加原因主要是粮食风险基金项目资金2022年比2021年增加支出</w:t>
      </w:r>
      <w:r>
        <w:rPr>
          <w:rFonts w:hint="eastAsia" w:ascii="仿宋_GB2312" w:eastAsia="仿宋_GB2312" w:cs="仿宋_GB2312"/>
          <w:b w:val="0"/>
          <w:bCs/>
          <w:color w:val="auto"/>
          <w:kern w:val="2"/>
          <w:sz w:val="32"/>
          <w:szCs w:val="32"/>
          <w:highlight w:val="none"/>
          <w:lang w:val="en-US" w:eastAsia="zh-CN" w:bidi="ar-SA"/>
        </w:rPr>
        <w:t>3073.5</w:t>
      </w:r>
      <w:r>
        <w:rPr>
          <w:rFonts w:hint="eastAsia" w:ascii="仿宋_GB2312" w:hAnsi="Times New Roman" w:eastAsia="仿宋_GB2312" w:cs="仿宋_GB2312"/>
          <w:b w:val="0"/>
          <w:bCs/>
          <w:color w:val="auto"/>
          <w:kern w:val="2"/>
          <w:sz w:val="32"/>
          <w:szCs w:val="32"/>
          <w:highlight w:val="none"/>
          <w:lang w:val="en-US" w:eastAsia="zh-CN" w:bidi="ar-SA"/>
        </w:rPr>
        <w:t>万元，新增事业单位开办经费支出20万元。</w:t>
      </w:r>
    </w:p>
    <w:p w14:paraId="1C104575">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（五）一般公共预算支出情况</w:t>
      </w:r>
    </w:p>
    <w:p w14:paraId="7B9182EC">
      <w:pPr>
        <w:ind w:firstLine="632" w:firstLineChars="200"/>
        <w:rPr>
          <w:rFonts w:hint="eastAsia" w:ascii="仿宋_GB2312" w:hAnsi="Times New Roman" w:eastAsia="仿宋_GB2312" w:cs="仿宋_GB2312"/>
          <w:b w:val="0"/>
          <w:bCs/>
          <w:color w:val="auto"/>
          <w:kern w:val="2"/>
          <w:sz w:val="32"/>
          <w:szCs w:val="32"/>
          <w:highlight w:val="none"/>
          <w:lang w:val="en-US" w:eastAsia="zh-CN" w:bidi="ar-SA"/>
        </w:rPr>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部门一般公共预算支出总额11311.09万元，其中社会保障和就业支出（类）205.76万元，比2021年减少99.12万元，减少原因主要是原贵阳市粮食执法监察大队撤消，人员整体划入贵阳市应急管理综合行政执法支队；卫生健康支出（类）41万元，比2021年减少13.77万元，减少原因主要是原贵阳市粮食执法监察大队撤消，人员整体划入贵阳市应急管理综合行政执法支队；农林水支出（类）743万元，较2021年对比金额不变；教育支出（类）1.2万元，较2021年对比增加1.2万元，主要原因为以前年度培训经费计入粮油物资储备支出（类）中；住房保障支出（类）46.37万元，比2021年减少30.56万元，减少原因主要是住房公积金计算依据变化和原贵阳市粮食执法监察大队撤消，人员整体划入贵阳市应急管理综合行政执法支队；粮油物资储备支出（类）10273.76万元，比上年增加2767.77万元，增加原因主要是2022年市级粮食储备规模增加和财政预算资金保障额度加大。</w:t>
      </w:r>
    </w:p>
    <w:p w14:paraId="0B53DEB1">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（六）一般公共预算基本支出情况</w:t>
      </w:r>
    </w:p>
    <w:p w14:paraId="09F56CE7">
      <w:pPr>
        <w:ind w:firstLine="632" w:firstLineChars="200"/>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部门一般公共预算基本支出总额744.19万元，其中人员经费677.51万元，公用经费66.68万元。较2021年比较人员经费减少354.27万元，减少原因主要是原贵阳市粮食执法监察大队撤消，人员整体划入贵阳市应急管理综合行政执法支队。较2021年比较公用经费</w:t>
      </w:r>
      <w:r>
        <w:rPr>
          <w:rFonts w:hint="eastAsia" w:ascii="仿宋_GB2312" w:eastAsia="仿宋_GB2312" w:cs="仿宋_GB2312"/>
          <w:b w:val="0"/>
          <w:bCs/>
          <w:color w:val="auto"/>
          <w:kern w:val="2"/>
          <w:sz w:val="32"/>
          <w:szCs w:val="32"/>
          <w:highlight w:val="none"/>
          <w:lang w:val="en-US" w:eastAsia="zh-CN" w:bidi="ar-SA"/>
        </w:rPr>
        <w:t>减少</w:t>
      </w:r>
      <w:r>
        <w:rPr>
          <w:rFonts w:hint="eastAsia" w:ascii="仿宋_GB2312" w:hAnsi="Times New Roman" w:eastAsia="仿宋_GB2312" w:cs="仿宋_GB2312"/>
          <w:b w:val="0"/>
          <w:bCs/>
          <w:color w:val="auto"/>
          <w:kern w:val="2"/>
          <w:sz w:val="32"/>
          <w:szCs w:val="32"/>
          <w:highlight w:val="none"/>
          <w:lang w:val="en-US" w:eastAsia="zh-CN" w:bidi="ar-SA"/>
        </w:rPr>
        <w:t>93.71万元，减少原因主要是原贵阳市粮食执法监察大队撤消，人员整体划入贵阳市应急管理综合行政执法支队</w:t>
      </w:r>
      <w:r>
        <w:rPr>
          <w:rFonts w:hint="eastAsia" w:ascii="仿宋_GB2312" w:eastAsia="仿宋_GB2312" w:cs="仿宋_GB2312"/>
          <w:b w:val="0"/>
          <w:bCs/>
          <w:color w:val="auto"/>
          <w:kern w:val="2"/>
          <w:sz w:val="32"/>
          <w:szCs w:val="32"/>
          <w:highlight w:val="none"/>
          <w:lang w:val="en-US" w:eastAsia="zh-CN" w:bidi="ar-SA"/>
        </w:rPr>
        <w:t>。</w:t>
      </w:r>
    </w:p>
    <w:p w14:paraId="73D91DA3">
      <w:pPr>
        <w:keepNext w:val="0"/>
        <w:keepLines w:val="0"/>
        <w:widowControl w:val="0"/>
        <w:kinsoku/>
        <w:wordWrap/>
        <w:overflowPunct/>
        <w:topLinePunct w:val="0"/>
        <w:autoSpaceDE/>
        <w:autoSpaceDN/>
        <w:bidi w:val="0"/>
        <w:adjustRightInd/>
        <w:snapToGrid/>
        <w:spacing w:line="554" w:lineRule="exact"/>
        <w:ind w:firstLine="632" w:firstLineChars="200"/>
        <w:textAlignment w:val="auto"/>
      </w:pPr>
      <w:r>
        <w:rPr>
          <w:rFonts w:hint="eastAsia" w:ascii="楷体_GB2312" w:eastAsia="楷体_GB2312" w:cs="楷体_GB2312"/>
          <w:bCs/>
          <w:color w:val="auto"/>
          <w:sz w:val="32"/>
          <w:szCs w:val="32"/>
          <w:highlight w:val="none"/>
        </w:rPr>
        <w:t>（七）一般公共预算“三公”经费支出情况</w:t>
      </w:r>
    </w:p>
    <w:p w14:paraId="4990E0A8">
      <w:pPr>
        <w:ind w:firstLine="632" w:firstLineChars="200"/>
        <w:rPr>
          <w:rFonts w:hint="eastAsia" w:ascii="仿宋_GB2312" w:hAnsi="Times New Roman" w:eastAsia="仿宋_GB2312" w:cs="仿宋_GB2312"/>
          <w:b w:val="0"/>
          <w:bCs/>
          <w:color w:val="auto"/>
          <w:kern w:val="2"/>
          <w:sz w:val="32"/>
          <w:szCs w:val="32"/>
          <w:highlight w:val="none"/>
          <w:lang w:val="en-US" w:eastAsia="zh-CN" w:bidi="ar-SA"/>
        </w:rPr>
      </w:pPr>
      <w:r>
        <w:rPr>
          <w:rFonts w:hint="eastAsia" w:ascii="仿宋_GB2312" w:hAnsi="Times New Roman" w:eastAsia="仿宋_GB2312" w:cs="仿宋_GB2312"/>
          <w:b w:val="0"/>
          <w:bCs/>
          <w:color w:val="auto"/>
          <w:kern w:val="2"/>
          <w:sz w:val="32"/>
          <w:szCs w:val="32"/>
          <w:highlight w:val="none"/>
          <w:lang w:val="en-US" w:eastAsia="zh-CN" w:bidi="ar-SA"/>
        </w:rPr>
        <w:t>2022年贵阳市粮食和物资储备局 “三公经费”部门预算总额4.58万元。其中公务用车运行费4.23万元（我部门现公务用车保有量为2辆），与上年相比没有变化。公务接待费0.35万元，与上年相比没有变化。因公出国（境）费实行总额控制，年初未分配，年度间根据实际情况按照程序审批后据实列支、本年没有公务用车购置费预算安排。2022年贵阳市粮食和物资储备局 “三公经费”部门预算较上年不变的原因是我部门厉行节约，控制公务接待费用支出。</w:t>
      </w:r>
    </w:p>
    <w:p w14:paraId="1290A5D7">
      <w:pPr>
        <w:keepNext w:val="0"/>
        <w:keepLines w:val="0"/>
        <w:widowControl w:val="0"/>
        <w:kinsoku/>
        <w:wordWrap/>
        <w:overflowPunct/>
        <w:topLinePunct w:val="0"/>
        <w:autoSpaceDE/>
        <w:autoSpaceDN/>
        <w:adjustRightInd/>
        <w:snapToGrid/>
        <w:spacing w:line="554" w:lineRule="exact"/>
        <w:ind w:firstLine="632" w:firstLineChars="200"/>
        <w:rPr>
          <w:rFonts w:ascii="方正兰亭黑_GBK" w:hAnsi="方正兰亭黑_GBK" w:eastAsia="楷体_GB2312" w:cs="楷体_GB2312"/>
          <w:bCs/>
          <w:color w:val="auto"/>
          <w:sz w:val="32"/>
          <w:szCs w:val="32"/>
          <w:highlight w:val="none"/>
        </w:rPr>
      </w:pPr>
      <w:r>
        <w:rPr>
          <w:rFonts w:hint="eastAsia" w:ascii="楷体_GB2312" w:eastAsia="楷体_GB2312" w:cs="楷体_GB2312"/>
          <w:bCs/>
          <w:color w:val="auto"/>
          <w:sz w:val="32"/>
          <w:szCs w:val="32"/>
          <w:highlight w:val="none"/>
        </w:rPr>
        <w:t>（</w:t>
      </w:r>
      <w:r>
        <w:rPr>
          <w:rFonts w:hint="eastAsia" w:ascii="楷体_GB2312" w:eastAsia="楷体_GB2312" w:cs="楷体_GB2312"/>
          <w:bCs/>
          <w:color w:val="auto"/>
          <w:sz w:val="32"/>
          <w:szCs w:val="32"/>
          <w:highlight w:val="none"/>
          <w:lang w:eastAsia="zh-CN"/>
        </w:rPr>
        <w:t>八</w:t>
      </w:r>
      <w:r>
        <w:rPr>
          <w:rFonts w:hint="eastAsia" w:ascii="楷体_GB2312" w:eastAsia="楷体_GB2312" w:cs="楷体_GB2312"/>
          <w:bCs/>
          <w:color w:val="auto"/>
          <w:sz w:val="32"/>
          <w:szCs w:val="32"/>
          <w:highlight w:val="none"/>
        </w:rPr>
        <w:t>）政府性基金预算支出情况</w:t>
      </w:r>
    </w:p>
    <w:p w14:paraId="6FF5A10B">
      <w:pPr>
        <w:ind w:firstLine="632" w:firstLineChars="200"/>
        <w:rPr>
          <w:rFonts w:hint="eastAsia" w:ascii="仿宋" w:eastAsia="仿宋" w:cs="楷体_GB2312"/>
          <w:bCs/>
          <w:sz w:val="32"/>
          <w:szCs w:val="32"/>
        </w:rPr>
      </w:pPr>
      <w:r>
        <w:rPr>
          <w:rFonts w:hint="eastAsia" w:ascii="仿宋" w:eastAsia="仿宋"/>
          <w:sz w:val="32"/>
          <w:szCs w:val="32"/>
        </w:rPr>
        <w:t>部门无政府性基金预算支出项目</w:t>
      </w:r>
    </w:p>
    <w:p w14:paraId="46C980AA">
      <w:pPr>
        <w:keepNext w:val="0"/>
        <w:keepLines w:val="0"/>
        <w:widowControl w:val="0"/>
        <w:kinsoku/>
        <w:wordWrap/>
        <w:overflowPunct/>
        <w:topLinePunct w:val="0"/>
        <w:autoSpaceDE/>
        <w:autoSpaceDN/>
        <w:adjustRightInd/>
        <w:snapToGrid/>
        <w:spacing w:line="554" w:lineRule="exact"/>
        <w:ind w:left="0" w:firstLine="632" w:firstLineChars="200"/>
        <w:rPr>
          <w:rFonts w:ascii="楷体_GB2312" w:eastAsia="楷体_GB2312" w:cs="楷体_GB2312"/>
          <w:bCs/>
          <w:sz w:val="32"/>
          <w:szCs w:val="32"/>
        </w:rPr>
      </w:pPr>
      <w:r>
        <w:rPr>
          <w:rFonts w:hint="eastAsia" w:ascii="楷体_GB2312" w:eastAsia="楷体_GB2312" w:cs="楷体_GB2312"/>
          <w:bCs/>
          <w:color w:val="auto"/>
          <w:sz w:val="32"/>
          <w:szCs w:val="32"/>
          <w:highlight w:val="none"/>
          <w:lang w:eastAsia="zh-CN"/>
        </w:rPr>
        <w:t>（九）</w:t>
      </w:r>
      <w:r>
        <w:rPr>
          <w:rFonts w:hint="eastAsia" w:ascii="楷体_GB2312" w:eastAsia="楷体_GB2312" w:cs="楷体_GB2312"/>
          <w:bCs/>
          <w:color w:val="auto"/>
          <w:sz w:val="32"/>
          <w:szCs w:val="32"/>
          <w:highlight w:val="none"/>
        </w:rPr>
        <w:t>市级对下专项转移支付项目支出情况</w:t>
      </w:r>
    </w:p>
    <w:p w14:paraId="0074F592">
      <w:pPr>
        <w:ind w:firstLine="632" w:firstLineChars="200"/>
        <w:rPr>
          <w:rFonts w:hint="eastAsia"/>
        </w:rPr>
      </w:pPr>
      <w:r>
        <w:rPr>
          <w:rFonts w:hint="eastAsia" w:ascii="仿宋" w:eastAsia="仿宋"/>
          <w:sz w:val="32"/>
          <w:szCs w:val="32"/>
        </w:rPr>
        <w:t>部门</w:t>
      </w:r>
      <w:r>
        <w:rPr>
          <w:rFonts w:hint="eastAsia" w:ascii="仿宋" w:eastAsia="仿宋"/>
          <w:color w:val="000000"/>
          <w:sz w:val="32"/>
          <w:szCs w:val="32"/>
        </w:rPr>
        <w:t>无</w:t>
      </w:r>
      <w:r>
        <w:rPr>
          <w:rFonts w:hint="eastAsia" w:ascii="仿宋" w:eastAsia="仿宋" w:cs="仿宋"/>
          <w:bCs/>
          <w:color w:val="auto"/>
          <w:sz w:val="32"/>
          <w:szCs w:val="32"/>
          <w:highlight w:val="none"/>
        </w:rPr>
        <w:t>对下专项转移支付项目</w:t>
      </w:r>
      <w:r>
        <w:rPr>
          <w:rFonts w:hint="eastAsia" w:ascii="仿宋" w:eastAsia="仿宋"/>
          <w:color w:val="000000"/>
          <w:sz w:val="32"/>
          <w:szCs w:val="32"/>
        </w:rPr>
        <w:t>。</w:t>
      </w:r>
    </w:p>
    <w:p w14:paraId="5225DB9D">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eastAsia="仿宋_GB2312"/>
          <w:color w:val="auto"/>
          <w:sz w:val="32"/>
          <w:szCs w:val="32"/>
          <w:highlight w:val="none"/>
        </w:rPr>
      </w:pPr>
      <w:r>
        <w:rPr>
          <w:rFonts w:hint="eastAsia" w:ascii="楷体_GB2312" w:eastAsia="楷体_GB2312"/>
          <w:b w:val="0"/>
          <w:bCs/>
          <w:color w:val="auto"/>
          <w:sz w:val="32"/>
          <w:szCs w:val="32"/>
          <w:highlight w:val="none"/>
        </w:rPr>
        <w:t>（十</w:t>
      </w:r>
      <w:r>
        <w:rPr>
          <w:rFonts w:hint="eastAsia" w:ascii="楷体_GB2312" w:eastAsia="楷体_GB2312" w:cs="楷体_GB2312"/>
          <w:bCs/>
          <w:color w:val="auto"/>
          <w:sz w:val="32"/>
          <w:szCs w:val="32"/>
          <w:highlight w:val="none"/>
        </w:rPr>
        <w:t>）国有资本经营预算支出情况</w:t>
      </w:r>
    </w:p>
    <w:p w14:paraId="3A9F06D9">
      <w:pPr>
        <w:pStyle w:val="2"/>
        <w:keepNext w:val="0"/>
        <w:keepLines w:val="0"/>
        <w:pageBreakBefore w:val="0"/>
        <w:widowControl w:val="0"/>
        <w:suppressLineNumbers w:val="0"/>
        <w:suppressAutoHyphens w:val="0"/>
        <w:bidi w:val="0"/>
        <w:ind w:left="0" w:leftChars="0" w:firstLine="632" w:firstLineChars="200"/>
      </w:pPr>
      <w:r>
        <w:rPr>
          <w:rFonts w:hint="eastAsia" w:ascii="仿宋" w:eastAsia="仿宋"/>
          <w:sz w:val="32"/>
          <w:szCs w:val="32"/>
        </w:rPr>
        <w:t>部门</w:t>
      </w:r>
      <w:r>
        <w:rPr>
          <w:rFonts w:hint="eastAsia" w:ascii="仿宋" w:eastAsia="仿宋"/>
          <w:color w:val="000000"/>
          <w:sz w:val="32"/>
          <w:szCs w:val="32"/>
        </w:rPr>
        <w:t>无</w:t>
      </w:r>
      <w:r>
        <w:rPr>
          <w:rFonts w:ascii="仿宋" w:hAnsi="仿宋" w:eastAsia="方正兰亭黑_GBK"/>
          <w:color w:val="000000"/>
          <w:sz w:val="32"/>
          <w:szCs w:val="32"/>
        </w:rPr>
        <w:t>国有资本经营预算支出项目。</w:t>
      </w:r>
    </w:p>
    <w:p w14:paraId="7135369D">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（十一）部门整体支出绩效目标情况</w:t>
      </w:r>
    </w:p>
    <w:p w14:paraId="5D5D9C52">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default" w:ascii="仿宋_GB2312" w:eastAsia="仿宋_GB2312" w:cs="仿宋_GB2312"/>
          <w:bCs/>
          <w:color w:val="auto"/>
          <w:sz w:val="32"/>
          <w:szCs w:val="32"/>
          <w:highlight w:val="none"/>
          <w:lang w:val="en-US" w:eastAsia="zh-CN"/>
        </w:rPr>
      </w:pPr>
      <w:r>
        <w:rPr>
          <w:rFonts w:hint="eastAsia" w:ascii="仿宋_GB2312" w:eastAsia="仿宋_GB2312"/>
          <w:color w:val="auto"/>
          <w:sz w:val="32"/>
          <w:szCs w:val="32"/>
          <w:highlight w:val="none"/>
          <w:lang w:eastAsia="zh-CN"/>
        </w:rPr>
        <w:t>根据我部门的职能职责，</w:t>
      </w:r>
      <w:r>
        <w:rPr>
          <w:rFonts w:hint="eastAsia" w:ascii="仿宋_GB2312" w:eastAsia="仿宋_GB2312"/>
          <w:color w:val="auto"/>
          <w:sz w:val="32"/>
          <w:szCs w:val="32"/>
          <w:highlight w:val="none"/>
          <w:lang w:val="en-US" w:eastAsia="zh-CN"/>
        </w:rPr>
        <w:t>2022年度我部门组织实施粮食粮油储备、医药储备、盐储备、猪肉储备、水淹区粮食供应等工作。数量指标类本年度计划完成安全保管粮油分别小于等于18.9万吨、1.5万吨，轮换市级储备粮油分别小于等于3.7万吨、0.88万吨，新增储备粮油分别小于等于5.5万吨、0.19万吨。冻猪肉储备1200吨，工业盐储备2500吨，食用盐储备1566吨，医药储备品种大于等于15种、水淹区供应人数小于等于7068人。质量指标类粮油、医药、盐、猪肉储备质量达到100%，水淹区粮食供应符合国家标准二级。时效指标类在本年12月底考核前完成项目。成本指标类成本控制在100%。社会效益指标类（1）通过加强储备粮管理、储备药品管理、储备猪肉管理、储备盐管理，充实数量，保证紧急情况发生时调得出、用得上、能应急。（2）满足水淹区居民粮食供应需求.可持续影响指标类通过对日常监督检查管理，持续发挥在库物资应对公共卫生事件医药物资保障作用。满意度指标类各储备企业、医药储备供应使用单位、水淹区供应对象满意度大于等于90%。</w:t>
      </w:r>
    </w:p>
    <w:p w14:paraId="7070570D">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（十二）重点项目支出绩效目标情况</w:t>
      </w:r>
    </w:p>
    <w:p w14:paraId="76C7EB81">
      <w:pPr>
        <w:keepNext w:val="0"/>
        <w:keepLines w:val="0"/>
        <w:pageBreakBefore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重点项目分别为医药储备及盐储备</w:t>
      </w:r>
    </w:p>
    <w:p w14:paraId="10C4E436">
      <w:pPr>
        <w:keepNext w:val="0"/>
        <w:keepLines w:val="0"/>
        <w:pageBreakBefore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医药储备数量指标类医药储备物资储备规模小于5000万元，医药物资储备采购品种大于等于15个品种。质量指标类储备医药物资质量符合国家标准达标率达到100%。时效指标类医药物资储备保质期大于等于12个月，医药物资轮换工作完成时效小于等于12个月，成本指标类医药储备物资管理费用小于等于100万元。医药储备物资采购成本小于等于1280万元。社会效益指标类通过加强储备药品管理，充实储备药品数量，保证紧急情况发生时调得出、用得上、能应急。可持续影响指标类通过对日常监督检查管理，持续发挥在库物资应对公共卫生事件医药物资保障作用。满意度指标类医药储备供应使用单位满意度大于等于90%</w:t>
      </w:r>
    </w:p>
    <w:p w14:paraId="00D8798D">
      <w:pPr>
        <w:keepNext w:val="0"/>
        <w:keepLines w:val="0"/>
        <w:pageBreakBefore w:val="0"/>
        <w:widowControl w:val="0"/>
        <w:kinsoku/>
        <w:wordWrap/>
        <w:overflowPunct/>
        <w:topLinePunct w:val="0"/>
        <w:autoSpaceDE/>
        <w:autoSpaceDN/>
        <w:bidi w:val="0"/>
        <w:adjustRightInd/>
        <w:snapToGrid/>
        <w:spacing w:line="554" w:lineRule="exact"/>
        <w:ind w:firstLine="632"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盐储备数量指标类安全保管工业盐等于2500吨，安全保管食用盐等于1566吨。质量指标类工业盐储备质量达标率、食用盐储备质量达标率均为100%。时效指标类9月底前下达计划，11月底前全部完成，成本指标类成本控制100%。社会效益指标类通过加强储备盐管理，充实储备盐数量，保证紧急情况发生时调得出、用得上、能应急。满意度指标类承储企业满意度大于等于90%</w:t>
      </w:r>
    </w:p>
    <w:p w14:paraId="35499AAC">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eastAsia="黑体" w:cs="黑体"/>
          <w:bCs/>
          <w:color w:val="auto"/>
          <w:sz w:val="32"/>
          <w:szCs w:val="32"/>
          <w:highlight w:val="none"/>
        </w:rPr>
      </w:pPr>
      <w:r>
        <w:rPr>
          <w:rFonts w:hint="eastAsia" w:ascii="黑体" w:eastAsia="黑体" w:cs="黑体"/>
          <w:bCs/>
          <w:color w:val="auto"/>
          <w:sz w:val="32"/>
          <w:szCs w:val="32"/>
          <w:highlight w:val="none"/>
        </w:rPr>
        <w:t>四、其他重要事项说明（每一项必须说明）</w:t>
      </w:r>
    </w:p>
    <w:p w14:paraId="1DC78E82">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eastAsia="仿宋_GB2312" w:cs="仿宋_GB2312"/>
          <w:bCs/>
          <w:color w:val="auto"/>
          <w:sz w:val="32"/>
          <w:szCs w:val="32"/>
          <w:highlight w:val="none"/>
          <w:lang w:val="en-US" w:eastAsia="zh-CN"/>
        </w:rPr>
      </w:pPr>
      <w:r>
        <w:rPr>
          <w:rFonts w:hint="eastAsia" w:ascii="楷体_GB2312" w:eastAsia="楷体_GB2312" w:cs="楷体_GB2312"/>
          <w:bCs/>
          <w:color w:val="auto"/>
          <w:sz w:val="32"/>
          <w:szCs w:val="32"/>
          <w:highlight w:val="none"/>
        </w:rPr>
        <w:t>（一）</w:t>
      </w:r>
      <w:r>
        <w:rPr>
          <w:rFonts w:hint="eastAsia" w:ascii="楷体_GB2312" w:eastAsia="楷体_GB2312" w:cs="楷体_GB2312"/>
          <w:bCs/>
          <w:color w:val="auto"/>
          <w:sz w:val="32"/>
          <w:szCs w:val="32"/>
          <w:highlight w:val="none"/>
        </w:rPr>
        <w:tab/>
      </w:r>
      <w:r>
        <w:rPr>
          <w:rFonts w:hint="eastAsia" w:ascii="楷体_GB2312" w:eastAsia="楷体_GB2312" w:cs="楷体_GB2312"/>
          <w:bCs/>
          <w:color w:val="auto"/>
          <w:sz w:val="32"/>
          <w:szCs w:val="32"/>
          <w:highlight w:val="none"/>
        </w:rPr>
        <w:t>机关</w:t>
      </w:r>
      <w:r>
        <w:rPr>
          <w:rFonts w:hint="eastAsia" w:ascii="楷体_GB2312" w:eastAsia="楷体_GB2312" w:cs="楷体_GB2312"/>
          <w:bCs/>
          <w:color w:val="auto"/>
          <w:sz w:val="32"/>
          <w:szCs w:val="32"/>
          <w:highlight w:val="none"/>
          <w:lang w:eastAsia="zh-CN"/>
        </w:rPr>
        <w:t>（机构）</w:t>
      </w:r>
      <w:r>
        <w:rPr>
          <w:rFonts w:hint="eastAsia" w:ascii="楷体_GB2312" w:eastAsia="楷体_GB2312" w:cs="楷体_GB2312"/>
          <w:bCs/>
          <w:color w:val="auto"/>
          <w:sz w:val="32"/>
          <w:szCs w:val="32"/>
          <w:highlight w:val="none"/>
        </w:rPr>
        <w:t>运行经费情况：</w:t>
      </w:r>
      <w:r>
        <w:rPr>
          <w:rFonts w:hint="eastAsia" w:ascii="仿宋_GB2312" w:eastAsia="仿宋_GB2312" w:cs="仿宋_GB2312"/>
          <w:bCs/>
          <w:color w:val="auto"/>
          <w:sz w:val="32"/>
          <w:szCs w:val="32"/>
          <w:highlight w:val="none"/>
        </w:rPr>
        <w:t>今年</w:t>
      </w:r>
      <w:r>
        <w:rPr>
          <w:rFonts w:hint="eastAsia" w:ascii="仿宋_GB2312" w:eastAsia="仿宋_GB2312" w:cs="仿宋_GB2312"/>
          <w:bCs/>
          <w:color w:val="auto"/>
          <w:sz w:val="32"/>
          <w:szCs w:val="32"/>
          <w:highlight w:val="none"/>
          <w:u w:val="none"/>
        </w:rPr>
        <w:t>本单位的机关运行经费</w:t>
      </w:r>
      <w:r>
        <w:rPr>
          <w:rFonts w:hint="eastAsia" w:ascii="仿宋_GB2312" w:eastAsia="仿宋_GB2312" w:cs="仿宋_GB2312"/>
          <w:bCs/>
          <w:color w:val="auto"/>
          <w:sz w:val="32"/>
          <w:szCs w:val="32"/>
          <w:highlight w:val="none"/>
        </w:rPr>
        <w:t>财政拨款预算</w:t>
      </w:r>
      <w:r>
        <w:rPr>
          <w:rFonts w:hint="eastAsia" w:ascii="仿宋_GB2312" w:eastAsia="仿宋_GB2312" w:cs="仿宋_GB2312"/>
          <w:b w:val="0"/>
          <w:bCs/>
          <w:color w:val="auto"/>
          <w:kern w:val="2"/>
          <w:sz w:val="32"/>
          <w:szCs w:val="32"/>
          <w:highlight w:val="none"/>
          <w:lang w:val="en-US" w:eastAsia="zh-CN" w:bidi="ar-SA"/>
        </w:rPr>
        <w:t>66.68</w:t>
      </w:r>
      <w:r>
        <w:rPr>
          <w:rFonts w:hint="eastAsia" w:ascii="仿宋_GB2312" w:eastAsia="仿宋_GB2312" w:cs="仿宋_GB2312"/>
          <w:bCs/>
          <w:color w:val="auto"/>
          <w:sz w:val="32"/>
          <w:szCs w:val="32"/>
          <w:highlight w:val="none"/>
        </w:rPr>
        <w:t>万元，比上年预算</w:t>
      </w:r>
      <w:r>
        <w:rPr>
          <w:rFonts w:hint="eastAsia" w:ascii="仿宋_GB2312" w:eastAsia="仿宋_GB2312" w:cs="仿宋_GB2312"/>
          <w:bCs/>
          <w:color w:val="auto"/>
          <w:sz w:val="32"/>
          <w:szCs w:val="32"/>
          <w:highlight w:val="none"/>
          <w:lang w:eastAsia="zh-CN"/>
        </w:rPr>
        <w:t>减少</w:t>
      </w:r>
      <w:r>
        <w:rPr>
          <w:rFonts w:hint="eastAsia" w:ascii="仿宋_GB2312" w:eastAsia="仿宋_GB2312" w:cs="仿宋_GB2312"/>
          <w:bCs/>
          <w:color w:val="auto"/>
          <w:sz w:val="32"/>
          <w:szCs w:val="32"/>
          <w:highlight w:val="none"/>
          <w:lang w:val="en-US" w:eastAsia="zh-CN"/>
        </w:rPr>
        <w:t>93.71</w:t>
      </w:r>
      <w:r>
        <w:rPr>
          <w:rFonts w:hint="eastAsia" w:ascii="仿宋_GB2312" w:eastAsia="仿宋_GB2312" w:cs="仿宋_GB2312"/>
          <w:bCs/>
          <w:color w:val="auto"/>
          <w:sz w:val="32"/>
          <w:szCs w:val="32"/>
          <w:highlight w:val="none"/>
        </w:rPr>
        <w:t>万元，</w:t>
      </w:r>
      <w:r>
        <w:rPr>
          <w:rFonts w:hint="eastAsia" w:ascii="仿宋_GB2312" w:eastAsia="仿宋_GB2312" w:cs="仿宋_GB2312"/>
          <w:bCs/>
          <w:color w:val="auto"/>
          <w:sz w:val="32"/>
          <w:szCs w:val="32"/>
          <w:highlight w:val="none"/>
          <w:lang w:eastAsia="zh-CN"/>
        </w:rPr>
        <w:t>下降</w:t>
      </w:r>
      <w:r>
        <w:rPr>
          <w:rFonts w:hint="eastAsia" w:ascii="仿宋_GB2312" w:eastAsia="仿宋_GB2312" w:cs="仿宋_GB2312"/>
          <w:bCs/>
          <w:color w:val="auto"/>
          <w:sz w:val="32"/>
          <w:szCs w:val="32"/>
          <w:highlight w:val="none"/>
          <w:lang w:val="en-US" w:eastAsia="zh-CN"/>
        </w:rPr>
        <w:t>58.43</w:t>
      </w:r>
      <w:r>
        <w:rPr>
          <w:rFonts w:hint="eastAsia" w:ascii="仿宋_GB2312" w:eastAsia="仿宋_GB2312" w:cs="仿宋_GB2312"/>
          <w:bCs/>
          <w:color w:val="auto"/>
          <w:sz w:val="32"/>
          <w:szCs w:val="32"/>
          <w:highlight w:val="none"/>
        </w:rPr>
        <w:t>%。</w:t>
      </w:r>
      <w:r>
        <w:rPr>
          <w:rFonts w:hint="eastAsia" w:ascii="仿宋_GB2312" w:eastAsia="仿宋_GB2312" w:cs="仿宋_GB2312"/>
          <w:bCs/>
          <w:color w:val="auto"/>
          <w:sz w:val="32"/>
          <w:szCs w:val="32"/>
          <w:highlight w:val="none"/>
          <w:lang w:eastAsia="zh-CN"/>
        </w:rPr>
        <w:t>减少原因为</w:t>
      </w:r>
      <w:r>
        <w:rPr>
          <w:rFonts w:hint="eastAsia" w:ascii="仿宋_GB2312" w:hAnsi="Times New Roman" w:eastAsia="仿宋_GB2312" w:cs="仿宋_GB2312"/>
          <w:b w:val="0"/>
          <w:bCs/>
          <w:color w:val="auto"/>
          <w:kern w:val="2"/>
          <w:sz w:val="32"/>
          <w:szCs w:val="32"/>
          <w:highlight w:val="none"/>
          <w:lang w:val="en-US" w:eastAsia="zh-CN" w:bidi="ar-SA"/>
        </w:rPr>
        <w:t>原贵阳市粮食执法监察大队撤消，人员整体划入贵阳市应急管理综合行政执法支队</w:t>
      </w:r>
      <w:r>
        <w:rPr>
          <w:rFonts w:hint="eastAsia" w:ascii="仿宋_GB2312" w:eastAsia="仿宋_GB2312" w:cs="仿宋_GB2312"/>
          <w:bCs/>
          <w:color w:val="auto"/>
          <w:sz w:val="32"/>
          <w:szCs w:val="32"/>
          <w:highlight w:val="none"/>
          <w:lang w:val="en-US" w:eastAsia="zh-CN"/>
        </w:rPr>
        <w:t>。（下属2家事业单位暂未纳入预算管理）</w:t>
      </w:r>
    </w:p>
    <w:p w14:paraId="3DD87DAA">
      <w:pPr>
        <w:keepNext w:val="0"/>
        <w:keepLines w:val="0"/>
        <w:widowControl w:val="0"/>
        <w:kinsoku/>
        <w:wordWrap/>
        <w:overflowPunct/>
        <w:topLinePunct w:val="0"/>
        <w:autoSpaceDE/>
        <w:autoSpaceDN/>
        <w:bidi w:val="0"/>
        <w:adjustRightInd/>
        <w:snapToGrid/>
        <w:spacing w:line="554" w:lineRule="exact"/>
        <w:ind w:left="0" w:firstLine="632" w:firstLineChars="200"/>
        <w:textAlignment w:val="auto"/>
        <w:rPr>
          <w:rFonts w:hint="eastAsia" w:ascii="仿宋_GB2312" w:eastAsia="仿宋_GB2312" w:cs="仿宋_GB2312"/>
          <w:bCs/>
          <w:color w:val="auto"/>
          <w:sz w:val="32"/>
          <w:szCs w:val="32"/>
          <w:highlight w:val="none"/>
          <w:u w:val="single"/>
        </w:rPr>
      </w:pPr>
      <w:r>
        <w:rPr>
          <w:rFonts w:hint="eastAsia" w:ascii="楷体_GB2312" w:eastAsia="楷体_GB2312" w:cs="楷体_GB2312"/>
          <w:bCs/>
          <w:color w:val="auto"/>
          <w:sz w:val="32"/>
          <w:szCs w:val="32"/>
          <w:highlight w:val="none"/>
          <w:lang w:eastAsia="zh-CN"/>
        </w:rPr>
        <w:t>（二）</w:t>
      </w:r>
      <w:r>
        <w:rPr>
          <w:rFonts w:hint="eastAsia" w:ascii="楷体_GB2312" w:eastAsia="楷体_GB2312" w:cs="楷体_GB2312"/>
          <w:bCs/>
          <w:color w:val="auto"/>
          <w:sz w:val="32"/>
          <w:szCs w:val="32"/>
          <w:highlight w:val="none"/>
        </w:rPr>
        <w:t>政府采购情况：</w:t>
      </w:r>
      <w:r>
        <w:rPr>
          <w:rFonts w:hint="eastAsia" w:ascii="仿宋_GB2312" w:eastAsia="仿宋_GB2312" w:cs="仿宋_GB2312"/>
          <w:bCs/>
          <w:color w:val="auto"/>
          <w:sz w:val="32"/>
          <w:szCs w:val="32"/>
          <w:highlight w:val="none"/>
        </w:rPr>
        <w:t>今年我单位政府采购预算总额</w:t>
      </w:r>
      <w:r>
        <w:rPr>
          <w:rFonts w:ascii="方正兰亭黑_GBK" w:hAnsi="方正兰亭黑_GBK" w:eastAsia="仿宋_GB2312" w:cs="仿宋_GB2312"/>
          <w:bCs/>
          <w:color w:val="auto"/>
          <w:sz w:val="32"/>
          <w:szCs w:val="32"/>
          <w:highlight w:val="none"/>
        </w:rPr>
        <w:t>0</w:t>
      </w:r>
      <w:r>
        <w:rPr>
          <w:rFonts w:hint="eastAsia" w:ascii="仿宋_GB2312" w:eastAsia="仿宋_GB2312" w:cs="仿宋_GB2312"/>
          <w:bCs/>
          <w:color w:val="auto"/>
          <w:sz w:val="32"/>
          <w:szCs w:val="32"/>
          <w:highlight w:val="none"/>
        </w:rPr>
        <w:t>万元，其中：政府采购货物预算</w:t>
      </w:r>
      <w:r>
        <w:rPr>
          <w:rFonts w:ascii="方正兰亭黑_GBK" w:hAnsi="方正兰亭黑_GBK" w:eastAsia="仿宋_GB2312" w:cs="仿宋_GB2312"/>
          <w:bCs/>
          <w:color w:val="auto"/>
          <w:sz w:val="32"/>
          <w:szCs w:val="32"/>
          <w:highlight w:val="none"/>
        </w:rPr>
        <w:t>0</w:t>
      </w:r>
      <w:r>
        <w:rPr>
          <w:rFonts w:hint="eastAsia" w:ascii="仿宋_GB2312" w:eastAsia="仿宋_GB2312" w:cs="仿宋_GB2312"/>
          <w:bCs/>
          <w:color w:val="auto"/>
          <w:sz w:val="32"/>
          <w:szCs w:val="32"/>
          <w:highlight w:val="none"/>
        </w:rPr>
        <w:t>万元，政府采购工程预算</w:t>
      </w:r>
      <w:r>
        <w:rPr>
          <w:rFonts w:ascii="方正兰亭黑_GBK" w:hAnsi="方正兰亭黑_GBK" w:eastAsia="仿宋_GB2312" w:cs="仿宋_GB2312"/>
          <w:bCs/>
          <w:color w:val="auto"/>
          <w:sz w:val="32"/>
          <w:szCs w:val="32"/>
          <w:highlight w:val="none"/>
        </w:rPr>
        <w:t>0</w:t>
      </w:r>
      <w:r>
        <w:rPr>
          <w:rFonts w:hint="eastAsia" w:ascii="仿宋_GB2312" w:eastAsia="仿宋_GB2312" w:cs="仿宋_GB2312"/>
          <w:bCs/>
          <w:color w:val="auto"/>
          <w:sz w:val="32"/>
          <w:szCs w:val="32"/>
          <w:highlight w:val="none"/>
        </w:rPr>
        <w:t>万元，政府采购服务预算</w:t>
      </w:r>
      <w:r>
        <w:rPr>
          <w:rFonts w:ascii="方正兰亭黑_GBK" w:hAnsi="方正兰亭黑_GBK" w:eastAsia="仿宋_GB2312" w:cs="仿宋_GB2312"/>
          <w:bCs/>
          <w:color w:val="auto"/>
          <w:sz w:val="32"/>
          <w:szCs w:val="32"/>
          <w:highlight w:val="none"/>
        </w:rPr>
        <w:t>0</w:t>
      </w:r>
      <w:r>
        <w:rPr>
          <w:rFonts w:hint="eastAsia" w:ascii="仿宋_GB2312" w:eastAsia="仿宋_GB2312" w:cs="仿宋_GB2312"/>
          <w:bCs/>
          <w:color w:val="auto"/>
          <w:sz w:val="32"/>
          <w:szCs w:val="32"/>
          <w:highlight w:val="none"/>
        </w:rPr>
        <w:t>万元，其他采购预算</w:t>
      </w:r>
      <w:r>
        <w:rPr>
          <w:rFonts w:ascii="方正兰亭黑_GBK" w:hAnsi="方正兰亭黑_GBK" w:eastAsia="仿宋_GB2312" w:cs="仿宋_GB2312"/>
          <w:bCs/>
          <w:color w:val="auto"/>
          <w:sz w:val="32"/>
          <w:szCs w:val="32"/>
          <w:highlight w:val="none"/>
        </w:rPr>
        <w:t>4</w:t>
      </w:r>
      <w:r>
        <w:rPr>
          <w:rFonts w:hint="eastAsia" w:ascii="仿宋_GB2312" w:eastAsia="仿宋_GB2312" w:cs="仿宋_GB2312"/>
          <w:bCs/>
          <w:color w:val="auto"/>
          <w:sz w:val="32"/>
          <w:szCs w:val="32"/>
          <w:highlight w:val="none"/>
        </w:rPr>
        <w:t>万元。</w:t>
      </w:r>
    </w:p>
    <w:p w14:paraId="22A1555B">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hint="eastAsia"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（三）</w:t>
      </w:r>
      <w:r>
        <w:rPr>
          <w:rFonts w:hint="eastAsia" w:ascii="楷体_GB2312" w:eastAsia="楷体_GB2312" w:cs="楷体_GB2312"/>
          <w:bCs/>
          <w:color w:val="auto"/>
          <w:sz w:val="32"/>
          <w:szCs w:val="32"/>
          <w:highlight w:val="none"/>
        </w:rPr>
        <w:tab/>
      </w:r>
      <w:r>
        <w:rPr>
          <w:rFonts w:hint="eastAsia" w:ascii="楷体_GB2312" w:eastAsia="楷体_GB2312" w:cs="楷体_GB2312"/>
          <w:bCs/>
          <w:color w:val="auto"/>
          <w:sz w:val="32"/>
          <w:szCs w:val="32"/>
          <w:highlight w:val="none"/>
        </w:rPr>
        <w:t>国有资产占有使用情况：</w:t>
      </w:r>
    </w:p>
    <w:p w14:paraId="14C40B2D">
      <w:pPr>
        <w:pStyle w:val="2"/>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截止2022年年初，本单位国有资产合计410.32万元，其中流动资产178.29万元，固定资产232.03万元。贵阳市粮食和物资储备局机关共有车辆2辆。其中一般公务用车2辆，一般执法执勤用车0辆，特种专业技术用车0辆，其他用车0辆。</w:t>
      </w:r>
    </w:p>
    <w:p w14:paraId="6DD6D647">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楷体_GB2312" w:eastAsia="楷体_GB2312" w:cs="楷体_GB2312"/>
          <w:bCs/>
          <w:color w:val="auto"/>
          <w:sz w:val="32"/>
          <w:szCs w:val="32"/>
          <w:highlight w:val="none"/>
        </w:rPr>
        <w:t>（四）预算绩效管理情况</w:t>
      </w:r>
      <w:r>
        <w:rPr>
          <w:rFonts w:hint="eastAsia" w:ascii="楷体_GB2312" w:eastAsia="楷体_GB2312" w:cs="楷体_GB2312"/>
          <w:bCs/>
          <w:color w:val="auto"/>
          <w:sz w:val="32"/>
          <w:szCs w:val="32"/>
          <w:highlight w:val="none"/>
          <w:lang w:eastAsia="zh-CN"/>
        </w:rPr>
        <w:t>：</w:t>
      </w:r>
      <w:r>
        <w:rPr>
          <w:rFonts w:hint="eastAsia" w:ascii="仿宋_GB2312" w:hAnsi="Times New Roman" w:eastAsia="仿宋_GB2312" w:cs="Times New Roman"/>
          <w:color w:val="auto"/>
          <w:kern w:val="2"/>
          <w:sz w:val="32"/>
          <w:szCs w:val="32"/>
          <w:highlight w:val="none"/>
          <w:lang w:val="en-US" w:eastAsia="zh-CN" w:bidi="ar-SA"/>
        </w:rPr>
        <w:t>2022年，实行绩效目标管理的一级项目12个，涉及财政拨款预算10566.9万元。</w:t>
      </w:r>
    </w:p>
    <w:p w14:paraId="41A89EF6">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楷体_GB2312" w:eastAsia="楷体_GB2312" w:cs="楷体_GB2312"/>
          <w:bCs/>
          <w:color w:val="auto"/>
          <w:sz w:val="32"/>
          <w:szCs w:val="32"/>
          <w:highlight w:val="none"/>
          <w:lang w:eastAsia="zh-CN"/>
        </w:rPr>
      </w:pPr>
      <w:r>
        <w:rPr>
          <w:rFonts w:hint="eastAsia" w:ascii="楷体_GB2312" w:eastAsia="楷体_GB2312" w:cs="楷体_GB2312"/>
          <w:bCs/>
          <w:color w:val="auto"/>
          <w:sz w:val="32"/>
          <w:szCs w:val="32"/>
          <w:highlight w:val="none"/>
        </w:rPr>
        <w:t>（五）项目支出安排情况</w:t>
      </w:r>
      <w:r>
        <w:rPr>
          <w:rFonts w:hint="eastAsia" w:ascii="楷体_GB2312" w:eastAsia="楷体_GB2312" w:cs="楷体_GB2312"/>
          <w:bCs/>
          <w:color w:val="auto"/>
          <w:sz w:val="32"/>
          <w:szCs w:val="32"/>
          <w:highlight w:val="none"/>
          <w:lang w:eastAsia="zh-CN"/>
        </w:rPr>
        <w:t>：</w:t>
      </w:r>
    </w:p>
    <w:p w14:paraId="0BA4F8EA">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医药储备总体目标概述1.贵阳市人民政府 贵安新区管委会关于《贵阳市贵安新区市级医药防控物资储备方案》的批复（筑府函[2020]120号），市级物资储备库目前库存物资价值5000万元，按照2%的物资价值给予管理费用补贴，预计需要100万元。2.按照2022年市级医药储备物资轮换方案,计划采购15个种类医药储备物资，需采购资金约1280万元（不足部分从出库物资回收资金中解决）。本次医药储备安排1300万元，占总体专项资金预算12.3%。盐储备总体目标概述市政府对《贵阳市粮食和物资储备局关于审定&lt;贵阳市贵安新区市级盐储备方案&gt;的请示（筑粮呈〔2020〕95号 ）》的批复，测定2022年贵阳市贵安新区食用盐储备规模为1566吨，工业盐储备规模2500吨，共计4066吨。本次盐储备安排136.2万元，占总体专项资金预算1.3%</w:t>
      </w:r>
    </w:p>
    <w:p w14:paraId="41EFE6FB">
      <w:pPr>
        <w:keepNext w:val="0"/>
        <w:keepLines w:val="0"/>
        <w:widowControl w:val="0"/>
        <w:numPr>
          <w:ilvl w:val="0"/>
          <w:numId w:val="2"/>
        </w:numPr>
        <w:kinsoku/>
        <w:wordWrap/>
        <w:overflowPunct/>
        <w:topLinePunct w:val="0"/>
        <w:autoSpaceDE/>
        <w:autoSpaceDN/>
        <w:bidi w:val="0"/>
        <w:adjustRightInd/>
        <w:snapToGrid/>
        <w:spacing w:line="554" w:lineRule="exact"/>
        <w:ind w:firstLine="632" w:firstLineChars="200"/>
        <w:textAlignment w:val="auto"/>
        <w:rPr>
          <w:rFonts w:hint="eastAsia" w:ascii="楷体_GB2312" w:eastAsia="楷体_GB2312" w:cs="楷体_GB2312"/>
          <w:bCs/>
          <w:color w:val="auto"/>
          <w:sz w:val="32"/>
          <w:szCs w:val="32"/>
          <w:highlight w:val="none"/>
        </w:rPr>
      </w:pPr>
      <w:r>
        <w:rPr>
          <w:rFonts w:hint="eastAsia" w:ascii="楷体_GB2312" w:eastAsia="楷体_GB2312" w:cs="楷体_GB2312"/>
          <w:bCs/>
          <w:color w:val="auto"/>
          <w:sz w:val="32"/>
          <w:szCs w:val="32"/>
          <w:highlight w:val="none"/>
        </w:rPr>
        <w:t>专有名词解释</w:t>
      </w:r>
    </w:p>
    <w:p w14:paraId="0554C963">
      <w:pPr>
        <w:keepNext w:val="0"/>
        <w:keepLines w:val="0"/>
        <w:widowControl w:val="0"/>
        <w:numPr>
          <w:ilvl w:val="0"/>
          <w:numId w:val="0"/>
        </w:numPr>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14:paraId="753F844A">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2.一般公共服务（类）财政事务（款）行政运行（项）：指局机关及所属事业单位用于保障机构正常运行、开展日常工作的基本支出。</w:t>
      </w:r>
    </w:p>
    <w:p w14:paraId="0F5A0421">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3.一般公共服务（类）财政事务（款）一般行政管理事务（项）：指局机关及所属事业单位开展非税改革及票据印刷、资产清查、农村综合改革、会计工作管理等未单独设置项级科目的其他项目支出。</w:t>
      </w:r>
    </w:p>
    <w:p w14:paraId="367BED61">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4.一般公共服务（类）财政事务（款）财政国库业务（项）：指本单位用于财政国库集中收付业务方面的项目支出。</w:t>
      </w:r>
    </w:p>
    <w:p w14:paraId="5FA0DB16">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5.一般公共服务（类）财政事务（款）财政监察（项）：指本单位开展财政监察、执法检查等专项事务的支出。</w:t>
      </w:r>
    </w:p>
    <w:p w14:paraId="29EB928C">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6.一般公共服务（类）财政事务（款）其他财政事务支出（项）：指本单位开展财政绩效评价管理、投资项目评审、债务专班管理等专项事务的支出。</w:t>
      </w:r>
    </w:p>
    <w:p w14:paraId="57D283D2">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7.农林水支出（类）其他农林水支出（款）其他农林水支出（项）：指本单位开展支农资金、扶贫资金监管事务方面的支出。</w:t>
      </w:r>
    </w:p>
    <w:p w14:paraId="6000AB8F">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8.住房保障支出（类）住房改革支出（款）住房公积金（项）：指按照《住房公积金管理条例》的规定，由单位为职工缴纳的住房公积金。</w:t>
      </w:r>
    </w:p>
    <w:p w14:paraId="0A7B84BD">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rPr>
        <w:t>9.基本支出：指为保障机构正常运转、完成日常工作任务而发生的人员支出和公用支出。</w:t>
      </w:r>
    </w:p>
    <w:p w14:paraId="0015EAED">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方正兰亭黑_GBK" w:hAnsi="方正兰亭黑_GBK" w:eastAsia="仿宋_GB2312" w:cs="仿宋_GB2312"/>
          <w:bCs/>
          <w:color w:val="auto"/>
          <w:sz w:val="32"/>
          <w:szCs w:val="32"/>
          <w:highlight w:val="none"/>
        </w:rPr>
      </w:pPr>
      <w:r>
        <w:rPr>
          <w:rFonts w:hint="eastAsia" w:ascii="仿宋_GB2312" w:eastAsia="仿宋_GB2312" w:cs="仿宋_GB2312"/>
          <w:bCs/>
          <w:color w:val="auto"/>
          <w:sz w:val="32"/>
          <w:szCs w:val="32"/>
          <w:highlight w:val="none"/>
        </w:rPr>
        <w:t>10.项目支出：指在基本支出以外为完成特定行政任务和事业发展目标所发生的支出。</w:t>
      </w:r>
    </w:p>
    <w:p w14:paraId="5B62162A">
      <w:pPr>
        <w:pStyle w:val="2"/>
        <w:keepNext w:val="0"/>
        <w:keepLines w:val="0"/>
        <w:pageBreakBefore w:val="0"/>
        <w:widowControl w:val="0"/>
        <w:suppressLineNumbers w:val="0"/>
        <w:suppressAutoHyphens w:val="0"/>
        <w:ind w:left="0" w:leftChars="0" w:firstLine="582" w:firstLineChars="0"/>
      </w:pPr>
      <w:r>
        <w:t>11.粮油物资储备支出：反映政府用于粮油物资储备方面的支出。</w:t>
      </w:r>
    </w:p>
    <w:p w14:paraId="73AEAE7C">
      <w:pPr>
        <w:pStyle w:val="2"/>
        <w:keepNext w:val="0"/>
        <w:keepLines w:val="0"/>
        <w:pageBreakBefore w:val="0"/>
        <w:widowControl w:val="0"/>
        <w:suppressLineNumbers w:val="0"/>
        <w:suppressAutoHyphens w:val="0"/>
        <w:ind w:left="0" w:leftChars="0" w:firstLine="582" w:firstLineChars="0"/>
      </w:pPr>
      <w:r>
        <w:t>12.粮食风险基金：反映粮食风险基金安排的支出。</w:t>
      </w:r>
    </w:p>
    <w:p w14:paraId="1F1012FD">
      <w:pPr>
        <w:pStyle w:val="2"/>
        <w:keepNext w:val="0"/>
        <w:keepLines w:val="0"/>
        <w:pageBreakBefore w:val="0"/>
        <w:widowControl w:val="0"/>
        <w:suppressLineNumbers w:val="0"/>
        <w:suppressAutoHyphens w:val="0"/>
        <w:ind w:left="0" w:leftChars="0" w:firstLine="582" w:firstLineChars="0"/>
      </w:pPr>
      <w:r>
        <w:t>13.医药储备：反映医药专项储备支出。</w:t>
      </w:r>
    </w:p>
    <w:p w14:paraId="6BD87B9F">
      <w:pPr>
        <w:pStyle w:val="2"/>
        <w:keepNext w:val="0"/>
        <w:keepLines w:val="0"/>
        <w:pageBreakBefore w:val="0"/>
        <w:widowControl w:val="0"/>
        <w:suppressLineNumbers w:val="0"/>
        <w:suppressAutoHyphens w:val="0"/>
        <w:ind w:left="0" w:leftChars="0" w:firstLine="582" w:firstLineChars="0"/>
      </w:pPr>
      <w:r>
        <w:t>14.食盐储备：反映食盐专项储备补贴，包括利息、费用和差价等支出。</w:t>
      </w:r>
    </w:p>
    <w:p w14:paraId="724A7A7E">
      <w:pPr>
        <w:pStyle w:val="2"/>
        <w:keepNext w:val="0"/>
        <w:keepLines w:val="0"/>
        <w:pageBreakBefore w:val="0"/>
        <w:widowControl w:val="0"/>
        <w:suppressLineNumbers w:val="0"/>
        <w:suppressAutoHyphens w:val="0"/>
        <w:ind w:left="0" w:leftChars="0" w:firstLine="582" w:firstLineChars="0"/>
      </w:pPr>
      <w:r>
        <w:t>15.肉类储备：反映猪、牛、羊等肉类专项储备的有关支出。</w:t>
      </w:r>
    </w:p>
    <w:p w14:paraId="2B9B86B8">
      <w:pPr>
        <w:keepNext w:val="0"/>
        <w:keepLines w:val="0"/>
        <w:widowControl w:val="0"/>
        <w:kinsoku/>
        <w:wordWrap/>
        <w:overflowPunct/>
        <w:topLinePunct w:val="0"/>
        <w:autoSpaceDE/>
        <w:autoSpaceDN/>
        <w:bidi w:val="0"/>
        <w:adjustRightInd/>
        <w:snapToGrid/>
        <w:spacing w:line="554" w:lineRule="exact"/>
        <w:textAlignment w:val="auto"/>
        <w:rPr>
          <w:rFonts w:ascii="仿宋" w:eastAsia="仿宋"/>
          <w:color w:val="auto"/>
          <w:sz w:val="32"/>
          <w:szCs w:val="32"/>
          <w:highlight w:val="none"/>
        </w:rPr>
      </w:pPr>
      <w:r>
        <w:rPr>
          <w:rFonts w:hint="eastAsia" w:ascii="黑体" w:eastAsia="黑体" w:cs="黑体"/>
          <w:bCs/>
          <w:color w:val="auto"/>
          <w:sz w:val="32"/>
          <w:szCs w:val="32"/>
          <w:highlight w:val="none"/>
        </w:rPr>
        <w:t>五、202</w:t>
      </w:r>
      <w:r>
        <w:rPr>
          <w:rFonts w:hint="eastAsia" w:ascii="黑体" w:eastAsia="黑体" w:cs="黑体"/>
          <w:bCs/>
          <w:color w:val="auto"/>
          <w:sz w:val="32"/>
          <w:szCs w:val="32"/>
          <w:highlight w:val="none"/>
          <w:lang w:val="en-US" w:eastAsia="zh-CN"/>
        </w:rPr>
        <w:t>2</w:t>
      </w:r>
      <w:r>
        <w:rPr>
          <w:rFonts w:hint="eastAsia" w:ascii="黑体" w:eastAsia="黑体" w:cs="黑体"/>
          <w:bCs/>
          <w:color w:val="auto"/>
          <w:sz w:val="32"/>
          <w:szCs w:val="32"/>
          <w:highlight w:val="none"/>
        </w:rPr>
        <w:t>年部门预算及“三公”经费预算公开表（详见附件</w:t>
      </w:r>
      <w:r>
        <w:rPr>
          <w:rFonts w:hint="eastAsia" w:ascii="黑体" w:eastAsia="黑体" w:cs="黑体"/>
          <w:bCs/>
          <w:color w:val="auto"/>
          <w:sz w:val="32"/>
          <w:szCs w:val="32"/>
          <w:highlight w:val="none"/>
          <w:lang w:val="en-US" w:eastAsia="zh-CN"/>
        </w:rPr>
        <w:t>3</w:t>
      </w:r>
      <w:r>
        <w:rPr>
          <w:rFonts w:hint="eastAsia" w:ascii="黑体" w:eastAsia="黑体" w:cs="黑体"/>
          <w:bCs/>
          <w:color w:val="auto"/>
          <w:sz w:val="32"/>
          <w:szCs w:val="32"/>
          <w:highlight w:val="none"/>
        </w:rPr>
        <w:t>）</w:t>
      </w:r>
    </w:p>
    <w:sectPr>
      <w:footerReference r:id="rId3" w:type="default"/>
      <w:footerReference r:id="rId4" w:type="even"/>
      <w:pgSz w:w="11906" w:h="16838"/>
      <w:pgMar w:top="2098" w:right="1474" w:bottom="1984" w:left="1587" w:header="851" w:footer="1587" w:gutter="0"/>
      <w:pgNumType w:fmt="numberInDash"/>
      <w:cols w:space="720" w:num="1"/>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B862">
    <w:pPr>
      <w:pStyle w:val="7"/>
    </w:pPr>
    <w:r>
      <mc:AlternateContent>
        <mc:Choice Requires="wps">
          <w:drawing>
            <wp:anchor distT="0" distB="0" distL="113665" distR="113665" simplePos="0" relativeHeight="251659264" behindDoc="0" locked="0" layoutInCell="1" allowOverlap="1">
              <wp:simplePos x="0" y="0"/>
              <wp:positionH relativeFrom="margin">
                <wp:align>left</wp:align>
              </wp:positionH>
              <wp:positionV relativeFrom="paragraph">
                <wp:posOffset>-149860</wp:posOffset>
              </wp:positionV>
              <wp:extent cx="5261610" cy="285115"/>
              <wp:effectExtent l="0" t="0" r="0" b="0"/>
              <wp:wrapNone/>
              <wp:docPr id="1" name="文本框 1"/>
              <wp:cNvGraphicFramePr/>
              <a:graphic xmlns:a="http://schemas.openxmlformats.org/drawingml/2006/main">
                <a:graphicData uri="http://schemas.microsoft.com/office/word/2010/wordprocessingShape">
                  <wps:wsp>
                    <wps:cNvSpPr/>
                    <wps:spPr>
                      <a:xfrm>
                        <a:off x="0" y="0"/>
                        <a:ext cx="5261813" cy="285114"/>
                      </a:xfrm>
                      <a:prstGeom prst="rect">
                        <a:avLst/>
                      </a:prstGeom>
                      <a:noFill/>
                      <a:ln w="6350" cap="flat" cmpd="sng">
                        <a:noFill/>
                        <a:prstDash val="solid"/>
                        <a:round/>
                      </a:ln>
                    </wps:spPr>
                    <wps:txbx>
                      <w:txbxContent>
                        <w:p w14:paraId="11443DCC">
                          <w:pPr>
                            <w:pStyle w:val="7"/>
                            <w:ind w:firstLine="7280" w:firstLineChars="2600"/>
                            <w:rPr>
                              <w:rFonts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- 7 -</w:t>
                          </w:r>
                          <w:r>
                            <w:rPr>
                              <w:rFonts w:hint="eastAsia" w:ascii="宋体" w:eastAsia="宋体" w:cs="宋体"/>
                              <w:sz w:val="28"/>
                              <w:szCs w:val="28"/>
                            </w:rPr>
                            <w:fldChar w:fldCharType="end"/>
                          </w:r>
                          <w:r>
                            <w:rPr>
                              <w:rFonts w:hint="eastAsia" w:ascii="宋体" w:eastAsia="宋体" w:cs="宋体"/>
                              <w:color w:val="FFFFFF"/>
                              <w:sz w:val="28"/>
                              <w:szCs w:val="28"/>
                            </w:rPr>
                            <w:t>一</w:t>
                          </w:r>
                        </w:p>
                      </w:txbxContent>
                    </wps:txbx>
                    <wps:bodyPr vert="horz" wrap="none" lIns="0" tIns="0" rIns="0" bIns="0" anchor="t" anchorCtr="0" upright="0">
                      <a:noAutofit/>
                    </wps:bodyPr>
                  </wps:wsp>
                </a:graphicData>
              </a:graphic>
            </wp:anchor>
          </w:drawing>
        </mc:Choice>
        <mc:Fallback>
          <w:pict>
            <v:rect id="文本框 1" o:spid="_x0000_s1026" o:spt="1" style="position:absolute;left:0pt;margin-top:-11.8pt;height:22.45pt;width:414.3pt;mso-position-horizontal:left;mso-position-horizontal-relative:margin;mso-wrap-style:none;z-index:251659264;mso-width-relative:page;mso-height-relative:page;" filled="f" stroked="f" coordsize="21600,21600" o:gfxdata="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o9zWAAAABwEAAA8AAAAAAAAAAQAgAAAAIgAAAGRycy9k&#10;b3ducmV2LnhtbFBLAQIUABQAAAAIAIdO4kBGIoytBAIAAPUDAAAOAAAAAAAAAAEAIAAAACUBAABk&#10;cnMvZTJvRG9jLnhtbFBLBQYAAAAABgAGAFkBAACbBQAAAAA=&#10;">
              <v:fill on="f" focussize="0,0"/>
              <v:stroke on="f" weight="0.5pt" joinstyle="round"/>
              <v:imagedata o:title=""/>
              <o:lock v:ext="edit" aspectratio="f"/>
              <v:textbox inset="0mm,0mm,0mm,0mm">
                <w:txbxContent>
                  <w:p w14:paraId="11443DCC">
                    <w:pPr>
                      <w:pStyle w:val="7"/>
                      <w:ind w:firstLine="7280" w:firstLineChars="2600"/>
                      <w:rPr>
                        <w:rFonts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- 7 -</w:t>
                    </w:r>
                    <w:r>
                      <w:rPr>
                        <w:rFonts w:hint="eastAsia" w:ascii="宋体" w:eastAsia="宋体" w:cs="宋体"/>
                        <w:sz w:val="28"/>
                        <w:szCs w:val="28"/>
                      </w:rPr>
                      <w:fldChar w:fldCharType="end"/>
                    </w:r>
                    <w:r>
                      <w:rPr>
                        <w:rFonts w:hint="eastAsia" w:ascii="宋体" w:eastAsia="宋体" w:cs="宋体"/>
                        <w:color w:val="FFFFFF"/>
                        <w:sz w:val="28"/>
                        <w:szCs w:val="28"/>
                      </w:rPr>
                      <w:t>一</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F7867">
    <w:pPr>
      <w:pStyle w:val="7"/>
    </w:pPr>
    <w:r>
      <mc:AlternateContent>
        <mc:Choice Requires="wps">
          <w:drawing>
            <wp:anchor distT="0" distB="0" distL="113665" distR="113665" simplePos="0" relativeHeight="251659264" behindDoc="0" locked="0" layoutInCell="1" allowOverlap="1">
              <wp:simplePos x="0" y="0"/>
              <wp:positionH relativeFrom="margin">
                <wp:posOffset>0</wp:posOffset>
              </wp:positionH>
              <wp:positionV relativeFrom="paragraph">
                <wp:posOffset>-111125</wp:posOffset>
              </wp:positionV>
              <wp:extent cx="638810" cy="244475"/>
              <wp:effectExtent l="0" t="0" r="0" b="0"/>
              <wp:wrapNone/>
              <wp:docPr id="4" name="文本框 2"/>
              <wp:cNvGraphicFramePr/>
              <a:graphic xmlns:a="http://schemas.openxmlformats.org/drawingml/2006/main">
                <a:graphicData uri="http://schemas.microsoft.com/office/word/2010/wordprocessingShape">
                  <wps:wsp>
                    <wps:cNvSpPr/>
                    <wps:spPr>
                      <a:xfrm>
                        <a:off x="0" y="0"/>
                        <a:ext cx="639013" cy="244474"/>
                      </a:xfrm>
                      <a:prstGeom prst="rect">
                        <a:avLst/>
                      </a:prstGeom>
                      <a:noFill/>
                      <a:ln w="6350" cap="flat" cmpd="sng">
                        <a:noFill/>
                        <a:prstDash val="solid"/>
                        <a:round/>
                      </a:ln>
                    </wps:spPr>
                    <wps:txbx>
                      <w:txbxContent>
                        <w:p w14:paraId="6F855D3F">
                          <w:pPr>
                            <w:pStyle w:val="7"/>
                            <w:rPr>
                              <w:rFonts w:ascii="宋体" w:eastAsia="宋体" w:cs="宋体"/>
                              <w:sz w:val="28"/>
                              <w:szCs w:val="28"/>
                            </w:rPr>
                          </w:pPr>
                          <w:r>
                            <w:rPr>
                              <w:rFonts w:hint="eastAsia" w:ascii="宋体" w:eastAsia="宋体" w:cs="宋体"/>
                              <w:color w:val="FFFFFF"/>
                              <w:sz w:val="28"/>
                              <w:szCs w:val="28"/>
                            </w:rPr>
                            <w:t>一</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- 8 -</w:t>
                          </w:r>
                          <w:r>
                            <w:rPr>
                              <w:rFonts w:hint="eastAsia" w:ascii="宋体" w:eastAsia="宋体" w:cs="宋体"/>
                              <w:sz w:val="28"/>
                              <w:szCs w:val="28"/>
                            </w:rPr>
                            <w:fldChar w:fldCharType="end"/>
                          </w:r>
                        </w:p>
                      </w:txbxContent>
                    </wps:txbx>
                    <wps:bodyPr vert="horz" wrap="none" lIns="0" tIns="0" rIns="0" bIns="0" anchor="t" anchorCtr="0" upright="0">
                      <a:noAutofit/>
                    </wps:bodyPr>
                  </wps:wsp>
                </a:graphicData>
              </a:graphic>
            </wp:anchor>
          </w:drawing>
        </mc:Choice>
        <mc:Fallback>
          <w:pict>
            <v:rect id="文本框 2" o:spid="_x0000_s1026" o:spt="1" style="position:absolute;left:0pt;margin-left:0pt;margin-top:-8.75pt;height:19.25pt;width:50.3pt;mso-position-horizontal-relative:margin;mso-wrap-style:none;z-index:251659264;mso-width-relative:page;mso-height-relative:page;" filled="f" stroked="f" coordsize="21600,21600" o:gfxdata="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8hj31gAAAAcBAAAPAAAAAAAAAAEAIAAAACIAAABkcnMvZG93&#10;bnJldi54bWxQSwECFAAUAAAACACHTuJAtpa0agICAAD0AwAADgAAAAAAAAABACAAAAAlAQAAZHJz&#10;L2Uyb0RvYy54bWxQSwUGAAAAAAYABgBZAQAAmQUAAAAA&#10;">
              <v:fill on="f" focussize="0,0"/>
              <v:stroke on="f" weight="0.5pt" joinstyle="round"/>
              <v:imagedata o:title=""/>
              <o:lock v:ext="edit" aspectratio="f"/>
              <v:textbox inset="0mm,0mm,0mm,0mm">
                <w:txbxContent>
                  <w:p w14:paraId="6F855D3F">
                    <w:pPr>
                      <w:pStyle w:val="7"/>
                      <w:rPr>
                        <w:rFonts w:ascii="宋体" w:eastAsia="宋体" w:cs="宋体"/>
                        <w:sz w:val="28"/>
                        <w:szCs w:val="28"/>
                      </w:rPr>
                    </w:pPr>
                    <w:r>
                      <w:rPr>
                        <w:rFonts w:hint="eastAsia" w:ascii="宋体" w:eastAsia="宋体" w:cs="宋体"/>
                        <w:color w:val="FFFFFF"/>
                        <w:sz w:val="28"/>
                        <w:szCs w:val="28"/>
                      </w:rPr>
                      <w:t>一</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- 8 -</w:t>
                    </w:r>
                    <w:r>
                      <w:rPr>
                        <w:rFonts w:hint="eastAsia" w:asci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C097A"/>
    <w:multiLevelType w:val="singleLevel"/>
    <w:tmpl w:val="FC8C097A"/>
    <w:lvl w:ilvl="0" w:tentative="0">
      <w:start w:val="2"/>
      <w:numFmt w:val="chineseCounting"/>
      <w:suff w:val="nothing"/>
      <w:lvlText w:val="（%1）"/>
      <w:lvlJc w:val="left"/>
      <w:pPr>
        <w:ind w:left="0" w:firstLine="0"/>
      </w:pPr>
      <w:rPr>
        <w:rFonts w:hint="eastAsia"/>
      </w:rPr>
    </w:lvl>
  </w:abstractNum>
  <w:abstractNum w:abstractNumId="1">
    <w:nsid w:val="65CE0F8C"/>
    <w:multiLevelType w:val="singleLevel"/>
    <w:tmpl w:val="65CE0F8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evenAndOddHeaders w:val="1"/>
  <w:drawingGridHorizontalSpacing w:val="97"/>
  <w:drawingGridVerticalSpacing w:val="144"/>
  <w:displayHorizontalDrawingGridEvery w:val="1"/>
  <w:displayVerticalDrawingGridEvery w:val="1"/>
  <w:doNotUseMarginsForDrawingGridOrigin w:val="1"/>
  <w:drawingGridHorizontalOrigin w:val="1702"/>
  <w:drawingGridVerticalOrigin w:val="1985"/>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Tc2NDQ2N2MzMTUzMjA5MmE5NzljMWVlNWNjNTU1Y2QifQ=="/>
  </w:docVars>
  <w:rsids>
    <w:rsidRoot w:val="00000000"/>
    <w:rsid w:val="02BC1AC9"/>
    <w:rsid w:val="14867D89"/>
    <w:rsid w:val="1A2E5FCA"/>
    <w:rsid w:val="1A7019A1"/>
    <w:rsid w:val="1FC00E35"/>
    <w:rsid w:val="2FE80974"/>
    <w:rsid w:val="329B21CF"/>
    <w:rsid w:val="388D1A38"/>
    <w:rsid w:val="47BD31D8"/>
    <w:rsid w:val="49705947"/>
    <w:rsid w:val="4EA33F63"/>
    <w:rsid w:val="524F0063"/>
    <w:rsid w:val="545A2473"/>
    <w:rsid w:val="5AD46EED"/>
    <w:rsid w:val="65790F1C"/>
    <w:rsid w:val="71F853FF"/>
    <w:rsid w:val="74320D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paragraph" w:styleId="6">
    <w:name w:val="heading 4"/>
    <w:basedOn w:val="1"/>
    <w:next w:val="1"/>
    <w:qFormat/>
    <w:uiPriority w:val="0"/>
    <w:pPr>
      <w:widowControl w:val="0"/>
      <w:adjustRightInd w:val="0"/>
      <w:snapToGrid w:val="0"/>
      <w:spacing w:after="50" w:afterLines="50" w:line="400" w:lineRule="exact"/>
      <w:jc w:val="both"/>
      <w:outlineLvl w:val="3"/>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列出段落1"/>
    <w:basedOn w:val="1"/>
    <w:qFormat/>
    <w:uiPriority w:val="0"/>
    <w:pPr>
      <w:ind w:firstLine="200" w:firstLineChars="200"/>
    </w:pPr>
  </w:style>
  <w:style w:type="character" w:customStyle="1" w:styleId="12">
    <w:name w:val="font31"/>
    <w:basedOn w:val="10"/>
    <w:qFormat/>
    <w:uiPriority w:val="0"/>
    <w:rPr>
      <w:rFonts w:ascii="黑体" w:eastAsia="黑体" w:cs="黑体"/>
      <w:color w:val="000000"/>
      <w:sz w:val="40"/>
      <w:szCs w:val="40"/>
      <w:u w:val="none"/>
    </w:rPr>
  </w:style>
  <w:style w:type="character" w:customStyle="1" w:styleId="13">
    <w:name w:val="font21"/>
    <w:basedOn w:val="10"/>
    <w:qFormat/>
    <w:uiPriority w:val="0"/>
    <w:rPr>
      <w:rFonts w:ascii="宋体" w:eastAsia="宋体" w:cs="宋体"/>
      <w:b/>
      <w:color w:val="000000"/>
      <w:sz w:val="32"/>
      <w:szCs w:val="32"/>
      <w:u w:val="none"/>
    </w:rPr>
  </w:style>
  <w:style w:type="character" w:customStyle="1" w:styleId="14">
    <w:name w:val="font81"/>
    <w:basedOn w:val="10"/>
    <w:qFormat/>
    <w:uiPriority w:val="0"/>
    <w:rPr>
      <w:rFonts w:ascii="黑体" w:eastAsia="黑体" w:cs="黑体"/>
      <w:color w:val="000000"/>
      <w:sz w:val="40"/>
      <w:szCs w:val="40"/>
      <w:u w:val="none"/>
    </w:rPr>
  </w:style>
  <w:style w:type="character" w:customStyle="1" w:styleId="15">
    <w:name w:val="font11"/>
    <w:basedOn w:val="10"/>
    <w:qFormat/>
    <w:uiPriority w:val="0"/>
    <w:rPr>
      <w:rFonts w:ascii="黑体" w:eastAsia="黑体" w:cs="黑体"/>
      <w:color w:val="000000"/>
      <w:sz w:val="36"/>
      <w:szCs w:val="36"/>
      <w:u w:val="none"/>
    </w:rPr>
  </w:style>
  <w:style w:type="character" w:customStyle="1" w:styleId="16">
    <w:name w:val="font41"/>
    <w:basedOn w:val="10"/>
    <w:qFormat/>
    <w:uiPriority w:val="0"/>
    <w:rPr>
      <w:rFonts w:ascii="黑体" w:eastAsia="黑体" w:cs="黑体"/>
      <w:color w:val="000000"/>
      <w:sz w:val="36"/>
      <w:szCs w:val="36"/>
      <w:u w:val="none"/>
    </w:rPr>
  </w:style>
  <w:style w:type="character" w:customStyle="1" w:styleId="17">
    <w:name w:val="font112"/>
    <w:basedOn w:val="10"/>
    <w:qFormat/>
    <w:uiPriority w:val="0"/>
    <w:rPr>
      <w:rFonts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7365</Words>
  <Characters>7915</Characters>
  <Lines>351</Lines>
  <Paragraphs>114</Paragraphs>
  <TotalTime>12</TotalTime>
  <ScaleCrop>false</ScaleCrop>
  <LinksUpToDate>false</LinksUpToDate>
  <CharactersWithSpaces>7945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不是风是宇。</cp:lastModifiedBy>
  <cp:lastPrinted>2022-02-16T02:02:00Z</cp:lastPrinted>
  <dcterms:modified xsi:type="dcterms:W3CDTF">2024-09-24T07:44:36Z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93E49F049FB741FCBE3D03C6689C3468_13</vt:lpwstr>
  </property>
</Properties>
</file>