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36" w:firstLineChars="100"/>
        <w:jc w:val="left"/>
        <w:rPr>
          <w:rFonts w:ascii="宋体"/>
          <w:b/>
          <w:sz w:val="24"/>
          <w:szCs w:val="44"/>
        </w:rPr>
      </w:pPr>
    </w:p>
    <w:p>
      <w:pPr>
        <w:ind w:firstLine="316" w:firstLineChars="100"/>
        <w:jc w:val="left"/>
        <w:rPr>
          <w:rFonts w:ascii="宋体"/>
          <w:b/>
          <w:sz w:val="32"/>
          <w:szCs w:val="32"/>
        </w:rPr>
      </w:pPr>
    </w:p>
    <w:p>
      <w:pPr>
        <w:ind w:firstLine="236" w:firstLineChars="100"/>
        <w:jc w:val="left"/>
        <w:rPr>
          <w:rFonts w:ascii="宋体"/>
          <w:b/>
          <w:sz w:val="24"/>
          <w:szCs w:val="44"/>
        </w:rPr>
      </w:pPr>
    </w:p>
    <w:p>
      <w:pPr>
        <w:ind w:firstLine="236" w:firstLineChars="100"/>
        <w:jc w:val="left"/>
        <w:rPr>
          <w:rFonts w:ascii="宋体"/>
          <w:b/>
          <w:sz w:val="24"/>
          <w:szCs w:val="44"/>
        </w:rPr>
      </w:pPr>
    </w:p>
    <w:p>
      <w:pPr>
        <w:spacing w:line="720" w:lineRule="exact"/>
        <w:jc w:val="center"/>
        <w:rPr>
          <w:rFonts w:ascii="方正小标宋简体" w:hAnsi="方正小标宋_GBK" w:eastAsia="方正小标宋简体" w:cs="方正小标宋_GBK"/>
          <w:bCs/>
          <w:sz w:val="48"/>
          <w:szCs w:val="48"/>
        </w:rPr>
      </w:pPr>
      <w:r>
        <w:rPr>
          <w:rFonts w:hint="eastAsia" w:ascii="方正小标宋简体" w:hAnsi="方正小标宋_GBK" w:eastAsia="方正小标宋简体" w:cs="方正小标宋_GBK"/>
          <w:bCs/>
          <w:sz w:val="48"/>
          <w:szCs w:val="48"/>
        </w:rPr>
        <w:t>贵阳市人民政府驻广州（深圳）办事处2022年度市级部门预算、“三公”经费预算公开说明</w:t>
      </w:r>
    </w:p>
    <w:p>
      <w:pPr>
        <w:ind w:firstLine="316" w:firstLineChars="100"/>
        <w:jc w:val="left"/>
        <w:rPr>
          <w:rFonts w:ascii="新宋体" w:hAnsi="新宋体" w:eastAsia="新宋体" w:cs="新宋体"/>
          <w:b/>
          <w:sz w:val="32"/>
          <w:szCs w:val="52"/>
        </w:rPr>
      </w:pPr>
    </w:p>
    <w:p>
      <w:pPr>
        <w:jc w:val="left"/>
        <w:rPr>
          <w:rFonts w:ascii="新宋体" w:hAnsi="新宋体" w:eastAsia="新宋体" w:cs="新宋体"/>
          <w:b/>
          <w:sz w:val="32"/>
          <w:szCs w:val="52"/>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jc w:val="left"/>
        <w:rPr>
          <w:rFonts w:ascii="宋体"/>
          <w:b/>
          <w:sz w:val="24"/>
          <w:szCs w:val="44"/>
        </w:rPr>
      </w:pPr>
    </w:p>
    <w:p>
      <w:pPr>
        <w:spacing w:line="560" w:lineRule="exact"/>
        <w:ind w:firstLine="316" w:firstLineChars="100"/>
        <w:jc w:val="left"/>
        <w:rPr>
          <w:rFonts w:ascii="黑体" w:hAnsi="黑体" w:eastAsia="黑体" w:cs="黑体"/>
          <w:bCs/>
          <w:sz w:val="32"/>
          <w:szCs w:val="32"/>
        </w:rPr>
      </w:pPr>
    </w:p>
    <w:p>
      <w:pPr>
        <w:spacing w:line="560" w:lineRule="exact"/>
        <w:ind w:firstLine="316" w:firstLineChars="100"/>
        <w:jc w:val="left"/>
        <w:rPr>
          <w:rFonts w:ascii="黑体" w:hAnsi="黑体" w:eastAsia="黑体" w:cs="黑体"/>
          <w:bCs/>
          <w:sz w:val="32"/>
          <w:szCs w:val="32"/>
        </w:rPr>
      </w:pPr>
    </w:p>
    <w:p>
      <w:pPr>
        <w:spacing w:line="560" w:lineRule="exact"/>
        <w:ind w:firstLine="316" w:firstLineChars="100"/>
        <w:jc w:val="left"/>
        <w:rPr>
          <w:rFonts w:ascii="黑体" w:hAnsi="黑体" w:eastAsia="黑体" w:cs="黑体"/>
          <w:bCs/>
          <w:sz w:val="32"/>
          <w:szCs w:val="32"/>
        </w:rPr>
      </w:pPr>
    </w:p>
    <w:p>
      <w:pPr>
        <w:spacing w:line="560" w:lineRule="exact"/>
        <w:ind w:firstLine="316" w:firstLineChars="100"/>
        <w:jc w:val="left"/>
        <w:rPr>
          <w:rFonts w:ascii="黑体" w:hAnsi="黑体" w:eastAsia="黑体" w:cs="黑体"/>
          <w:bCs/>
          <w:sz w:val="32"/>
          <w:szCs w:val="32"/>
        </w:rPr>
      </w:pPr>
    </w:p>
    <w:p>
      <w:pPr>
        <w:spacing w:line="560" w:lineRule="exact"/>
        <w:ind w:firstLine="436" w:firstLineChars="100"/>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目 录</w:t>
      </w:r>
    </w:p>
    <w:p>
      <w:pPr>
        <w:spacing w:line="560" w:lineRule="exact"/>
        <w:ind w:firstLine="436" w:firstLineChars="100"/>
        <w:jc w:val="center"/>
        <w:rPr>
          <w:rFonts w:ascii="方正小标宋简体" w:hAnsi="黑体" w:eastAsia="方正小标宋简体" w:cs="黑体"/>
          <w:bCs/>
          <w:sz w:val="44"/>
          <w:szCs w:val="44"/>
        </w:rPr>
      </w:pPr>
    </w:p>
    <w:p>
      <w:pPr>
        <w:spacing w:line="560" w:lineRule="exact"/>
        <w:ind w:firstLine="632" w:firstLineChars="200"/>
        <w:jc w:val="left"/>
        <w:rPr>
          <w:rFonts w:ascii="黑体" w:hAnsi="黑体" w:eastAsia="黑体" w:cs="黑体"/>
          <w:bCs/>
          <w:sz w:val="32"/>
          <w:szCs w:val="32"/>
        </w:rPr>
      </w:pPr>
      <w:r>
        <w:rPr>
          <w:rFonts w:hint="eastAsia" w:ascii="黑体" w:hAnsi="黑体" w:eastAsia="黑体" w:cs="黑体"/>
          <w:bCs/>
          <w:sz w:val="32"/>
          <w:szCs w:val="32"/>
        </w:rPr>
        <w:t>一、单位概况</w:t>
      </w:r>
    </w:p>
    <w:p>
      <w:pPr>
        <w:spacing w:line="560" w:lineRule="exact"/>
        <w:ind w:firstLine="632" w:firstLineChars="200"/>
        <w:jc w:val="left"/>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（一）单位主要职能</w:t>
      </w:r>
    </w:p>
    <w:p>
      <w:pPr>
        <w:spacing w:line="560" w:lineRule="exact"/>
        <w:ind w:firstLine="632" w:firstLineChars="200"/>
        <w:jc w:val="left"/>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（二）部门预算单位构成</w:t>
      </w:r>
    </w:p>
    <w:p>
      <w:pPr>
        <w:spacing w:line="560" w:lineRule="exact"/>
        <w:ind w:firstLine="632" w:firstLineChars="200"/>
        <w:jc w:val="left"/>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（三）单位人员构成</w:t>
      </w:r>
    </w:p>
    <w:p>
      <w:pPr>
        <w:spacing w:line="560" w:lineRule="exact"/>
        <w:ind w:firstLine="632" w:firstLineChars="200"/>
        <w:jc w:val="left"/>
        <w:rPr>
          <w:rFonts w:ascii="黑体" w:hAnsi="黑体" w:eastAsia="黑体" w:cs="黑体"/>
          <w:bCs/>
          <w:sz w:val="32"/>
          <w:szCs w:val="32"/>
        </w:rPr>
      </w:pPr>
      <w:r>
        <w:rPr>
          <w:rFonts w:hint="eastAsia" w:ascii="黑体" w:hAnsi="黑体" w:eastAsia="黑体" w:cs="黑体"/>
          <w:bCs/>
          <w:sz w:val="32"/>
          <w:szCs w:val="32"/>
        </w:rPr>
        <w:t>二、单位主要工作任务和政策依据</w:t>
      </w:r>
    </w:p>
    <w:p>
      <w:pPr>
        <w:spacing w:line="560" w:lineRule="exact"/>
        <w:ind w:firstLine="632" w:firstLineChars="200"/>
        <w:jc w:val="left"/>
        <w:rPr>
          <w:rFonts w:ascii="黑体" w:hAnsi="黑体" w:eastAsia="黑体" w:cs="黑体"/>
          <w:bCs/>
          <w:sz w:val="32"/>
          <w:szCs w:val="32"/>
        </w:rPr>
      </w:pPr>
      <w:r>
        <w:rPr>
          <w:rFonts w:hint="eastAsia" w:ascii="黑体" w:hAnsi="黑体" w:eastAsia="黑体" w:cs="黑体"/>
          <w:bCs/>
          <w:sz w:val="32"/>
          <w:szCs w:val="32"/>
        </w:rPr>
        <w:t>三</w:t>
      </w:r>
      <w:r>
        <w:rPr>
          <w:rFonts w:ascii="黑体" w:hAnsi="黑体" w:eastAsia="黑体" w:cs="黑体"/>
          <w:bCs/>
          <w:sz w:val="32"/>
          <w:szCs w:val="32"/>
        </w:rPr>
        <w:t>、</w:t>
      </w:r>
      <w:r>
        <w:rPr>
          <w:rFonts w:hint="eastAsia" w:ascii="黑体" w:hAnsi="黑体" w:eastAsia="黑体" w:cs="黑体"/>
          <w:bCs/>
          <w:sz w:val="32"/>
          <w:szCs w:val="32"/>
        </w:rPr>
        <w:t>单位预算安排情况说明</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（一）单位收支总体情况（详见表1）</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（二）单位收入总体情况（详见表2）</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（三）单位支出总体情况（详见表3）</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（四）财政拨款收支总体情况（详见表4）</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（五）一般公共预算支出情况（详见表5）</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（六）一般公共预算基本支出情况（详见表6、7）</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（七）一般公共预算“三公”经费支出情况（详见表8）</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（八）政府性基金预算支出情况（详见表9）</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（九）市级对下专项转移支付项目支出情况（详见表10）</w:t>
      </w:r>
    </w:p>
    <w:p>
      <w:pPr>
        <w:spacing w:line="560" w:lineRule="exact"/>
        <w:ind w:firstLine="632" w:firstLineChars="200"/>
        <w:jc w:val="left"/>
        <w:rPr>
          <w:rFonts w:eastAsia="仿宋_GB2312"/>
          <w:sz w:val="32"/>
          <w:szCs w:val="32"/>
        </w:rPr>
      </w:pPr>
      <w:r>
        <w:rPr>
          <w:rFonts w:hint="eastAsia" w:ascii="楷体_GB2312" w:eastAsia="楷体_GB2312"/>
          <w:bCs/>
          <w:sz w:val="32"/>
          <w:szCs w:val="32"/>
        </w:rPr>
        <w:t>（十</w:t>
      </w:r>
      <w:r>
        <w:rPr>
          <w:rFonts w:hint="eastAsia" w:ascii="楷体_GB2312" w:hAnsi="楷体_GB2312" w:eastAsia="楷体_GB2312" w:cs="楷体_GB2312"/>
          <w:bCs/>
          <w:sz w:val="32"/>
          <w:szCs w:val="32"/>
        </w:rPr>
        <w:t>）国有资本经营预算支出情况（详见表11）</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（十一）部门整体支出绩效目标情况（详见表12）</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（十二）重点项目支出绩效目标情况（详见表13、14）</w:t>
      </w:r>
    </w:p>
    <w:p>
      <w:pPr>
        <w:spacing w:line="560" w:lineRule="exact"/>
        <w:ind w:firstLine="632" w:firstLineChars="200"/>
        <w:jc w:val="left"/>
        <w:rPr>
          <w:rFonts w:ascii="黑体" w:hAnsi="黑体" w:eastAsia="黑体" w:cs="黑体"/>
          <w:bCs/>
          <w:sz w:val="32"/>
          <w:szCs w:val="32"/>
        </w:rPr>
      </w:pPr>
      <w:r>
        <w:rPr>
          <w:rFonts w:hint="eastAsia" w:ascii="黑体" w:hAnsi="黑体" w:eastAsia="黑体" w:cs="黑体"/>
          <w:bCs/>
          <w:sz w:val="32"/>
          <w:szCs w:val="32"/>
        </w:rPr>
        <w:t>四、其他重要事项说明</w:t>
      </w:r>
    </w:p>
    <w:p>
      <w:pPr>
        <w:spacing w:line="560" w:lineRule="exact"/>
        <w:ind w:firstLine="632" w:firstLineChars="200"/>
        <w:jc w:val="left"/>
        <w:rPr>
          <w:rFonts w:ascii="楷体_GB2312" w:hAnsi="仿宋" w:eastAsia="楷体_GB2312" w:cs="仿宋"/>
          <w:bCs/>
          <w:sz w:val="32"/>
          <w:szCs w:val="32"/>
        </w:rPr>
      </w:pPr>
      <w:r>
        <w:rPr>
          <w:rFonts w:hint="eastAsia" w:ascii="楷体_GB2312" w:hAnsi="仿宋" w:eastAsia="楷体_GB2312" w:cs="仿宋"/>
          <w:bCs/>
          <w:sz w:val="32"/>
          <w:szCs w:val="32"/>
        </w:rPr>
        <w:t>（一）机关运行经费情况</w:t>
      </w:r>
    </w:p>
    <w:p>
      <w:pPr>
        <w:spacing w:line="560" w:lineRule="exact"/>
        <w:ind w:firstLine="632" w:firstLineChars="200"/>
        <w:jc w:val="left"/>
        <w:rPr>
          <w:rFonts w:ascii="楷体_GB2312" w:hAnsi="仿宋" w:eastAsia="楷体_GB2312" w:cs="仿宋"/>
          <w:bCs/>
          <w:sz w:val="32"/>
          <w:szCs w:val="32"/>
        </w:rPr>
      </w:pPr>
      <w:r>
        <w:rPr>
          <w:rFonts w:hint="eastAsia" w:ascii="楷体_GB2312" w:hAnsi="仿宋" w:eastAsia="楷体_GB2312" w:cs="仿宋"/>
          <w:bCs/>
          <w:sz w:val="32"/>
          <w:szCs w:val="32"/>
        </w:rPr>
        <w:t>（二）政府采购情况</w:t>
      </w:r>
    </w:p>
    <w:p>
      <w:pPr>
        <w:spacing w:line="560" w:lineRule="exact"/>
        <w:ind w:firstLine="632" w:firstLineChars="200"/>
        <w:jc w:val="left"/>
        <w:rPr>
          <w:rFonts w:ascii="楷体_GB2312" w:hAnsi="仿宋" w:eastAsia="楷体_GB2312" w:cs="仿宋"/>
          <w:bCs/>
          <w:sz w:val="32"/>
          <w:szCs w:val="32"/>
        </w:rPr>
      </w:pPr>
      <w:r>
        <w:rPr>
          <w:rFonts w:hint="eastAsia" w:ascii="楷体_GB2312" w:hAnsi="仿宋" w:eastAsia="楷体_GB2312" w:cs="仿宋"/>
          <w:bCs/>
          <w:sz w:val="32"/>
          <w:szCs w:val="32"/>
        </w:rPr>
        <w:t>（三）国有资产占有使用情况</w:t>
      </w:r>
    </w:p>
    <w:p>
      <w:pPr>
        <w:spacing w:line="560" w:lineRule="exact"/>
        <w:ind w:firstLine="632" w:firstLineChars="200"/>
        <w:jc w:val="left"/>
        <w:rPr>
          <w:rFonts w:ascii="楷体_GB2312" w:hAnsi="仿宋" w:eastAsia="楷体_GB2312" w:cs="仿宋"/>
          <w:bCs/>
          <w:sz w:val="32"/>
          <w:szCs w:val="32"/>
        </w:rPr>
      </w:pPr>
      <w:r>
        <w:rPr>
          <w:rFonts w:hint="eastAsia" w:ascii="楷体_GB2312" w:hAnsi="仿宋" w:eastAsia="楷体_GB2312" w:cs="仿宋"/>
          <w:bCs/>
          <w:sz w:val="32"/>
          <w:szCs w:val="32"/>
        </w:rPr>
        <w:t>（四）预算绩效管理情况</w:t>
      </w:r>
    </w:p>
    <w:p>
      <w:pPr>
        <w:spacing w:line="560" w:lineRule="exact"/>
        <w:ind w:firstLine="632" w:firstLineChars="200"/>
        <w:jc w:val="left"/>
        <w:rPr>
          <w:rFonts w:ascii="楷体_GB2312" w:hAnsi="仿宋" w:eastAsia="楷体_GB2312" w:cs="仿宋"/>
          <w:bCs/>
          <w:sz w:val="32"/>
          <w:szCs w:val="32"/>
        </w:rPr>
      </w:pPr>
      <w:r>
        <w:rPr>
          <w:rFonts w:hint="eastAsia" w:ascii="楷体_GB2312" w:hAnsi="仿宋" w:eastAsia="楷体_GB2312" w:cs="仿宋"/>
          <w:bCs/>
          <w:sz w:val="32"/>
          <w:szCs w:val="32"/>
        </w:rPr>
        <w:t>（五）项目支出安排情况</w:t>
      </w:r>
    </w:p>
    <w:p>
      <w:pPr>
        <w:spacing w:line="560" w:lineRule="exact"/>
        <w:ind w:firstLine="632" w:firstLineChars="200"/>
        <w:jc w:val="left"/>
        <w:rPr>
          <w:rFonts w:ascii="楷体_GB2312" w:hAnsi="仿宋" w:eastAsia="楷体_GB2312" w:cs="仿宋"/>
          <w:bCs/>
          <w:sz w:val="32"/>
          <w:szCs w:val="32"/>
        </w:rPr>
      </w:pPr>
      <w:r>
        <w:rPr>
          <w:rFonts w:hint="eastAsia" w:ascii="楷体_GB2312" w:hAnsi="仿宋" w:eastAsia="楷体_GB2312" w:cs="仿宋"/>
          <w:bCs/>
          <w:sz w:val="32"/>
          <w:szCs w:val="32"/>
        </w:rPr>
        <w:t>（六）专有名词解释</w:t>
      </w:r>
    </w:p>
    <w:p>
      <w:pPr>
        <w:spacing w:line="560" w:lineRule="exact"/>
        <w:ind w:firstLine="632" w:firstLineChars="200"/>
        <w:jc w:val="left"/>
        <w:rPr>
          <w:rFonts w:ascii="黑体" w:hAnsi="黑体" w:eastAsia="黑体" w:cs="黑体"/>
          <w:bCs/>
          <w:sz w:val="32"/>
          <w:szCs w:val="32"/>
        </w:rPr>
      </w:pPr>
      <w:r>
        <w:rPr>
          <w:rFonts w:hint="eastAsia" w:ascii="黑体" w:hAnsi="黑体" w:eastAsia="黑体" w:cs="黑体"/>
          <w:bCs/>
          <w:sz w:val="32"/>
          <w:szCs w:val="32"/>
        </w:rPr>
        <w:t>五、2022年部门预算及“三公”经费预算公开表（详见附表）</w:t>
      </w: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spacing w:line="560" w:lineRule="exact"/>
        <w:ind w:firstLine="632" w:firstLineChars="200"/>
        <w:jc w:val="left"/>
        <w:rPr>
          <w:rFonts w:ascii="黑体" w:hAnsi="黑体" w:eastAsia="黑体" w:cs="黑体"/>
          <w:bCs/>
          <w:sz w:val="32"/>
          <w:szCs w:val="32"/>
        </w:rPr>
      </w:pPr>
    </w:p>
    <w:p>
      <w:pPr>
        <w:pStyle w:val="7"/>
        <w:spacing w:line="560" w:lineRule="exact"/>
        <w:ind w:left="156" w:leftChars="76" w:firstLine="631"/>
        <w:jc w:val="left"/>
        <w:rPr>
          <w:rFonts w:ascii="黑体" w:hAnsi="黑体" w:eastAsia="黑体" w:cs="楷体_GB2312"/>
          <w:bCs/>
          <w:sz w:val="32"/>
          <w:szCs w:val="32"/>
        </w:rPr>
      </w:pPr>
      <w:r>
        <w:rPr>
          <w:rFonts w:hint="eastAsia" w:ascii="黑体" w:hAnsi="黑体" w:eastAsia="黑体" w:cs="楷体_GB2312"/>
          <w:bCs/>
          <w:sz w:val="32"/>
          <w:szCs w:val="32"/>
        </w:rPr>
        <w:t>一、单位概况</w:t>
      </w:r>
    </w:p>
    <w:p>
      <w:pPr>
        <w:pStyle w:val="7"/>
        <w:spacing w:line="560" w:lineRule="exact"/>
        <w:ind w:left="156" w:leftChars="76" w:firstLine="631"/>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w:t>
      </w:r>
      <w:r>
        <w:rPr>
          <w:rFonts w:hint="eastAsia" w:ascii="楷体_GB2312" w:hAnsi="仿宋_GB2312" w:eastAsia="楷体_GB2312" w:cs="仿宋_GB2312"/>
          <w:bCs/>
          <w:sz w:val="32"/>
          <w:szCs w:val="32"/>
        </w:rPr>
        <w:t>单位</w:t>
      </w:r>
      <w:r>
        <w:rPr>
          <w:rFonts w:hint="eastAsia" w:ascii="楷体_GB2312" w:hAnsi="楷体_GB2312" w:eastAsia="楷体_GB2312" w:cs="楷体_GB2312"/>
          <w:bCs/>
          <w:sz w:val="32"/>
          <w:szCs w:val="32"/>
        </w:rPr>
        <w:t>主要职能</w:t>
      </w:r>
    </w:p>
    <w:p>
      <w:pPr>
        <w:pStyle w:val="7"/>
        <w:spacing w:line="560" w:lineRule="exact"/>
        <w:ind w:left="156" w:leftChars="76" w:firstLine="631"/>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1.负责面向广东、香港、澳门、海南等地开展招商引资工作；</w:t>
      </w:r>
    </w:p>
    <w:p>
      <w:pPr>
        <w:pStyle w:val="7"/>
        <w:spacing w:line="560" w:lineRule="exact"/>
        <w:ind w:left="156" w:leftChars="76" w:firstLine="631"/>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2.负责梳理驻地符合贵阳产业发展目标企业，邀请意向企业赴筑考察；</w:t>
      </w:r>
    </w:p>
    <w:p>
      <w:pPr>
        <w:pStyle w:val="7"/>
        <w:spacing w:line="560" w:lineRule="exact"/>
        <w:ind w:left="156" w:leftChars="76" w:firstLine="631"/>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3.负责完成市委、市政府以及市产业大招商领导小组明确的招商引资年度目标任务；</w:t>
      </w:r>
    </w:p>
    <w:p>
      <w:pPr>
        <w:pStyle w:val="7"/>
        <w:spacing w:line="560" w:lineRule="exact"/>
        <w:ind w:left="156" w:leftChars="76" w:firstLine="631"/>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4.负责指导管理区域内贵阳市驻点招商工作队；</w:t>
      </w:r>
    </w:p>
    <w:p>
      <w:pPr>
        <w:pStyle w:val="7"/>
        <w:spacing w:line="560" w:lineRule="exact"/>
        <w:ind w:left="156" w:leftChars="76" w:firstLine="631"/>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5.协助做好我市赴当地及周边企业的联络、考察、活动组织、项目洽谈等工作；</w:t>
      </w:r>
    </w:p>
    <w:p>
      <w:pPr>
        <w:pStyle w:val="7"/>
        <w:spacing w:line="560" w:lineRule="exact"/>
        <w:ind w:left="156" w:leftChars="76" w:firstLine="631"/>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6.负责驻地公务活动的联络和接待服务工作；</w:t>
      </w:r>
    </w:p>
    <w:p>
      <w:pPr>
        <w:pStyle w:val="7"/>
        <w:spacing w:line="560" w:lineRule="exact"/>
        <w:ind w:left="156" w:leftChars="76" w:firstLine="631"/>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7.完成上级交办的其他工作。</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（二）部门预算单位构成</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楷体_GB2312" w:eastAsia="仿宋_GB2312" w:cs="楷体_GB2312"/>
          <w:bCs/>
          <w:sz w:val="32"/>
          <w:szCs w:val="32"/>
        </w:rPr>
        <w:t>贵阳市人民政府驻广州办事处（贵阳市人民政府驻深圳办事处、贵阳市人民政府驻广州投资促进局）</w:t>
      </w:r>
      <w:r>
        <w:rPr>
          <w:rFonts w:hint="eastAsia" w:ascii="仿宋_GB2312" w:hAnsi="仿宋_GB2312" w:eastAsia="仿宋_GB2312" w:cs="仿宋_GB2312"/>
          <w:sz w:val="32"/>
          <w:szCs w:val="32"/>
        </w:rPr>
        <w:t>有1个内设机构，为综合科（正科级），无其他所属单位。</w:t>
      </w:r>
      <w:r>
        <w:rPr>
          <w:rFonts w:hint="eastAsia" w:ascii="仿宋_GB2312" w:hAnsi="仿宋_GB2312" w:eastAsia="仿宋_GB2312" w:cs="仿宋_GB2312"/>
          <w:bCs/>
          <w:sz w:val="32"/>
          <w:szCs w:val="32"/>
        </w:rPr>
        <w:t xml:space="preserve"> </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（三）单位人员构成</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阳市人民政府驻广州办事处（贵阳市人民政府驻深圳办事处、贵阳市人民政府驻广州投资促进局）属参公事业单位（正县级），编制人数为13名，其中管理人员12名、工勤人员1名。设主任（局长）1名（正县长级）,副主任（副局长）2名（副县长级）;内设机构科级领导职数4名（正副科长级），年初实际在编人员5名。</w:t>
      </w:r>
    </w:p>
    <w:p>
      <w:pPr>
        <w:spacing w:line="560" w:lineRule="exact"/>
        <w:ind w:firstLine="632" w:firstLineChars="200"/>
        <w:jc w:val="left"/>
        <w:rPr>
          <w:rFonts w:ascii="楷体_GB2312" w:eastAsia="楷体_GB2312"/>
        </w:rPr>
      </w:pPr>
      <w:r>
        <w:rPr>
          <w:rFonts w:hint="eastAsia" w:ascii="楷体_GB2312" w:hAnsi="华文中宋" w:eastAsia="楷体_GB2312" w:cs="华文中宋"/>
          <w:sz w:val="32"/>
          <w:szCs w:val="32"/>
        </w:rPr>
        <w:t>二、单位主要工作任务和政策依据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843"/>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pStyle w:val="2"/>
              <w:ind w:firstLine="0" w:firstLineChars="0"/>
              <w:jc w:val="center"/>
              <w:rPr>
                <w:rFonts w:ascii="黑体" w:hAnsi="黑体" w:eastAsia="黑体" w:cs="黑体"/>
                <w:sz w:val="32"/>
                <w:szCs w:val="32"/>
              </w:rPr>
            </w:pPr>
            <w:r>
              <w:rPr>
                <w:rFonts w:hint="eastAsia" w:ascii="黑体" w:hAnsi="黑体" w:eastAsia="黑体" w:cs="黑体"/>
                <w:sz w:val="32"/>
                <w:szCs w:val="32"/>
              </w:rPr>
              <w:t>序号</w:t>
            </w:r>
          </w:p>
        </w:tc>
        <w:tc>
          <w:tcPr>
            <w:tcW w:w="7551" w:type="dxa"/>
            <w:gridSpan w:val="2"/>
          </w:tcPr>
          <w:p>
            <w:pPr>
              <w:pStyle w:val="2"/>
              <w:ind w:firstLine="0" w:firstLineChars="0"/>
              <w:jc w:val="center"/>
              <w:rPr>
                <w:rFonts w:ascii="黑体" w:hAnsi="黑体" w:eastAsia="黑体" w:cs="黑体"/>
                <w:sz w:val="32"/>
                <w:szCs w:val="32"/>
              </w:rPr>
            </w:pPr>
            <w:r>
              <w:rPr>
                <w:rFonts w:hint="eastAsia" w:ascii="黑体" w:hAnsi="黑体" w:eastAsia="黑体" w:cs="黑体"/>
                <w:sz w:val="32"/>
                <w:szCs w:val="32"/>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3" w:hRule="atLeast"/>
        </w:trPr>
        <w:tc>
          <w:tcPr>
            <w:tcW w:w="971" w:type="dxa"/>
            <w:vAlign w:val="center"/>
          </w:tcPr>
          <w:p>
            <w:pPr>
              <w:pStyle w:val="2"/>
              <w:spacing w:line="720" w:lineRule="auto"/>
              <w:ind w:firstLine="0" w:firstLineChars="0"/>
              <w:jc w:val="center"/>
              <w:rPr>
                <w:rFonts w:ascii="黑体" w:hAnsi="黑体" w:eastAsia="黑体" w:cs="黑体"/>
                <w:sz w:val="32"/>
                <w:szCs w:val="32"/>
              </w:rPr>
            </w:pPr>
            <w:r>
              <w:rPr>
                <w:rFonts w:hint="eastAsia" w:ascii="黑体" w:hAnsi="黑体" w:eastAsia="黑体" w:cs="黑体"/>
                <w:sz w:val="32"/>
                <w:szCs w:val="32"/>
              </w:rPr>
              <w:t>1</w:t>
            </w:r>
          </w:p>
        </w:tc>
        <w:tc>
          <w:tcPr>
            <w:tcW w:w="2843" w:type="dxa"/>
            <w:vAlign w:val="center"/>
          </w:tcPr>
          <w:p>
            <w:pPr>
              <w:pStyle w:val="2"/>
              <w:spacing w:line="360" w:lineRule="exact"/>
              <w:ind w:firstLine="0" w:firstLineChars="0"/>
              <w:rPr>
                <w:rFonts w:ascii="黑体" w:hAnsi="黑体" w:eastAsia="仿宋_GB2312" w:cs="黑体"/>
                <w:sz w:val="32"/>
                <w:szCs w:val="32"/>
              </w:rPr>
            </w:pPr>
            <w:r>
              <w:rPr>
                <w:rFonts w:hint="eastAsia" w:ascii="仿宋_GB2312" w:hAnsi="仿宋_GB2312" w:eastAsia="仿宋_GB2312" w:cs="仿宋_GB2312"/>
                <w:sz w:val="24"/>
              </w:rPr>
              <w:t>加强政治建设工作</w:t>
            </w:r>
          </w:p>
        </w:tc>
        <w:tc>
          <w:tcPr>
            <w:tcW w:w="4708" w:type="dxa"/>
          </w:tcPr>
          <w:p>
            <w:pPr>
              <w:spacing w:line="340" w:lineRule="exact"/>
              <w:ind w:firstLine="472" w:firstLineChars="200"/>
              <w:rPr>
                <w:rFonts w:ascii="仿宋_GB2312" w:hAnsi="仿宋_GB2312" w:eastAsia="仿宋_GB2312" w:cs="仿宋_GB2312"/>
                <w:sz w:val="24"/>
              </w:rPr>
            </w:pPr>
          </w:p>
          <w:p>
            <w:pPr>
              <w:spacing w:line="340" w:lineRule="exact"/>
              <w:ind w:firstLine="472" w:firstLineChars="200"/>
              <w:rPr>
                <w:rFonts w:ascii="仿宋_GB2312" w:hAnsi="仿宋_GB2312" w:eastAsia="仿宋_GB2312" w:cs="仿宋_GB2312"/>
                <w:sz w:val="24"/>
              </w:rPr>
            </w:pPr>
            <w:r>
              <w:rPr>
                <w:rFonts w:hint="eastAsia" w:ascii="仿宋_GB2312" w:hAnsi="仿宋_GB2312" w:eastAsia="仿宋_GB2312" w:cs="仿宋_GB2312"/>
                <w:sz w:val="24"/>
              </w:rPr>
              <w:t>把习近平新时代中国特色社会主义思想作为最高指引，把习近平</w:t>
            </w:r>
            <w:r>
              <w:rPr>
                <w:rFonts w:hint="eastAsia" w:ascii="仿宋_GB2312" w:hAnsi="仿宋_GB2312" w:eastAsia="仿宋_GB2312" w:cs="仿宋_GB2312"/>
                <w:sz w:val="24"/>
                <w:lang w:eastAsia="zh-CN"/>
              </w:rPr>
              <w:t>总书记</w:t>
            </w:r>
            <w:r>
              <w:rPr>
                <w:rFonts w:hint="eastAsia" w:ascii="仿宋_GB2312" w:hAnsi="仿宋_GB2312" w:eastAsia="仿宋_GB2312" w:cs="仿宋_GB2312"/>
                <w:sz w:val="24"/>
              </w:rPr>
              <w:t>视察贵州重要讲话和系列指示</w:t>
            </w:r>
            <w:bookmarkStart w:id="0" w:name="_GoBack"/>
            <w:bookmarkEnd w:id="0"/>
            <w:r>
              <w:rPr>
                <w:rFonts w:hint="eastAsia" w:ascii="仿宋_GB2312" w:hAnsi="仿宋_GB2312" w:eastAsia="仿宋_GB2312" w:cs="仿宋_GB2312"/>
                <w:sz w:val="24"/>
              </w:rPr>
              <w:t>作为总遵循、总指针，抢抓新国发2号文件出台的重大历史机遇，不折不扣全面贯彻落实市委、市政府各项决策部署，始终持续用理论知识武装头脑，把学习教育成果转化为推动高质量发展的实际成效，将“强省会”行动计划牢记在心，增强“强”的工作节奏和服务意识，真抓实干、埋头苦干，保质保量完成各项工作，以优异的成绩为贵阳贵安“强省会”五年行动提供支撑，迎接党的二十大和省第十三次党代会胜利召开。</w:t>
            </w:r>
          </w:p>
          <w:p>
            <w:pPr>
              <w:spacing w:line="340" w:lineRule="exact"/>
              <w:ind w:firstLine="632" w:firstLineChars="200"/>
              <w:rPr>
                <w:rFonts w:ascii="黑体" w:hAnsi="黑体" w:eastAsia="仿宋_GB2312"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971" w:type="dxa"/>
            <w:vAlign w:val="center"/>
          </w:tcPr>
          <w:p>
            <w:pPr>
              <w:pStyle w:val="2"/>
              <w:spacing w:line="720" w:lineRule="auto"/>
              <w:ind w:firstLine="0" w:firstLineChars="0"/>
              <w:jc w:val="center"/>
              <w:rPr>
                <w:rFonts w:ascii="黑体" w:hAnsi="黑体" w:eastAsia="黑体" w:cs="黑体"/>
                <w:sz w:val="32"/>
                <w:szCs w:val="32"/>
              </w:rPr>
            </w:pPr>
            <w:r>
              <w:rPr>
                <w:rFonts w:hint="eastAsia" w:ascii="黑体" w:hAnsi="黑体" w:eastAsia="黑体" w:cs="黑体"/>
                <w:sz w:val="32"/>
                <w:szCs w:val="32"/>
              </w:rPr>
              <w:t>2</w:t>
            </w:r>
          </w:p>
        </w:tc>
        <w:tc>
          <w:tcPr>
            <w:tcW w:w="2843" w:type="dxa"/>
            <w:vAlign w:val="center"/>
          </w:tcPr>
          <w:p>
            <w:pPr>
              <w:pStyle w:val="2"/>
              <w:spacing w:line="360" w:lineRule="exact"/>
              <w:ind w:firstLine="0" w:firstLineChars="0"/>
              <w:rPr>
                <w:rFonts w:ascii="黑体" w:hAnsi="黑体" w:eastAsia="仿宋_GB2312" w:cs="黑体"/>
                <w:sz w:val="32"/>
                <w:szCs w:val="32"/>
              </w:rPr>
            </w:pPr>
            <w:r>
              <w:rPr>
                <w:rFonts w:hint="eastAsia" w:ascii="仿宋_GB2312" w:hAnsi="仿宋_GB2312" w:eastAsia="仿宋_GB2312" w:cs="仿宋_GB2312"/>
                <w:sz w:val="24"/>
              </w:rPr>
              <w:t>深圳办事处选址、开办、挂牌工作</w:t>
            </w:r>
          </w:p>
        </w:tc>
        <w:tc>
          <w:tcPr>
            <w:tcW w:w="4708" w:type="dxa"/>
          </w:tcPr>
          <w:p>
            <w:pPr>
              <w:spacing w:line="340" w:lineRule="exact"/>
              <w:ind w:firstLine="472" w:firstLineChars="200"/>
              <w:rPr>
                <w:rFonts w:ascii="仿宋_GB2312" w:hAnsi="仿宋_GB2312" w:eastAsia="仿宋_GB2312" w:cs="仿宋_GB2312"/>
                <w:sz w:val="24"/>
              </w:rPr>
            </w:pPr>
          </w:p>
          <w:p>
            <w:pPr>
              <w:spacing w:line="340" w:lineRule="exact"/>
              <w:ind w:firstLine="472" w:firstLineChars="200"/>
              <w:rPr>
                <w:rFonts w:ascii="黑体" w:hAnsi="黑体" w:eastAsia="仿宋_GB2312" w:cs="黑体"/>
                <w:sz w:val="32"/>
                <w:szCs w:val="32"/>
              </w:rPr>
            </w:pPr>
            <w:r>
              <w:rPr>
                <w:rFonts w:hint="eastAsia" w:ascii="仿宋_GB2312" w:hAnsi="仿宋_GB2312" w:eastAsia="仿宋_GB2312" w:cs="仿宋_GB2312"/>
                <w:sz w:val="24"/>
              </w:rPr>
              <w:t>按照市委市政府统一安排部署，依据《中共贵阳市委机构编制委员会关于调整贵阳市人民政府驻广州办事处（贵阳市人民政府驻广州投资促进局）有关机构编制事项的通知》（筑编通〔2021〕40号），认真谋划落实深圳办事处选址、开办、挂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5" w:hRule="atLeast"/>
        </w:trPr>
        <w:tc>
          <w:tcPr>
            <w:tcW w:w="971" w:type="dxa"/>
            <w:vAlign w:val="center"/>
          </w:tcPr>
          <w:p>
            <w:pPr>
              <w:pStyle w:val="2"/>
              <w:spacing w:line="720" w:lineRule="auto"/>
              <w:ind w:firstLine="0" w:firstLineChars="0"/>
              <w:jc w:val="center"/>
              <w:rPr>
                <w:rFonts w:ascii="黑体" w:hAnsi="黑体" w:eastAsia="黑体" w:cs="黑体"/>
                <w:sz w:val="32"/>
                <w:szCs w:val="32"/>
              </w:rPr>
            </w:pPr>
            <w:r>
              <w:rPr>
                <w:rFonts w:hint="eastAsia" w:ascii="黑体" w:hAnsi="黑体" w:eastAsia="黑体" w:cs="黑体"/>
                <w:sz w:val="32"/>
                <w:szCs w:val="32"/>
              </w:rPr>
              <w:t>3</w:t>
            </w:r>
          </w:p>
        </w:tc>
        <w:tc>
          <w:tcPr>
            <w:tcW w:w="2843" w:type="dxa"/>
            <w:vAlign w:val="center"/>
          </w:tcPr>
          <w:p>
            <w:pPr>
              <w:spacing w:line="340" w:lineRule="exact"/>
              <w:rPr>
                <w:rFonts w:ascii="黑体" w:hAnsi="黑体" w:eastAsia="黑体" w:cs="黑体"/>
                <w:sz w:val="32"/>
                <w:szCs w:val="32"/>
              </w:rPr>
            </w:pPr>
            <w:r>
              <w:rPr>
                <w:rFonts w:hint="eastAsia" w:ascii="仿宋_GB2312" w:hAnsi="仿宋_GB2312" w:eastAsia="仿宋_GB2312" w:cs="仿宋_GB2312"/>
                <w:sz w:val="24"/>
              </w:rPr>
              <w:t>发挥驻外办事处招商引资工作“桥头堡”作用，开展线索挖掘、招引联络工作</w:t>
            </w:r>
          </w:p>
        </w:tc>
        <w:tc>
          <w:tcPr>
            <w:tcW w:w="4708" w:type="dxa"/>
          </w:tcPr>
          <w:p>
            <w:pPr>
              <w:spacing w:line="340" w:lineRule="exact"/>
              <w:ind w:firstLine="472" w:firstLineChars="200"/>
              <w:rPr>
                <w:rFonts w:ascii="仿宋_GB2312" w:hAnsi="仿宋_GB2312" w:eastAsia="仿宋_GB2312" w:cs="仿宋_GB2312"/>
                <w:sz w:val="24"/>
              </w:rPr>
            </w:pPr>
          </w:p>
          <w:p>
            <w:pPr>
              <w:spacing w:line="340" w:lineRule="exact"/>
              <w:ind w:firstLine="472" w:firstLineChars="200"/>
              <w:rPr>
                <w:rFonts w:ascii="仿宋_GB2312" w:hAnsi="仿宋_GB2312" w:eastAsia="仿宋_GB2312" w:cs="仿宋_GB2312"/>
                <w:sz w:val="24"/>
              </w:rPr>
            </w:pPr>
            <w:r>
              <w:rPr>
                <w:rFonts w:hint="eastAsia" w:ascii="仿宋_GB2312" w:hAnsi="仿宋_GB2312" w:eastAsia="仿宋_GB2312" w:cs="仿宋_GB2312"/>
                <w:sz w:val="24"/>
              </w:rPr>
              <w:t>按照市委市政府统一安排部署，依据《贵阳贵安“强省会”五年行动强化产业大招商工作方案的通知（筑委厅字［2022］2号）等文件，抢抓新国发2号文件历史机遇期，紧紧围绕“强省会”五年行动和贵阳市产业大招商领导小组下达的各项任务指标，加强与区（市、县、开发区）密切合作，重点聚焦“1+7+1”重点工业产业和区域主导产业及特色产业，发挥驻外办事处招商引资工作中“桥头堡”作用，开展线索挖掘、招引联络工作。</w:t>
            </w:r>
          </w:p>
          <w:p>
            <w:pPr>
              <w:spacing w:line="340" w:lineRule="exact"/>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71" w:type="dxa"/>
            <w:vAlign w:val="center"/>
          </w:tcPr>
          <w:p>
            <w:pPr>
              <w:pStyle w:val="2"/>
              <w:spacing w:line="720" w:lineRule="auto"/>
              <w:ind w:firstLine="0" w:firstLineChars="0"/>
              <w:jc w:val="center"/>
              <w:rPr>
                <w:rFonts w:ascii="黑体" w:hAnsi="黑体" w:eastAsia="黑体" w:cs="黑体"/>
                <w:sz w:val="32"/>
                <w:szCs w:val="32"/>
              </w:rPr>
            </w:pPr>
            <w:r>
              <w:rPr>
                <w:rFonts w:hint="eastAsia" w:ascii="黑体" w:hAnsi="黑体" w:eastAsia="黑体" w:cs="黑体"/>
                <w:sz w:val="32"/>
                <w:szCs w:val="32"/>
              </w:rPr>
              <w:t>4</w:t>
            </w:r>
          </w:p>
        </w:tc>
        <w:tc>
          <w:tcPr>
            <w:tcW w:w="2843" w:type="dxa"/>
            <w:vAlign w:val="center"/>
          </w:tcPr>
          <w:p>
            <w:pPr>
              <w:pStyle w:val="2"/>
              <w:spacing w:line="360" w:lineRule="exact"/>
              <w:ind w:firstLine="0" w:firstLineChars="0"/>
              <w:jc w:val="left"/>
              <w:rPr>
                <w:rFonts w:ascii="黑体" w:hAnsi="黑体" w:eastAsia="仿宋_GB2312" w:cs="黑体"/>
                <w:sz w:val="32"/>
                <w:szCs w:val="32"/>
              </w:rPr>
            </w:pPr>
            <w:r>
              <w:rPr>
                <w:rFonts w:hint="eastAsia" w:ascii="仿宋_GB2312" w:hAnsi="仿宋_GB2312" w:eastAsia="仿宋_GB2312" w:cs="仿宋_GB2312"/>
                <w:sz w:val="24"/>
              </w:rPr>
              <w:t>增强服务保障工作</w:t>
            </w:r>
          </w:p>
        </w:tc>
        <w:tc>
          <w:tcPr>
            <w:tcW w:w="4708" w:type="dxa"/>
          </w:tcPr>
          <w:p>
            <w:pPr>
              <w:spacing w:line="340" w:lineRule="exact"/>
              <w:ind w:firstLine="472" w:firstLineChars="200"/>
              <w:rPr>
                <w:rFonts w:ascii="仿宋_GB2312" w:hAnsi="仿宋_GB2312" w:eastAsia="仿宋_GB2312" w:cs="仿宋_GB2312"/>
                <w:sz w:val="24"/>
              </w:rPr>
            </w:pPr>
          </w:p>
          <w:p>
            <w:pPr>
              <w:spacing w:line="340" w:lineRule="exact"/>
              <w:ind w:firstLine="472" w:firstLineChars="200"/>
              <w:rPr>
                <w:rFonts w:ascii="仿宋_GB2312" w:hAnsi="仿宋_GB2312" w:eastAsia="仿宋_GB2312" w:cs="仿宋_GB2312"/>
                <w:sz w:val="24"/>
              </w:rPr>
            </w:pPr>
            <w:r>
              <w:rPr>
                <w:rFonts w:hint="eastAsia" w:ascii="仿宋_GB2312" w:hAnsi="仿宋_GB2312" w:eastAsia="仿宋_GB2312" w:cs="仿宋_GB2312"/>
                <w:sz w:val="24"/>
              </w:rPr>
              <w:t>进一步提升公务接待工作水平，强化服务意识，用心用情用力为市领导、各区县、开发区及相关部门在驻地招商引资活动期间提供完善、优质的服务保障，为推进我市的重大项目建设和重大活动开展提供有力支持；严格按照中央八项规定及省、市有关规定，厉行勤俭节约，杜绝铺张浪费。</w:t>
            </w:r>
          </w:p>
          <w:p>
            <w:pPr>
              <w:spacing w:line="340" w:lineRule="exact"/>
              <w:ind w:firstLine="632" w:firstLineChars="200"/>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971" w:type="dxa"/>
            <w:vAlign w:val="center"/>
          </w:tcPr>
          <w:p>
            <w:pPr>
              <w:pStyle w:val="2"/>
              <w:spacing w:line="720" w:lineRule="auto"/>
              <w:ind w:firstLine="0" w:firstLineChars="0"/>
              <w:jc w:val="center"/>
              <w:rPr>
                <w:rFonts w:ascii="黑体" w:hAnsi="黑体" w:eastAsia="黑体" w:cs="黑体"/>
                <w:sz w:val="32"/>
                <w:szCs w:val="32"/>
              </w:rPr>
            </w:pPr>
            <w:r>
              <w:rPr>
                <w:rFonts w:hint="eastAsia" w:ascii="黑体" w:hAnsi="黑体" w:eastAsia="黑体" w:cs="黑体"/>
                <w:sz w:val="32"/>
                <w:szCs w:val="32"/>
              </w:rPr>
              <w:t>5</w:t>
            </w:r>
          </w:p>
        </w:tc>
        <w:tc>
          <w:tcPr>
            <w:tcW w:w="2843" w:type="dxa"/>
            <w:vAlign w:val="center"/>
          </w:tcPr>
          <w:p>
            <w:pPr>
              <w:pStyle w:val="2"/>
              <w:spacing w:line="360" w:lineRule="exact"/>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提高信息互联互通精准度</w:t>
            </w:r>
          </w:p>
        </w:tc>
        <w:tc>
          <w:tcPr>
            <w:tcW w:w="4708" w:type="dxa"/>
          </w:tcPr>
          <w:p>
            <w:pPr>
              <w:spacing w:line="340" w:lineRule="exact"/>
              <w:ind w:firstLine="472" w:firstLineChars="200"/>
              <w:rPr>
                <w:rFonts w:ascii="仿宋_GB2312" w:hAnsi="仿宋_GB2312" w:eastAsia="仿宋_GB2312" w:cs="仿宋_GB2312"/>
                <w:sz w:val="24"/>
              </w:rPr>
            </w:pPr>
          </w:p>
          <w:p>
            <w:pPr>
              <w:spacing w:line="340" w:lineRule="exact"/>
              <w:ind w:firstLine="472" w:firstLineChars="200"/>
              <w:rPr>
                <w:rFonts w:ascii="仿宋_GB2312" w:hAnsi="仿宋_GB2312" w:eastAsia="仿宋_GB2312" w:cs="仿宋_GB2312"/>
                <w:sz w:val="24"/>
              </w:rPr>
            </w:pPr>
            <w:r>
              <w:rPr>
                <w:rFonts w:hint="eastAsia" w:ascii="仿宋_GB2312" w:hAnsi="仿宋_GB2312" w:eastAsia="仿宋_GB2312" w:cs="仿宋_GB2312"/>
                <w:sz w:val="24"/>
              </w:rPr>
              <w:t>进一步抓好信息提质升级工作，聚焦辅助决策，提升信息服务决策的有效性，精准性、及时性；聚焦扩大宣传，持续保持与驻地信息协会的交流合作，持续做好借助新媒体信息平台巩固信息宣传工作效果，编发两地政务要情，促进信息协作，双向宣传。聚焦信息质量，准确把握符合我市发展需求的、可借鉴的、实用性强的各类信息，为服务领导决策、服务经济社会发展、服务办事处职能职责发挥积极作用。</w:t>
            </w:r>
          </w:p>
          <w:p>
            <w:pPr>
              <w:spacing w:line="340" w:lineRule="exact"/>
              <w:ind w:firstLine="632" w:firstLineChars="200"/>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trPr>
        <w:tc>
          <w:tcPr>
            <w:tcW w:w="971" w:type="dxa"/>
            <w:vAlign w:val="center"/>
          </w:tcPr>
          <w:p>
            <w:pPr>
              <w:pStyle w:val="2"/>
              <w:spacing w:line="720" w:lineRule="auto"/>
              <w:ind w:firstLine="0" w:firstLineChars="0"/>
              <w:jc w:val="center"/>
              <w:rPr>
                <w:rFonts w:ascii="黑体" w:hAnsi="黑体" w:eastAsia="黑体" w:cs="黑体"/>
                <w:sz w:val="32"/>
                <w:szCs w:val="32"/>
              </w:rPr>
            </w:pPr>
            <w:r>
              <w:rPr>
                <w:rFonts w:hint="eastAsia" w:ascii="黑体" w:hAnsi="黑体" w:eastAsia="黑体" w:cs="黑体"/>
                <w:sz w:val="32"/>
                <w:szCs w:val="32"/>
              </w:rPr>
              <w:t>6</w:t>
            </w:r>
          </w:p>
        </w:tc>
        <w:tc>
          <w:tcPr>
            <w:tcW w:w="2843" w:type="dxa"/>
            <w:vAlign w:val="center"/>
          </w:tcPr>
          <w:p>
            <w:pPr>
              <w:pStyle w:val="2"/>
              <w:spacing w:line="360" w:lineRule="exact"/>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优化干部队伍建设</w:t>
            </w:r>
          </w:p>
        </w:tc>
        <w:tc>
          <w:tcPr>
            <w:tcW w:w="4708" w:type="dxa"/>
          </w:tcPr>
          <w:p>
            <w:pPr>
              <w:spacing w:line="340" w:lineRule="exact"/>
              <w:ind w:firstLine="472" w:firstLineChars="200"/>
              <w:rPr>
                <w:rFonts w:ascii="仿宋_GB2312" w:hAnsi="仿宋_GB2312" w:eastAsia="仿宋_GB2312" w:cs="仿宋_GB2312"/>
                <w:sz w:val="24"/>
              </w:rPr>
            </w:pPr>
          </w:p>
          <w:p>
            <w:pPr>
              <w:spacing w:line="340" w:lineRule="exact"/>
              <w:ind w:firstLine="472" w:firstLineChars="200"/>
              <w:rPr>
                <w:rFonts w:ascii="仿宋_GB2312" w:hAnsi="仿宋_GB2312" w:eastAsia="仿宋_GB2312" w:cs="仿宋_GB2312"/>
                <w:sz w:val="24"/>
              </w:rPr>
            </w:pPr>
            <w:r>
              <w:rPr>
                <w:rFonts w:hint="eastAsia" w:ascii="仿宋_GB2312" w:hAnsi="仿宋_GB2312" w:eastAsia="仿宋_GB2312" w:cs="仿宋_GB2312"/>
                <w:sz w:val="24"/>
              </w:rPr>
              <w:t>牢固树立人才是第一资源的观念，争取上级支持选派更多“懂产业、懂政策、懂企业、懂谈判”的复合型干部充实到广州办事处招商队伍中来，为我们更大力度发挥招商引资“桥头堡”作用提供人才支撑；结合新形势、新要求、新任务，持之以恒强组织、驰而不息转作风，把闯新路开新局抢新机出新绩作为高质量发展的主要目标，埋头苦干、扎实工作，为助力黔粤两地经济社会高质量发展作出驻外办新的贡献。</w:t>
            </w:r>
          </w:p>
          <w:p>
            <w:pPr>
              <w:spacing w:line="340" w:lineRule="exact"/>
              <w:ind w:firstLine="632" w:firstLineChars="200"/>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4" w:hRule="atLeast"/>
        </w:trPr>
        <w:tc>
          <w:tcPr>
            <w:tcW w:w="971" w:type="dxa"/>
            <w:vAlign w:val="center"/>
          </w:tcPr>
          <w:p>
            <w:pPr>
              <w:pStyle w:val="2"/>
              <w:spacing w:line="720" w:lineRule="auto"/>
              <w:ind w:firstLine="0" w:firstLineChars="0"/>
              <w:jc w:val="center"/>
              <w:rPr>
                <w:rFonts w:ascii="黑体" w:hAnsi="黑体" w:eastAsia="黑体" w:cs="黑体"/>
                <w:sz w:val="32"/>
                <w:szCs w:val="32"/>
              </w:rPr>
            </w:pPr>
            <w:r>
              <w:rPr>
                <w:rFonts w:hint="eastAsia" w:ascii="黑体" w:hAnsi="黑体" w:eastAsia="黑体" w:cs="黑体"/>
                <w:sz w:val="32"/>
                <w:szCs w:val="32"/>
              </w:rPr>
              <w:t>7</w:t>
            </w:r>
          </w:p>
        </w:tc>
        <w:tc>
          <w:tcPr>
            <w:tcW w:w="2843" w:type="dxa"/>
            <w:vAlign w:val="center"/>
          </w:tcPr>
          <w:p>
            <w:pPr>
              <w:pStyle w:val="2"/>
              <w:spacing w:line="360" w:lineRule="exact"/>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其他工作事项</w:t>
            </w:r>
          </w:p>
        </w:tc>
        <w:tc>
          <w:tcPr>
            <w:tcW w:w="4708" w:type="dxa"/>
          </w:tcPr>
          <w:p>
            <w:pPr>
              <w:spacing w:line="340" w:lineRule="exact"/>
              <w:rPr>
                <w:rFonts w:ascii="仿宋_GB2312" w:hAnsi="仿宋_GB2312" w:eastAsia="仿宋_GB2312" w:cs="仿宋_GB2312"/>
                <w:sz w:val="24"/>
              </w:rPr>
            </w:pPr>
          </w:p>
          <w:p>
            <w:pPr>
              <w:spacing w:line="340" w:lineRule="exact"/>
              <w:ind w:firstLine="472" w:firstLineChars="200"/>
              <w:rPr>
                <w:rFonts w:ascii="仿宋_GB2312" w:hAnsi="仿宋_GB2312" w:eastAsia="仿宋_GB2312" w:cs="仿宋_GB2312"/>
                <w:sz w:val="24"/>
              </w:rPr>
            </w:pPr>
            <w:r>
              <w:rPr>
                <w:rFonts w:hint="eastAsia" w:ascii="仿宋_GB2312" w:hAnsi="仿宋_GB2312" w:eastAsia="仿宋_GB2312" w:cs="仿宋_GB2312"/>
                <w:sz w:val="24"/>
              </w:rPr>
              <w:t>依据《市属国有企业优化重组及理顺贵阳产控集团体制机制方案》和《贵阳贵安国有企业优化重组方案推进实施计划的通知》，做好经营性资产的无偿划转，清产核资以及固定资产更新等工作。</w:t>
            </w:r>
          </w:p>
          <w:p>
            <w:pPr>
              <w:spacing w:line="340" w:lineRule="exact"/>
              <w:ind w:firstLine="472" w:firstLineChars="200"/>
              <w:rPr>
                <w:rFonts w:ascii="仿宋_GB2312" w:hAnsi="仿宋_GB2312" w:eastAsia="仿宋_GB2312" w:cs="仿宋_GB2312"/>
                <w:b/>
                <w:bCs/>
                <w:sz w:val="24"/>
              </w:rPr>
            </w:pPr>
          </w:p>
        </w:tc>
      </w:tr>
    </w:tbl>
    <w:p>
      <w:pPr>
        <w:spacing w:line="560" w:lineRule="exact"/>
        <w:ind w:firstLine="632" w:firstLineChars="200"/>
        <w:jc w:val="left"/>
        <w:rPr>
          <w:rFonts w:ascii="黑体" w:hAnsi="黑体" w:eastAsia="黑体" w:cs="黑体"/>
          <w:bCs/>
          <w:sz w:val="32"/>
          <w:szCs w:val="32"/>
        </w:rPr>
      </w:pPr>
      <w:r>
        <w:rPr>
          <w:rFonts w:hint="eastAsia" w:ascii="黑体" w:hAnsi="黑体" w:eastAsia="黑体" w:cs="黑体"/>
          <w:bCs/>
          <w:sz w:val="32"/>
          <w:szCs w:val="32"/>
        </w:rPr>
        <w:t>三、单位预算安排情况说明</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（一）单位收支总体情况（详见表1）</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本单位2022年预算收入总额为391.92万元，其中一般公共预算财政拨款收入339.94万元，上年结转51.98万元；支出391.92万元，其中基本支出138.14万元、项目支出253.78万元。本单位为二级单位，预算仅为本单位预算。</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本单位预算当年收支总额与2021年相比增加108.08万元，主要原因是：项目支出预算安排增加，新增贵阳市人民政府驻深圳办事处开办经费。</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（二）单位收入总体情况（详见表2）</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2022年预算收入总额为391.92万元，包括一般公共服务支出368.43万元、社会保障和就业支出8.08万元、卫生健康支出3.66万元、住房保障支出11.74万元。本单位预算当年收入总额与2021年相比增加108.08万元，主要原因是：项目支出预算安排增加，新增贵阳市人民政府驻深圳办事处开办经费。</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（三）单位支出总体情况（详见表3）</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1.本单位2022年预算支出总额为391.92万元，与2021年相比增加108.08万元。</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2.按照支出功能科目与 2021 年相比增减变化如下：</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（1）一般公共服务支出368.43 万元，占总支出 94.01%。与2021 年相比增加106.63万元。主要原因为：项目支出预算安排增加，新增贵阳市人民政府驻深圳办事处开办经费。</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（2）社会保障和就业支出8.08万元，占总支出2.06%。与2021年相比减少0.7万元。主要原因为：2021年末结转1.42万元。</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（3）卫生健康支出3.66万元，占总支出0.93%。与2021年相比增加0.66万元。主要原因为：人员刚性支出增加。</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（4）住房保障支出11.74万元，占总支出3%。与2021年相比增加0.85万元。主要原因为：2021年末结转3.02万元。</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（四）财政拨款收支总体情况（详见表4）</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本单位2022年财政拨款收入总预算339.94万元，支出总预算339.94万元，与2021年相比增加116.33万元。其中：</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一般公共服务支出安排323.89万元，占总收入的95.28%，与2021年相比增加122.32万元，主要原因是：项目支出预算安排增加，新增贵阳市人民政府驻深圳办事处开办经费。</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社会保障和就业支出安排3.67万元，占总收入的1.08%，与2021年相比减少4.48万元，主要原因是：2021年末结转1.42万元。</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卫生健康支出3.66万元，占总收入的1.08%，与2021年相比增加0.66万元，主要原因是：人员刚性支出增加。</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住房保障支出8.72万元，占总收入的2.57%，与2021年相比减少2.17万元，主要原因是：2021年末结转3.02万元。</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（五）一般公共预算支出情况（详见表5）</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本单位2022年一般公共预算支出总额339.94万元，其中基本支出103.94万元，占一般公共预算支出总额的30.58</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，项目支出236万元，占一般公共预算支出总额的69.42%。</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201 （类）一般公共服务支出 323.89 万元，与2021年相比增加 122.32万元，主要原因是：项目支出预算安排增加，新增贵阳市人民政府驻深圳办事处开办经费。</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208（类）社会保障和就业支出3.67万元，与2021年相比减少4.48万元，主要原因是：2021年末结转1.42万元。</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210（类）卫生健康支出3.66万元，与2021年相比增加0.66万元，主要原因是：人员刚性支出增加。</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221（类）住房保障支出8.72万元，与2021年相比减少2.17万元，主要原因是：2021年末结转3.02万元。</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（六）一般公共预算基本支出情况（详见表6、7）</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本单位2022年一般公共预算基本支出总额103.94万元。其中，人员经费88.87万元，占一般公共预算基本支出的 85.5%，人员经费主要是用于在职人员工资福利支出；公用经费15.06万元，占一般公共预算基本支出的 14.5%，公用经费主要用于保障机构正常运行发生的办公费、邮电费、公务用车运行维护费等费用</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（七）一般公共预算“三公”经费支出情况（详见表8）</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2022年一般公共预算“三公”经费支出15.23万元，其中，公务用车运行维护费4.23万元、公务接待费11万元，因公出国（境）费、公务用车购置费实行总额控制，年初未分配，年度间根据实际情况按照程序审批后据实列支。</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本单位预算当年“三公”经费支出与2021年相比没有变化，公务用车保有量2辆。</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（八）政府性基金预算支出情况（详见表9）</w:t>
      </w:r>
    </w:p>
    <w:p>
      <w:pPr>
        <w:spacing w:line="560" w:lineRule="exact"/>
        <w:ind w:firstLine="632" w:firstLineChars="200"/>
        <w:jc w:val="left"/>
        <w:rPr>
          <w:rFonts w:ascii="楷体_GB2312" w:hAnsi="楷体_GB2312" w:eastAsia="楷体_GB2312" w:cs="楷体_GB2312"/>
          <w:bCs/>
          <w:sz w:val="32"/>
          <w:szCs w:val="32"/>
        </w:rPr>
      </w:pPr>
      <w:r>
        <w:rPr>
          <w:rFonts w:hint="eastAsia" w:ascii="仿宋_GB2312" w:hAnsi="仿宋_GB2312" w:eastAsia="仿宋_GB2312" w:cs="仿宋_GB2312"/>
          <w:bCs/>
          <w:sz w:val="32"/>
          <w:szCs w:val="32"/>
        </w:rPr>
        <w:t>本单位2022年没有发生数。</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（九）市级对下专项转移支付项目支出情况（详见表10）</w:t>
      </w:r>
    </w:p>
    <w:p>
      <w:pPr>
        <w:spacing w:line="560"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本单位2022年没有发生数。</w:t>
      </w:r>
    </w:p>
    <w:p>
      <w:pPr>
        <w:spacing w:line="560" w:lineRule="exact"/>
        <w:ind w:firstLine="632" w:firstLineChars="200"/>
        <w:jc w:val="left"/>
        <w:rPr>
          <w:rFonts w:eastAsia="仿宋_GB2312"/>
          <w:sz w:val="32"/>
          <w:szCs w:val="32"/>
        </w:rPr>
      </w:pPr>
      <w:r>
        <w:rPr>
          <w:rFonts w:hint="eastAsia" w:ascii="楷体_GB2312" w:eastAsia="楷体_GB2312"/>
          <w:bCs/>
          <w:sz w:val="32"/>
          <w:szCs w:val="32"/>
        </w:rPr>
        <w:t>（十</w:t>
      </w:r>
      <w:r>
        <w:rPr>
          <w:rFonts w:hint="eastAsia" w:ascii="楷体_GB2312" w:hAnsi="楷体_GB2312" w:eastAsia="楷体_GB2312" w:cs="楷体_GB2312"/>
          <w:bCs/>
          <w:sz w:val="32"/>
          <w:szCs w:val="32"/>
        </w:rPr>
        <w:t>）国有资本经营预算支出情况（详见表11）</w:t>
      </w:r>
    </w:p>
    <w:p>
      <w:pPr>
        <w:spacing w:line="560"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本单位2022年没有发生数。</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（十一）部门整体支出绩效目标情况（详见表12）</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eastAsia="仿宋_GB2312"/>
          <w:sz w:val="32"/>
          <w:szCs w:val="32"/>
        </w:rPr>
        <w:t>本单位为二级单位无须填报</w:t>
      </w:r>
      <w:r>
        <w:rPr>
          <w:rFonts w:hint="eastAsia" w:ascii="仿宋_GB2312" w:hAnsi="仿宋_GB2312" w:eastAsia="仿宋_GB2312" w:cs="仿宋_GB2312"/>
          <w:bCs/>
          <w:sz w:val="32"/>
          <w:szCs w:val="32"/>
        </w:rPr>
        <w:t>。</w:t>
      </w:r>
    </w:p>
    <w:p>
      <w:pPr>
        <w:spacing w:line="560" w:lineRule="exact"/>
        <w:ind w:firstLine="632"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（十二）重点项目支出绩效目标情况（详见表13、14）</w:t>
      </w:r>
    </w:p>
    <w:p>
      <w:pPr>
        <w:spacing w:line="560" w:lineRule="exact"/>
        <w:ind w:firstLine="632" w:firstLineChars="200"/>
        <w:jc w:val="left"/>
        <w:rPr>
          <w:rFonts w:ascii="仿宋_GB2312" w:eastAsia="仿宋_GB2312"/>
          <w:sz w:val="32"/>
          <w:szCs w:val="32"/>
        </w:rPr>
      </w:pPr>
      <w:r>
        <w:rPr>
          <w:rFonts w:hint="eastAsia" w:ascii="仿宋_GB2312" w:eastAsia="仿宋_GB2312"/>
          <w:sz w:val="32"/>
          <w:szCs w:val="32"/>
        </w:rPr>
        <w:t>“招商引资工作经费”项目按照市委、市政府进一步强化对粤港澳大湾区招商引资工作的要求，推动两地经济高质量发展、高水平开放，充分发挥好驻外机构招商引资“桥头堡”的功能和作用。以《贵阳贵安“强省会”五年行动强化产业大招商工作方案的通知》（筑委厅字［2022］2号）为指导，积极落实目标任务。</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“业务经费”项目主要突出对外开放、招商引资和招才引智的职能，推动贵阳贵安及其各区县在粤港澳大湾区招商工作取得成效。</w:t>
      </w:r>
    </w:p>
    <w:p>
      <w:pPr>
        <w:spacing w:line="560" w:lineRule="exact"/>
        <w:ind w:firstLine="632" w:firstLineChars="200"/>
        <w:jc w:val="left"/>
        <w:rPr>
          <w:rFonts w:ascii="黑体" w:hAnsi="黑体" w:eastAsia="黑体" w:cs="黑体"/>
          <w:bCs/>
          <w:sz w:val="32"/>
          <w:szCs w:val="32"/>
        </w:rPr>
      </w:pPr>
      <w:r>
        <w:rPr>
          <w:rFonts w:hint="eastAsia" w:ascii="黑体" w:hAnsi="黑体" w:eastAsia="黑体" w:cs="黑体"/>
          <w:bCs/>
          <w:sz w:val="32"/>
          <w:szCs w:val="32"/>
        </w:rPr>
        <w:t>四、其他重要事项说明</w:t>
      </w:r>
    </w:p>
    <w:p>
      <w:pPr>
        <w:spacing w:line="560" w:lineRule="exact"/>
        <w:ind w:firstLine="632" w:firstLineChars="200"/>
        <w:jc w:val="left"/>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（一）</w:t>
      </w:r>
      <w:r>
        <w:rPr>
          <w:rFonts w:hint="eastAsia" w:ascii="楷体_GB2312" w:hAnsi="楷体_GB2312" w:eastAsia="楷体_GB2312" w:cs="楷体_GB2312"/>
          <w:bCs/>
          <w:sz w:val="32"/>
          <w:szCs w:val="32"/>
        </w:rPr>
        <w:tab/>
      </w:r>
      <w:r>
        <w:rPr>
          <w:rFonts w:hint="eastAsia" w:ascii="楷体_GB2312" w:hAnsi="楷体_GB2312" w:eastAsia="楷体_GB2312" w:cs="楷体_GB2312"/>
          <w:bCs/>
          <w:sz w:val="32"/>
          <w:szCs w:val="32"/>
        </w:rPr>
        <w:t>机构运行经费情况：</w:t>
      </w:r>
      <w:r>
        <w:rPr>
          <w:rFonts w:hint="eastAsia" w:ascii="仿宋_GB2312" w:hAnsi="仿宋_GB2312" w:eastAsia="仿宋_GB2312" w:cs="仿宋_GB2312"/>
          <w:bCs/>
          <w:sz w:val="32"/>
          <w:szCs w:val="32"/>
        </w:rPr>
        <w:t>2022年本单位的机关运行经费财政拨款预算15.06万元，比2021年预算减少9.56万元，下降38.83%。主要原因为：2021年结转9.8万元。</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机构运行经费，包括办公费2.4万元、手续费0.35万元、邮电费0.05万元、差旅费4.8万元、日常维修费0.4万元、工会经费1.45万元、公务用车运行维护费4.23万元、其他交通费0.32万元、税金及附加费用0.06万元、其他商品和服务支出1万元。</w:t>
      </w:r>
    </w:p>
    <w:p>
      <w:pPr>
        <w:spacing w:line="560" w:lineRule="exact"/>
        <w:ind w:firstLine="632" w:firstLineChars="200"/>
        <w:jc w:val="left"/>
        <w:rPr>
          <w:rFonts w:ascii="仿宋_GB2312" w:hAnsi="仿宋_GB2312" w:eastAsia="仿宋_GB2312" w:cs="仿宋_GB2312"/>
          <w:bCs/>
          <w:sz w:val="32"/>
          <w:szCs w:val="32"/>
          <w:u w:val="single"/>
        </w:rPr>
      </w:pPr>
      <w:r>
        <w:rPr>
          <w:rFonts w:hint="eastAsia" w:ascii="楷体_GB2312" w:hAnsi="楷体_GB2312" w:eastAsia="楷体_GB2312" w:cs="楷体_GB2312"/>
          <w:bCs/>
          <w:sz w:val="32"/>
          <w:szCs w:val="32"/>
        </w:rPr>
        <w:t>（二）政府采购情况：</w:t>
      </w:r>
      <w:r>
        <w:rPr>
          <w:rFonts w:hint="eastAsia" w:ascii="仿宋_GB2312" w:hAnsi="仿宋_GB2312" w:eastAsia="仿宋_GB2312" w:cs="仿宋_GB2312"/>
          <w:bCs/>
          <w:sz w:val="32"/>
          <w:szCs w:val="32"/>
        </w:rPr>
        <w:t>2022年本单位无政府采购。</w:t>
      </w:r>
    </w:p>
    <w:p>
      <w:pPr>
        <w:spacing w:line="560" w:lineRule="exact"/>
        <w:ind w:firstLine="632" w:firstLineChars="200"/>
        <w:jc w:val="left"/>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（三）</w:t>
      </w:r>
      <w:r>
        <w:rPr>
          <w:rFonts w:hint="eastAsia" w:ascii="楷体_GB2312" w:hAnsi="楷体_GB2312" w:eastAsia="楷体_GB2312" w:cs="楷体_GB2312"/>
          <w:bCs/>
          <w:sz w:val="32"/>
          <w:szCs w:val="32"/>
        </w:rPr>
        <w:tab/>
      </w:r>
      <w:r>
        <w:rPr>
          <w:rFonts w:hint="eastAsia" w:ascii="楷体_GB2312" w:hAnsi="楷体_GB2312" w:eastAsia="楷体_GB2312" w:cs="楷体_GB2312"/>
          <w:bCs/>
          <w:sz w:val="32"/>
          <w:szCs w:val="32"/>
        </w:rPr>
        <w:t>国有资产占有使用情况：</w:t>
      </w:r>
      <w:r>
        <w:rPr>
          <w:rFonts w:hint="eastAsia" w:ascii="仿宋_GB2312" w:hAnsi="楷体_GB2312" w:eastAsia="仿宋_GB2312" w:cs="楷体_GB2312"/>
          <w:bCs/>
          <w:sz w:val="32"/>
          <w:szCs w:val="32"/>
        </w:rPr>
        <w:t>截至2021年12月31日，本单位国有资产合计1195.07万元，其中流动资产53.81万元，固定资产原值1135.68万元，无形资产原值5.58万元。2022年固定资产增加主要原因是：新购固定资产。</w:t>
      </w:r>
    </w:p>
    <w:p>
      <w:pPr>
        <w:spacing w:line="560" w:lineRule="exact"/>
        <w:ind w:firstLine="632" w:firstLineChars="200"/>
        <w:jc w:val="left"/>
        <w:rPr>
          <w:rFonts w:ascii="仿宋_GB2312" w:hAnsi="仿宋_GB2312" w:eastAsia="仿宋_GB2312" w:cs="仿宋_GB2312"/>
          <w:bCs/>
          <w:sz w:val="32"/>
          <w:szCs w:val="32"/>
        </w:rPr>
      </w:pPr>
      <w:r>
        <w:rPr>
          <w:rFonts w:hint="eastAsia" w:ascii="楷体_GB2312" w:hAnsi="楷体_GB2312" w:eastAsia="楷体_GB2312" w:cs="楷体_GB2312"/>
          <w:bCs/>
          <w:sz w:val="32"/>
          <w:szCs w:val="32"/>
        </w:rPr>
        <w:t>（四）预算绩效管理情况：</w:t>
      </w:r>
      <w:r>
        <w:rPr>
          <w:rFonts w:hint="eastAsia" w:ascii="仿宋_GB2312" w:hAnsi="仿宋_GB2312" w:eastAsia="仿宋_GB2312" w:cs="仿宋_GB2312"/>
          <w:bCs/>
          <w:sz w:val="32"/>
          <w:szCs w:val="32"/>
        </w:rPr>
        <w:t>2022年，实行绩效目标管理的一级项目6个，涉及财政拨款预算236万元。</w:t>
      </w:r>
    </w:p>
    <w:p>
      <w:pPr>
        <w:spacing w:line="560" w:lineRule="exact"/>
        <w:ind w:firstLine="632" w:firstLineChars="200"/>
        <w:jc w:val="left"/>
        <w:rPr>
          <w:rFonts w:ascii="仿宋_GB2312" w:hAnsi="仿宋_GB2312" w:eastAsia="仿宋_GB2312" w:cs="仿宋_GB2312"/>
          <w:bCs/>
          <w:sz w:val="32"/>
          <w:szCs w:val="32"/>
        </w:rPr>
      </w:pPr>
      <w:r>
        <w:rPr>
          <w:rFonts w:hint="eastAsia" w:ascii="楷体_GB2312" w:hAnsi="楷体_GB2312" w:eastAsia="楷体_GB2312" w:cs="楷体_GB2312"/>
          <w:bCs/>
          <w:sz w:val="32"/>
          <w:szCs w:val="32"/>
        </w:rPr>
        <w:t>（五）项目支出安排情况：</w:t>
      </w:r>
      <w:r>
        <w:rPr>
          <w:rFonts w:hint="eastAsia" w:ascii="仿宋_GB2312" w:hAnsi="楷体_GB2312" w:eastAsia="仿宋_GB2312" w:cs="楷体_GB2312"/>
          <w:bCs/>
          <w:sz w:val="32"/>
          <w:szCs w:val="32"/>
        </w:rPr>
        <w:t>2022年项目支出预算为236万元，占</w:t>
      </w:r>
      <w:r>
        <w:rPr>
          <w:rFonts w:hint="eastAsia" w:ascii="仿宋_GB2312" w:hAnsi="仿宋_GB2312" w:eastAsia="仿宋_GB2312" w:cs="仿宋_GB2312"/>
          <w:bCs/>
          <w:sz w:val="32"/>
          <w:szCs w:val="32"/>
        </w:rPr>
        <w:t>财政拨款收入总预算69.42%。主要</w:t>
      </w:r>
      <w:r>
        <w:rPr>
          <w:rFonts w:hint="eastAsia" w:ascii="仿宋_GB2312" w:hAnsi="楷体_GB2312" w:eastAsia="仿宋_GB2312" w:cs="楷体_GB2312"/>
          <w:bCs/>
          <w:sz w:val="32"/>
          <w:szCs w:val="32"/>
        </w:rPr>
        <w:t>是用于招商引资及招才引智，其中：占比较大的主要是业务经费90万元，占项目支出比重为38.14%，该资金主要用于人员费用、招才引智、协助区县招商工作等其他日常支出；其次是招商引资工作经费60万元，占项目支出比重为25.42%，该资金主要用于大湾区政务接待、自主招商、配合贵阳市驻点招商工作队、邀请企业赴筑考察等其他日常支出。</w:t>
      </w:r>
    </w:p>
    <w:p>
      <w:pPr>
        <w:spacing w:line="560" w:lineRule="exact"/>
        <w:ind w:firstLine="632" w:firstLineChars="200"/>
        <w:jc w:val="left"/>
        <w:rPr>
          <w:rFonts w:ascii="仿宋_GB2312" w:hAnsi="仿宋_GB2312" w:eastAsia="仿宋_GB2312" w:cs="仿宋_GB2312"/>
          <w:bCs/>
          <w:sz w:val="32"/>
          <w:szCs w:val="32"/>
          <w:u w:val="single"/>
        </w:rPr>
      </w:pPr>
      <w:r>
        <w:rPr>
          <w:rFonts w:hint="eastAsia" w:ascii="楷体_GB2312" w:hAnsi="楷体_GB2312" w:eastAsia="楷体_GB2312" w:cs="楷体_GB2312"/>
          <w:bCs/>
          <w:sz w:val="32"/>
          <w:szCs w:val="32"/>
        </w:rPr>
        <w:t>（六）专有名词解释</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三公”经费：纳入财政预决算管理的“三公”经费是指用财政拨款安排的因公出国（境）费、公务用车购置及运行维护费和公务接待费。其中，因公出国（境）费反映单位因公出国（境）的住宿费、旅费、伙食补助费、杂费、培训费等支出；公务用车购置及运行维护费反映单位公务用车购置费及租用费、燃料费、过路过桥费、保险费、安全奖励费等支出；公务接待费指单位按规定开支的各类公务接待（含外宾接待）支出。</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rPr>
        <w:t xml:space="preserve"> </w:t>
      </w:r>
      <w:r>
        <w:rPr>
          <w:rFonts w:hint="eastAsia" w:ascii="仿宋_GB2312" w:eastAsia="仿宋_GB2312"/>
          <w:sz w:val="32"/>
          <w:szCs w:val="32"/>
        </w:rPr>
        <w:t>社会保障和就业支出（类）行政事业单位养老支出（款）机关事业单位基本养老保险缴费支出（项）：指机关事业单位实施养老保险制度由单位缴纳的基本养老保险费支出。</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rPr>
        <w:t xml:space="preserve"> </w:t>
      </w:r>
      <w:r>
        <w:rPr>
          <w:rFonts w:hint="eastAsia" w:ascii="仿宋_GB2312" w:hAnsi="仿宋_GB2312" w:eastAsia="仿宋_GB2312" w:cs="仿宋_GB2312"/>
          <w:bCs/>
          <w:sz w:val="32"/>
          <w:szCs w:val="32"/>
        </w:rPr>
        <w:t>基本支出：指为保障机构正常运转、完成日常工作任务而发生的人员支出和公用支出。</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 项目支出：指在基本支出以外为完成特定行政任务和发展目标所发生的支出。</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rPr>
        <w:t xml:space="preserve"> </w:t>
      </w:r>
      <w:r>
        <w:rPr>
          <w:rFonts w:hint="eastAsia" w:ascii="仿宋_GB2312" w:hAnsi="仿宋_GB2312" w:eastAsia="仿宋_GB2312" w:cs="仿宋_GB2312"/>
          <w:bCs/>
          <w:sz w:val="32"/>
          <w:szCs w:val="32"/>
        </w:rPr>
        <w:t>住房保障支出(类)住房改革支出(款)住房公积金(项)：指按照《住房公积金管理条例》的规定，由单位为职工缴纳的住房公积金。</w:t>
      </w:r>
    </w:p>
    <w:p>
      <w:pPr>
        <w:spacing w:line="560" w:lineRule="exact"/>
        <w:ind w:firstLine="63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w:t>
      </w:r>
      <w:r>
        <w:rPr>
          <w:rFonts w:hint="eastAsia"/>
        </w:rPr>
        <w:t xml:space="preserve"> </w:t>
      </w:r>
      <w:r>
        <w:rPr>
          <w:rFonts w:hint="eastAsia" w:ascii="仿宋_GB2312" w:hAnsi="仿宋_GB2312" w:eastAsia="仿宋_GB2312" w:cs="仿宋_GB2312"/>
          <w:bCs/>
          <w:sz w:val="32"/>
          <w:szCs w:val="32"/>
        </w:rPr>
        <w:t>商品和服务支出：反映单位购买商品和服务的支出，不包括用于购置固定资产、战略性和应急性物资储备等资本性支出。</w:t>
      </w:r>
    </w:p>
    <w:p>
      <w:pPr>
        <w:spacing w:line="560" w:lineRule="exact"/>
        <w:ind w:firstLine="632" w:firstLineChars="200"/>
        <w:jc w:val="left"/>
        <w:rPr>
          <w:rFonts w:ascii="仿宋" w:eastAsia="仿宋"/>
          <w:sz w:val="32"/>
          <w:szCs w:val="32"/>
        </w:rPr>
      </w:pPr>
      <w:r>
        <w:rPr>
          <w:rFonts w:hint="eastAsia" w:ascii="黑体" w:hAnsi="黑体" w:eastAsia="黑体" w:cs="黑体"/>
          <w:bCs/>
          <w:sz w:val="32"/>
          <w:szCs w:val="32"/>
        </w:rPr>
        <w:t>五、2022年部门预算及“三公”经费预算公开表（详见附表3）</w:t>
      </w:r>
    </w:p>
    <w:sectPr>
      <w:footerReference r:id="rId3" w:type="default"/>
      <w:footerReference r:id="rId4" w:type="even"/>
      <w:pgSz w:w="11906" w:h="16838"/>
      <w:pgMar w:top="2098" w:right="1474" w:bottom="1984" w:left="1587" w:header="851" w:footer="1587" w:gutter="0"/>
      <w:pgNumType w:fmt="numberInDash"/>
      <w:cols w:equalWidth="0" w:num="1">
        <w:col w:w="8306"/>
      </w:cols>
      <w:docGrid w:type="linesAndChars" w:linePitch="28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-150495</wp:posOffset>
              </wp:positionV>
              <wp:extent cx="1828800" cy="285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85115"/>
                      </a:xfrm>
                      <a:prstGeom prst="rect">
                        <a:avLst/>
                      </a:prstGeom>
                      <a:noFill/>
                      <a:ln w="6350">
                        <a:noFill/>
                      </a:ln>
                      <a:effectLst/>
                    </wps:spPr>
                    <wps:txbx>
                      <w:txbxContent>
                        <w:p>
                          <w:pPr>
                            <w:pStyle w:val="3"/>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85pt;height:22.45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amfLC1wAAAAcBAAAPAAAAAAAAAAEAIAAAADgAAABkcnMvZG93bnJldi54bWxQSwEC&#10;FAAUAAAACACHTuJAnGnHwxgCAAAUBAAADgAAAAAAAAABACAAAAA8AQAAZHJzL2Uyb0RvYy54bWxQ&#10;SwUGAAAAAAYABgBZAQAAxgUAAAAA&#10;">
              <v:fill on="f" focussize="0,0"/>
              <v:stroke on="f" weight="0.5pt"/>
              <v:imagedata o:title=""/>
              <o:lock v:ext="edit" aspectratio="f"/>
              <v:textbox inset="0mm,0mm,0mm,0mm">
                <w:txbxContent>
                  <w:p>
                    <w:pPr>
                      <w:pStyle w:val="3"/>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-111125</wp:posOffset>
              </wp:positionV>
              <wp:extent cx="1828800" cy="244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4475"/>
                      </a:xfrm>
                      <a:prstGeom prst="rect">
                        <a:avLst/>
                      </a:prstGeom>
                      <a:noFill/>
                      <a:ln w="6350">
                        <a:noFill/>
                      </a:ln>
                      <a:effectLst/>
                    </wps:spPr>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5pt;height:19.25pt;width:144pt;mso-position-horizontal-relative:margin;mso-wrap-style:none;z-index:251660288;mso-width-relative:page;mso-height-relative:page;" filled="f" stroked="f" coordsize="21600,21600" o:gfxdata="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FhmbWTXAAAABwEAAA8AAAAAAAAAAQAgAAAAOAAAAGRycy9kb3ducmV2LnhtbFBL&#10;AQIUABQAAAAIAIdO4kCmIJOwGgIAABQEAAAOAAAAAAAAAAEAIAAAADwBAABkcnMvZTJvRG9jLnht&#10;bFBLBQYAAAAABgAGAFkBAADIBQAAAAA=&#10;">
              <v:fill on="f" focussize="0,0"/>
              <v:stroke on="f" weight="0.5pt"/>
              <v:imagedata o:title=""/>
              <o:lock v:ext="edit" aspectratio="f"/>
              <v:textbox inset="0mm,0mm,0mm,0mm">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97"/>
  <w:drawingGridVerticalSpacing w:val="144"/>
  <w:displayHorizontalDrawingGridEvery w:val="2"/>
  <w:displayVerticalDrawingGridEvery w:val="2"/>
  <w:doNotUseMarginsForDrawingGridOrigin w:val="1"/>
  <w:drawingGridHorizontalOrigin w:val="1702"/>
  <w:drawingGridVerticalOrigin w:val="1985"/>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AB7"/>
    <w:rsid w:val="000010A6"/>
    <w:rsid w:val="00026E35"/>
    <w:rsid w:val="00035124"/>
    <w:rsid w:val="00040210"/>
    <w:rsid w:val="0014153B"/>
    <w:rsid w:val="00150ACD"/>
    <w:rsid w:val="00174162"/>
    <w:rsid w:val="00174AD7"/>
    <w:rsid w:val="001A3D94"/>
    <w:rsid w:val="001D19DC"/>
    <w:rsid w:val="001F6A60"/>
    <w:rsid w:val="0021158C"/>
    <w:rsid w:val="002276C2"/>
    <w:rsid w:val="002E533A"/>
    <w:rsid w:val="002F0148"/>
    <w:rsid w:val="00343E4A"/>
    <w:rsid w:val="003903FA"/>
    <w:rsid w:val="003A6A1D"/>
    <w:rsid w:val="003D0D11"/>
    <w:rsid w:val="00406CAD"/>
    <w:rsid w:val="0041333F"/>
    <w:rsid w:val="00427881"/>
    <w:rsid w:val="00450D7D"/>
    <w:rsid w:val="00485A19"/>
    <w:rsid w:val="004C5587"/>
    <w:rsid w:val="004D1BDA"/>
    <w:rsid w:val="004D608D"/>
    <w:rsid w:val="0051586F"/>
    <w:rsid w:val="00524C74"/>
    <w:rsid w:val="0054264E"/>
    <w:rsid w:val="00542860"/>
    <w:rsid w:val="00553C3C"/>
    <w:rsid w:val="00567D3B"/>
    <w:rsid w:val="00585B67"/>
    <w:rsid w:val="00596240"/>
    <w:rsid w:val="005B29FD"/>
    <w:rsid w:val="005E28E4"/>
    <w:rsid w:val="00600AB7"/>
    <w:rsid w:val="00614E9F"/>
    <w:rsid w:val="0064660B"/>
    <w:rsid w:val="00673707"/>
    <w:rsid w:val="006E2DD9"/>
    <w:rsid w:val="006F470F"/>
    <w:rsid w:val="00706D5B"/>
    <w:rsid w:val="007409E7"/>
    <w:rsid w:val="00742195"/>
    <w:rsid w:val="007960F9"/>
    <w:rsid w:val="00796310"/>
    <w:rsid w:val="008444BE"/>
    <w:rsid w:val="008E7052"/>
    <w:rsid w:val="00930D22"/>
    <w:rsid w:val="009441E1"/>
    <w:rsid w:val="0099700A"/>
    <w:rsid w:val="009B04FA"/>
    <w:rsid w:val="009B5704"/>
    <w:rsid w:val="009F0157"/>
    <w:rsid w:val="009F0D54"/>
    <w:rsid w:val="009F4196"/>
    <w:rsid w:val="00A0274F"/>
    <w:rsid w:val="00A14A00"/>
    <w:rsid w:val="00AC59A7"/>
    <w:rsid w:val="00AD27A9"/>
    <w:rsid w:val="00B231CE"/>
    <w:rsid w:val="00B97F1C"/>
    <w:rsid w:val="00BA7035"/>
    <w:rsid w:val="00BD2504"/>
    <w:rsid w:val="00C3323B"/>
    <w:rsid w:val="00C33BCC"/>
    <w:rsid w:val="00CA6509"/>
    <w:rsid w:val="00D1744F"/>
    <w:rsid w:val="00DD3EC8"/>
    <w:rsid w:val="00DE4297"/>
    <w:rsid w:val="00E01EB7"/>
    <w:rsid w:val="00E079E9"/>
    <w:rsid w:val="00E15242"/>
    <w:rsid w:val="00E55761"/>
    <w:rsid w:val="00E628A9"/>
    <w:rsid w:val="00E8431E"/>
    <w:rsid w:val="00E9352E"/>
    <w:rsid w:val="00EC5D0D"/>
    <w:rsid w:val="00ED1936"/>
    <w:rsid w:val="00EE2930"/>
    <w:rsid w:val="00EF0985"/>
    <w:rsid w:val="00EF2137"/>
    <w:rsid w:val="00F25E15"/>
    <w:rsid w:val="00F50681"/>
    <w:rsid w:val="00F639CE"/>
    <w:rsid w:val="00F64E4B"/>
    <w:rsid w:val="00F6654D"/>
    <w:rsid w:val="00F66BBA"/>
    <w:rsid w:val="00F71E38"/>
    <w:rsid w:val="00FE34FD"/>
    <w:rsid w:val="015C44B3"/>
    <w:rsid w:val="017A64BE"/>
    <w:rsid w:val="019B0331"/>
    <w:rsid w:val="044D343E"/>
    <w:rsid w:val="048B4CCD"/>
    <w:rsid w:val="05057EB4"/>
    <w:rsid w:val="058E0BB0"/>
    <w:rsid w:val="05CD19D9"/>
    <w:rsid w:val="06760D48"/>
    <w:rsid w:val="06B45F2C"/>
    <w:rsid w:val="06DF53E3"/>
    <w:rsid w:val="081C6BDD"/>
    <w:rsid w:val="082A44F6"/>
    <w:rsid w:val="08701418"/>
    <w:rsid w:val="089A14F6"/>
    <w:rsid w:val="08BB3F46"/>
    <w:rsid w:val="09184A84"/>
    <w:rsid w:val="099E5107"/>
    <w:rsid w:val="0A2A2D1C"/>
    <w:rsid w:val="0AF23873"/>
    <w:rsid w:val="0B426DA1"/>
    <w:rsid w:val="0C347FF3"/>
    <w:rsid w:val="0C820A4C"/>
    <w:rsid w:val="0D012FBD"/>
    <w:rsid w:val="0D061AE1"/>
    <w:rsid w:val="0D233A80"/>
    <w:rsid w:val="0D371F8D"/>
    <w:rsid w:val="0DB4279E"/>
    <w:rsid w:val="0DDD1A34"/>
    <w:rsid w:val="0E144EFD"/>
    <w:rsid w:val="0E1E24E9"/>
    <w:rsid w:val="0ED13B00"/>
    <w:rsid w:val="0EEE5065"/>
    <w:rsid w:val="0F4D094A"/>
    <w:rsid w:val="11531700"/>
    <w:rsid w:val="11BD3FB4"/>
    <w:rsid w:val="11F56458"/>
    <w:rsid w:val="12065B6C"/>
    <w:rsid w:val="1271057B"/>
    <w:rsid w:val="131F30E1"/>
    <w:rsid w:val="13CD2E74"/>
    <w:rsid w:val="15323379"/>
    <w:rsid w:val="15B620E3"/>
    <w:rsid w:val="15D36A23"/>
    <w:rsid w:val="160F0897"/>
    <w:rsid w:val="178D6395"/>
    <w:rsid w:val="18011381"/>
    <w:rsid w:val="181B5328"/>
    <w:rsid w:val="188C0EEC"/>
    <w:rsid w:val="188F2832"/>
    <w:rsid w:val="194567B4"/>
    <w:rsid w:val="196A48CD"/>
    <w:rsid w:val="19902723"/>
    <w:rsid w:val="1A256A45"/>
    <w:rsid w:val="1A535EC0"/>
    <w:rsid w:val="1A7060AA"/>
    <w:rsid w:val="1AC21931"/>
    <w:rsid w:val="1AC951A6"/>
    <w:rsid w:val="1ACC4FDD"/>
    <w:rsid w:val="1ACF0CEA"/>
    <w:rsid w:val="1B8F7455"/>
    <w:rsid w:val="1B93448A"/>
    <w:rsid w:val="1B980572"/>
    <w:rsid w:val="1BD75E53"/>
    <w:rsid w:val="1BEC7F24"/>
    <w:rsid w:val="1BEE4220"/>
    <w:rsid w:val="1C616EA1"/>
    <w:rsid w:val="1C9C290E"/>
    <w:rsid w:val="1CD27681"/>
    <w:rsid w:val="1DC70A2E"/>
    <w:rsid w:val="1E453A77"/>
    <w:rsid w:val="1F506DE4"/>
    <w:rsid w:val="1FE40E25"/>
    <w:rsid w:val="205653B8"/>
    <w:rsid w:val="20F079EB"/>
    <w:rsid w:val="212975EF"/>
    <w:rsid w:val="21E25116"/>
    <w:rsid w:val="21E973A1"/>
    <w:rsid w:val="224530B3"/>
    <w:rsid w:val="226B76DE"/>
    <w:rsid w:val="22CE3D23"/>
    <w:rsid w:val="22DC63E2"/>
    <w:rsid w:val="233224CF"/>
    <w:rsid w:val="2404248F"/>
    <w:rsid w:val="25534320"/>
    <w:rsid w:val="25AB7A13"/>
    <w:rsid w:val="26163E52"/>
    <w:rsid w:val="263B0190"/>
    <w:rsid w:val="263B2B0A"/>
    <w:rsid w:val="264C7D3E"/>
    <w:rsid w:val="265B486A"/>
    <w:rsid w:val="27272BCD"/>
    <w:rsid w:val="276F11F3"/>
    <w:rsid w:val="283D4D57"/>
    <w:rsid w:val="28C16B31"/>
    <w:rsid w:val="28D90D6B"/>
    <w:rsid w:val="28F915C1"/>
    <w:rsid w:val="290B18A4"/>
    <w:rsid w:val="29831395"/>
    <w:rsid w:val="299F132A"/>
    <w:rsid w:val="2A176917"/>
    <w:rsid w:val="2A5242BA"/>
    <w:rsid w:val="2A534ADF"/>
    <w:rsid w:val="2A766026"/>
    <w:rsid w:val="2A845212"/>
    <w:rsid w:val="2A8840FF"/>
    <w:rsid w:val="2ADA78FE"/>
    <w:rsid w:val="2ADF3A0C"/>
    <w:rsid w:val="2B1C248B"/>
    <w:rsid w:val="2B6335F6"/>
    <w:rsid w:val="2B6E0F7D"/>
    <w:rsid w:val="2BAC691D"/>
    <w:rsid w:val="2BB745D7"/>
    <w:rsid w:val="2BBC200F"/>
    <w:rsid w:val="2BCE7FDF"/>
    <w:rsid w:val="2C35443F"/>
    <w:rsid w:val="2C673D07"/>
    <w:rsid w:val="2C7653DA"/>
    <w:rsid w:val="2CC649C1"/>
    <w:rsid w:val="2CD8552C"/>
    <w:rsid w:val="2D574323"/>
    <w:rsid w:val="2DDE392D"/>
    <w:rsid w:val="2DF038D1"/>
    <w:rsid w:val="2DFC27F2"/>
    <w:rsid w:val="2DFD5547"/>
    <w:rsid w:val="2E3D106A"/>
    <w:rsid w:val="2E9D1940"/>
    <w:rsid w:val="2F4E6856"/>
    <w:rsid w:val="2FDC17D2"/>
    <w:rsid w:val="30303F89"/>
    <w:rsid w:val="30F87C0A"/>
    <w:rsid w:val="326E42D3"/>
    <w:rsid w:val="32CB0794"/>
    <w:rsid w:val="3300669F"/>
    <w:rsid w:val="33EB5316"/>
    <w:rsid w:val="340A4D0B"/>
    <w:rsid w:val="34117516"/>
    <w:rsid w:val="341713AC"/>
    <w:rsid w:val="3431735D"/>
    <w:rsid w:val="343D7E6D"/>
    <w:rsid w:val="347315FC"/>
    <w:rsid w:val="34AC6A5F"/>
    <w:rsid w:val="34D460EE"/>
    <w:rsid w:val="351E616D"/>
    <w:rsid w:val="355F534F"/>
    <w:rsid w:val="36D67942"/>
    <w:rsid w:val="37615EB9"/>
    <w:rsid w:val="388A54E9"/>
    <w:rsid w:val="391A1EB3"/>
    <w:rsid w:val="392927B9"/>
    <w:rsid w:val="39412B1C"/>
    <w:rsid w:val="39742B91"/>
    <w:rsid w:val="3AE44507"/>
    <w:rsid w:val="3B3852C2"/>
    <w:rsid w:val="3B5275FB"/>
    <w:rsid w:val="3B5E370B"/>
    <w:rsid w:val="3B7258E2"/>
    <w:rsid w:val="3C2F0DAF"/>
    <w:rsid w:val="3C35283F"/>
    <w:rsid w:val="3D142372"/>
    <w:rsid w:val="3D32083E"/>
    <w:rsid w:val="3D3B56F0"/>
    <w:rsid w:val="3D7A14EE"/>
    <w:rsid w:val="3E0B5319"/>
    <w:rsid w:val="3E412648"/>
    <w:rsid w:val="3EB93B26"/>
    <w:rsid w:val="3EE36836"/>
    <w:rsid w:val="3F1F5A17"/>
    <w:rsid w:val="3F23205D"/>
    <w:rsid w:val="3F462CE4"/>
    <w:rsid w:val="3F6E0B8E"/>
    <w:rsid w:val="3FA954A8"/>
    <w:rsid w:val="40154D98"/>
    <w:rsid w:val="407F1C85"/>
    <w:rsid w:val="40EE6EEC"/>
    <w:rsid w:val="417A3E03"/>
    <w:rsid w:val="41DA7634"/>
    <w:rsid w:val="41FC680C"/>
    <w:rsid w:val="42BB2649"/>
    <w:rsid w:val="438B60BD"/>
    <w:rsid w:val="438F6F73"/>
    <w:rsid w:val="439E203F"/>
    <w:rsid w:val="43D80B3F"/>
    <w:rsid w:val="43E67120"/>
    <w:rsid w:val="448B2625"/>
    <w:rsid w:val="44FD1AF8"/>
    <w:rsid w:val="45015583"/>
    <w:rsid w:val="455A2199"/>
    <w:rsid w:val="456B61BB"/>
    <w:rsid w:val="45DF7945"/>
    <w:rsid w:val="46160E9A"/>
    <w:rsid w:val="46412D53"/>
    <w:rsid w:val="464A62EB"/>
    <w:rsid w:val="46677B6C"/>
    <w:rsid w:val="46824BFC"/>
    <w:rsid w:val="46CB5FCB"/>
    <w:rsid w:val="472F776D"/>
    <w:rsid w:val="47F33B22"/>
    <w:rsid w:val="48820DFC"/>
    <w:rsid w:val="497E1B39"/>
    <w:rsid w:val="4A16249F"/>
    <w:rsid w:val="4ADA29BA"/>
    <w:rsid w:val="4AEA49AC"/>
    <w:rsid w:val="4B1B4BDE"/>
    <w:rsid w:val="4B5749B0"/>
    <w:rsid w:val="4B6D32FF"/>
    <w:rsid w:val="4CB372DB"/>
    <w:rsid w:val="4CE3517C"/>
    <w:rsid w:val="4E2B1832"/>
    <w:rsid w:val="4E9C1A4F"/>
    <w:rsid w:val="4E9C2162"/>
    <w:rsid w:val="4EA37040"/>
    <w:rsid w:val="4F3A65AB"/>
    <w:rsid w:val="4FC05487"/>
    <w:rsid w:val="507767B3"/>
    <w:rsid w:val="50A33CA1"/>
    <w:rsid w:val="50EA1D2A"/>
    <w:rsid w:val="51B769C2"/>
    <w:rsid w:val="525173E0"/>
    <w:rsid w:val="527B13B7"/>
    <w:rsid w:val="52D256A6"/>
    <w:rsid w:val="535015C7"/>
    <w:rsid w:val="536C0F29"/>
    <w:rsid w:val="54867038"/>
    <w:rsid w:val="54DD6287"/>
    <w:rsid w:val="54E46EC4"/>
    <w:rsid w:val="55165C85"/>
    <w:rsid w:val="55481EE5"/>
    <w:rsid w:val="56227BDC"/>
    <w:rsid w:val="566E4F61"/>
    <w:rsid w:val="56C86FEC"/>
    <w:rsid w:val="57123FDC"/>
    <w:rsid w:val="572144C8"/>
    <w:rsid w:val="57AE4111"/>
    <w:rsid w:val="57BB1AEF"/>
    <w:rsid w:val="58A8281B"/>
    <w:rsid w:val="59860A2F"/>
    <w:rsid w:val="59A26A76"/>
    <w:rsid w:val="59B50C4C"/>
    <w:rsid w:val="59E83BDF"/>
    <w:rsid w:val="5A6E0C9F"/>
    <w:rsid w:val="5ACF6F8D"/>
    <w:rsid w:val="5B160421"/>
    <w:rsid w:val="5B1D7908"/>
    <w:rsid w:val="5B594BBA"/>
    <w:rsid w:val="5C2727D3"/>
    <w:rsid w:val="5C3E0408"/>
    <w:rsid w:val="5C9556D9"/>
    <w:rsid w:val="5C980D3B"/>
    <w:rsid w:val="5CA2584F"/>
    <w:rsid w:val="5D2D79DE"/>
    <w:rsid w:val="5D671A23"/>
    <w:rsid w:val="5D9A642F"/>
    <w:rsid w:val="5DB61A89"/>
    <w:rsid w:val="5E3A195D"/>
    <w:rsid w:val="5EC15D06"/>
    <w:rsid w:val="5F533B53"/>
    <w:rsid w:val="5FCF5DB3"/>
    <w:rsid w:val="5FEA28F4"/>
    <w:rsid w:val="600E576C"/>
    <w:rsid w:val="60AE1AFD"/>
    <w:rsid w:val="612E4C37"/>
    <w:rsid w:val="61AE1AD8"/>
    <w:rsid w:val="621004B9"/>
    <w:rsid w:val="6245436F"/>
    <w:rsid w:val="641C29D4"/>
    <w:rsid w:val="647F27B6"/>
    <w:rsid w:val="64D32BC5"/>
    <w:rsid w:val="64DF2C0C"/>
    <w:rsid w:val="65FD0D9C"/>
    <w:rsid w:val="66362990"/>
    <w:rsid w:val="66A37243"/>
    <w:rsid w:val="678D79DF"/>
    <w:rsid w:val="67BA5E3C"/>
    <w:rsid w:val="67D72F0F"/>
    <w:rsid w:val="68092A83"/>
    <w:rsid w:val="6898301A"/>
    <w:rsid w:val="697F71D7"/>
    <w:rsid w:val="698D107A"/>
    <w:rsid w:val="69A57E78"/>
    <w:rsid w:val="69DD6DB4"/>
    <w:rsid w:val="69F10584"/>
    <w:rsid w:val="6AF102DC"/>
    <w:rsid w:val="6B72725F"/>
    <w:rsid w:val="6C540744"/>
    <w:rsid w:val="6C5E7517"/>
    <w:rsid w:val="6CE36B31"/>
    <w:rsid w:val="6D235139"/>
    <w:rsid w:val="6D2E41C2"/>
    <w:rsid w:val="6D520771"/>
    <w:rsid w:val="6E4D5D69"/>
    <w:rsid w:val="6E702150"/>
    <w:rsid w:val="6ED028B6"/>
    <w:rsid w:val="6F5E1C3E"/>
    <w:rsid w:val="704A391C"/>
    <w:rsid w:val="713F4D9B"/>
    <w:rsid w:val="732F60EA"/>
    <w:rsid w:val="73601AA0"/>
    <w:rsid w:val="736851EA"/>
    <w:rsid w:val="74097449"/>
    <w:rsid w:val="746E2BD7"/>
    <w:rsid w:val="74C42D12"/>
    <w:rsid w:val="74FC4FB2"/>
    <w:rsid w:val="753D68E3"/>
    <w:rsid w:val="761C7661"/>
    <w:rsid w:val="767A68A9"/>
    <w:rsid w:val="76AA2F8D"/>
    <w:rsid w:val="770E5F4C"/>
    <w:rsid w:val="773F6D7E"/>
    <w:rsid w:val="77437B63"/>
    <w:rsid w:val="783E1927"/>
    <w:rsid w:val="78E032C5"/>
    <w:rsid w:val="791F1287"/>
    <w:rsid w:val="7927511C"/>
    <w:rsid w:val="79CB2F49"/>
    <w:rsid w:val="7A0D116A"/>
    <w:rsid w:val="7A137ED4"/>
    <w:rsid w:val="7A1E09D9"/>
    <w:rsid w:val="7A331B6A"/>
    <w:rsid w:val="7A6B5763"/>
    <w:rsid w:val="7A8B470C"/>
    <w:rsid w:val="7A9E7974"/>
    <w:rsid w:val="7B817A31"/>
    <w:rsid w:val="7B926E8F"/>
    <w:rsid w:val="7BC03D43"/>
    <w:rsid w:val="7C8F2E2A"/>
    <w:rsid w:val="7CA66FDF"/>
    <w:rsid w:val="7D43468F"/>
    <w:rsid w:val="7D8739F6"/>
    <w:rsid w:val="7D9C27B2"/>
    <w:rsid w:val="7DF33A26"/>
    <w:rsid w:val="7E77B3B8"/>
    <w:rsid w:val="7F1109B6"/>
    <w:rsid w:val="7F9210A9"/>
    <w:rsid w:val="7FF2106E"/>
    <w:rsid w:val="7FF3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200" w:firstLineChars="200"/>
    </w:pPr>
  </w:style>
  <w:style w:type="character" w:customStyle="1" w:styleId="8">
    <w:name w:val="font31"/>
    <w:basedOn w:val="6"/>
    <w:qFormat/>
    <w:uiPriority w:val="0"/>
    <w:rPr>
      <w:rFonts w:ascii="黑体" w:hAnsi="宋体" w:eastAsia="黑体" w:cs="黑体"/>
      <w:color w:val="000000"/>
      <w:sz w:val="40"/>
      <w:szCs w:val="40"/>
      <w:u w:val="none"/>
    </w:rPr>
  </w:style>
  <w:style w:type="character" w:customStyle="1" w:styleId="9">
    <w:name w:val="font21"/>
    <w:basedOn w:val="6"/>
    <w:qFormat/>
    <w:uiPriority w:val="0"/>
    <w:rPr>
      <w:rFonts w:hint="eastAsia" w:ascii="宋体" w:hAnsi="宋体" w:eastAsia="宋体" w:cs="宋体"/>
      <w:b/>
      <w:color w:val="000000"/>
      <w:sz w:val="32"/>
      <w:szCs w:val="32"/>
      <w:u w:val="none"/>
    </w:rPr>
  </w:style>
  <w:style w:type="character" w:customStyle="1" w:styleId="10">
    <w:name w:val="font81"/>
    <w:basedOn w:val="6"/>
    <w:qFormat/>
    <w:uiPriority w:val="0"/>
    <w:rPr>
      <w:rFonts w:ascii="黑体" w:hAnsi="宋体" w:eastAsia="黑体" w:cs="黑体"/>
      <w:color w:val="000000"/>
      <w:sz w:val="40"/>
      <w:szCs w:val="40"/>
      <w:u w:val="none"/>
    </w:rPr>
  </w:style>
  <w:style w:type="character" w:customStyle="1" w:styleId="11">
    <w:name w:val="font11"/>
    <w:basedOn w:val="6"/>
    <w:qFormat/>
    <w:uiPriority w:val="0"/>
    <w:rPr>
      <w:rFonts w:ascii="黑体" w:hAnsi="宋体" w:eastAsia="黑体" w:cs="黑体"/>
      <w:color w:val="000000"/>
      <w:sz w:val="36"/>
      <w:szCs w:val="36"/>
      <w:u w:val="none"/>
    </w:rPr>
  </w:style>
  <w:style w:type="character" w:customStyle="1" w:styleId="12">
    <w:name w:val="font41"/>
    <w:basedOn w:val="6"/>
    <w:qFormat/>
    <w:uiPriority w:val="0"/>
    <w:rPr>
      <w:rFonts w:ascii="黑体" w:hAnsi="宋体" w:eastAsia="黑体" w:cs="黑体"/>
      <w:color w:val="000000"/>
      <w:sz w:val="36"/>
      <w:szCs w:val="36"/>
      <w:u w:val="none"/>
    </w:rPr>
  </w:style>
  <w:style w:type="character" w:customStyle="1" w:styleId="13">
    <w:name w:val="font112"/>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4889</Words>
  <Characters>5421</Characters>
  <Lines>39</Lines>
  <Paragraphs>11</Paragraphs>
  <TotalTime>829</TotalTime>
  <ScaleCrop>false</ScaleCrop>
  <LinksUpToDate>false</LinksUpToDate>
  <CharactersWithSpaces>5441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2022-03-04T14:32:00Z</dcterms:created>
  <dc:creator>czjysc</dc:creator>
  <cp:lastModifiedBy>ysgz</cp:lastModifiedBy>
  <cp:lastPrinted>2022-03-10T10:28:00Z</cp:lastPrinted>
  <dcterms:modified xsi:type="dcterms:W3CDTF">2023-10-23T14:44:59Z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03F782E602B2455495674831647BA759</vt:lpwstr>
  </property>
</Properties>
</file>