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_GBK" w:hAnsi="方正小标宋_GBK" w:eastAsia="方正小标宋_GBK" w:cs="方正小标宋_GBK"/>
          <w:b/>
          <w:bCs/>
          <w:sz w:val="44"/>
          <w:szCs w:val="44"/>
          <w:highlight w:val="none"/>
          <w:u w:val="none"/>
        </w:rPr>
      </w:pPr>
      <w:r>
        <w:rPr>
          <w:rFonts w:hint="eastAsia" w:ascii="方正小标宋_GBK" w:hAnsi="方正小标宋_GBK" w:eastAsia="方正小标宋_GBK" w:cs="方正小标宋_GBK"/>
          <w:b/>
          <w:bCs/>
          <w:sz w:val="44"/>
          <w:szCs w:val="44"/>
          <w:highlight w:val="none"/>
          <w:u w:val="none"/>
          <w:lang w:val="en-US" w:eastAsia="zh-CN"/>
        </w:rPr>
        <w:t>贵阳市外事办公室2024年度</w:t>
      </w:r>
      <w:r>
        <w:rPr>
          <w:rFonts w:hint="eastAsia" w:ascii="方正小标宋_GBK" w:hAnsi="方正小标宋_GBK" w:eastAsia="方正小标宋_GBK" w:cs="方正小标宋_GBK"/>
          <w:b/>
          <w:bCs/>
          <w:sz w:val="44"/>
          <w:szCs w:val="44"/>
          <w:highlight w:val="none"/>
          <w:u w:val="none"/>
        </w:rPr>
        <w:t>部门决算</w:t>
      </w:r>
    </w:p>
    <w:p>
      <w:pPr>
        <w:spacing w:line="240" w:lineRule="auto"/>
        <w:jc w:val="center"/>
        <w:rPr>
          <w:rFonts w:hint="eastAsia" w:ascii="方正小标宋_GBK" w:hAnsi="方正小标宋_GBK" w:eastAsia="方正小标宋_GBK" w:cs="方正小标宋_GBK"/>
          <w:b/>
          <w:bCs/>
          <w:w w:val="95"/>
          <w:sz w:val="44"/>
          <w:szCs w:val="44"/>
          <w:highlight w:val="none"/>
          <w:u w:val="none"/>
          <w:lang w:val="en-US" w:eastAsia="zh-CN"/>
        </w:rPr>
      </w:pPr>
      <w:r>
        <w:rPr>
          <w:rFonts w:hint="eastAsia" w:ascii="方正小标宋_GBK" w:hAnsi="方正小标宋_GBK" w:eastAsia="方正小标宋_GBK" w:cs="方正小标宋_GBK"/>
          <w:b/>
          <w:bCs/>
          <w:sz w:val="44"/>
          <w:szCs w:val="44"/>
          <w:highlight w:val="none"/>
          <w:u w:val="none"/>
          <w:lang w:val="en-US" w:eastAsia="zh-CN"/>
        </w:rPr>
        <w:t>公开报告</w:t>
      </w: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黑体" w:hAnsi="黑体" w:eastAsia="黑体"/>
          <w:b/>
          <w:kern w:val="2"/>
          <w:sz w:val="44"/>
          <w:szCs w:val="24"/>
          <w:highlight w:val="none"/>
        </w:rPr>
      </w:pPr>
    </w:p>
    <w:p>
      <w:pPr>
        <w:spacing w:beforeLines="0" w:afterLines="0"/>
        <w:jc w:val="center"/>
        <w:rPr>
          <w:rFonts w:hint="eastAsia" w:ascii="方正小标宋简体" w:hAnsi="方正小标宋简体" w:eastAsia="方正小标宋简体"/>
          <w:b/>
          <w:kern w:val="2"/>
          <w:sz w:val="44"/>
          <w:szCs w:val="24"/>
          <w:highlight w:val="none"/>
        </w:rPr>
      </w:pPr>
      <w:r>
        <w:rPr>
          <w:rFonts w:hint="eastAsia" w:ascii="黑体" w:hAnsi="黑体" w:eastAsia="黑体"/>
          <w:b/>
          <w:kern w:val="2"/>
          <w:sz w:val="44"/>
          <w:szCs w:val="24"/>
          <w:highlight w:val="none"/>
        </w:rPr>
        <w:t>目录</w:t>
      </w:r>
    </w:p>
    <w:p>
      <w:pPr>
        <w:spacing w:beforeLines="0" w:afterLines="0"/>
        <w:ind w:firstLine="645"/>
        <w:jc w:val="both"/>
        <w:rPr>
          <w:rFonts w:hint="eastAsia" w:ascii="仿宋_GB2312" w:hAnsi="仿宋_GB2312" w:eastAsia="仿宋_GB2312"/>
          <w:b/>
          <w:kern w:val="2"/>
          <w:sz w:val="32"/>
          <w:szCs w:val="24"/>
          <w:highlight w:val="none"/>
        </w:rPr>
      </w:pPr>
    </w:p>
    <w:p>
      <w:pPr>
        <w:spacing w:beforeLines="0" w:afterLines="0" w:line="480" w:lineRule="auto"/>
        <w:jc w:val="both"/>
        <w:rPr>
          <w:rFonts w:hint="eastAsia" w:ascii="黑体" w:hAnsi="黑体" w:eastAsia="黑体"/>
          <w:kern w:val="2"/>
          <w:sz w:val="32"/>
          <w:szCs w:val="24"/>
          <w:highlight w:val="none"/>
        </w:rPr>
      </w:pPr>
      <w:r>
        <w:rPr>
          <w:rFonts w:hint="eastAsia" w:ascii="黑体" w:hAnsi="黑体" w:eastAsia="黑体"/>
          <w:kern w:val="2"/>
          <w:sz w:val="32"/>
          <w:szCs w:val="24"/>
          <w:highlight w:val="none"/>
        </w:rPr>
        <w:t>第一部分：部门（单位）概况</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一、部门职责</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二、机构设置</w:t>
      </w:r>
    </w:p>
    <w:p>
      <w:pPr>
        <w:spacing w:beforeLines="0" w:afterLines="0" w:line="480" w:lineRule="auto"/>
        <w:jc w:val="both"/>
        <w:rPr>
          <w:rFonts w:hint="eastAsia" w:ascii="黑体" w:hAnsi="黑体" w:eastAsia="黑体"/>
          <w:kern w:val="2"/>
          <w:sz w:val="32"/>
          <w:szCs w:val="24"/>
          <w:highlight w:val="none"/>
        </w:rPr>
      </w:pPr>
      <w:r>
        <w:rPr>
          <w:rFonts w:hint="eastAsia" w:ascii="黑体" w:hAnsi="黑体" w:eastAsia="黑体"/>
          <w:kern w:val="2"/>
          <w:sz w:val="32"/>
          <w:szCs w:val="24"/>
          <w:highlight w:val="none"/>
        </w:rPr>
        <w:t>第二部分</w:t>
      </w:r>
      <w:r>
        <w:rPr>
          <w:rFonts w:hint="eastAsia" w:ascii="黑体" w:hAnsi="黑体" w:eastAsia="黑体"/>
          <w:kern w:val="2"/>
          <w:sz w:val="32"/>
          <w:szCs w:val="24"/>
          <w:highlight w:val="none"/>
          <w:lang w:eastAsia="zh-CN"/>
        </w:rPr>
        <w:t>：</w:t>
      </w:r>
      <w:r>
        <w:rPr>
          <w:rFonts w:hint="eastAsia" w:ascii="黑体" w:hAnsi="黑体" w:eastAsia="黑体"/>
          <w:kern w:val="2"/>
          <w:sz w:val="32"/>
          <w:szCs w:val="24"/>
          <w:highlight w:val="none"/>
        </w:rPr>
        <w:t>2024年度部门决算表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一、收入支出决算总表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二、收入决算表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三、支出决算表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四、财政拨款收入支出决算总表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五、非财政拨款收入支出决算总表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六、一般公共预算财政拨款支出决算表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七、一般公共预算财政拨款基本支出决算明细表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八、政府性基金预算财政拨款收入支出决算表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九、国有资本经营预算财政拨款支出决算表</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十、财政拨款</w:t>
      </w:r>
      <w:r>
        <w:rPr>
          <w:rFonts w:hint="default" w:ascii="仿宋_GB2312" w:hAnsi="仿宋_GB2312" w:eastAsia="仿宋_GB2312"/>
          <w:spacing w:val="15"/>
          <w:kern w:val="2"/>
          <w:sz w:val="32"/>
          <w:szCs w:val="24"/>
          <w:highlight w:val="none"/>
        </w:rPr>
        <w:t>“</w:t>
      </w:r>
      <w:r>
        <w:rPr>
          <w:rFonts w:hint="eastAsia" w:ascii="仿宋_GB2312" w:hAnsi="仿宋_GB2312" w:eastAsia="仿宋_GB2312"/>
          <w:spacing w:val="15"/>
          <w:kern w:val="2"/>
          <w:sz w:val="32"/>
          <w:szCs w:val="24"/>
          <w:highlight w:val="none"/>
        </w:rPr>
        <w:t>三公</w:t>
      </w:r>
      <w:r>
        <w:rPr>
          <w:rFonts w:hint="default" w:ascii="仿宋_GB2312" w:hAnsi="仿宋_GB2312" w:eastAsia="仿宋_GB2312"/>
          <w:spacing w:val="15"/>
          <w:kern w:val="2"/>
          <w:sz w:val="32"/>
          <w:szCs w:val="24"/>
          <w:highlight w:val="none"/>
        </w:rPr>
        <w:t>”</w:t>
      </w:r>
      <w:r>
        <w:rPr>
          <w:rFonts w:hint="eastAsia" w:ascii="仿宋_GB2312" w:hAnsi="仿宋_GB2312" w:eastAsia="仿宋_GB2312"/>
          <w:spacing w:val="15"/>
          <w:kern w:val="2"/>
          <w:sz w:val="32"/>
          <w:szCs w:val="24"/>
          <w:highlight w:val="none"/>
        </w:rPr>
        <w:t>经费支出决算表</w:t>
      </w:r>
    </w:p>
    <w:p>
      <w:pPr>
        <w:spacing w:beforeLines="0" w:afterLines="0" w:line="480" w:lineRule="auto"/>
        <w:jc w:val="both"/>
        <w:rPr>
          <w:rFonts w:hint="eastAsia" w:ascii="黑体" w:hAnsi="黑体" w:eastAsia="黑体"/>
          <w:kern w:val="2"/>
          <w:sz w:val="32"/>
          <w:szCs w:val="24"/>
          <w:highlight w:val="none"/>
        </w:rPr>
      </w:pPr>
      <w:r>
        <w:rPr>
          <w:rFonts w:hint="eastAsia" w:ascii="黑体" w:hAnsi="黑体" w:eastAsia="黑体"/>
          <w:kern w:val="2"/>
          <w:sz w:val="32"/>
          <w:szCs w:val="24"/>
          <w:highlight w:val="none"/>
        </w:rPr>
        <w:t>第三部分：2024年度部门决算情况说明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一、收入支出决算总体情况说明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二、收入决算情况说明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三、支出决算情况说明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四、财政拨款收入支出决算总体情况说明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五、非财政拨款</w:t>
      </w:r>
      <w:r>
        <w:rPr>
          <w:rFonts w:hint="eastAsia" w:ascii="仿宋_GB2312" w:hAnsi="仿宋_GB2312" w:eastAsia="仿宋_GB2312"/>
          <w:kern w:val="2"/>
          <w:sz w:val="32"/>
          <w:szCs w:val="24"/>
          <w:highlight w:val="none"/>
          <w:lang w:val="en-US" w:eastAsia="zh-CN"/>
        </w:rPr>
        <w:t>收入</w:t>
      </w:r>
      <w:r>
        <w:rPr>
          <w:rFonts w:hint="eastAsia" w:ascii="仿宋_GB2312" w:hAnsi="仿宋_GB2312" w:eastAsia="仿宋_GB2312"/>
          <w:kern w:val="2"/>
          <w:sz w:val="32"/>
          <w:szCs w:val="24"/>
          <w:highlight w:val="none"/>
        </w:rPr>
        <w:t>支</w:t>
      </w:r>
      <w:r>
        <w:rPr>
          <w:rFonts w:hint="eastAsia" w:ascii="仿宋_GB2312" w:hAnsi="仿宋_GB2312" w:eastAsia="仿宋_GB2312"/>
          <w:kern w:val="2"/>
          <w:sz w:val="32"/>
          <w:szCs w:val="24"/>
          <w:highlight w:val="none"/>
          <w:lang w:val="en-US" w:eastAsia="zh-CN"/>
        </w:rPr>
        <w:t>出</w:t>
      </w:r>
      <w:r>
        <w:rPr>
          <w:rFonts w:hint="eastAsia" w:ascii="仿宋_GB2312" w:hAnsi="仿宋_GB2312" w:eastAsia="仿宋_GB2312"/>
          <w:kern w:val="2"/>
          <w:sz w:val="32"/>
          <w:szCs w:val="24"/>
          <w:highlight w:val="none"/>
        </w:rPr>
        <w:t>决算</w:t>
      </w:r>
      <w:r>
        <w:rPr>
          <w:rFonts w:hint="eastAsia" w:ascii="仿宋_GB2312" w:hAnsi="仿宋_GB2312" w:eastAsia="仿宋_GB2312"/>
          <w:kern w:val="2"/>
          <w:sz w:val="32"/>
          <w:szCs w:val="24"/>
          <w:highlight w:val="none"/>
          <w:lang w:val="en-US" w:eastAsia="zh-CN"/>
        </w:rPr>
        <w:t>总体</w:t>
      </w:r>
      <w:r>
        <w:rPr>
          <w:rFonts w:hint="eastAsia" w:ascii="仿宋_GB2312" w:hAnsi="仿宋_GB2312" w:eastAsia="仿宋_GB2312"/>
          <w:kern w:val="2"/>
          <w:sz w:val="32"/>
          <w:szCs w:val="24"/>
          <w:highlight w:val="none"/>
        </w:rPr>
        <w:t>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六、一般公共预算财政拨款支出决算情况说明</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七、一般公共预算财政拨款基本支出决算情况说明</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八、政府性基金预算财政拨款收入支出决算情况说明</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九、国有资本经营预算财政拨款支出决算情况说明</w:t>
      </w:r>
    </w:p>
    <w:p>
      <w:pPr>
        <w:spacing w:beforeLines="0" w:afterLines="0" w:line="480" w:lineRule="auto"/>
        <w:ind w:firstLine="350"/>
        <w:jc w:val="both"/>
        <w:rPr>
          <w:rFonts w:hint="eastAsia" w:ascii="仿宋_GB2312" w:hAnsi="仿宋_GB2312" w:eastAsia="仿宋_GB2312"/>
          <w:spacing w:val="15"/>
          <w:kern w:val="2"/>
          <w:sz w:val="32"/>
          <w:szCs w:val="24"/>
          <w:highlight w:val="none"/>
        </w:rPr>
      </w:pPr>
      <w:r>
        <w:rPr>
          <w:rFonts w:hint="eastAsia" w:ascii="仿宋_GB2312" w:hAnsi="仿宋_GB2312" w:eastAsia="仿宋_GB2312"/>
          <w:spacing w:val="15"/>
          <w:kern w:val="2"/>
          <w:sz w:val="32"/>
          <w:szCs w:val="24"/>
          <w:highlight w:val="none"/>
        </w:rPr>
        <w:t>十、财政拨款</w:t>
      </w:r>
      <w:r>
        <w:rPr>
          <w:rFonts w:hint="default" w:ascii="仿宋_GB2312" w:hAnsi="仿宋_GB2312" w:eastAsia="仿宋_GB2312"/>
          <w:spacing w:val="15"/>
          <w:kern w:val="2"/>
          <w:sz w:val="32"/>
          <w:szCs w:val="24"/>
          <w:highlight w:val="none"/>
        </w:rPr>
        <w:t>“</w:t>
      </w:r>
      <w:r>
        <w:rPr>
          <w:rFonts w:hint="eastAsia" w:ascii="仿宋_GB2312" w:hAnsi="仿宋_GB2312" w:eastAsia="仿宋_GB2312"/>
          <w:spacing w:val="15"/>
          <w:kern w:val="2"/>
          <w:sz w:val="32"/>
          <w:szCs w:val="24"/>
          <w:highlight w:val="none"/>
        </w:rPr>
        <w:t>三公</w:t>
      </w:r>
      <w:r>
        <w:rPr>
          <w:rFonts w:hint="default" w:ascii="仿宋_GB2312" w:hAnsi="仿宋_GB2312" w:eastAsia="仿宋_GB2312"/>
          <w:spacing w:val="15"/>
          <w:kern w:val="2"/>
          <w:sz w:val="32"/>
          <w:szCs w:val="24"/>
          <w:highlight w:val="none"/>
        </w:rPr>
        <w:t>”</w:t>
      </w:r>
      <w:r>
        <w:rPr>
          <w:rFonts w:hint="eastAsia" w:ascii="仿宋_GB2312" w:hAnsi="仿宋_GB2312" w:eastAsia="仿宋_GB2312"/>
          <w:spacing w:val="15"/>
          <w:kern w:val="2"/>
          <w:sz w:val="32"/>
          <w:szCs w:val="24"/>
          <w:highlight w:val="none"/>
        </w:rPr>
        <w:t>经费支出决算情况说明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十一、其他重要事项的情况说明</w:t>
      </w:r>
    </w:p>
    <w:p>
      <w:pPr>
        <w:spacing w:beforeLines="0" w:afterLines="0" w:line="480" w:lineRule="auto"/>
        <w:ind w:firstLine="320"/>
        <w:jc w:val="both"/>
        <w:rPr>
          <w:rFonts w:hint="eastAsia" w:ascii="仿宋_GB2312" w:hAnsi="仿宋_GB2312" w:eastAsia="仿宋_GB2312"/>
          <w:kern w:val="2"/>
          <w:sz w:val="32"/>
          <w:szCs w:val="24"/>
          <w:highlight w:val="none"/>
        </w:rPr>
      </w:pPr>
      <w:r>
        <w:rPr>
          <w:rFonts w:hint="eastAsia" w:ascii="仿宋_GB2312" w:hAnsi="仿宋_GB2312" w:eastAsia="仿宋_GB2312"/>
          <w:kern w:val="2"/>
          <w:sz w:val="32"/>
          <w:szCs w:val="24"/>
          <w:highlight w:val="none"/>
        </w:rPr>
        <w:t>十二、预算绩效情况说明</w:t>
      </w:r>
    </w:p>
    <w:p>
      <w:pPr>
        <w:spacing w:beforeLines="0" w:afterLines="0" w:line="480" w:lineRule="auto"/>
        <w:ind w:hanging="3"/>
        <w:jc w:val="both"/>
        <w:rPr>
          <w:rFonts w:hint="eastAsia" w:ascii="黑体" w:hAnsi="黑体" w:eastAsia="黑体"/>
          <w:sz w:val="32"/>
          <w:szCs w:val="24"/>
          <w:highlight w:val="none"/>
        </w:rPr>
      </w:pPr>
      <w:r>
        <w:rPr>
          <w:rFonts w:hint="eastAsia" w:ascii="黑体" w:hAnsi="黑体" w:eastAsia="黑体"/>
          <w:sz w:val="32"/>
          <w:szCs w:val="24"/>
          <w:highlight w:val="none"/>
        </w:rPr>
        <w:t>第四部分：名词解释</w:t>
      </w:r>
    </w:p>
    <w:p>
      <w:pPr>
        <w:spacing w:beforeLines="0" w:afterLines="0" w:line="480" w:lineRule="auto"/>
        <w:ind w:hanging="3"/>
        <w:jc w:val="both"/>
        <w:rPr>
          <w:rFonts w:hint="eastAsia" w:ascii="黑体" w:hAnsi="黑体" w:eastAsia="黑体"/>
          <w:sz w:val="32"/>
          <w:szCs w:val="24"/>
          <w:highlight w:val="none"/>
        </w:rPr>
      </w:pPr>
      <w:r>
        <w:rPr>
          <w:rFonts w:hint="eastAsia" w:ascii="黑体" w:hAnsi="黑体" w:eastAsia="黑体"/>
          <w:sz w:val="32"/>
          <w:szCs w:val="24"/>
          <w:highlight w:val="none"/>
        </w:rPr>
        <w:t>第五部分：附件</w:t>
      </w:r>
    </w:p>
    <w:p>
      <w:pPr>
        <w:spacing w:beforeLines="0" w:afterLines="0" w:line="480" w:lineRule="auto"/>
        <w:jc w:val="center"/>
        <w:rPr>
          <w:rFonts w:hint="eastAsia" w:ascii="黑体" w:hAnsi="黑体" w:eastAsia="黑体"/>
          <w:kern w:val="2"/>
          <w:sz w:val="48"/>
          <w:szCs w:val="24"/>
          <w:highlight w:val="none"/>
          <w:lang w:eastAsia="zh-CN"/>
        </w:rPr>
      </w:pPr>
      <w:r>
        <w:br w:type="page"/>
      </w:r>
      <w:r>
        <w:rPr>
          <w:rFonts w:hint="eastAsia" w:ascii="黑体" w:hAnsi="黑体" w:eastAsia="黑体"/>
          <w:kern w:val="2"/>
          <w:sz w:val="48"/>
          <w:szCs w:val="24"/>
          <w:highlight w:val="none"/>
        </w:rPr>
        <w:t>第一部分 贵阳市外事办公室概述</w:t>
      </w:r>
    </w:p>
    <w:p>
      <w:pPr>
        <w:spacing w:beforeLines="0" w:afterLines="0"/>
        <w:jc w:val="center"/>
        <w:rPr>
          <w:rFonts w:hint="eastAsia" w:ascii="黑体" w:hAnsi="黑体" w:eastAsia="黑体"/>
          <w:kern w:val="2"/>
          <w:sz w:val="48"/>
          <w:szCs w:val="24"/>
          <w:highlight w:val="none"/>
        </w:rPr>
      </w:pPr>
    </w:p>
    <w:p>
      <w:pPr>
        <w:spacing w:beforeLines="0" w:afterLines="0"/>
        <w:ind w:firstLine="640" w:firstLineChars="200"/>
        <w:jc w:val="both"/>
        <w:rPr>
          <w:rFonts w:hint="eastAsia" w:ascii="黑体" w:hAnsi="黑体" w:eastAsia="黑体"/>
          <w:kern w:val="2"/>
          <w:sz w:val="32"/>
          <w:szCs w:val="24"/>
          <w:highlight w:val="none"/>
          <w:lang w:val="en-US" w:eastAsia="zh-CN"/>
        </w:rPr>
      </w:pPr>
      <w:r>
        <w:rPr>
          <w:rFonts w:hint="eastAsia" w:ascii="黑体" w:hAnsi="黑体" w:eastAsia="黑体"/>
          <w:sz w:val="32"/>
          <w:szCs w:val="24"/>
          <w:highlight w:val="none"/>
        </w:rPr>
        <w:t>一、部门职责</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（一）贯彻执行国家外事、港澳事务工作的方针、政策和涉外法规以及省委、省人民政府、市委、市人民政府关于外事、港澳事务工作的指示和决定。</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二）拟订全市外事、港澳事务工作政策、规划、措施和办法并组织实施；协调全市外事、港澳事务工作和重要涉外活动；处理或协助处理全市重大涉外、涉港澳事务；指导、协调有关部门和社会团体的涉外、涉港澳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（三）负责外事、港澳事务工作的调查研究，为市委、市人民政府的外事、港澳事务工作决策提出建议；围绕市委、市人民政府的中心工作，利用对外交往渠道，为全市经济建设和社会发展服务。</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四）审核报市委、市人民政府审批的外事文件；承办市委、市人大、市人民政府、市政协领导出访和邀请外国相应人员来访报批事宜；按授权范围审核并报市人民政府审批县（处）级及以下人员因公出国（境）和邀请外国人士来访的有关事宜，并为上述人员出具出国任务批件、确认件或邀请函。</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（五）负责全市与港澳地区官方、半官方和重要民间交往工作；参与指导我市企业与中资机构在港、澳的有关协调工作；根据授权审核报批因公往来港澳通行证和签注。</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（六）负责组织接待来筑访问的重要外宾和来筑进行公务活动的外交人员；统筹安排市委、市人大、市人民政府、市政协领导的外事活动。</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（七）汇总全市因公出国（境）团组、人员在国（境）外活动的情况和邀请外国人来访情况，向市委、市政府和省外事办反映并提出相应建议和措施。</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（八）统筹安排和管理全市各部门、各单位与外国驻华外交机构、领事机构的交往、交涉事宜，协调做好在筑外籍人员的领事服务工作。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（九）管理全市与外国友好城市的交往合作工作，指导全市民间对外交往工作。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（十）管理来筑采访的外国和港澳媒体、记者，统筹协调、指导有关部门和单位做好外国和港澳记者采访活动的安排。</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（十一）贯彻执行国家对境外非政府组织在华活动和国内民间组织参加国际非政府组织活动管理工作的规定，协调、指导、管理境外非政府组织在筑活动和全市民间组织参加国际非政府组织活动。</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（十二）贯彻执行国家有关境外中国公民及机构安全保护的法律法规和政策措施，加强对全市出国（境）人员在国（境）外的领事保护工作。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（十三）负责对全市外事干部和涉外人员进行对外政策、外事纪律的教育培训；协助选拔、推荐优秀干部、工勤人员到我国驻外使领馆工作。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（十四）会同市委宣传部做好对外宣传和群众性外事教育工作；向全市各部门提供国际形势、对外政策、重大国际问题的宣传材料和对外表态口径；协同审核全市重要涉外报道稿件和其他有关文稿。</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五）贯彻执行《涉外人员守则》及中央、省、市有关因公出国（境）管理的规定，配合纪检、监察、国家安全和保密部门督促检查执行外事纪律及涉外保密制度的情况；对违反外事纪律和有关规定的提出相关处理建议。</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（十六）支持配合中国人民对外友好协会、省人民对外友好协会工作，参加全国友协、省友协组织的对外交流活动；指导全市人民对外友好交往工作。</w:t>
      </w:r>
    </w:p>
    <w:p>
      <w:pPr>
        <w:ind w:firstLine="600" w:firstLineChars="200"/>
        <w:rPr>
          <w:rFonts w:hint="eastAsia" w:ascii="仿宋_GB2312" w:eastAsia="仿宋_GB2312"/>
          <w:sz w:val="30"/>
          <w:szCs w:val="30"/>
          <w:highlight w:val="none"/>
          <w:u w:val="none"/>
        </w:rPr>
      </w:pPr>
      <w:r>
        <w:rPr>
          <w:rFonts w:hint="eastAsia" w:ascii="仿宋_GB2312" w:eastAsia="仿宋_GB2312"/>
          <w:sz w:val="30"/>
          <w:szCs w:val="30"/>
          <w:highlight w:val="none"/>
          <w:u w:val="none"/>
          <w:lang w:eastAsia="zh-CN"/>
        </w:rPr>
        <w:t xml:space="preserve">（十七）承担市委外事工作委员会办公室日常工作；承办市委、市人民政府和上级业务部门交办的其他事项。 </w:t>
      </w:r>
    </w:p>
    <w:p>
      <w:pPr>
        <w:spacing w:beforeLines="0" w:afterLines="0"/>
        <w:ind w:firstLine="640" w:firstLineChars="200"/>
        <w:jc w:val="both"/>
        <w:rPr>
          <w:rFonts w:hint="eastAsia" w:ascii="黑体" w:hAnsi="黑体" w:eastAsia="黑体"/>
          <w:sz w:val="32"/>
          <w:szCs w:val="24"/>
          <w:highlight w:val="none"/>
        </w:rPr>
      </w:pPr>
      <w:r>
        <w:rPr>
          <w:rFonts w:hint="eastAsia" w:ascii="黑体" w:hAnsi="黑体" w:eastAsia="黑体"/>
          <w:sz w:val="32"/>
          <w:szCs w:val="24"/>
          <w:highlight w:val="none"/>
        </w:rPr>
        <w:t>二、机构设置</w:t>
      </w:r>
    </w:p>
    <w:p>
      <w:pPr>
        <w:spacing w:line="600" w:lineRule="exact"/>
        <w:ind w:firstLine="600" w:firstLineChars="200"/>
        <w:rPr>
          <w:rFonts w:hint="eastAsia" w:ascii="仿宋_GB2312" w:eastAsia="仿宋_GB2312"/>
          <w:sz w:val="30"/>
          <w:szCs w:val="30"/>
          <w:highlight w:val="none"/>
          <w:u w:val="none"/>
          <w:lang w:eastAsia="zh-CN"/>
        </w:rPr>
      </w:pPr>
      <w:r>
        <w:rPr>
          <w:rFonts w:hint="eastAsia" w:ascii="仿宋_GB2312" w:eastAsia="仿宋_GB2312"/>
          <w:sz w:val="30"/>
          <w:szCs w:val="30"/>
          <w:highlight w:val="none"/>
          <w:u w:val="none"/>
          <w:lang w:eastAsia="zh-CN"/>
        </w:rPr>
        <w:t>贵阳市外事办公室2024年度部门决算编制范围的单位包括</w:t>
      </w:r>
      <w:r>
        <w:rPr>
          <w:rFonts w:hint="eastAsia" w:ascii="仿宋_GB2312" w:eastAsia="仿宋_GB2312"/>
          <w:sz w:val="30"/>
          <w:szCs w:val="30"/>
          <w:highlight w:val="none"/>
          <w:u w:val="none"/>
          <w:lang w:val="en-US" w:eastAsia="zh-CN"/>
        </w:rPr>
        <w:t>:</w:t>
      </w:r>
      <w:r>
        <w:rPr>
          <w:rFonts w:hint="eastAsia" w:ascii="仿宋_GB2312" w:eastAsia="仿宋_GB2312"/>
          <w:sz w:val="30"/>
          <w:szCs w:val="30"/>
          <w:highlight w:val="none"/>
          <w:u w:val="none"/>
          <w:lang w:eastAsia="zh-CN"/>
        </w:rPr>
        <w:t>内设5个机构：分别是综合处、出国管理处、礼宾新闻处、领事设外处、翻译室。</w:t>
      </w:r>
    </w:p>
    <w:p>
      <w:pPr>
        <w:ind w:firstLine="600" w:firstLineChars="200"/>
        <w:rPr>
          <w:rFonts w:hint="eastAsia" w:ascii="仿宋_GB2312" w:eastAsia="仿宋_GB2312"/>
          <w:sz w:val="30"/>
          <w:szCs w:val="30"/>
          <w:highlight w:val="none"/>
          <w:u w:val="none"/>
          <w:lang w:eastAsia="zh-CN"/>
        </w:rPr>
      </w:pPr>
      <w:r>
        <w:rPr>
          <w:rFonts w:hint="eastAsia" w:ascii="仿宋_GB2312" w:eastAsia="仿宋_GB2312"/>
          <w:sz w:val="30"/>
          <w:szCs w:val="30"/>
          <w:highlight w:val="none"/>
          <w:u w:val="none"/>
          <w:lang w:eastAsia="zh-CN"/>
        </w:rPr>
        <w:t>按照决算编报要求，纳入贵阳市外事办公室2024年度部门决算编报范围的单位共1个。</w:t>
      </w:r>
    </w:p>
    <w:p>
      <w:pPr>
        <w:ind w:firstLine="600" w:firstLineChars="200"/>
        <w:rPr>
          <w:rFonts w:hint="eastAsia" w:ascii="仿宋_GB2312" w:eastAsia="仿宋_GB2312"/>
          <w:sz w:val="30"/>
          <w:szCs w:val="30"/>
          <w:highlight w:val="none"/>
          <w:u w:val="none"/>
          <w:lang w:eastAsia="zh-CN"/>
        </w:rPr>
      </w:pPr>
      <w:r>
        <w:rPr>
          <w:rFonts w:hint="eastAsia" w:ascii="仿宋_GB2312" w:eastAsia="仿宋_GB2312"/>
          <w:sz w:val="30"/>
          <w:szCs w:val="30"/>
          <w:highlight w:val="none"/>
          <w:u w:val="none"/>
          <w:lang w:eastAsia="zh-CN"/>
        </w:rPr>
        <w:t xml:space="preserve"> 从预算单位构成看，贵阳市外事办公室决算包括：本级决算，所属事业单位财务不独立核算，未单独编制决算。 </w:t>
      </w:r>
    </w:p>
    <w:p>
      <w:pPr>
        <w:spacing w:beforeLines="0" w:afterLines="0" w:line="480" w:lineRule="auto"/>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rPr>
        <w:t>第二部分 2024年度部门决算表</w:t>
      </w:r>
    </w:p>
    <w:p>
      <w:pPr>
        <w:ind w:firstLine="960" w:firstLineChars="200"/>
        <w:rPr>
          <w:rFonts w:hint="eastAsia" w:ascii="黑体" w:hAnsi="黑体" w:eastAsia="黑体"/>
          <w:kern w:val="2"/>
          <w:sz w:val="48"/>
          <w:szCs w:val="24"/>
          <w:highlight w:val="none"/>
          <w:lang w:eastAsia="zh-CN"/>
        </w:rPr>
      </w:pPr>
    </w:p>
    <w:p>
      <w:pPr>
        <w:spacing w:line="600" w:lineRule="exact"/>
        <w:rPr>
          <w:rFonts w:hint="default" w:ascii="仿宋_GB2312" w:eastAsia="仿宋_GB2312"/>
          <w:sz w:val="30"/>
          <w:szCs w:val="30"/>
          <w:highlight w:val="none"/>
          <w:u w:val="none"/>
          <w:lang w:val="en-US" w:eastAsia="zh-CN"/>
        </w:rPr>
      </w:pPr>
      <w:bookmarkStart w:id="0" w:name="_Toc291121727"/>
      <w:bookmarkStart w:id="1" w:name="_Toc984815664"/>
    </w:p>
    <w:p>
      <w:pPr>
        <w:pStyle w:val="7"/>
        <w:spacing w:before="0" w:after="0" w:line="800" w:lineRule="exact"/>
        <w:jc w:val="center"/>
        <w:outlineLvl w:val="0"/>
        <w:rPr>
          <w:rFonts w:hint="eastAsia" w:ascii="黑体" w:hAnsi="黑体" w:eastAsia="黑体"/>
          <w:b/>
          <w:bCs/>
          <w:sz w:val="30"/>
          <w:szCs w:val="30"/>
          <w:highlight w:val="none"/>
          <w:u w:val="none"/>
        </w:rPr>
      </w:pPr>
      <w:r>
        <w:br w:type="page"/>
      </w:r>
      <w:r>
        <w:rPr>
          <w:rFonts w:hint="eastAsia" w:ascii="黑体" w:hAnsi="黑体" w:eastAsia="黑体"/>
          <w:b/>
          <w:bCs/>
          <w:sz w:val="30"/>
          <w:szCs w:val="30"/>
          <w:highlight w:val="none"/>
          <w:u w:val="none"/>
        </w:rPr>
        <w:t>收入支出决算总表</w:t>
      </w:r>
      <w:bookmarkEnd w:id="0"/>
      <w:bookmarkEnd w:id="1"/>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80"/>
        <w:gridCol w:w="340"/>
        <w:gridCol w:w="1320"/>
        <w:gridCol w:w="2480"/>
        <w:gridCol w:w="340"/>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4140" w:type="dxa"/>
            <w:gridSpan w:val="3"/>
            <w:vAlign w:val="center"/>
          </w:tcPr>
          <w:p>
            <w:pPr>
              <w:snapToGrid w:val="0"/>
              <w:jc w:val="center"/>
            </w:pPr>
            <w:r>
              <w:rPr>
                <w:rFonts w:ascii="宋体" w:hAnsi="宋体" w:eastAsia="宋体" w:cs="宋体"/>
                <w:b w:val="0"/>
                <w:i w:val="0"/>
                <w:color w:val="000000"/>
                <w:sz w:val="12"/>
              </w:rPr>
              <w:t>收入</w:t>
            </w:r>
          </w:p>
        </w:tc>
        <w:tc>
          <w:tcPr>
            <w:tcW w:w="4166" w:type="dxa"/>
            <w:gridSpan w:val="3"/>
            <w:vAlign w:val="center"/>
          </w:tcPr>
          <w:p>
            <w:pPr>
              <w:snapToGrid w:val="0"/>
              <w:jc w:val="center"/>
            </w:pPr>
            <w:r>
              <w:rPr>
                <w:rFonts w:ascii="宋体" w:hAnsi="宋体" w:eastAsia="宋体" w:cs="宋体"/>
                <w:b w:val="0"/>
                <w:i w:val="0"/>
                <w:color w:val="000000"/>
                <w:sz w:val="1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val="0"/>
                <w:i w:val="0"/>
                <w:color w:val="000000"/>
                <w:sz w:val="12"/>
              </w:rPr>
              <w:t>项目</w:t>
            </w:r>
          </w:p>
        </w:tc>
        <w:tc>
          <w:tcPr>
            <w:tcW w:w="340" w:type="dxa"/>
            <w:vAlign w:val="center"/>
          </w:tcPr>
          <w:p>
            <w:pPr>
              <w:snapToGrid w:val="0"/>
              <w:jc w:val="center"/>
            </w:pPr>
            <w:r>
              <w:rPr>
                <w:rFonts w:ascii="宋体" w:hAnsi="宋体" w:eastAsia="宋体" w:cs="宋体"/>
                <w:b w:val="0"/>
                <w:i w:val="0"/>
                <w:color w:val="000000"/>
                <w:sz w:val="12"/>
              </w:rPr>
              <w:t>行次</w:t>
            </w:r>
          </w:p>
        </w:tc>
        <w:tc>
          <w:tcPr>
            <w:tcW w:w="1320" w:type="dxa"/>
            <w:vAlign w:val="center"/>
          </w:tcPr>
          <w:p>
            <w:pPr>
              <w:snapToGrid w:val="0"/>
              <w:jc w:val="center"/>
            </w:pPr>
            <w:r>
              <w:rPr>
                <w:rFonts w:ascii="宋体" w:hAnsi="宋体" w:eastAsia="宋体" w:cs="宋体"/>
                <w:b w:val="0"/>
                <w:i w:val="0"/>
                <w:color w:val="000000"/>
                <w:sz w:val="12"/>
              </w:rPr>
              <w:t>金额</w:t>
            </w:r>
          </w:p>
        </w:tc>
        <w:tc>
          <w:tcPr>
            <w:tcW w:w="2480" w:type="dxa"/>
            <w:vAlign w:val="center"/>
          </w:tcPr>
          <w:p>
            <w:pPr>
              <w:snapToGrid w:val="0"/>
              <w:jc w:val="center"/>
            </w:pPr>
            <w:r>
              <w:rPr>
                <w:rFonts w:ascii="宋体" w:hAnsi="宋体" w:eastAsia="宋体" w:cs="宋体"/>
                <w:b w:val="0"/>
                <w:i w:val="0"/>
                <w:color w:val="000000"/>
                <w:sz w:val="12"/>
              </w:rPr>
              <w:t>项目</w:t>
            </w:r>
          </w:p>
        </w:tc>
        <w:tc>
          <w:tcPr>
            <w:tcW w:w="340" w:type="dxa"/>
            <w:vAlign w:val="center"/>
          </w:tcPr>
          <w:p>
            <w:pPr>
              <w:snapToGrid w:val="0"/>
              <w:jc w:val="center"/>
            </w:pPr>
            <w:r>
              <w:rPr>
                <w:rFonts w:ascii="宋体" w:hAnsi="宋体" w:eastAsia="宋体" w:cs="宋体"/>
                <w:b w:val="0"/>
                <w:i w:val="0"/>
                <w:color w:val="000000"/>
                <w:sz w:val="12"/>
              </w:rPr>
              <w:t>行次</w:t>
            </w:r>
          </w:p>
        </w:tc>
        <w:tc>
          <w:tcPr>
            <w:tcW w:w="1346" w:type="dxa"/>
            <w:vAlign w:val="center"/>
          </w:tcPr>
          <w:p>
            <w:pPr>
              <w:snapToGrid w:val="0"/>
              <w:jc w:val="center"/>
            </w:pPr>
            <w:r>
              <w:rPr>
                <w:rFonts w:ascii="宋体" w:hAnsi="宋体" w:eastAsia="宋体" w:cs="宋体"/>
                <w:b w:val="0"/>
                <w:i w:val="0"/>
                <w:color w:val="000000"/>
                <w:sz w:val="12"/>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val="0"/>
                <w:i w:val="0"/>
                <w:color w:val="000000"/>
                <w:sz w:val="12"/>
              </w:rPr>
              <w:t>栏次</w:t>
            </w:r>
          </w:p>
        </w:tc>
        <w:tc>
          <w:tcPr>
            <w:tcW w:w="340" w:type="dxa"/>
            <w:vAlign w:val="center"/>
          </w:tcPr>
          <w:p/>
        </w:tc>
        <w:tc>
          <w:tcPr>
            <w:tcW w:w="1320" w:type="dxa"/>
            <w:vAlign w:val="center"/>
          </w:tcPr>
          <w:p>
            <w:pPr>
              <w:snapToGrid w:val="0"/>
              <w:jc w:val="center"/>
            </w:pPr>
            <w:r>
              <w:rPr>
                <w:rFonts w:ascii="宋体" w:hAnsi="宋体" w:eastAsia="宋体" w:cs="宋体"/>
                <w:b w:val="0"/>
                <w:i w:val="0"/>
                <w:color w:val="000000"/>
                <w:sz w:val="12"/>
              </w:rPr>
              <w:t>1</w:t>
            </w:r>
          </w:p>
        </w:tc>
        <w:tc>
          <w:tcPr>
            <w:tcW w:w="2480" w:type="dxa"/>
            <w:vAlign w:val="center"/>
          </w:tcPr>
          <w:p>
            <w:pPr>
              <w:snapToGrid w:val="0"/>
              <w:jc w:val="center"/>
            </w:pPr>
            <w:r>
              <w:rPr>
                <w:rFonts w:ascii="宋体" w:hAnsi="宋体" w:eastAsia="宋体" w:cs="宋体"/>
                <w:b w:val="0"/>
                <w:i w:val="0"/>
                <w:color w:val="000000"/>
                <w:sz w:val="12"/>
              </w:rPr>
              <w:t>栏次</w:t>
            </w:r>
          </w:p>
        </w:tc>
        <w:tc>
          <w:tcPr>
            <w:tcW w:w="340" w:type="dxa"/>
            <w:vAlign w:val="center"/>
          </w:tcPr>
          <w:p/>
        </w:tc>
        <w:tc>
          <w:tcPr>
            <w:tcW w:w="1346" w:type="dxa"/>
            <w:vAlign w:val="center"/>
          </w:tcPr>
          <w:p>
            <w:pPr>
              <w:snapToGrid w:val="0"/>
              <w:jc w:val="center"/>
            </w:pPr>
            <w:r>
              <w:rPr>
                <w:rFonts w:ascii="宋体" w:hAnsi="宋体" w:eastAsia="宋体" w:cs="宋体"/>
                <w:b w:val="0"/>
                <w:i w:val="0"/>
                <w:color w:val="000000"/>
                <w:sz w:val="1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一、一般公共预算财政拨款收入</w:t>
            </w:r>
          </w:p>
        </w:tc>
        <w:tc>
          <w:tcPr>
            <w:tcW w:w="340" w:type="dxa"/>
            <w:vAlign w:val="center"/>
          </w:tcPr>
          <w:p>
            <w:pPr>
              <w:snapToGrid w:val="0"/>
              <w:jc w:val="center"/>
            </w:pPr>
            <w:r>
              <w:rPr>
                <w:rFonts w:ascii="宋体" w:hAnsi="宋体" w:eastAsia="宋体" w:cs="宋体"/>
                <w:b w:val="0"/>
                <w:i w:val="0"/>
                <w:color w:val="000000"/>
                <w:sz w:val="12"/>
              </w:rPr>
              <w:t>1</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773.90</w:t>
            </w:r>
          </w:p>
        </w:tc>
        <w:tc>
          <w:tcPr>
            <w:tcW w:w="2480" w:type="dxa"/>
            <w:vAlign w:val="center"/>
          </w:tcPr>
          <w:p>
            <w:pPr>
              <w:snapToGrid w:val="0"/>
              <w:jc w:val="left"/>
            </w:pPr>
            <w:r>
              <w:rPr>
                <w:rFonts w:ascii="宋体" w:hAnsi="宋体" w:eastAsia="宋体" w:cs="宋体"/>
                <w:b w:val="0"/>
                <w:i w:val="0"/>
                <w:color w:val="000000"/>
                <w:sz w:val="12"/>
              </w:rPr>
              <w:t>一、一般公共服务支出</w:t>
            </w:r>
          </w:p>
        </w:tc>
        <w:tc>
          <w:tcPr>
            <w:tcW w:w="340" w:type="dxa"/>
            <w:vAlign w:val="center"/>
          </w:tcPr>
          <w:p>
            <w:pPr>
              <w:snapToGrid w:val="0"/>
              <w:jc w:val="center"/>
            </w:pPr>
            <w:r>
              <w:rPr>
                <w:rFonts w:ascii="宋体" w:hAnsi="宋体" w:eastAsia="宋体" w:cs="宋体"/>
                <w:b w:val="0"/>
                <w:i w:val="0"/>
                <w:color w:val="000000"/>
                <w:sz w:val="12"/>
              </w:rPr>
              <w:t>32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531.41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二、政府性基金预算财政拨款收入</w:t>
            </w:r>
          </w:p>
        </w:tc>
        <w:tc>
          <w:tcPr>
            <w:tcW w:w="340" w:type="dxa"/>
            <w:vAlign w:val="center"/>
          </w:tcPr>
          <w:p>
            <w:pPr>
              <w:snapToGrid w:val="0"/>
              <w:jc w:val="center"/>
            </w:pPr>
            <w:r>
              <w:rPr>
                <w:rFonts w:ascii="宋体" w:hAnsi="宋体" w:eastAsia="宋体" w:cs="宋体"/>
                <w:b w:val="0"/>
                <w:i w:val="0"/>
                <w:color w:val="000000"/>
                <w:sz w:val="12"/>
              </w:rPr>
              <w:t>2</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二、外交支出</w:t>
            </w:r>
          </w:p>
        </w:tc>
        <w:tc>
          <w:tcPr>
            <w:tcW w:w="340" w:type="dxa"/>
            <w:vAlign w:val="center"/>
          </w:tcPr>
          <w:p>
            <w:pPr>
              <w:snapToGrid w:val="0"/>
              <w:jc w:val="center"/>
            </w:pPr>
            <w:r>
              <w:rPr>
                <w:rFonts w:ascii="宋体" w:hAnsi="宋体" w:eastAsia="宋体" w:cs="宋体"/>
                <w:b w:val="0"/>
                <w:i w:val="0"/>
                <w:color w:val="000000"/>
                <w:sz w:val="12"/>
              </w:rPr>
              <w:t>33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三、国有资本经营预算财政拨款收入</w:t>
            </w:r>
          </w:p>
        </w:tc>
        <w:tc>
          <w:tcPr>
            <w:tcW w:w="340" w:type="dxa"/>
            <w:vAlign w:val="center"/>
          </w:tcPr>
          <w:p>
            <w:pPr>
              <w:snapToGrid w:val="0"/>
              <w:jc w:val="center"/>
            </w:pPr>
            <w:r>
              <w:rPr>
                <w:rFonts w:ascii="宋体" w:hAnsi="宋体" w:eastAsia="宋体" w:cs="宋体"/>
                <w:b w:val="0"/>
                <w:i w:val="0"/>
                <w:color w:val="000000"/>
                <w:sz w:val="12"/>
              </w:rPr>
              <w:t>3</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三、国防支出</w:t>
            </w:r>
          </w:p>
        </w:tc>
        <w:tc>
          <w:tcPr>
            <w:tcW w:w="340" w:type="dxa"/>
            <w:vAlign w:val="center"/>
          </w:tcPr>
          <w:p>
            <w:pPr>
              <w:snapToGrid w:val="0"/>
              <w:jc w:val="center"/>
            </w:pPr>
            <w:r>
              <w:rPr>
                <w:rFonts w:ascii="宋体" w:hAnsi="宋体" w:eastAsia="宋体" w:cs="宋体"/>
                <w:b w:val="0"/>
                <w:i w:val="0"/>
                <w:color w:val="000000"/>
                <w:sz w:val="12"/>
              </w:rPr>
              <w:t>34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四、上级补助收入</w:t>
            </w:r>
          </w:p>
        </w:tc>
        <w:tc>
          <w:tcPr>
            <w:tcW w:w="340" w:type="dxa"/>
            <w:vAlign w:val="center"/>
          </w:tcPr>
          <w:p>
            <w:pPr>
              <w:snapToGrid w:val="0"/>
              <w:jc w:val="center"/>
            </w:pPr>
            <w:r>
              <w:rPr>
                <w:rFonts w:ascii="宋体" w:hAnsi="宋体" w:eastAsia="宋体" w:cs="宋体"/>
                <w:b w:val="0"/>
                <w:i w:val="0"/>
                <w:color w:val="000000"/>
                <w:sz w:val="12"/>
              </w:rPr>
              <w:t>4</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四、公共安全支出</w:t>
            </w:r>
          </w:p>
        </w:tc>
        <w:tc>
          <w:tcPr>
            <w:tcW w:w="340" w:type="dxa"/>
            <w:vAlign w:val="center"/>
          </w:tcPr>
          <w:p>
            <w:pPr>
              <w:snapToGrid w:val="0"/>
              <w:jc w:val="center"/>
            </w:pPr>
            <w:r>
              <w:rPr>
                <w:rFonts w:ascii="宋体" w:hAnsi="宋体" w:eastAsia="宋体" w:cs="宋体"/>
                <w:b w:val="0"/>
                <w:i w:val="0"/>
                <w:color w:val="000000"/>
                <w:sz w:val="12"/>
              </w:rPr>
              <w:t>35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五、事业收入</w:t>
            </w:r>
          </w:p>
        </w:tc>
        <w:tc>
          <w:tcPr>
            <w:tcW w:w="340" w:type="dxa"/>
            <w:vAlign w:val="center"/>
          </w:tcPr>
          <w:p>
            <w:pPr>
              <w:snapToGrid w:val="0"/>
              <w:jc w:val="center"/>
            </w:pPr>
            <w:r>
              <w:rPr>
                <w:rFonts w:ascii="宋体" w:hAnsi="宋体" w:eastAsia="宋体" w:cs="宋体"/>
                <w:b w:val="0"/>
                <w:i w:val="0"/>
                <w:color w:val="000000"/>
                <w:sz w:val="12"/>
              </w:rPr>
              <w:t>5</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五、教育支出</w:t>
            </w:r>
          </w:p>
        </w:tc>
        <w:tc>
          <w:tcPr>
            <w:tcW w:w="340" w:type="dxa"/>
            <w:vAlign w:val="center"/>
          </w:tcPr>
          <w:p>
            <w:pPr>
              <w:snapToGrid w:val="0"/>
              <w:jc w:val="center"/>
            </w:pPr>
            <w:r>
              <w:rPr>
                <w:rFonts w:ascii="宋体" w:hAnsi="宋体" w:eastAsia="宋体" w:cs="宋体"/>
                <w:b w:val="0"/>
                <w:i w:val="0"/>
                <w:color w:val="000000"/>
                <w:sz w:val="12"/>
              </w:rPr>
              <w:t>36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六、经营收入</w:t>
            </w:r>
          </w:p>
        </w:tc>
        <w:tc>
          <w:tcPr>
            <w:tcW w:w="340" w:type="dxa"/>
            <w:vAlign w:val="center"/>
          </w:tcPr>
          <w:p>
            <w:pPr>
              <w:snapToGrid w:val="0"/>
              <w:jc w:val="center"/>
            </w:pPr>
            <w:r>
              <w:rPr>
                <w:rFonts w:ascii="宋体" w:hAnsi="宋体" w:eastAsia="宋体" w:cs="宋体"/>
                <w:b w:val="0"/>
                <w:i w:val="0"/>
                <w:color w:val="000000"/>
                <w:sz w:val="12"/>
              </w:rPr>
              <w:t>6</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六、科学技术支出</w:t>
            </w:r>
          </w:p>
        </w:tc>
        <w:tc>
          <w:tcPr>
            <w:tcW w:w="340" w:type="dxa"/>
            <w:vAlign w:val="center"/>
          </w:tcPr>
          <w:p>
            <w:pPr>
              <w:snapToGrid w:val="0"/>
              <w:jc w:val="center"/>
            </w:pPr>
            <w:r>
              <w:rPr>
                <w:rFonts w:ascii="宋体" w:hAnsi="宋体" w:eastAsia="宋体" w:cs="宋体"/>
                <w:b w:val="0"/>
                <w:i w:val="0"/>
                <w:color w:val="000000"/>
                <w:sz w:val="12"/>
              </w:rPr>
              <w:t>37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七、附属单位上缴收入</w:t>
            </w:r>
          </w:p>
        </w:tc>
        <w:tc>
          <w:tcPr>
            <w:tcW w:w="340" w:type="dxa"/>
            <w:vAlign w:val="center"/>
          </w:tcPr>
          <w:p>
            <w:pPr>
              <w:snapToGrid w:val="0"/>
              <w:jc w:val="center"/>
            </w:pPr>
            <w:r>
              <w:rPr>
                <w:rFonts w:ascii="宋体" w:hAnsi="宋体" w:eastAsia="宋体" w:cs="宋体"/>
                <w:b w:val="0"/>
                <w:i w:val="0"/>
                <w:color w:val="000000"/>
                <w:sz w:val="12"/>
              </w:rPr>
              <w:t>7</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七、文化旅游体育与传媒支出</w:t>
            </w:r>
          </w:p>
        </w:tc>
        <w:tc>
          <w:tcPr>
            <w:tcW w:w="340" w:type="dxa"/>
            <w:vAlign w:val="center"/>
          </w:tcPr>
          <w:p>
            <w:pPr>
              <w:snapToGrid w:val="0"/>
              <w:jc w:val="center"/>
            </w:pPr>
            <w:r>
              <w:rPr>
                <w:rFonts w:ascii="宋体" w:hAnsi="宋体" w:eastAsia="宋体" w:cs="宋体"/>
                <w:b w:val="0"/>
                <w:i w:val="0"/>
                <w:color w:val="000000"/>
                <w:sz w:val="12"/>
              </w:rPr>
              <w:t>38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八、其他收入</w:t>
            </w:r>
          </w:p>
        </w:tc>
        <w:tc>
          <w:tcPr>
            <w:tcW w:w="340" w:type="dxa"/>
            <w:vAlign w:val="center"/>
          </w:tcPr>
          <w:p>
            <w:pPr>
              <w:snapToGrid w:val="0"/>
              <w:jc w:val="center"/>
            </w:pPr>
            <w:r>
              <w:rPr>
                <w:rFonts w:ascii="宋体" w:hAnsi="宋体" w:eastAsia="宋体" w:cs="宋体"/>
                <w:b w:val="0"/>
                <w:i w:val="0"/>
                <w:color w:val="000000"/>
                <w:sz w:val="12"/>
              </w:rPr>
              <w:t>8</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八、社会保障和就业支出</w:t>
            </w:r>
          </w:p>
        </w:tc>
        <w:tc>
          <w:tcPr>
            <w:tcW w:w="340" w:type="dxa"/>
            <w:vAlign w:val="center"/>
          </w:tcPr>
          <w:p>
            <w:pPr>
              <w:snapToGrid w:val="0"/>
              <w:jc w:val="center"/>
            </w:pPr>
            <w:r>
              <w:rPr>
                <w:rFonts w:ascii="宋体" w:hAnsi="宋体" w:eastAsia="宋体" w:cs="宋体"/>
                <w:b w:val="0"/>
                <w:i w:val="0"/>
                <w:color w:val="000000"/>
                <w:sz w:val="12"/>
              </w:rPr>
              <w:t>39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142.64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9</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九、卫生健康支出</w:t>
            </w:r>
          </w:p>
        </w:tc>
        <w:tc>
          <w:tcPr>
            <w:tcW w:w="340" w:type="dxa"/>
            <w:vAlign w:val="center"/>
          </w:tcPr>
          <w:p>
            <w:pPr>
              <w:snapToGrid w:val="0"/>
              <w:jc w:val="center"/>
            </w:pPr>
            <w:r>
              <w:rPr>
                <w:rFonts w:ascii="宋体" w:hAnsi="宋体" w:eastAsia="宋体" w:cs="宋体"/>
                <w:b w:val="0"/>
                <w:i w:val="0"/>
                <w:color w:val="000000"/>
                <w:sz w:val="12"/>
              </w:rPr>
              <w:t>40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31.94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十、节能环保支出</w:t>
            </w:r>
          </w:p>
        </w:tc>
        <w:tc>
          <w:tcPr>
            <w:tcW w:w="340" w:type="dxa"/>
            <w:vAlign w:val="center"/>
          </w:tcPr>
          <w:p>
            <w:pPr>
              <w:snapToGrid w:val="0"/>
              <w:jc w:val="center"/>
            </w:pPr>
            <w:r>
              <w:rPr>
                <w:rFonts w:ascii="宋体" w:hAnsi="宋体" w:eastAsia="宋体" w:cs="宋体"/>
                <w:b w:val="0"/>
                <w:i w:val="0"/>
                <w:color w:val="000000"/>
                <w:sz w:val="12"/>
              </w:rPr>
              <w:t>41</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11</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十一、城乡社区支出</w:t>
            </w:r>
          </w:p>
        </w:tc>
        <w:tc>
          <w:tcPr>
            <w:tcW w:w="340" w:type="dxa"/>
            <w:vAlign w:val="center"/>
          </w:tcPr>
          <w:p>
            <w:pPr>
              <w:snapToGrid w:val="0"/>
              <w:jc w:val="center"/>
            </w:pPr>
            <w:r>
              <w:rPr>
                <w:rFonts w:ascii="宋体" w:hAnsi="宋体" w:eastAsia="宋体" w:cs="宋体"/>
                <w:b w:val="0"/>
                <w:i w:val="0"/>
                <w:color w:val="000000"/>
                <w:sz w:val="12"/>
              </w:rPr>
              <w:t>42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12</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十二、农林水支出</w:t>
            </w:r>
          </w:p>
        </w:tc>
        <w:tc>
          <w:tcPr>
            <w:tcW w:w="340" w:type="dxa"/>
            <w:vAlign w:val="center"/>
          </w:tcPr>
          <w:p>
            <w:pPr>
              <w:snapToGrid w:val="0"/>
              <w:jc w:val="center"/>
            </w:pPr>
            <w:r>
              <w:rPr>
                <w:rFonts w:ascii="宋体" w:hAnsi="宋体" w:eastAsia="宋体" w:cs="宋体"/>
                <w:b w:val="0"/>
                <w:i w:val="0"/>
                <w:color w:val="000000"/>
                <w:sz w:val="12"/>
              </w:rPr>
              <w:t>43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13</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十三、交通运输支出</w:t>
            </w:r>
          </w:p>
        </w:tc>
        <w:tc>
          <w:tcPr>
            <w:tcW w:w="340" w:type="dxa"/>
            <w:vAlign w:val="center"/>
          </w:tcPr>
          <w:p>
            <w:pPr>
              <w:snapToGrid w:val="0"/>
              <w:jc w:val="center"/>
            </w:pPr>
            <w:r>
              <w:rPr>
                <w:rFonts w:ascii="宋体" w:hAnsi="宋体" w:eastAsia="宋体" w:cs="宋体"/>
                <w:b w:val="0"/>
                <w:i w:val="0"/>
                <w:color w:val="000000"/>
                <w:sz w:val="12"/>
              </w:rPr>
              <w:t>44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14</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十四、资源勘探工业信息等支出</w:t>
            </w:r>
          </w:p>
        </w:tc>
        <w:tc>
          <w:tcPr>
            <w:tcW w:w="340" w:type="dxa"/>
            <w:vAlign w:val="center"/>
          </w:tcPr>
          <w:p>
            <w:pPr>
              <w:snapToGrid w:val="0"/>
              <w:jc w:val="center"/>
            </w:pPr>
            <w:r>
              <w:rPr>
                <w:rFonts w:ascii="宋体" w:hAnsi="宋体" w:eastAsia="宋体" w:cs="宋体"/>
                <w:b w:val="0"/>
                <w:i w:val="0"/>
                <w:color w:val="000000"/>
                <w:sz w:val="12"/>
              </w:rPr>
              <w:t>45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15</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十五、商业服务业等支出</w:t>
            </w:r>
          </w:p>
        </w:tc>
        <w:tc>
          <w:tcPr>
            <w:tcW w:w="340" w:type="dxa"/>
            <w:vAlign w:val="center"/>
          </w:tcPr>
          <w:p>
            <w:pPr>
              <w:snapToGrid w:val="0"/>
              <w:jc w:val="center"/>
            </w:pPr>
            <w:r>
              <w:rPr>
                <w:rFonts w:ascii="宋体" w:hAnsi="宋体" w:eastAsia="宋体" w:cs="宋体"/>
                <w:b w:val="0"/>
                <w:i w:val="0"/>
                <w:color w:val="000000"/>
                <w:sz w:val="12"/>
              </w:rPr>
              <w:t>46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16</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十六、金融支出</w:t>
            </w:r>
          </w:p>
        </w:tc>
        <w:tc>
          <w:tcPr>
            <w:tcW w:w="340" w:type="dxa"/>
            <w:vAlign w:val="center"/>
          </w:tcPr>
          <w:p>
            <w:pPr>
              <w:snapToGrid w:val="0"/>
              <w:jc w:val="center"/>
            </w:pPr>
            <w:r>
              <w:rPr>
                <w:rFonts w:ascii="宋体" w:hAnsi="宋体" w:eastAsia="宋体" w:cs="宋体"/>
                <w:b w:val="0"/>
                <w:i w:val="0"/>
                <w:color w:val="000000"/>
                <w:sz w:val="12"/>
              </w:rPr>
              <w:t>47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17</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十七、援助其他地区支出</w:t>
            </w:r>
          </w:p>
        </w:tc>
        <w:tc>
          <w:tcPr>
            <w:tcW w:w="340" w:type="dxa"/>
            <w:vAlign w:val="center"/>
          </w:tcPr>
          <w:p>
            <w:pPr>
              <w:snapToGrid w:val="0"/>
              <w:jc w:val="center"/>
            </w:pPr>
            <w:r>
              <w:rPr>
                <w:rFonts w:ascii="宋体" w:hAnsi="宋体" w:eastAsia="宋体" w:cs="宋体"/>
                <w:b w:val="0"/>
                <w:i w:val="0"/>
                <w:color w:val="000000"/>
                <w:sz w:val="12"/>
              </w:rPr>
              <w:t>48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18</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十八、自然资源海洋气象等支出</w:t>
            </w:r>
          </w:p>
        </w:tc>
        <w:tc>
          <w:tcPr>
            <w:tcW w:w="340" w:type="dxa"/>
            <w:vAlign w:val="center"/>
          </w:tcPr>
          <w:p>
            <w:pPr>
              <w:snapToGrid w:val="0"/>
              <w:jc w:val="center"/>
            </w:pPr>
            <w:r>
              <w:rPr>
                <w:rFonts w:ascii="宋体" w:hAnsi="宋体" w:eastAsia="宋体" w:cs="宋体"/>
                <w:b w:val="0"/>
                <w:i w:val="0"/>
                <w:color w:val="000000"/>
                <w:sz w:val="12"/>
              </w:rPr>
              <w:t>49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19</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十九、住房保障支出</w:t>
            </w:r>
          </w:p>
        </w:tc>
        <w:tc>
          <w:tcPr>
            <w:tcW w:w="340" w:type="dxa"/>
            <w:vAlign w:val="center"/>
          </w:tcPr>
          <w:p>
            <w:pPr>
              <w:snapToGrid w:val="0"/>
              <w:jc w:val="center"/>
            </w:pPr>
            <w:r>
              <w:rPr>
                <w:rFonts w:ascii="宋体" w:hAnsi="宋体" w:eastAsia="宋体" w:cs="宋体"/>
                <w:b w:val="0"/>
                <w:i w:val="0"/>
                <w:color w:val="000000"/>
                <w:sz w:val="12"/>
              </w:rPr>
              <w:t>50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42.91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二十、粮油物资储备支出</w:t>
            </w:r>
          </w:p>
        </w:tc>
        <w:tc>
          <w:tcPr>
            <w:tcW w:w="340" w:type="dxa"/>
            <w:vAlign w:val="center"/>
          </w:tcPr>
          <w:p>
            <w:pPr>
              <w:snapToGrid w:val="0"/>
              <w:jc w:val="center"/>
            </w:pPr>
            <w:r>
              <w:rPr>
                <w:rFonts w:ascii="宋体" w:hAnsi="宋体" w:eastAsia="宋体" w:cs="宋体"/>
                <w:b w:val="0"/>
                <w:i w:val="0"/>
                <w:color w:val="000000"/>
                <w:sz w:val="12"/>
              </w:rPr>
              <w:t>51</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21</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二十一、国有资本经营预算支出</w:t>
            </w:r>
          </w:p>
        </w:tc>
        <w:tc>
          <w:tcPr>
            <w:tcW w:w="340" w:type="dxa"/>
            <w:vAlign w:val="center"/>
          </w:tcPr>
          <w:p>
            <w:pPr>
              <w:snapToGrid w:val="0"/>
              <w:jc w:val="center"/>
            </w:pPr>
            <w:r>
              <w:rPr>
                <w:rFonts w:ascii="宋体" w:hAnsi="宋体" w:eastAsia="宋体" w:cs="宋体"/>
                <w:b w:val="0"/>
                <w:i w:val="0"/>
                <w:color w:val="000000"/>
                <w:sz w:val="12"/>
              </w:rPr>
              <w:t>52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22</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二十二、灾害防治及应急管理支出</w:t>
            </w:r>
          </w:p>
        </w:tc>
        <w:tc>
          <w:tcPr>
            <w:tcW w:w="340" w:type="dxa"/>
            <w:vAlign w:val="center"/>
          </w:tcPr>
          <w:p>
            <w:pPr>
              <w:snapToGrid w:val="0"/>
              <w:jc w:val="center"/>
            </w:pPr>
            <w:r>
              <w:rPr>
                <w:rFonts w:ascii="宋体" w:hAnsi="宋体" w:eastAsia="宋体" w:cs="宋体"/>
                <w:b w:val="0"/>
                <w:i w:val="0"/>
                <w:color w:val="000000"/>
                <w:sz w:val="12"/>
              </w:rPr>
              <w:t>53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23</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二十三、其他支出</w:t>
            </w:r>
          </w:p>
        </w:tc>
        <w:tc>
          <w:tcPr>
            <w:tcW w:w="340" w:type="dxa"/>
            <w:vAlign w:val="center"/>
          </w:tcPr>
          <w:p>
            <w:pPr>
              <w:snapToGrid w:val="0"/>
              <w:jc w:val="center"/>
            </w:pPr>
            <w:r>
              <w:rPr>
                <w:rFonts w:ascii="宋体" w:hAnsi="宋体" w:eastAsia="宋体" w:cs="宋体"/>
                <w:b w:val="0"/>
                <w:i w:val="0"/>
                <w:color w:val="000000"/>
                <w:sz w:val="12"/>
              </w:rPr>
              <w:t>54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24</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二十四、债务还本支出</w:t>
            </w:r>
          </w:p>
        </w:tc>
        <w:tc>
          <w:tcPr>
            <w:tcW w:w="340" w:type="dxa"/>
            <w:vAlign w:val="center"/>
          </w:tcPr>
          <w:p>
            <w:pPr>
              <w:snapToGrid w:val="0"/>
              <w:jc w:val="center"/>
            </w:pPr>
            <w:r>
              <w:rPr>
                <w:rFonts w:ascii="宋体" w:hAnsi="宋体" w:eastAsia="宋体" w:cs="宋体"/>
                <w:b w:val="0"/>
                <w:i w:val="0"/>
                <w:color w:val="000000"/>
                <w:sz w:val="12"/>
              </w:rPr>
              <w:t>55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25</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二十五、债务付息支出</w:t>
            </w:r>
          </w:p>
        </w:tc>
        <w:tc>
          <w:tcPr>
            <w:tcW w:w="340" w:type="dxa"/>
            <w:vAlign w:val="center"/>
          </w:tcPr>
          <w:p>
            <w:pPr>
              <w:snapToGrid w:val="0"/>
              <w:jc w:val="center"/>
            </w:pPr>
            <w:r>
              <w:rPr>
                <w:rFonts w:ascii="宋体" w:hAnsi="宋体" w:eastAsia="宋体" w:cs="宋体"/>
                <w:b w:val="0"/>
                <w:i w:val="0"/>
                <w:color w:val="000000"/>
                <w:sz w:val="12"/>
              </w:rPr>
              <w:t>56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26</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二十六、抗疫特别国债安排的支出</w:t>
            </w:r>
          </w:p>
        </w:tc>
        <w:tc>
          <w:tcPr>
            <w:tcW w:w="340" w:type="dxa"/>
            <w:vAlign w:val="center"/>
          </w:tcPr>
          <w:p>
            <w:pPr>
              <w:snapToGrid w:val="0"/>
              <w:jc w:val="center"/>
            </w:pPr>
            <w:r>
              <w:rPr>
                <w:rFonts w:ascii="宋体" w:hAnsi="宋体" w:eastAsia="宋体" w:cs="宋体"/>
                <w:b w:val="0"/>
                <w:i w:val="0"/>
                <w:color w:val="000000"/>
                <w:sz w:val="12"/>
              </w:rPr>
              <w:t>57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i w:val="0"/>
                <w:color w:val="000000"/>
                <w:sz w:val="12"/>
              </w:rPr>
              <w:t>本年收入合计</w:t>
            </w:r>
          </w:p>
        </w:tc>
        <w:tc>
          <w:tcPr>
            <w:tcW w:w="340" w:type="dxa"/>
            <w:vAlign w:val="center"/>
          </w:tcPr>
          <w:p>
            <w:pPr>
              <w:snapToGrid w:val="0"/>
              <w:jc w:val="center"/>
            </w:pPr>
            <w:r>
              <w:rPr>
                <w:rFonts w:ascii="宋体" w:hAnsi="宋体" w:eastAsia="宋体" w:cs="宋体"/>
                <w:b w:val="0"/>
                <w:i w:val="0"/>
                <w:color w:val="000000"/>
                <w:sz w:val="12"/>
              </w:rPr>
              <w:t>27</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773.90</w:t>
            </w:r>
          </w:p>
        </w:tc>
        <w:tc>
          <w:tcPr>
            <w:tcW w:w="2480" w:type="dxa"/>
            <w:vAlign w:val="center"/>
          </w:tcPr>
          <w:p>
            <w:pPr>
              <w:snapToGrid w:val="0"/>
              <w:jc w:val="center"/>
            </w:pPr>
            <w:r>
              <w:rPr>
                <w:rFonts w:ascii="宋体" w:hAnsi="宋体" w:eastAsia="宋体" w:cs="宋体"/>
                <w:b/>
                <w:i w:val="0"/>
                <w:color w:val="000000"/>
                <w:sz w:val="12"/>
              </w:rPr>
              <w:t>本年支出合计</w:t>
            </w:r>
          </w:p>
        </w:tc>
        <w:tc>
          <w:tcPr>
            <w:tcW w:w="340" w:type="dxa"/>
            <w:vAlign w:val="center"/>
          </w:tcPr>
          <w:p>
            <w:pPr>
              <w:snapToGrid w:val="0"/>
              <w:jc w:val="center"/>
            </w:pPr>
            <w:r>
              <w:rPr>
                <w:rFonts w:ascii="宋体" w:hAnsi="宋体" w:eastAsia="宋体" w:cs="宋体"/>
                <w:b w:val="0"/>
                <w:i w:val="0"/>
                <w:color w:val="000000"/>
                <w:sz w:val="12"/>
              </w:rPr>
              <w:t>58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773.90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使用非财政拨款结余（含专用结余）</w:t>
            </w:r>
          </w:p>
        </w:tc>
        <w:tc>
          <w:tcPr>
            <w:tcW w:w="340" w:type="dxa"/>
            <w:vAlign w:val="center"/>
          </w:tcPr>
          <w:p>
            <w:pPr>
              <w:snapToGrid w:val="0"/>
              <w:jc w:val="center"/>
            </w:pPr>
            <w:r>
              <w:rPr>
                <w:rFonts w:ascii="宋体" w:hAnsi="宋体" w:eastAsia="宋体" w:cs="宋体"/>
                <w:b w:val="0"/>
                <w:i w:val="0"/>
                <w:color w:val="000000"/>
                <w:sz w:val="12"/>
              </w:rPr>
              <w:t>28</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结余分配</w:t>
            </w:r>
          </w:p>
        </w:tc>
        <w:tc>
          <w:tcPr>
            <w:tcW w:w="340" w:type="dxa"/>
            <w:vAlign w:val="center"/>
          </w:tcPr>
          <w:p>
            <w:pPr>
              <w:snapToGrid w:val="0"/>
              <w:jc w:val="center"/>
            </w:pPr>
            <w:r>
              <w:rPr>
                <w:rFonts w:ascii="宋体" w:hAnsi="宋体" w:eastAsia="宋体" w:cs="宋体"/>
                <w:b w:val="0"/>
                <w:i w:val="0"/>
                <w:color w:val="000000"/>
                <w:sz w:val="12"/>
              </w:rPr>
              <w:t>59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年初结转和结余</w:t>
            </w:r>
          </w:p>
        </w:tc>
        <w:tc>
          <w:tcPr>
            <w:tcW w:w="340" w:type="dxa"/>
            <w:vAlign w:val="center"/>
          </w:tcPr>
          <w:p>
            <w:pPr>
              <w:snapToGrid w:val="0"/>
              <w:jc w:val="center"/>
            </w:pPr>
            <w:r>
              <w:rPr>
                <w:rFonts w:ascii="宋体" w:hAnsi="宋体" w:eastAsia="宋体" w:cs="宋体"/>
                <w:b w:val="0"/>
                <w:i w:val="0"/>
                <w:color w:val="000000"/>
                <w:sz w:val="12"/>
              </w:rPr>
              <w:t>29</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年末结转和结余</w:t>
            </w:r>
          </w:p>
        </w:tc>
        <w:tc>
          <w:tcPr>
            <w:tcW w:w="340" w:type="dxa"/>
            <w:vAlign w:val="center"/>
          </w:tcPr>
          <w:p>
            <w:pPr>
              <w:snapToGrid w:val="0"/>
              <w:jc w:val="center"/>
            </w:pPr>
            <w:r>
              <w:rPr>
                <w:rFonts w:ascii="宋体" w:hAnsi="宋体" w:eastAsia="宋体" w:cs="宋体"/>
                <w:b w:val="0"/>
                <w:i w:val="0"/>
                <w:color w:val="000000"/>
                <w:sz w:val="12"/>
              </w:rPr>
              <w:t>60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30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61</w:t>
            </w:r>
          </w:p>
        </w:tc>
        <w:tc>
          <w:tcPr>
            <w:tcW w:w="1346" w:type="dxa"/>
            <w:vAlign w:val="center"/>
          </w:tcPr>
          <w:p>
            <w:pPr>
              <w:rPr>
                <w:rFonts w:hint="default" w:ascii="Times New Roman" w:hAnsi="Times New Roman" w:eastAsia="宋体"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i w:val="0"/>
                <w:color w:val="000000"/>
                <w:sz w:val="12"/>
              </w:rPr>
              <w:t>总计</w:t>
            </w:r>
          </w:p>
        </w:tc>
        <w:tc>
          <w:tcPr>
            <w:tcW w:w="340" w:type="dxa"/>
            <w:vAlign w:val="center"/>
          </w:tcPr>
          <w:p>
            <w:pPr>
              <w:snapToGrid w:val="0"/>
              <w:jc w:val="center"/>
            </w:pPr>
            <w:r>
              <w:rPr>
                <w:rFonts w:ascii="宋体" w:hAnsi="宋体" w:eastAsia="宋体" w:cs="宋体"/>
                <w:b w:val="0"/>
                <w:i w:val="0"/>
                <w:color w:val="000000"/>
                <w:sz w:val="12"/>
              </w:rPr>
              <w:t>31</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773.90</w:t>
            </w:r>
          </w:p>
        </w:tc>
        <w:tc>
          <w:tcPr>
            <w:tcW w:w="2480" w:type="dxa"/>
            <w:vAlign w:val="center"/>
          </w:tcPr>
          <w:p>
            <w:pPr>
              <w:snapToGrid w:val="0"/>
              <w:jc w:val="center"/>
            </w:pPr>
            <w:r>
              <w:rPr>
                <w:rFonts w:ascii="宋体" w:hAnsi="宋体" w:eastAsia="宋体" w:cs="宋体"/>
                <w:b/>
                <w:i w:val="0"/>
                <w:color w:val="000000"/>
                <w:sz w:val="12"/>
              </w:rPr>
              <w:t>总计</w:t>
            </w:r>
          </w:p>
        </w:tc>
        <w:tc>
          <w:tcPr>
            <w:tcW w:w="340" w:type="dxa"/>
            <w:vAlign w:val="center"/>
          </w:tcPr>
          <w:p>
            <w:pPr>
              <w:snapToGrid w:val="0"/>
              <w:jc w:val="center"/>
            </w:pPr>
            <w:r>
              <w:rPr>
                <w:rFonts w:ascii="宋体" w:hAnsi="宋体" w:eastAsia="宋体" w:cs="宋体"/>
                <w:b w:val="0"/>
                <w:i w:val="0"/>
                <w:color w:val="000000"/>
                <w:sz w:val="12"/>
              </w:rPr>
              <w:t>62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773.90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2"/>
              </w:rPr>
              <w:t>注：1.本表反映部门本年度的总收支和年末结转结余情况。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8306"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2"/>
              </w:rPr>
              <w:t xml:space="preserve">    2.本套报表金额单位转换时可能存在尾数误差。</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60"/>
        <w:gridCol w:w="160"/>
        <w:gridCol w:w="309"/>
        <w:gridCol w:w="1711"/>
        <w:gridCol w:w="860"/>
        <w:gridCol w:w="860"/>
        <w:gridCol w:w="860"/>
        <w:gridCol w:w="860"/>
        <w:gridCol w:w="860"/>
        <w:gridCol w:w="860"/>
        <w:gridCol w:w="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2340" w:type="dxa"/>
            <w:gridSpan w:val="4"/>
            <w:vAlign w:val="center"/>
          </w:tcPr>
          <w:p>
            <w:pPr>
              <w:snapToGrid w:val="0"/>
              <w:jc w:val="center"/>
            </w:pPr>
            <w:r>
              <w:rPr>
                <w:rFonts w:ascii="宋体" w:hAnsi="宋体" w:eastAsia="宋体" w:cs="宋体"/>
                <w:b w:val="0"/>
                <w:i w:val="0"/>
                <w:color w:val="000000"/>
                <w:sz w:val="10"/>
              </w:rPr>
              <w:t>项目</w:t>
            </w:r>
          </w:p>
        </w:tc>
        <w:tc>
          <w:tcPr>
            <w:tcW w:w="860" w:type="dxa"/>
            <w:vMerge w:val="restart"/>
            <w:vAlign w:val="center"/>
          </w:tcPr>
          <w:p>
            <w:pPr>
              <w:snapToGrid w:val="0"/>
              <w:jc w:val="center"/>
            </w:pPr>
            <w:r>
              <w:rPr>
                <w:rFonts w:ascii="宋体" w:hAnsi="宋体" w:eastAsia="宋体" w:cs="宋体"/>
                <w:b w:val="0"/>
                <w:i w:val="0"/>
                <w:color w:val="000000"/>
                <w:sz w:val="10"/>
              </w:rPr>
              <w:t>本年收入合计</w:t>
            </w:r>
          </w:p>
        </w:tc>
        <w:tc>
          <w:tcPr>
            <w:tcW w:w="860" w:type="dxa"/>
            <w:vMerge w:val="restart"/>
            <w:vAlign w:val="center"/>
          </w:tcPr>
          <w:p>
            <w:pPr>
              <w:snapToGrid w:val="0"/>
              <w:jc w:val="center"/>
            </w:pPr>
            <w:r>
              <w:rPr>
                <w:rFonts w:ascii="宋体" w:hAnsi="宋体" w:eastAsia="宋体" w:cs="宋体"/>
                <w:b w:val="0"/>
                <w:i w:val="0"/>
                <w:color w:val="000000"/>
                <w:sz w:val="10"/>
              </w:rPr>
              <w:t>财政拨款收入</w:t>
            </w:r>
          </w:p>
        </w:tc>
        <w:tc>
          <w:tcPr>
            <w:tcW w:w="860" w:type="dxa"/>
            <w:vMerge w:val="restart"/>
            <w:vAlign w:val="center"/>
          </w:tcPr>
          <w:p>
            <w:pPr>
              <w:snapToGrid w:val="0"/>
              <w:jc w:val="center"/>
            </w:pPr>
            <w:r>
              <w:rPr>
                <w:rFonts w:ascii="宋体" w:hAnsi="宋体" w:eastAsia="宋体" w:cs="宋体"/>
                <w:b w:val="0"/>
                <w:i w:val="0"/>
                <w:color w:val="000000"/>
                <w:sz w:val="10"/>
              </w:rPr>
              <w:t>上级补助收入</w:t>
            </w:r>
          </w:p>
        </w:tc>
        <w:tc>
          <w:tcPr>
            <w:tcW w:w="860" w:type="dxa"/>
            <w:vMerge w:val="restart"/>
            <w:vAlign w:val="center"/>
          </w:tcPr>
          <w:p>
            <w:pPr>
              <w:snapToGrid w:val="0"/>
              <w:jc w:val="center"/>
            </w:pPr>
            <w:r>
              <w:rPr>
                <w:rFonts w:ascii="宋体" w:hAnsi="宋体" w:eastAsia="宋体" w:cs="宋体"/>
                <w:b w:val="0"/>
                <w:i w:val="0"/>
                <w:color w:val="000000"/>
                <w:sz w:val="10"/>
              </w:rPr>
              <w:t>事业收入</w:t>
            </w:r>
          </w:p>
        </w:tc>
        <w:tc>
          <w:tcPr>
            <w:tcW w:w="860" w:type="dxa"/>
            <w:vMerge w:val="restart"/>
            <w:vAlign w:val="center"/>
          </w:tcPr>
          <w:p>
            <w:pPr>
              <w:snapToGrid w:val="0"/>
              <w:jc w:val="center"/>
            </w:pPr>
            <w:r>
              <w:rPr>
                <w:rFonts w:ascii="宋体" w:hAnsi="宋体" w:eastAsia="宋体" w:cs="宋体"/>
                <w:b w:val="0"/>
                <w:i w:val="0"/>
                <w:color w:val="000000"/>
                <w:sz w:val="10"/>
              </w:rPr>
              <w:t>经营收入</w:t>
            </w:r>
          </w:p>
        </w:tc>
        <w:tc>
          <w:tcPr>
            <w:tcW w:w="860" w:type="dxa"/>
            <w:vMerge w:val="restart"/>
            <w:vAlign w:val="center"/>
          </w:tcPr>
          <w:p>
            <w:pPr>
              <w:snapToGrid w:val="0"/>
              <w:jc w:val="center"/>
            </w:pPr>
            <w:r>
              <w:rPr>
                <w:rFonts w:ascii="宋体" w:hAnsi="宋体" w:eastAsia="宋体" w:cs="宋体"/>
                <w:b w:val="0"/>
                <w:i w:val="0"/>
                <w:color w:val="000000"/>
                <w:sz w:val="10"/>
              </w:rPr>
              <w:t>附属单位上缴收入</w:t>
            </w:r>
          </w:p>
        </w:tc>
        <w:tc>
          <w:tcPr>
            <w:tcW w:w="806" w:type="dxa"/>
            <w:vMerge w:val="restart"/>
            <w:vAlign w:val="center"/>
          </w:tcPr>
          <w:p>
            <w:pPr>
              <w:snapToGrid w:val="0"/>
              <w:jc w:val="center"/>
            </w:pPr>
            <w:r>
              <w:rPr>
                <w:rFonts w:ascii="宋体" w:hAnsi="宋体" w:eastAsia="宋体" w:cs="宋体"/>
                <w:b w:val="0"/>
                <w:i w:val="0"/>
                <w:color w:val="000000"/>
                <w:sz w:val="1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Merge w:val="restart"/>
            <w:vAlign w:val="center"/>
          </w:tcPr>
          <w:p>
            <w:pPr>
              <w:snapToGrid w:val="0"/>
              <w:jc w:val="center"/>
            </w:pPr>
            <w:r>
              <w:rPr>
                <w:rFonts w:ascii="宋体" w:hAnsi="宋体" w:eastAsia="宋体" w:cs="宋体"/>
                <w:b w:val="0"/>
                <w:i w:val="0"/>
                <w:color w:val="000000"/>
                <w:sz w:val="10"/>
              </w:rPr>
              <w:t>科目编码</w:t>
            </w:r>
          </w:p>
        </w:tc>
        <w:tc>
          <w:tcPr>
            <w:tcW w:w="1711" w:type="dxa"/>
            <w:vMerge w:val="restart"/>
            <w:vAlign w:val="center"/>
          </w:tcPr>
          <w:p>
            <w:pPr>
              <w:snapToGrid w:val="0"/>
              <w:jc w:val="center"/>
            </w:pPr>
            <w:r>
              <w:rPr>
                <w:rFonts w:ascii="宋体" w:hAnsi="宋体" w:eastAsia="宋体" w:cs="宋体"/>
                <w:b w:val="0"/>
                <w:i w:val="0"/>
                <w:color w:val="000000"/>
                <w:sz w:val="10"/>
              </w:rPr>
              <w:t>科目名称</w:t>
            </w: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0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Merge w:val="continue"/>
            <w:vAlign w:val="center"/>
          </w:tcPr>
          <w:p/>
        </w:tc>
        <w:tc>
          <w:tcPr>
            <w:tcW w:w="1711"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0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Merge w:val="continue"/>
            <w:vAlign w:val="center"/>
          </w:tcPr>
          <w:p/>
        </w:tc>
        <w:tc>
          <w:tcPr>
            <w:tcW w:w="1711"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60" w:type="dxa"/>
            <w:vMerge w:val="continue"/>
            <w:vAlign w:val="center"/>
          </w:tcPr>
          <w:p/>
        </w:tc>
        <w:tc>
          <w:tcPr>
            <w:tcW w:w="80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restart"/>
            <w:vAlign w:val="center"/>
          </w:tcPr>
          <w:p>
            <w:pPr>
              <w:snapToGrid w:val="0"/>
              <w:jc w:val="center"/>
            </w:pPr>
            <w:r>
              <w:rPr>
                <w:rFonts w:ascii="宋体" w:hAnsi="宋体" w:eastAsia="宋体" w:cs="宋体"/>
                <w:b w:val="0"/>
                <w:i w:val="0"/>
                <w:color w:val="000000"/>
                <w:sz w:val="10"/>
              </w:rPr>
              <w:t>类</w:t>
            </w:r>
          </w:p>
        </w:tc>
        <w:tc>
          <w:tcPr>
            <w:tcW w:w="160" w:type="dxa"/>
            <w:vMerge w:val="restart"/>
            <w:vAlign w:val="center"/>
          </w:tcPr>
          <w:p>
            <w:pPr>
              <w:snapToGrid w:val="0"/>
              <w:jc w:val="center"/>
            </w:pPr>
            <w:r>
              <w:rPr>
                <w:rFonts w:ascii="宋体" w:hAnsi="宋体" w:eastAsia="宋体" w:cs="宋体"/>
                <w:b w:val="0"/>
                <w:i w:val="0"/>
                <w:color w:val="000000"/>
                <w:sz w:val="10"/>
              </w:rPr>
              <w:t>款</w:t>
            </w:r>
          </w:p>
        </w:tc>
        <w:tc>
          <w:tcPr>
            <w:tcW w:w="309" w:type="dxa"/>
            <w:vMerge w:val="restart"/>
            <w:vAlign w:val="center"/>
          </w:tcPr>
          <w:p>
            <w:pPr>
              <w:snapToGrid w:val="0"/>
              <w:jc w:val="center"/>
            </w:pPr>
            <w:r>
              <w:rPr>
                <w:rFonts w:ascii="宋体" w:hAnsi="宋体" w:eastAsia="宋体" w:cs="宋体"/>
                <w:b w:val="0"/>
                <w:i w:val="0"/>
                <w:color w:val="000000"/>
                <w:sz w:val="10"/>
              </w:rPr>
              <w:t>项</w:t>
            </w:r>
          </w:p>
        </w:tc>
        <w:tc>
          <w:tcPr>
            <w:tcW w:w="1711" w:type="dxa"/>
            <w:vAlign w:val="center"/>
          </w:tcPr>
          <w:p>
            <w:pPr>
              <w:snapToGrid w:val="0"/>
              <w:jc w:val="center"/>
            </w:pPr>
            <w:r>
              <w:rPr>
                <w:rFonts w:ascii="宋体" w:hAnsi="宋体" w:eastAsia="宋体" w:cs="宋体"/>
                <w:b w:val="0"/>
                <w:i w:val="0"/>
                <w:color w:val="000000"/>
                <w:sz w:val="10"/>
              </w:rPr>
              <w:t>栏次</w:t>
            </w:r>
          </w:p>
        </w:tc>
        <w:tc>
          <w:tcPr>
            <w:tcW w:w="860" w:type="dxa"/>
            <w:vAlign w:val="center"/>
          </w:tcPr>
          <w:p>
            <w:pPr>
              <w:snapToGrid w:val="0"/>
              <w:jc w:val="center"/>
            </w:pPr>
            <w:r>
              <w:rPr>
                <w:rFonts w:ascii="宋体" w:hAnsi="宋体" w:eastAsia="宋体" w:cs="宋体"/>
                <w:b w:val="0"/>
                <w:i w:val="0"/>
                <w:color w:val="000000"/>
                <w:sz w:val="10"/>
              </w:rPr>
              <w:t>1</w:t>
            </w:r>
          </w:p>
        </w:tc>
        <w:tc>
          <w:tcPr>
            <w:tcW w:w="860" w:type="dxa"/>
            <w:vAlign w:val="center"/>
          </w:tcPr>
          <w:p>
            <w:pPr>
              <w:snapToGrid w:val="0"/>
              <w:jc w:val="center"/>
            </w:pPr>
            <w:r>
              <w:rPr>
                <w:rFonts w:ascii="宋体" w:hAnsi="宋体" w:eastAsia="宋体" w:cs="宋体"/>
                <w:b w:val="0"/>
                <w:i w:val="0"/>
                <w:color w:val="000000"/>
                <w:sz w:val="10"/>
              </w:rPr>
              <w:t>2</w:t>
            </w:r>
          </w:p>
        </w:tc>
        <w:tc>
          <w:tcPr>
            <w:tcW w:w="860" w:type="dxa"/>
            <w:vAlign w:val="center"/>
          </w:tcPr>
          <w:p>
            <w:pPr>
              <w:snapToGrid w:val="0"/>
              <w:jc w:val="center"/>
            </w:pPr>
            <w:r>
              <w:rPr>
                <w:rFonts w:ascii="宋体" w:hAnsi="宋体" w:eastAsia="宋体" w:cs="宋体"/>
                <w:b w:val="0"/>
                <w:i w:val="0"/>
                <w:color w:val="000000"/>
                <w:sz w:val="10"/>
              </w:rPr>
              <w:t>3</w:t>
            </w:r>
          </w:p>
        </w:tc>
        <w:tc>
          <w:tcPr>
            <w:tcW w:w="860" w:type="dxa"/>
            <w:vAlign w:val="center"/>
          </w:tcPr>
          <w:p>
            <w:pPr>
              <w:snapToGrid w:val="0"/>
              <w:jc w:val="center"/>
            </w:pPr>
            <w:r>
              <w:rPr>
                <w:rFonts w:ascii="宋体" w:hAnsi="宋体" w:eastAsia="宋体" w:cs="宋体"/>
                <w:b w:val="0"/>
                <w:i w:val="0"/>
                <w:color w:val="000000"/>
                <w:sz w:val="10"/>
              </w:rPr>
              <w:t>4</w:t>
            </w:r>
          </w:p>
        </w:tc>
        <w:tc>
          <w:tcPr>
            <w:tcW w:w="860" w:type="dxa"/>
            <w:vAlign w:val="center"/>
          </w:tcPr>
          <w:p>
            <w:pPr>
              <w:snapToGrid w:val="0"/>
              <w:jc w:val="center"/>
            </w:pPr>
            <w:r>
              <w:rPr>
                <w:rFonts w:ascii="宋体" w:hAnsi="宋体" w:eastAsia="宋体" w:cs="宋体"/>
                <w:b w:val="0"/>
                <w:i w:val="0"/>
                <w:color w:val="000000"/>
                <w:sz w:val="10"/>
              </w:rPr>
              <w:t>5</w:t>
            </w:r>
          </w:p>
        </w:tc>
        <w:tc>
          <w:tcPr>
            <w:tcW w:w="860" w:type="dxa"/>
            <w:vAlign w:val="center"/>
          </w:tcPr>
          <w:p>
            <w:pPr>
              <w:snapToGrid w:val="0"/>
              <w:jc w:val="center"/>
            </w:pPr>
            <w:r>
              <w:rPr>
                <w:rFonts w:ascii="宋体" w:hAnsi="宋体" w:eastAsia="宋体" w:cs="宋体"/>
                <w:b w:val="0"/>
                <w:i w:val="0"/>
                <w:color w:val="000000"/>
                <w:sz w:val="10"/>
              </w:rPr>
              <w:t>6</w:t>
            </w:r>
          </w:p>
        </w:tc>
        <w:tc>
          <w:tcPr>
            <w:tcW w:w="806" w:type="dxa"/>
            <w:vAlign w:val="center"/>
          </w:tcPr>
          <w:p>
            <w:pPr>
              <w:snapToGrid w:val="0"/>
              <w:jc w:val="center"/>
            </w:pPr>
            <w:r>
              <w:rPr>
                <w:rFonts w:ascii="宋体" w:hAnsi="宋体" w:eastAsia="宋体" w:cs="宋体"/>
                <w:b w:val="0"/>
                <w:i w:val="0"/>
                <w:color w:val="000000"/>
                <w:sz w:val="1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160" w:type="dxa"/>
            <w:vMerge w:val="continue"/>
            <w:vAlign w:val="center"/>
          </w:tcPr>
          <w:p/>
        </w:tc>
        <w:tc>
          <w:tcPr>
            <w:tcW w:w="160" w:type="dxa"/>
            <w:vMerge w:val="continue"/>
            <w:vAlign w:val="center"/>
          </w:tcPr>
          <w:p/>
        </w:tc>
        <w:tc>
          <w:tcPr>
            <w:tcW w:w="309" w:type="dxa"/>
            <w:vMerge w:val="continue"/>
            <w:vAlign w:val="center"/>
          </w:tcPr>
          <w:p/>
        </w:tc>
        <w:tc>
          <w:tcPr>
            <w:tcW w:w="1711" w:type="dxa"/>
            <w:vAlign w:val="center"/>
          </w:tcPr>
          <w:p>
            <w:pPr>
              <w:snapToGrid w:val="0"/>
              <w:jc w:val="center"/>
            </w:pPr>
            <w:r>
              <w:rPr>
                <w:rFonts w:ascii="宋体" w:hAnsi="宋体" w:eastAsia="宋体" w:cs="宋体"/>
                <w:b w:val="0"/>
                <w:i w:val="0"/>
                <w:color w:val="000000"/>
                <w:sz w:val="10"/>
              </w:rPr>
              <w:t>合计</w:t>
            </w:r>
          </w:p>
        </w:tc>
        <w:tc>
          <w:tcPr>
            <w:tcW w:w="860" w:type="dxa"/>
            <w:vAlign w:val="center"/>
          </w:tcPr>
          <w:p>
            <w:pPr>
              <w:snapToGrid w:val="0"/>
              <w:jc w:val="right"/>
              <w:rPr>
                <w:rFonts w:hint="default" w:eastAsia="宋体"/>
                <w:sz w:val="10"/>
                <w:szCs w:val="10"/>
                <w:lang w:val="en-US" w:eastAsia="zh-CN"/>
              </w:rPr>
            </w:pPr>
            <w:r>
              <w:rPr>
                <w:rFonts w:ascii="宋体" w:hAnsi="宋体" w:eastAsia="宋体" w:cs="宋体"/>
                <w:b/>
                <w:i w:val="0"/>
                <w:color w:val="000000"/>
                <w:sz w:val="10"/>
              </w:rPr>
              <w:t>773.90</w:t>
            </w:r>
          </w:p>
        </w:tc>
        <w:tc>
          <w:tcPr>
            <w:tcW w:w="860" w:type="dxa"/>
            <w:vAlign w:val="center"/>
          </w:tcPr>
          <w:p>
            <w:pPr>
              <w:snapToGrid w:val="0"/>
              <w:jc w:val="right"/>
            </w:pPr>
            <w:r>
              <w:rPr>
                <w:rFonts w:ascii="宋体" w:hAnsi="宋体" w:eastAsia="宋体" w:cs="宋体"/>
                <w:b/>
                <w:i w:val="0"/>
                <w:color w:val="000000"/>
                <w:sz w:val="10"/>
              </w:rPr>
              <w:t>773.90</w:t>
            </w:r>
          </w:p>
        </w:tc>
        <w:tc>
          <w:tcPr>
            <w:tcW w:w="860" w:type="dxa"/>
            <w:vAlign w:val="center"/>
          </w:tcPr>
          <w:p>
            <w:pPr>
              <w:snapToGrid w:val="0"/>
              <w:jc w:val="right"/>
            </w:pPr>
          </w:p>
        </w:tc>
        <w:tc>
          <w:tcPr>
            <w:tcW w:w="860" w:type="dxa"/>
            <w:vAlign w:val="center"/>
          </w:tcPr>
          <w:p>
            <w:pPr>
              <w:snapToGrid w:val="0"/>
              <w:jc w:val="right"/>
            </w:pPr>
          </w:p>
        </w:tc>
        <w:tc>
          <w:tcPr>
            <w:tcW w:w="860" w:type="dxa"/>
            <w:vAlign w:val="center"/>
          </w:tcPr>
          <w:p>
            <w:pPr>
              <w:snapToGrid w:val="0"/>
              <w:jc w:val="right"/>
            </w:pPr>
          </w:p>
        </w:tc>
        <w:tc>
          <w:tcPr>
            <w:tcW w:w="860" w:type="dxa"/>
            <w:vAlign w:val="center"/>
          </w:tcPr>
          <w:p>
            <w:pPr>
              <w:snapToGrid w:val="0"/>
              <w:jc w:val="right"/>
            </w:pPr>
          </w:p>
        </w:tc>
        <w:tc>
          <w:tcPr>
            <w:tcW w:w="806" w:type="dxa"/>
            <w:vAlign w:val="center"/>
          </w:tcPr>
          <w:p>
            <w:pPr>
              <w:snapToGrid w:val="0"/>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一般公共服务支出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531.41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531.41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20103</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政府办公厅（室）及相关机构事务</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531.41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531.41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2010301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行政运行</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323.47</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323.47</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2010302</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一般行政管理事务</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114.34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114.34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2010350</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事业运行</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93.60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93.60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205</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教育支出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20508</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进修及培训</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2050803</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培训支出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社会保障和就业支出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142.64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142.64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20805</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行政事业单位养老支出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140.79</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140.79</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2080501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行政单位离退休</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71.82</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71.82</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2080505</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机关事业单位基本养老保险缴费支出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43.66</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43.66</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2080506</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机关事业单位职业年金缴费支出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25.31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25.31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20899</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其他社会保障和就业支出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1.85</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1.85</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2089999</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其他社会保障和就业支出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1.85</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1.85</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210</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卫生健康支出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31.94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31.94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21011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行政事业单位医疗</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31.94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31.94</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2101101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行政单位医疗</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18.08</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18.08</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2101103</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公务员医疗补助</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13.86</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13.86</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221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住房保障支出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22102</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住房改革支出</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629" w:type="dxa"/>
            <w:gridSpan w:val="3"/>
            <w:vAlign w:val="center"/>
          </w:tcPr>
          <w:p>
            <w:pPr>
              <w:snapToGrid w:val="0"/>
              <w:jc w:val="left"/>
              <w:rPr>
                <w:rFonts w:hint="eastAsia" w:ascii="Times New Roman" w:hAnsi="Times New Roman" w:eastAsia="宋体" w:cs="Times New Roman"/>
                <w:sz w:val="24"/>
                <w:szCs w:val="24"/>
                <w:lang w:eastAsia="zh-CN"/>
              </w:rPr>
            </w:pPr>
            <w:r>
              <w:rPr>
                <w:rFonts w:ascii="宋体" w:hAnsi="宋体" w:eastAsia="宋体" w:cs="宋体"/>
                <w:b w:val="0"/>
                <w:i w:val="0"/>
                <w:color w:val="000000"/>
                <w:sz w:val="10"/>
              </w:rPr>
              <w:t>2210201</w:t>
            </w:r>
          </w:p>
        </w:tc>
        <w:tc>
          <w:tcPr>
            <w:tcW w:w="1711"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0"/>
              </w:rPr>
              <w:t>住房公积金</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42.91</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6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8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3"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0"/>
              </w:rPr>
              <w:t>注：本表反映部门本年度取得的各项收入情况。</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350"/>
        <w:gridCol w:w="1910"/>
        <w:gridCol w:w="960"/>
        <w:gridCol w:w="960"/>
        <w:gridCol w:w="960"/>
        <w:gridCol w:w="960"/>
        <w:gridCol w:w="960"/>
        <w:gridCol w:w="8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2620" w:type="dxa"/>
            <w:gridSpan w:val="4"/>
            <w:vAlign w:val="center"/>
          </w:tcPr>
          <w:p>
            <w:pPr>
              <w:snapToGrid w:val="0"/>
              <w:jc w:val="center"/>
            </w:pPr>
            <w:r>
              <w:rPr>
                <w:rFonts w:ascii="宋体" w:hAnsi="宋体" w:eastAsia="宋体" w:cs="宋体"/>
                <w:b w:val="0"/>
                <w:i w:val="0"/>
                <w:color w:val="000000"/>
                <w:sz w:val="11"/>
              </w:rPr>
              <w:t>项目</w:t>
            </w:r>
          </w:p>
        </w:tc>
        <w:tc>
          <w:tcPr>
            <w:tcW w:w="960" w:type="dxa"/>
            <w:vMerge w:val="restart"/>
            <w:vAlign w:val="center"/>
          </w:tcPr>
          <w:p>
            <w:pPr>
              <w:snapToGrid w:val="0"/>
              <w:jc w:val="center"/>
            </w:pPr>
            <w:r>
              <w:rPr>
                <w:rFonts w:ascii="宋体" w:hAnsi="宋体" w:eastAsia="宋体" w:cs="宋体"/>
                <w:b w:val="0"/>
                <w:i w:val="0"/>
                <w:color w:val="000000"/>
                <w:sz w:val="11"/>
              </w:rPr>
              <w:t>本年支出合计</w:t>
            </w:r>
          </w:p>
        </w:tc>
        <w:tc>
          <w:tcPr>
            <w:tcW w:w="960" w:type="dxa"/>
            <w:vMerge w:val="restart"/>
            <w:vAlign w:val="center"/>
          </w:tcPr>
          <w:p>
            <w:pPr>
              <w:snapToGrid w:val="0"/>
              <w:jc w:val="center"/>
            </w:pPr>
            <w:r>
              <w:rPr>
                <w:rFonts w:ascii="宋体" w:hAnsi="宋体" w:eastAsia="宋体" w:cs="宋体"/>
                <w:b w:val="0"/>
                <w:i w:val="0"/>
                <w:color w:val="000000"/>
                <w:sz w:val="11"/>
              </w:rPr>
              <w:t>基本支出</w:t>
            </w:r>
          </w:p>
        </w:tc>
        <w:tc>
          <w:tcPr>
            <w:tcW w:w="960" w:type="dxa"/>
            <w:vMerge w:val="restart"/>
            <w:vAlign w:val="center"/>
          </w:tcPr>
          <w:p>
            <w:pPr>
              <w:snapToGrid w:val="0"/>
              <w:jc w:val="center"/>
            </w:pPr>
            <w:r>
              <w:rPr>
                <w:rFonts w:ascii="宋体" w:hAnsi="宋体" w:eastAsia="宋体" w:cs="宋体"/>
                <w:b w:val="0"/>
                <w:i w:val="0"/>
                <w:color w:val="000000"/>
                <w:sz w:val="11"/>
              </w:rPr>
              <w:t>项目支出</w:t>
            </w:r>
          </w:p>
        </w:tc>
        <w:tc>
          <w:tcPr>
            <w:tcW w:w="960" w:type="dxa"/>
            <w:vMerge w:val="restart"/>
            <w:vAlign w:val="center"/>
          </w:tcPr>
          <w:p>
            <w:pPr>
              <w:snapToGrid w:val="0"/>
              <w:jc w:val="center"/>
            </w:pPr>
            <w:r>
              <w:rPr>
                <w:rFonts w:ascii="宋体" w:hAnsi="宋体" w:eastAsia="宋体" w:cs="宋体"/>
                <w:b w:val="0"/>
                <w:i w:val="0"/>
                <w:color w:val="000000"/>
                <w:sz w:val="11"/>
              </w:rPr>
              <w:t>上缴上级支出</w:t>
            </w:r>
          </w:p>
        </w:tc>
        <w:tc>
          <w:tcPr>
            <w:tcW w:w="960" w:type="dxa"/>
            <w:vMerge w:val="restart"/>
            <w:vAlign w:val="center"/>
          </w:tcPr>
          <w:p>
            <w:pPr>
              <w:snapToGrid w:val="0"/>
              <w:jc w:val="center"/>
            </w:pPr>
            <w:r>
              <w:rPr>
                <w:rFonts w:ascii="宋体" w:hAnsi="宋体" w:eastAsia="宋体" w:cs="宋体"/>
                <w:b w:val="0"/>
                <w:i w:val="0"/>
                <w:color w:val="000000"/>
                <w:sz w:val="11"/>
              </w:rPr>
              <w:t>经营支出</w:t>
            </w:r>
          </w:p>
        </w:tc>
        <w:tc>
          <w:tcPr>
            <w:tcW w:w="886" w:type="dxa"/>
            <w:vMerge w:val="restart"/>
            <w:vAlign w:val="center"/>
          </w:tcPr>
          <w:p>
            <w:pPr>
              <w:snapToGrid w:val="0"/>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Merge w:val="restart"/>
            <w:vAlign w:val="center"/>
          </w:tcPr>
          <w:p>
            <w:pPr>
              <w:snapToGrid w:val="0"/>
              <w:jc w:val="center"/>
            </w:pPr>
            <w:r>
              <w:rPr>
                <w:rFonts w:ascii="宋体" w:hAnsi="宋体" w:eastAsia="宋体" w:cs="宋体"/>
                <w:b w:val="0"/>
                <w:i w:val="0"/>
                <w:color w:val="000000"/>
                <w:sz w:val="11"/>
              </w:rPr>
              <w:t>科目编码</w:t>
            </w:r>
          </w:p>
        </w:tc>
        <w:tc>
          <w:tcPr>
            <w:tcW w:w="1910" w:type="dxa"/>
            <w:vMerge w:val="restart"/>
            <w:vAlign w:val="center"/>
          </w:tcPr>
          <w:p>
            <w:pPr>
              <w:snapToGrid w:val="0"/>
              <w:jc w:val="center"/>
            </w:pPr>
            <w:r>
              <w:rPr>
                <w:rFonts w:ascii="宋体" w:hAnsi="宋体" w:eastAsia="宋体" w:cs="宋体"/>
                <w:b w:val="0"/>
                <w:i w:val="0"/>
                <w:color w:val="000000"/>
                <w:sz w:val="11"/>
              </w:rPr>
              <w:t>科目名称</w:t>
            </w: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8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Merge w:val="continue"/>
            <w:vAlign w:val="center"/>
          </w:tcPr>
          <w:p/>
        </w:tc>
        <w:tc>
          <w:tcPr>
            <w:tcW w:w="191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8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Merge w:val="continue"/>
            <w:vAlign w:val="center"/>
          </w:tcPr>
          <w:p/>
        </w:tc>
        <w:tc>
          <w:tcPr>
            <w:tcW w:w="191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960" w:type="dxa"/>
            <w:vMerge w:val="continue"/>
            <w:vAlign w:val="center"/>
          </w:tcPr>
          <w:p/>
        </w:tc>
        <w:tc>
          <w:tcPr>
            <w:tcW w:w="8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restart"/>
            <w:vAlign w:val="center"/>
          </w:tcPr>
          <w:p>
            <w:pPr>
              <w:snapToGrid w:val="0"/>
              <w:jc w:val="center"/>
            </w:pPr>
            <w:r>
              <w:rPr>
                <w:rFonts w:ascii="宋体" w:hAnsi="宋体" w:eastAsia="宋体" w:cs="宋体"/>
                <w:b w:val="0"/>
                <w:i w:val="0"/>
                <w:color w:val="000000"/>
                <w:sz w:val="11"/>
              </w:rPr>
              <w:t>类</w:t>
            </w:r>
          </w:p>
        </w:tc>
        <w:tc>
          <w:tcPr>
            <w:tcW w:w="180" w:type="dxa"/>
            <w:vMerge w:val="restart"/>
            <w:vAlign w:val="center"/>
          </w:tcPr>
          <w:p>
            <w:pPr>
              <w:snapToGrid w:val="0"/>
              <w:jc w:val="center"/>
            </w:pPr>
            <w:r>
              <w:rPr>
                <w:rFonts w:ascii="宋体" w:hAnsi="宋体" w:eastAsia="宋体" w:cs="宋体"/>
                <w:b w:val="0"/>
                <w:i w:val="0"/>
                <w:color w:val="000000"/>
                <w:sz w:val="11"/>
              </w:rPr>
              <w:t>款</w:t>
            </w:r>
          </w:p>
        </w:tc>
        <w:tc>
          <w:tcPr>
            <w:tcW w:w="350" w:type="dxa"/>
            <w:vMerge w:val="restart"/>
            <w:vAlign w:val="center"/>
          </w:tcPr>
          <w:p>
            <w:pPr>
              <w:snapToGrid w:val="0"/>
              <w:jc w:val="center"/>
            </w:pPr>
            <w:r>
              <w:rPr>
                <w:rFonts w:ascii="宋体" w:hAnsi="宋体" w:eastAsia="宋体" w:cs="宋体"/>
                <w:b w:val="0"/>
                <w:i w:val="0"/>
                <w:color w:val="000000"/>
                <w:sz w:val="11"/>
              </w:rPr>
              <w:t>项</w:t>
            </w:r>
          </w:p>
        </w:tc>
        <w:tc>
          <w:tcPr>
            <w:tcW w:w="1910" w:type="dxa"/>
            <w:vAlign w:val="center"/>
          </w:tcPr>
          <w:p>
            <w:pPr>
              <w:snapToGrid w:val="0"/>
              <w:jc w:val="center"/>
            </w:pPr>
            <w:r>
              <w:rPr>
                <w:rFonts w:ascii="宋体" w:hAnsi="宋体" w:eastAsia="宋体" w:cs="宋体"/>
                <w:b w:val="0"/>
                <w:i w:val="0"/>
                <w:color w:val="000000"/>
                <w:sz w:val="11"/>
              </w:rPr>
              <w:t>栏次</w:t>
            </w:r>
          </w:p>
        </w:tc>
        <w:tc>
          <w:tcPr>
            <w:tcW w:w="960" w:type="dxa"/>
            <w:vAlign w:val="center"/>
          </w:tcPr>
          <w:p>
            <w:pPr>
              <w:snapToGrid w:val="0"/>
              <w:jc w:val="center"/>
            </w:pPr>
            <w:r>
              <w:rPr>
                <w:rFonts w:ascii="宋体" w:hAnsi="宋体" w:eastAsia="宋体" w:cs="宋体"/>
                <w:b w:val="0"/>
                <w:i w:val="0"/>
                <w:color w:val="000000"/>
                <w:sz w:val="11"/>
              </w:rPr>
              <w:t>1</w:t>
            </w:r>
          </w:p>
        </w:tc>
        <w:tc>
          <w:tcPr>
            <w:tcW w:w="960" w:type="dxa"/>
            <w:vAlign w:val="center"/>
          </w:tcPr>
          <w:p>
            <w:pPr>
              <w:snapToGrid w:val="0"/>
              <w:jc w:val="center"/>
            </w:pPr>
            <w:r>
              <w:rPr>
                <w:rFonts w:ascii="宋体" w:hAnsi="宋体" w:eastAsia="宋体" w:cs="宋体"/>
                <w:b w:val="0"/>
                <w:i w:val="0"/>
                <w:color w:val="000000"/>
                <w:sz w:val="11"/>
              </w:rPr>
              <w:t>2</w:t>
            </w:r>
          </w:p>
        </w:tc>
        <w:tc>
          <w:tcPr>
            <w:tcW w:w="960" w:type="dxa"/>
            <w:vAlign w:val="center"/>
          </w:tcPr>
          <w:p>
            <w:pPr>
              <w:snapToGrid w:val="0"/>
              <w:jc w:val="center"/>
            </w:pPr>
            <w:r>
              <w:rPr>
                <w:rFonts w:ascii="宋体" w:hAnsi="宋体" w:eastAsia="宋体" w:cs="宋体"/>
                <w:b w:val="0"/>
                <w:i w:val="0"/>
                <w:color w:val="000000"/>
                <w:sz w:val="11"/>
              </w:rPr>
              <w:t>3</w:t>
            </w:r>
          </w:p>
        </w:tc>
        <w:tc>
          <w:tcPr>
            <w:tcW w:w="960" w:type="dxa"/>
            <w:vAlign w:val="center"/>
          </w:tcPr>
          <w:p>
            <w:pPr>
              <w:snapToGrid w:val="0"/>
              <w:jc w:val="center"/>
            </w:pPr>
            <w:r>
              <w:rPr>
                <w:rFonts w:ascii="宋体" w:hAnsi="宋体" w:eastAsia="宋体" w:cs="宋体"/>
                <w:b w:val="0"/>
                <w:i w:val="0"/>
                <w:color w:val="000000"/>
                <w:sz w:val="11"/>
              </w:rPr>
              <w:t>4</w:t>
            </w:r>
          </w:p>
        </w:tc>
        <w:tc>
          <w:tcPr>
            <w:tcW w:w="960" w:type="dxa"/>
            <w:vAlign w:val="center"/>
          </w:tcPr>
          <w:p>
            <w:pPr>
              <w:snapToGrid w:val="0"/>
              <w:jc w:val="center"/>
            </w:pPr>
            <w:r>
              <w:rPr>
                <w:rFonts w:ascii="宋体" w:hAnsi="宋体" w:eastAsia="宋体" w:cs="宋体"/>
                <w:b w:val="0"/>
                <w:i w:val="0"/>
                <w:color w:val="000000"/>
                <w:sz w:val="11"/>
              </w:rPr>
              <w:t>5</w:t>
            </w:r>
          </w:p>
        </w:tc>
        <w:tc>
          <w:tcPr>
            <w:tcW w:w="886" w:type="dxa"/>
            <w:vAlign w:val="center"/>
          </w:tcPr>
          <w:p>
            <w:pPr>
              <w:snapToGrid w:val="0"/>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180" w:type="dxa"/>
            <w:vMerge w:val="continue"/>
            <w:vAlign w:val="center"/>
          </w:tcPr>
          <w:p/>
        </w:tc>
        <w:tc>
          <w:tcPr>
            <w:tcW w:w="180" w:type="dxa"/>
            <w:vMerge w:val="continue"/>
            <w:vAlign w:val="center"/>
          </w:tcPr>
          <w:p/>
        </w:tc>
        <w:tc>
          <w:tcPr>
            <w:tcW w:w="350" w:type="dxa"/>
            <w:vMerge w:val="continue"/>
            <w:vAlign w:val="center"/>
          </w:tcPr>
          <w:p/>
        </w:tc>
        <w:tc>
          <w:tcPr>
            <w:tcW w:w="1910" w:type="dxa"/>
            <w:vAlign w:val="center"/>
          </w:tcPr>
          <w:p>
            <w:pPr>
              <w:snapToGrid w:val="0"/>
              <w:jc w:val="center"/>
            </w:pPr>
            <w:r>
              <w:rPr>
                <w:rFonts w:ascii="宋体" w:hAnsi="宋体" w:eastAsia="宋体" w:cs="宋体"/>
                <w:b w:val="0"/>
                <w:i w:val="0"/>
                <w:color w:val="000000"/>
                <w:sz w:val="11"/>
              </w:rPr>
              <w:t>合计</w:t>
            </w:r>
          </w:p>
        </w:tc>
        <w:tc>
          <w:tcPr>
            <w:tcW w:w="960" w:type="dxa"/>
            <w:vAlign w:val="center"/>
          </w:tcPr>
          <w:p>
            <w:pPr>
              <w:snapToGrid w:val="0"/>
              <w:jc w:val="center"/>
            </w:pPr>
            <w:r>
              <w:rPr>
                <w:rFonts w:ascii="宋体" w:hAnsi="宋体" w:eastAsia="宋体" w:cs="宋体"/>
                <w:b/>
                <w:i w:val="0"/>
                <w:color w:val="000000"/>
                <w:sz w:val="11"/>
              </w:rPr>
              <w:t>773.90</w:t>
            </w:r>
          </w:p>
        </w:tc>
        <w:tc>
          <w:tcPr>
            <w:tcW w:w="960" w:type="dxa"/>
            <w:vAlign w:val="center"/>
          </w:tcPr>
          <w:p>
            <w:pPr>
              <w:snapToGrid w:val="0"/>
              <w:jc w:val="center"/>
            </w:pPr>
            <w:r>
              <w:rPr>
                <w:rFonts w:ascii="宋体" w:hAnsi="宋体" w:eastAsia="宋体" w:cs="宋体"/>
                <w:b/>
                <w:i w:val="0"/>
                <w:color w:val="000000"/>
                <w:sz w:val="11"/>
              </w:rPr>
              <w:t>634.56</w:t>
            </w:r>
          </w:p>
        </w:tc>
        <w:tc>
          <w:tcPr>
            <w:tcW w:w="960" w:type="dxa"/>
            <w:vAlign w:val="center"/>
          </w:tcPr>
          <w:p>
            <w:pPr>
              <w:snapToGrid w:val="0"/>
              <w:jc w:val="center"/>
            </w:pPr>
            <w:r>
              <w:rPr>
                <w:rFonts w:ascii="宋体" w:hAnsi="宋体" w:eastAsia="宋体" w:cs="宋体"/>
                <w:b/>
                <w:i w:val="0"/>
                <w:color w:val="000000"/>
                <w:sz w:val="11"/>
              </w:rPr>
              <w:t>139.34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一般公共服务支出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531.41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417.07</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114.34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20103</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政府办公厅（室）及相关机构事务</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531.41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417.07</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114.34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2010301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行政运行</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323.47</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323.47</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2010302</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一般行政管理事务</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114.34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114.34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2010350</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事业运行</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93.60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93.60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205</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教育支出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20508</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进修及培训</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2050803</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培训支出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社会保障和就业支出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142.64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142.64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20805</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行政事业单位养老支出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140.79</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140.79</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2080501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行政单位离退休</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71.82</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71.82</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2080505</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机关事业单位基本养老保险缴费支出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43.66</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43.66</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2080506</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机关事业单位职业年金缴费支出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25.31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25.31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20899</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其他社会保障和就业支出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1.85</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1.85</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2089999</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其他社会保障和就业支出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1.85</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1.85</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210</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卫生健康支出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21011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行政事业单位医疗</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2101101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行政单位医疗</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18.08</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18.08</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2101103</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公务员医疗补助</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13.86</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13.86</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221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住房保障支出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22102</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住房改革支出</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710" w:type="dxa"/>
            <w:gridSpan w:val="3"/>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2210201</w:t>
            </w:r>
          </w:p>
        </w:tc>
        <w:tc>
          <w:tcPr>
            <w:tcW w:w="191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住房公积金</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60"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86" w:type="dxa"/>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1"/>
              </w:rPr>
              <w:t>注：本表反映部门本年度各项支出情况。</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XX部门（单位）</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640"/>
        <w:gridCol w:w="280"/>
        <w:gridCol w:w="840"/>
        <w:gridCol w:w="1840"/>
        <w:gridCol w:w="280"/>
        <w:gridCol w:w="840"/>
        <w:gridCol w:w="840"/>
        <w:gridCol w:w="840"/>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2760" w:type="dxa"/>
            <w:gridSpan w:val="3"/>
            <w:vAlign w:val="center"/>
          </w:tcPr>
          <w:p>
            <w:pPr>
              <w:snapToGrid w:val="0"/>
              <w:jc w:val="center"/>
            </w:pPr>
            <w:r>
              <w:rPr>
                <w:rFonts w:ascii="宋体" w:hAnsi="宋体" w:eastAsia="宋体" w:cs="宋体"/>
                <w:b w:val="0"/>
                <w:i w:val="0"/>
                <w:color w:val="000000"/>
                <w:sz w:val="11"/>
              </w:rPr>
              <w:t>收     入</w:t>
            </w:r>
          </w:p>
        </w:tc>
        <w:tc>
          <w:tcPr>
            <w:tcW w:w="5546" w:type="dxa"/>
            <w:gridSpan w:val="6"/>
            <w:vAlign w:val="center"/>
          </w:tcPr>
          <w:p>
            <w:pPr>
              <w:snapToGrid w:val="0"/>
              <w:jc w:val="center"/>
            </w:pPr>
            <w:r>
              <w:rPr>
                <w:rFonts w:ascii="宋体" w:hAnsi="宋体" w:eastAsia="宋体" w:cs="宋体"/>
                <w:b w:val="0"/>
                <w:i w:val="0"/>
                <w:color w:val="000000"/>
                <w:sz w:val="11"/>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1640" w:type="dxa"/>
            <w:vMerge w:val="restart"/>
            <w:vAlign w:val="center"/>
          </w:tcPr>
          <w:p>
            <w:pPr>
              <w:snapToGrid w:val="0"/>
              <w:jc w:val="center"/>
            </w:pPr>
            <w:r>
              <w:rPr>
                <w:rFonts w:ascii="宋体" w:hAnsi="宋体" w:eastAsia="宋体" w:cs="宋体"/>
                <w:b w:val="0"/>
                <w:i w:val="0"/>
                <w:color w:val="000000"/>
                <w:sz w:val="11"/>
              </w:rPr>
              <w:t>项目</w:t>
            </w:r>
          </w:p>
        </w:tc>
        <w:tc>
          <w:tcPr>
            <w:tcW w:w="280" w:type="dxa"/>
            <w:vMerge w:val="restart"/>
            <w:vAlign w:val="center"/>
          </w:tcPr>
          <w:p>
            <w:pPr>
              <w:snapToGrid w:val="0"/>
              <w:jc w:val="center"/>
            </w:pPr>
            <w:r>
              <w:rPr>
                <w:rFonts w:ascii="宋体" w:hAnsi="宋体" w:eastAsia="宋体" w:cs="宋体"/>
                <w:b w:val="0"/>
                <w:i w:val="0"/>
                <w:color w:val="000000"/>
                <w:sz w:val="11"/>
              </w:rPr>
              <w:t>行次</w:t>
            </w:r>
          </w:p>
        </w:tc>
        <w:tc>
          <w:tcPr>
            <w:tcW w:w="840" w:type="dxa"/>
            <w:vMerge w:val="restart"/>
            <w:vAlign w:val="center"/>
          </w:tcPr>
          <w:p>
            <w:pPr>
              <w:snapToGrid w:val="0"/>
              <w:jc w:val="center"/>
            </w:pPr>
            <w:r>
              <w:rPr>
                <w:rFonts w:ascii="宋体" w:hAnsi="宋体" w:eastAsia="宋体" w:cs="宋体"/>
                <w:b w:val="0"/>
                <w:i w:val="0"/>
                <w:color w:val="000000"/>
                <w:sz w:val="11"/>
              </w:rPr>
              <w:t>金额</w:t>
            </w:r>
          </w:p>
        </w:tc>
        <w:tc>
          <w:tcPr>
            <w:tcW w:w="1840" w:type="dxa"/>
            <w:vMerge w:val="restart"/>
            <w:vAlign w:val="center"/>
          </w:tcPr>
          <w:p>
            <w:pPr>
              <w:snapToGrid w:val="0"/>
              <w:jc w:val="center"/>
            </w:pPr>
            <w:r>
              <w:rPr>
                <w:rFonts w:ascii="宋体" w:hAnsi="宋体" w:eastAsia="宋体" w:cs="宋体"/>
                <w:b w:val="0"/>
                <w:i w:val="0"/>
                <w:color w:val="000000"/>
                <w:sz w:val="11"/>
              </w:rPr>
              <w:t>项目</w:t>
            </w:r>
          </w:p>
        </w:tc>
        <w:tc>
          <w:tcPr>
            <w:tcW w:w="280" w:type="dxa"/>
            <w:vMerge w:val="restart"/>
            <w:vAlign w:val="center"/>
          </w:tcPr>
          <w:p>
            <w:pPr>
              <w:snapToGrid w:val="0"/>
              <w:jc w:val="center"/>
            </w:pPr>
            <w:r>
              <w:rPr>
                <w:rFonts w:ascii="宋体" w:hAnsi="宋体" w:eastAsia="宋体" w:cs="宋体"/>
                <w:b w:val="0"/>
                <w:i w:val="0"/>
                <w:color w:val="000000"/>
                <w:sz w:val="11"/>
              </w:rPr>
              <w:t>行次</w:t>
            </w:r>
          </w:p>
        </w:tc>
        <w:tc>
          <w:tcPr>
            <w:tcW w:w="840" w:type="dxa"/>
            <w:vMerge w:val="restart"/>
            <w:vAlign w:val="center"/>
          </w:tcPr>
          <w:p>
            <w:pPr>
              <w:snapToGrid w:val="0"/>
              <w:jc w:val="center"/>
            </w:pPr>
            <w:r>
              <w:rPr>
                <w:rFonts w:ascii="宋体" w:hAnsi="宋体" w:eastAsia="宋体" w:cs="宋体"/>
                <w:b w:val="0"/>
                <w:i w:val="0"/>
                <w:color w:val="000000"/>
                <w:sz w:val="11"/>
              </w:rPr>
              <w:t>合计</w:t>
            </w:r>
          </w:p>
        </w:tc>
        <w:tc>
          <w:tcPr>
            <w:tcW w:w="840" w:type="dxa"/>
            <w:vMerge w:val="restart"/>
            <w:vAlign w:val="center"/>
          </w:tcPr>
          <w:p>
            <w:pPr>
              <w:snapToGrid w:val="0"/>
              <w:jc w:val="center"/>
            </w:pPr>
            <w:r>
              <w:rPr>
                <w:rFonts w:ascii="宋体" w:hAnsi="宋体" w:eastAsia="宋体" w:cs="宋体"/>
                <w:b w:val="0"/>
                <w:i w:val="0"/>
                <w:color w:val="000000"/>
                <w:sz w:val="11"/>
              </w:rPr>
              <w:t>一般公共预算财政拨款</w:t>
            </w:r>
          </w:p>
        </w:tc>
        <w:tc>
          <w:tcPr>
            <w:tcW w:w="840" w:type="dxa"/>
            <w:vMerge w:val="restart"/>
            <w:vAlign w:val="center"/>
          </w:tcPr>
          <w:p>
            <w:pPr>
              <w:snapToGrid w:val="0"/>
              <w:jc w:val="center"/>
            </w:pPr>
            <w:r>
              <w:rPr>
                <w:rFonts w:ascii="宋体" w:hAnsi="宋体" w:eastAsia="宋体" w:cs="宋体"/>
                <w:b w:val="0"/>
                <w:i w:val="0"/>
                <w:color w:val="000000"/>
                <w:sz w:val="11"/>
              </w:rPr>
              <w:t>政府性基金预算财政拨款</w:t>
            </w:r>
          </w:p>
        </w:tc>
        <w:tc>
          <w:tcPr>
            <w:tcW w:w="906" w:type="dxa"/>
            <w:vMerge w:val="restart"/>
            <w:vAlign w:val="center"/>
          </w:tcPr>
          <w:p>
            <w:pPr>
              <w:snapToGrid w:val="0"/>
              <w:jc w:val="center"/>
            </w:pPr>
            <w:r>
              <w:rPr>
                <w:rFonts w:ascii="宋体" w:hAnsi="宋体" w:eastAsia="宋体" w:cs="宋体"/>
                <w:b w:val="0"/>
                <w:i w:val="0"/>
                <w:color w:val="000000"/>
                <w:sz w:val="11"/>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1" w:hRule="exact"/>
          <w:jc w:val="center"/>
        </w:trPr>
        <w:tc>
          <w:tcPr>
            <w:tcW w:w="1640" w:type="dxa"/>
            <w:vMerge w:val="continue"/>
            <w:vAlign w:val="center"/>
          </w:tcPr>
          <w:p/>
        </w:tc>
        <w:tc>
          <w:tcPr>
            <w:tcW w:w="280" w:type="dxa"/>
            <w:vMerge w:val="continue"/>
            <w:vAlign w:val="center"/>
          </w:tcPr>
          <w:p/>
        </w:tc>
        <w:tc>
          <w:tcPr>
            <w:tcW w:w="840" w:type="dxa"/>
            <w:vMerge w:val="continue"/>
            <w:vAlign w:val="center"/>
          </w:tcPr>
          <w:p/>
        </w:tc>
        <w:tc>
          <w:tcPr>
            <w:tcW w:w="1840" w:type="dxa"/>
            <w:vMerge w:val="continue"/>
            <w:vAlign w:val="center"/>
          </w:tcPr>
          <w:p/>
        </w:tc>
        <w:tc>
          <w:tcPr>
            <w:tcW w:w="2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90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center"/>
            </w:pPr>
            <w:r>
              <w:rPr>
                <w:rFonts w:ascii="宋体" w:hAnsi="宋体" w:eastAsia="宋体" w:cs="宋体"/>
                <w:b w:val="0"/>
                <w:i w:val="0"/>
                <w:color w:val="000000"/>
                <w:sz w:val="11"/>
              </w:rPr>
              <w:t>栏次</w:t>
            </w:r>
          </w:p>
        </w:tc>
        <w:tc>
          <w:tcPr>
            <w:tcW w:w="280" w:type="dxa"/>
            <w:vAlign w:val="center"/>
          </w:tcPr>
          <w:p/>
        </w:tc>
        <w:tc>
          <w:tcPr>
            <w:tcW w:w="840" w:type="dxa"/>
            <w:vAlign w:val="center"/>
          </w:tcPr>
          <w:p>
            <w:pPr>
              <w:snapToGrid w:val="0"/>
              <w:jc w:val="center"/>
            </w:pPr>
            <w:r>
              <w:rPr>
                <w:rFonts w:ascii="宋体" w:hAnsi="宋体" w:eastAsia="宋体" w:cs="宋体"/>
                <w:b w:val="0"/>
                <w:i w:val="0"/>
                <w:color w:val="000000"/>
                <w:sz w:val="11"/>
              </w:rPr>
              <w:t>1</w:t>
            </w:r>
          </w:p>
        </w:tc>
        <w:tc>
          <w:tcPr>
            <w:tcW w:w="1840" w:type="dxa"/>
            <w:vAlign w:val="center"/>
          </w:tcPr>
          <w:p>
            <w:pPr>
              <w:snapToGrid w:val="0"/>
              <w:jc w:val="center"/>
            </w:pPr>
            <w:r>
              <w:rPr>
                <w:rFonts w:ascii="宋体" w:hAnsi="宋体" w:eastAsia="宋体" w:cs="宋体"/>
                <w:b w:val="0"/>
                <w:i w:val="0"/>
                <w:color w:val="000000"/>
                <w:sz w:val="11"/>
              </w:rPr>
              <w:t>栏次</w:t>
            </w:r>
          </w:p>
        </w:tc>
        <w:tc>
          <w:tcPr>
            <w:tcW w:w="280" w:type="dxa"/>
            <w:vAlign w:val="center"/>
          </w:tcPr>
          <w:p/>
        </w:tc>
        <w:tc>
          <w:tcPr>
            <w:tcW w:w="840" w:type="dxa"/>
            <w:vAlign w:val="center"/>
          </w:tcPr>
          <w:p>
            <w:pPr>
              <w:snapToGrid w:val="0"/>
              <w:jc w:val="center"/>
            </w:pPr>
            <w:r>
              <w:rPr>
                <w:rFonts w:ascii="宋体" w:hAnsi="宋体" w:eastAsia="宋体" w:cs="宋体"/>
                <w:b w:val="0"/>
                <w:i w:val="0"/>
                <w:color w:val="000000"/>
                <w:sz w:val="11"/>
              </w:rPr>
              <w:t>2</w:t>
            </w:r>
          </w:p>
        </w:tc>
        <w:tc>
          <w:tcPr>
            <w:tcW w:w="840" w:type="dxa"/>
            <w:vAlign w:val="center"/>
          </w:tcPr>
          <w:p>
            <w:pPr>
              <w:snapToGrid w:val="0"/>
              <w:jc w:val="center"/>
            </w:pPr>
            <w:r>
              <w:rPr>
                <w:rFonts w:ascii="宋体" w:hAnsi="宋体" w:eastAsia="宋体" w:cs="宋体"/>
                <w:b w:val="0"/>
                <w:i w:val="0"/>
                <w:color w:val="000000"/>
                <w:sz w:val="11"/>
              </w:rPr>
              <w:t>3</w:t>
            </w:r>
          </w:p>
        </w:tc>
        <w:tc>
          <w:tcPr>
            <w:tcW w:w="840" w:type="dxa"/>
            <w:vAlign w:val="center"/>
          </w:tcPr>
          <w:p>
            <w:pPr>
              <w:snapToGrid w:val="0"/>
              <w:jc w:val="center"/>
            </w:pPr>
            <w:r>
              <w:rPr>
                <w:rFonts w:ascii="宋体" w:hAnsi="宋体" w:eastAsia="宋体" w:cs="宋体"/>
                <w:b w:val="0"/>
                <w:i w:val="0"/>
                <w:color w:val="000000"/>
                <w:sz w:val="11"/>
              </w:rPr>
              <w:t>4</w:t>
            </w:r>
          </w:p>
        </w:tc>
        <w:tc>
          <w:tcPr>
            <w:tcW w:w="906" w:type="dxa"/>
            <w:vAlign w:val="center"/>
          </w:tcPr>
          <w:p>
            <w:pPr>
              <w:snapToGrid w:val="0"/>
              <w:jc w:val="center"/>
            </w:pPr>
            <w:r>
              <w:rPr>
                <w:rFonts w:ascii="宋体" w:hAnsi="宋体" w:eastAsia="宋体" w:cs="宋体"/>
                <w:b w:val="0"/>
                <w:i w:val="0"/>
                <w:color w:val="000000"/>
                <w:sz w:val="1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一、一般公共预算财政拨款</w:t>
            </w:r>
          </w:p>
        </w:tc>
        <w:tc>
          <w:tcPr>
            <w:tcW w:w="280" w:type="dxa"/>
            <w:vAlign w:val="center"/>
          </w:tcPr>
          <w:p>
            <w:pPr>
              <w:snapToGrid w:val="0"/>
              <w:jc w:val="center"/>
            </w:pPr>
            <w:r>
              <w:rPr>
                <w:rFonts w:ascii="宋体" w:hAnsi="宋体" w:eastAsia="宋体" w:cs="宋体"/>
                <w:b w:val="0"/>
                <w:i w:val="0"/>
                <w:color w:val="000000"/>
                <w:sz w:val="11"/>
              </w:rPr>
              <w:t>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1840" w:type="dxa"/>
            <w:vAlign w:val="center"/>
          </w:tcPr>
          <w:p>
            <w:pPr>
              <w:snapToGrid w:val="0"/>
              <w:jc w:val="left"/>
            </w:pPr>
            <w:r>
              <w:rPr>
                <w:rFonts w:ascii="宋体" w:hAnsi="宋体" w:eastAsia="宋体" w:cs="宋体"/>
                <w:b w:val="0"/>
                <w:i w:val="0"/>
                <w:color w:val="000000"/>
                <w:sz w:val="11"/>
              </w:rPr>
              <w:t>一、一般公共服务支出</w:t>
            </w:r>
          </w:p>
        </w:tc>
        <w:tc>
          <w:tcPr>
            <w:tcW w:w="280" w:type="dxa"/>
            <w:vAlign w:val="center"/>
          </w:tcPr>
          <w:p>
            <w:pPr>
              <w:snapToGrid w:val="0"/>
              <w:jc w:val="center"/>
            </w:pPr>
            <w:r>
              <w:rPr>
                <w:rFonts w:ascii="宋体" w:hAnsi="宋体" w:eastAsia="宋体" w:cs="宋体"/>
                <w:b w:val="0"/>
                <w:i w:val="0"/>
                <w:color w:val="000000"/>
                <w:sz w:val="11"/>
              </w:rPr>
              <w:t>33</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531.41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531.41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二、政府性基金预算财政拨款</w:t>
            </w:r>
          </w:p>
        </w:tc>
        <w:tc>
          <w:tcPr>
            <w:tcW w:w="280" w:type="dxa"/>
            <w:vAlign w:val="center"/>
          </w:tcPr>
          <w:p>
            <w:pPr>
              <w:snapToGrid w:val="0"/>
              <w:jc w:val="center"/>
            </w:pPr>
            <w:r>
              <w:rPr>
                <w:rFonts w:ascii="宋体" w:hAnsi="宋体" w:eastAsia="宋体" w:cs="宋体"/>
                <w:b w:val="0"/>
                <w:i w:val="0"/>
                <w:color w:val="000000"/>
                <w:sz w:val="11"/>
              </w:rPr>
              <w:t>2</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pPr>
              <w:snapToGrid w:val="0"/>
              <w:jc w:val="left"/>
            </w:pPr>
            <w:r>
              <w:rPr>
                <w:rFonts w:ascii="宋体" w:hAnsi="宋体" w:eastAsia="宋体" w:cs="宋体"/>
                <w:b w:val="0"/>
                <w:i w:val="0"/>
                <w:color w:val="000000"/>
                <w:sz w:val="11"/>
              </w:rPr>
              <w:t>二、外交支出</w:t>
            </w:r>
          </w:p>
        </w:tc>
        <w:tc>
          <w:tcPr>
            <w:tcW w:w="280" w:type="dxa"/>
            <w:vAlign w:val="center"/>
          </w:tcPr>
          <w:p>
            <w:pPr>
              <w:snapToGrid w:val="0"/>
              <w:jc w:val="center"/>
            </w:pPr>
            <w:r>
              <w:rPr>
                <w:rFonts w:ascii="宋体" w:hAnsi="宋体" w:eastAsia="宋体" w:cs="宋体"/>
                <w:b w:val="0"/>
                <w:i w:val="0"/>
                <w:color w:val="000000"/>
                <w:sz w:val="11"/>
              </w:rPr>
              <w:t>34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三、国有资本经营预算财政拨款</w:t>
            </w:r>
          </w:p>
        </w:tc>
        <w:tc>
          <w:tcPr>
            <w:tcW w:w="280" w:type="dxa"/>
            <w:vAlign w:val="center"/>
          </w:tcPr>
          <w:p>
            <w:pPr>
              <w:snapToGrid w:val="0"/>
              <w:jc w:val="center"/>
            </w:pPr>
            <w:r>
              <w:rPr>
                <w:rFonts w:ascii="宋体" w:hAnsi="宋体" w:eastAsia="宋体" w:cs="宋体"/>
                <w:b w:val="0"/>
                <w:i w:val="0"/>
                <w:color w:val="000000"/>
                <w:sz w:val="11"/>
              </w:rPr>
              <w:t>3</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pPr>
              <w:snapToGrid w:val="0"/>
              <w:jc w:val="left"/>
            </w:pPr>
            <w:r>
              <w:rPr>
                <w:rFonts w:ascii="宋体" w:hAnsi="宋体" w:eastAsia="宋体" w:cs="宋体"/>
                <w:b w:val="0"/>
                <w:i w:val="0"/>
                <w:color w:val="000000"/>
                <w:sz w:val="11"/>
              </w:rPr>
              <w:t>三、国防支出</w:t>
            </w:r>
          </w:p>
        </w:tc>
        <w:tc>
          <w:tcPr>
            <w:tcW w:w="280" w:type="dxa"/>
            <w:vAlign w:val="center"/>
          </w:tcPr>
          <w:p>
            <w:pPr>
              <w:snapToGrid w:val="0"/>
              <w:jc w:val="center"/>
            </w:pPr>
            <w:r>
              <w:rPr>
                <w:rFonts w:ascii="宋体" w:hAnsi="宋体" w:eastAsia="宋体" w:cs="宋体"/>
                <w:b w:val="0"/>
                <w:i w:val="0"/>
                <w:color w:val="000000"/>
                <w:sz w:val="11"/>
              </w:rPr>
              <w:t>35</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4</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四、公共安全支出</w:t>
            </w:r>
          </w:p>
        </w:tc>
        <w:tc>
          <w:tcPr>
            <w:tcW w:w="280" w:type="dxa"/>
            <w:vAlign w:val="center"/>
          </w:tcPr>
          <w:p>
            <w:pPr>
              <w:snapToGrid w:val="0"/>
              <w:jc w:val="center"/>
            </w:pPr>
            <w:r>
              <w:rPr>
                <w:rFonts w:ascii="宋体" w:hAnsi="宋体" w:eastAsia="宋体" w:cs="宋体"/>
                <w:b w:val="0"/>
                <w:i w:val="0"/>
                <w:color w:val="000000"/>
                <w:sz w:val="11"/>
              </w:rPr>
              <w:t>36</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5</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五、教育支出</w:t>
            </w:r>
          </w:p>
        </w:tc>
        <w:tc>
          <w:tcPr>
            <w:tcW w:w="280" w:type="dxa"/>
            <w:vAlign w:val="center"/>
          </w:tcPr>
          <w:p>
            <w:pPr>
              <w:snapToGrid w:val="0"/>
              <w:jc w:val="center"/>
            </w:pPr>
            <w:r>
              <w:rPr>
                <w:rFonts w:ascii="宋体" w:hAnsi="宋体" w:eastAsia="宋体" w:cs="宋体"/>
                <w:b w:val="0"/>
                <w:i w:val="0"/>
                <w:color w:val="000000"/>
                <w:sz w:val="11"/>
              </w:rPr>
              <w:t>37</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25.00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6</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六、科学技术支出</w:t>
            </w:r>
          </w:p>
        </w:tc>
        <w:tc>
          <w:tcPr>
            <w:tcW w:w="280" w:type="dxa"/>
            <w:vAlign w:val="center"/>
          </w:tcPr>
          <w:p>
            <w:pPr>
              <w:snapToGrid w:val="0"/>
              <w:jc w:val="center"/>
            </w:pPr>
            <w:r>
              <w:rPr>
                <w:rFonts w:ascii="宋体" w:hAnsi="宋体" w:eastAsia="宋体" w:cs="宋体"/>
                <w:b w:val="0"/>
                <w:i w:val="0"/>
                <w:color w:val="000000"/>
                <w:sz w:val="11"/>
              </w:rPr>
              <w:t>38</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7</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七、文化旅游体育与传媒支出</w:t>
            </w:r>
          </w:p>
        </w:tc>
        <w:tc>
          <w:tcPr>
            <w:tcW w:w="280" w:type="dxa"/>
            <w:vAlign w:val="center"/>
          </w:tcPr>
          <w:p>
            <w:pPr>
              <w:snapToGrid w:val="0"/>
              <w:jc w:val="center"/>
            </w:pPr>
            <w:r>
              <w:rPr>
                <w:rFonts w:ascii="宋体" w:hAnsi="宋体" w:eastAsia="宋体" w:cs="宋体"/>
                <w:b w:val="0"/>
                <w:i w:val="0"/>
                <w:color w:val="000000"/>
                <w:sz w:val="11"/>
              </w:rPr>
              <w:t>39</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8</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八、社会保障和就业支出</w:t>
            </w:r>
          </w:p>
        </w:tc>
        <w:tc>
          <w:tcPr>
            <w:tcW w:w="280" w:type="dxa"/>
            <w:vAlign w:val="center"/>
          </w:tcPr>
          <w:p>
            <w:pPr>
              <w:snapToGrid w:val="0"/>
              <w:jc w:val="center"/>
            </w:pPr>
            <w:r>
              <w:rPr>
                <w:rFonts w:ascii="宋体" w:hAnsi="宋体" w:eastAsia="宋体" w:cs="宋体"/>
                <w:b w:val="0"/>
                <w:i w:val="0"/>
                <w:color w:val="000000"/>
                <w:sz w:val="11"/>
              </w:rPr>
              <w:t>40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142.64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142.64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9</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九、卫生健康支出</w:t>
            </w:r>
          </w:p>
        </w:tc>
        <w:tc>
          <w:tcPr>
            <w:tcW w:w="280" w:type="dxa"/>
            <w:vAlign w:val="center"/>
          </w:tcPr>
          <w:p>
            <w:pPr>
              <w:snapToGrid w:val="0"/>
              <w:jc w:val="center"/>
            </w:pPr>
            <w:r>
              <w:rPr>
                <w:rFonts w:ascii="宋体" w:hAnsi="宋体" w:eastAsia="宋体" w:cs="宋体"/>
                <w:b w:val="0"/>
                <w:i w:val="0"/>
                <w:color w:val="000000"/>
                <w:sz w:val="11"/>
              </w:rPr>
              <w:t>41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31.94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10</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十、节能环保支出</w:t>
            </w:r>
          </w:p>
        </w:tc>
        <w:tc>
          <w:tcPr>
            <w:tcW w:w="280" w:type="dxa"/>
            <w:vAlign w:val="center"/>
          </w:tcPr>
          <w:p>
            <w:pPr>
              <w:snapToGrid w:val="0"/>
              <w:jc w:val="center"/>
            </w:pPr>
            <w:r>
              <w:rPr>
                <w:rFonts w:ascii="宋体" w:hAnsi="宋体" w:eastAsia="宋体" w:cs="宋体"/>
                <w:b w:val="0"/>
                <w:i w:val="0"/>
                <w:color w:val="000000"/>
                <w:sz w:val="11"/>
              </w:rPr>
              <w:t>42</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11</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十一、城乡社区支出</w:t>
            </w:r>
          </w:p>
        </w:tc>
        <w:tc>
          <w:tcPr>
            <w:tcW w:w="280" w:type="dxa"/>
            <w:vAlign w:val="center"/>
          </w:tcPr>
          <w:p>
            <w:pPr>
              <w:snapToGrid w:val="0"/>
              <w:jc w:val="center"/>
            </w:pPr>
            <w:r>
              <w:rPr>
                <w:rFonts w:ascii="宋体" w:hAnsi="宋体" w:eastAsia="宋体" w:cs="宋体"/>
                <w:b w:val="0"/>
                <w:i w:val="0"/>
                <w:color w:val="000000"/>
                <w:sz w:val="11"/>
              </w:rPr>
              <w:t>43</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12</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十二、农林水支出</w:t>
            </w:r>
          </w:p>
        </w:tc>
        <w:tc>
          <w:tcPr>
            <w:tcW w:w="280" w:type="dxa"/>
            <w:vAlign w:val="center"/>
          </w:tcPr>
          <w:p>
            <w:pPr>
              <w:snapToGrid w:val="0"/>
              <w:jc w:val="center"/>
            </w:pPr>
            <w:r>
              <w:rPr>
                <w:rFonts w:ascii="宋体" w:hAnsi="宋体" w:eastAsia="宋体" w:cs="宋体"/>
                <w:b w:val="0"/>
                <w:i w:val="0"/>
                <w:color w:val="000000"/>
                <w:sz w:val="11"/>
              </w:rPr>
              <w:t>44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13</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十三、交通运输支出</w:t>
            </w:r>
          </w:p>
        </w:tc>
        <w:tc>
          <w:tcPr>
            <w:tcW w:w="280" w:type="dxa"/>
            <w:vAlign w:val="center"/>
          </w:tcPr>
          <w:p>
            <w:pPr>
              <w:snapToGrid w:val="0"/>
              <w:jc w:val="center"/>
            </w:pPr>
            <w:r>
              <w:rPr>
                <w:rFonts w:ascii="宋体" w:hAnsi="宋体" w:eastAsia="宋体" w:cs="宋体"/>
                <w:b w:val="0"/>
                <w:i w:val="0"/>
                <w:color w:val="000000"/>
                <w:sz w:val="11"/>
              </w:rPr>
              <w:t>45</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14</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十四、资源勘探工业信息等支出</w:t>
            </w:r>
          </w:p>
        </w:tc>
        <w:tc>
          <w:tcPr>
            <w:tcW w:w="280" w:type="dxa"/>
            <w:vAlign w:val="center"/>
          </w:tcPr>
          <w:p>
            <w:pPr>
              <w:snapToGrid w:val="0"/>
              <w:jc w:val="center"/>
            </w:pPr>
            <w:r>
              <w:rPr>
                <w:rFonts w:ascii="宋体" w:hAnsi="宋体" w:eastAsia="宋体" w:cs="宋体"/>
                <w:b w:val="0"/>
                <w:i w:val="0"/>
                <w:color w:val="000000"/>
                <w:sz w:val="11"/>
              </w:rPr>
              <w:t>46</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15</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十五、商业服务业等支出</w:t>
            </w:r>
          </w:p>
        </w:tc>
        <w:tc>
          <w:tcPr>
            <w:tcW w:w="280" w:type="dxa"/>
            <w:vAlign w:val="center"/>
          </w:tcPr>
          <w:p>
            <w:pPr>
              <w:snapToGrid w:val="0"/>
              <w:jc w:val="center"/>
            </w:pPr>
            <w:r>
              <w:rPr>
                <w:rFonts w:ascii="宋体" w:hAnsi="宋体" w:eastAsia="宋体" w:cs="宋体"/>
                <w:b w:val="0"/>
                <w:i w:val="0"/>
                <w:color w:val="000000"/>
                <w:sz w:val="11"/>
              </w:rPr>
              <w:t>47</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16</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十六、金融支出</w:t>
            </w:r>
          </w:p>
        </w:tc>
        <w:tc>
          <w:tcPr>
            <w:tcW w:w="280" w:type="dxa"/>
            <w:vAlign w:val="center"/>
          </w:tcPr>
          <w:p>
            <w:pPr>
              <w:snapToGrid w:val="0"/>
              <w:jc w:val="center"/>
            </w:pPr>
            <w:r>
              <w:rPr>
                <w:rFonts w:ascii="宋体" w:hAnsi="宋体" w:eastAsia="宋体" w:cs="宋体"/>
                <w:b w:val="0"/>
                <w:i w:val="0"/>
                <w:color w:val="000000"/>
                <w:sz w:val="11"/>
              </w:rPr>
              <w:t>48</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17</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十七、援助其他地区支出</w:t>
            </w:r>
          </w:p>
        </w:tc>
        <w:tc>
          <w:tcPr>
            <w:tcW w:w="280" w:type="dxa"/>
            <w:vAlign w:val="center"/>
          </w:tcPr>
          <w:p>
            <w:pPr>
              <w:snapToGrid w:val="0"/>
              <w:jc w:val="center"/>
            </w:pPr>
            <w:r>
              <w:rPr>
                <w:rFonts w:ascii="宋体" w:hAnsi="宋体" w:eastAsia="宋体" w:cs="宋体"/>
                <w:b w:val="0"/>
                <w:i w:val="0"/>
                <w:color w:val="000000"/>
                <w:sz w:val="11"/>
              </w:rPr>
              <w:t>49</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18</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十八、自然资源海洋气象等支出</w:t>
            </w:r>
          </w:p>
        </w:tc>
        <w:tc>
          <w:tcPr>
            <w:tcW w:w="280" w:type="dxa"/>
            <w:vAlign w:val="center"/>
          </w:tcPr>
          <w:p>
            <w:pPr>
              <w:snapToGrid w:val="0"/>
              <w:jc w:val="center"/>
            </w:pPr>
            <w:r>
              <w:rPr>
                <w:rFonts w:ascii="宋体" w:hAnsi="宋体" w:eastAsia="宋体" w:cs="宋体"/>
                <w:b w:val="0"/>
                <w:i w:val="0"/>
                <w:color w:val="000000"/>
                <w:sz w:val="11"/>
              </w:rPr>
              <w:t>50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19</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十九、住房保障支出</w:t>
            </w:r>
          </w:p>
        </w:tc>
        <w:tc>
          <w:tcPr>
            <w:tcW w:w="280" w:type="dxa"/>
            <w:vAlign w:val="center"/>
          </w:tcPr>
          <w:p>
            <w:pPr>
              <w:snapToGrid w:val="0"/>
              <w:jc w:val="center"/>
            </w:pPr>
            <w:r>
              <w:rPr>
                <w:rFonts w:ascii="宋体" w:hAnsi="宋体" w:eastAsia="宋体" w:cs="宋体"/>
                <w:b w:val="0"/>
                <w:i w:val="0"/>
                <w:color w:val="000000"/>
                <w:sz w:val="11"/>
              </w:rPr>
              <w:t>51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42.91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20</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二十、粮油物资储备支出</w:t>
            </w:r>
          </w:p>
        </w:tc>
        <w:tc>
          <w:tcPr>
            <w:tcW w:w="280" w:type="dxa"/>
            <w:vAlign w:val="center"/>
          </w:tcPr>
          <w:p>
            <w:pPr>
              <w:snapToGrid w:val="0"/>
              <w:jc w:val="center"/>
            </w:pPr>
            <w:r>
              <w:rPr>
                <w:rFonts w:ascii="宋体" w:hAnsi="宋体" w:eastAsia="宋体" w:cs="宋体"/>
                <w:b w:val="0"/>
                <w:i w:val="0"/>
                <w:color w:val="000000"/>
                <w:sz w:val="11"/>
              </w:rPr>
              <w:t>52</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21</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二十一、国有资本经营预算支出</w:t>
            </w:r>
          </w:p>
        </w:tc>
        <w:tc>
          <w:tcPr>
            <w:tcW w:w="280" w:type="dxa"/>
            <w:vAlign w:val="center"/>
          </w:tcPr>
          <w:p>
            <w:pPr>
              <w:snapToGrid w:val="0"/>
              <w:jc w:val="center"/>
            </w:pPr>
            <w:r>
              <w:rPr>
                <w:rFonts w:ascii="宋体" w:hAnsi="宋体" w:eastAsia="宋体" w:cs="宋体"/>
                <w:b w:val="0"/>
                <w:i w:val="0"/>
                <w:color w:val="000000"/>
                <w:sz w:val="11"/>
              </w:rPr>
              <w:t>53</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22</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二十二、灾害防治及应急管理支出</w:t>
            </w:r>
          </w:p>
        </w:tc>
        <w:tc>
          <w:tcPr>
            <w:tcW w:w="280" w:type="dxa"/>
            <w:vAlign w:val="center"/>
          </w:tcPr>
          <w:p>
            <w:pPr>
              <w:snapToGrid w:val="0"/>
              <w:jc w:val="center"/>
            </w:pPr>
            <w:r>
              <w:rPr>
                <w:rFonts w:ascii="宋体" w:hAnsi="宋体" w:eastAsia="宋体" w:cs="宋体"/>
                <w:b w:val="0"/>
                <w:i w:val="0"/>
                <w:color w:val="000000"/>
                <w:sz w:val="11"/>
              </w:rPr>
              <w:t>54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23</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二十三、其他支出</w:t>
            </w:r>
          </w:p>
        </w:tc>
        <w:tc>
          <w:tcPr>
            <w:tcW w:w="280" w:type="dxa"/>
            <w:vAlign w:val="center"/>
          </w:tcPr>
          <w:p>
            <w:pPr>
              <w:snapToGrid w:val="0"/>
              <w:jc w:val="center"/>
            </w:pPr>
            <w:r>
              <w:rPr>
                <w:rFonts w:ascii="宋体" w:hAnsi="宋体" w:eastAsia="宋体" w:cs="宋体"/>
                <w:b w:val="0"/>
                <w:i w:val="0"/>
                <w:color w:val="000000"/>
                <w:sz w:val="11"/>
              </w:rPr>
              <w:t>55</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24</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二十四、债务还本支出</w:t>
            </w:r>
          </w:p>
        </w:tc>
        <w:tc>
          <w:tcPr>
            <w:tcW w:w="280" w:type="dxa"/>
            <w:vAlign w:val="center"/>
          </w:tcPr>
          <w:p>
            <w:pPr>
              <w:snapToGrid w:val="0"/>
              <w:jc w:val="center"/>
            </w:pPr>
            <w:r>
              <w:rPr>
                <w:rFonts w:ascii="宋体" w:hAnsi="宋体" w:eastAsia="宋体" w:cs="宋体"/>
                <w:b w:val="0"/>
                <w:i w:val="0"/>
                <w:color w:val="000000"/>
                <w:sz w:val="11"/>
              </w:rPr>
              <w:t>56</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25</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二十五、债务付息支出</w:t>
            </w:r>
          </w:p>
        </w:tc>
        <w:tc>
          <w:tcPr>
            <w:tcW w:w="280" w:type="dxa"/>
            <w:vAlign w:val="center"/>
          </w:tcPr>
          <w:p>
            <w:pPr>
              <w:snapToGrid w:val="0"/>
              <w:jc w:val="center"/>
            </w:pPr>
            <w:r>
              <w:rPr>
                <w:rFonts w:ascii="宋体" w:hAnsi="宋体" w:eastAsia="宋体" w:cs="宋体"/>
                <w:b w:val="0"/>
                <w:i w:val="0"/>
                <w:color w:val="000000"/>
                <w:sz w:val="11"/>
              </w:rPr>
              <w:t>57</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tc>
        <w:tc>
          <w:tcPr>
            <w:tcW w:w="280" w:type="dxa"/>
            <w:vAlign w:val="center"/>
          </w:tcPr>
          <w:p>
            <w:pPr>
              <w:snapToGrid w:val="0"/>
              <w:jc w:val="center"/>
            </w:pPr>
            <w:r>
              <w:rPr>
                <w:rFonts w:ascii="宋体" w:hAnsi="宋体" w:eastAsia="宋体" w:cs="宋体"/>
                <w:b w:val="0"/>
                <w:i w:val="0"/>
                <w:color w:val="000000"/>
                <w:sz w:val="11"/>
              </w:rPr>
              <w:t>26</w:t>
            </w:r>
          </w:p>
        </w:tc>
        <w:tc>
          <w:tcPr>
            <w:tcW w:w="840" w:type="dxa"/>
            <w:vAlign w:val="center"/>
          </w:tcPr>
          <w:p/>
        </w:tc>
        <w:tc>
          <w:tcPr>
            <w:tcW w:w="1840" w:type="dxa"/>
            <w:vAlign w:val="center"/>
          </w:tcPr>
          <w:p>
            <w:pPr>
              <w:snapToGrid w:val="0"/>
              <w:jc w:val="left"/>
            </w:pPr>
            <w:r>
              <w:rPr>
                <w:rFonts w:ascii="宋体" w:hAnsi="宋体" w:eastAsia="宋体" w:cs="宋体"/>
                <w:b w:val="0"/>
                <w:i w:val="0"/>
                <w:color w:val="000000"/>
                <w:sz w:val="11"/>
              </w:rPr>
              <w:t>二十六、抗疫特别国债安排的支出</w:t>
            </w:r>
          </w:p>
        </w:tc>
        <w:tc>
          <w:tcPr>
            <w:tcW w:w="280" w:type="dxa"/>
            <w:vAlign w:val="center"/>
          </w:tcPr>
          <w:p>
            <w:pPr>
              <w:snapToGrid w:val="0"/>
              <w:jc w:val="center"/>
            </w:pPr>
            <w:r>
              <w:rPr>
                <w:rFonts w:ascii="宋体" w:hAnsi="宋体" w:eastAsia="宋体" w:cs="宋体"/>
                <w:b w:val="0"/>
                <w:i w:val="0"/>
                <w:color w:val="000000"/>
                <w:sz w:val="11"/>
              </w:rPr>
              <w:t>58</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center"/>
            </w:pPr>
            <w:r>
              <w:rPr>
                <w:rFonts w:ascii="宋体" w:hAnsi="宋体" w:eastAsia="宋体" w:cs="宋体"/>
                <w:b/>
                <w:i w:val="0"/>
                <w:color w:val="000000"/>
                <w:sz w:val="11"/>
              </w:rPr>
              <w:t>本年收入合计</w:t>
            </w:r>
          </w:p>
        </w:tc>
        <w:tc>
          <w:tcPr>
            <w:tcW w:w="280" w:type="dxa"/>
            <w:vAlign w:val="center"/>
          </w:tcPr>
          <w:p>
            <w:pPr>
              <w:snapToGrid w:val="0"/>
              <w:jc w:val="center"/>
            </w:pPr>
            <w:r>
              <w:rPr>
                <w:rFonts w:ascii="宋体" w:hAnsi="宋体" w:eastAsia="宋体" w:cs="宋体"/>
                <w:b w:val="0"/>
                <w:i w:val="0"/>
                <w:color w:val="000000"/>
                <w:sz w:val="11"/>
              </w:rPr>
              <w:t>27</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1840" w:type="dxa"/>
            <w:vAlign w:val="center"/>
          </w:tcPr>
          <w:p>
            <w:pPr>
              <w:snapToGrid w:val="0"/>
              <w:jc w:val="center"/>
            </w:pPr>
            <w:r>
              <w:rPr>
                <w:rFonts w:ascii="宋体" w:hAnsi="宋体" w:eastAsia="宋体" w:cs="宋体"/>
                <w:b/>
                <w:i w:val="0"/>
                <w:color w:val="000000"/>
                <w:sz w:val="11"/>
              </w:rPr>
              <w:t>本年支出合计</w:t>
            </w:r>
          </w:p>
        </w:tc>
        <w:tc>
          <w:tcPr>
            <w:tcW w:w="280" w:type="dxa"/>
            <w:vAlign w:val="center"/>
          </w:tcPr>
          <w:p>
            <w:pPr>
              <w:snapToGrid w:val="0"/>
              <w:jc w:val="center"/>
            </w:pPr>
            <w:r>
              <w:rPr>
                <w:rFonts w:ascii="宋体" w:hAnsi="宋体" w:eastAsia="宋体" w:cs="宋体"/>
                <w:b w:val="0"/>
                <w:i w:val="0"/>
                <w:color w:val="000000"/>
                <w:sz w:val="11"/>
              </w:rPr>
              <w:t>59</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年初财政拨款结转和结余</w:t>
            </w:r>
          </w:p>
        </w:tc>
        <w:tc>
          <w:tcPr>
            <w:tcW w:w="280" w:type="dxa"/>
            <w:vAlign w:val="center"/>
          </w:tcPr>
          <w:p>
            <w:pPr>
              <w:snapToGrid w:val="0"/>
              <w:jc w:val="center"/>
            </w:pPr>
            <w:r>
              <w:rPr>
                <w:rFonts w:ascii="宋体" w:hAnsi="宋体" w:eastAsia="宋体" w:cs="宋体"/>
                <w:b w:val="0"/>
                <w:i w:val="0"/>
                <w:color w:val="000000"/>
                <w:sz w:val="11"/>
              </w:rPr>
              <w:t>28</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pPr>
              <w:snapToGrid w:val="0"/>
              <w:jc w:val="left"/>
            </w:pPr>
            <w:r>
              <w:rPr>
                <w:rFonts w:ascii="宋体" w:hAnsi="宋体" w:eastAsia="宋体" w:cs="宋体"/>
                <w:b w:val="0"/>
                <w:i w:val="0"/>
                <w:color w:val="000000"/>
                <w:sz w:val="11"/>
              </w:rPr>
              <w:t>年末财政拨款结转和结余</w:t>
            </w:r>
          </w:p>
        </w:tc>
        <w:tc>
          <w:tcPr>
            <w:tcW w:w="280" w:type="dxa"/>
            <w:vAlign w:val="center"/>
          </w:tcPr>
          <w:p>
            <w:pPr>
              <w:snapToGrid w:val="0"/>
              <w:jc w:val="center"/>
            </w:pPr>
            <w:r>
              <w:rPr>
                <w:rFonts w:ascii="宋体" w:hAnsi="宋体" w:eastAsia="宋体" w:cs="宋体"/>
                <w:b w:val="0"/>
                <w:i w:val="0"/>
                <w:color w:val="000000"/>
                <w:sz w:val="11"/>
              </w:rPr>
              <w:t>60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 xml:space="preserve">  一般公共预算财政拨款</w:t>
            </w:r>
          </w:p>
        </w:tc>
        <w:tc>
          <w:tcPr>
            <w:tcW w:w="280" w:type="dxa"/>
            <w:vAlign w:val="center"/>
          </w:tcPr>
          <w:p>
            <w:pPr>
              <w:snapToGrid w:val="0"/>
              <w:jc w:val="center"/>
            </w:pPr>
            <w:r>
              <w:rPr>
                <w:rFonts w:ascii="宋体" w:hAnsi="宋体" w:eastAsia="宋体" w:cs="宋体"/>
                <w:b w:val="0"/>
                <w:i w:val="0"/>
                <w:color w:val="000000"/>
                <w:sz w:val="11"/>
              </w:rPr>
              <w:t>29</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tc>
        <w:tc>
          <w:tcPr>
            <w:tcW w:w="280" w:type="dxa"/>
            <w:vAlign w:val="center"/>
          </w:tcPr>
          <w:p>
            <w:pPr>
              <w:snapToGrid w:val="0"/>
              <w:jc w:val="center"/>
            </w:pPr>
            <w:r>
              <w:rPr>
                <w:rFonts w:ascii="宋体" w:hAnsi="宋体" w:eastAsia="宋体" w:cs="宋体"/>
                <w:b w:val="0"/>
                <w:i w:val="0"/>
                <w:color w:val="000000"/>
                <w:sz w:val="11"/>
              </w:rPr>
              <w:t>61</w:t>
            </w: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906" w:type="dxa"/>
            <w:vAlign w:val="center"/>
          </w:tcPr>
          <w:p>
            <w:pPr>
              <w:rPr>
                <w:rFonts w:hint="default" w:ascii="Times New Roman" w:hAnsi="Times New Roman" w:eastAsia="宋体"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 xml:space="preserve">  政府性基金预算财政拨款</w:t>
            </w:r>
          </w:p>
        </w:tc>
        <w:tc>
          <w:tcPr>
            <w:tcW w:w="280" w:type="dxa"/>
            <w:vAlign w:val="center"/>
          </w:tcPr>
          <w:p>
            <w:pPr>
              <w:snapToGrid w:val="0"/>
              <w:jc w:val="center"/>
            </w:pPr>
            <w:r>
              <w:rPr>
                <w:rFonts w:ascii="宋体" w:hAnsi="宋体" w:eastAsia="宋体" w:cs="宋体"/>
                <w:b w:val="0"/>
                <w:i w:val="0"/>
                <w:color w:val="000000"/>
                <w:sz w:val="11"/>
              </w:rPr>
              <w:t>30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tc>
        <w:tc>
          <w:tcPr>
            <w:tcW w:w="280" w:type="dxa"/>
            <w:vAlign w:val="center"/>
          </w:tcPr>
          <w:p>
            <w:pPr>
              <w:snapToGrid w:val="0"/>
              <w:jc w:val="center"/>
            </w:pPr>
            <w:r>
              <w:rPr>
                <w:rFonts w:ascii="宋体" w:hAnsi="宋体" w:eastAsia="宋体" w:cs="宋体"/>
                <w:b w:val="0"/>
                <w:i w:val="0"/>
                <w:color w:val="000000"/>
                <w:sz w:val="11"/>
              </w:rPr>
              <w:t>62</w:t>
            </w: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906" w:type="dxa"/>
            <w:vAlign w:val="center"/>
          </w:tcPr>
          <w:p>
            <w:pPr>
              <w:rPr>
                <w:rFonts w:hint="default" w:ascii="Times New Roman" w:hAnsi="Times New Roman" w:eastAsia="宋体"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left"/>
            </w:pPr>
            <w:r>
              <w:rPr>
                <w:rFonts w:ascii="宋体" w:hAnsi="宋体" w:eastAsia="宋体" w:cs="宋体"/>
                <w:b w:val="0"/>
                <w:i w:val="0"/>
                <w:color w:val="000000"/>
                <w:sz w:val="11"/>
              </w:rPr>
              <w:t xml:space="preserve">  国有资本经营预算财政拨款</w:t>
            </w:r>
          </w:p>
        </w:tc>
        <w:tc>
          <w:tcPr>
            <w:tcW w:w="280" w:type="dxa"/>
            <w:vAlign w:val="center"/>
          </w:tcPr>
          <w:p>
            <w:pPr>
              <w:snapToGrid w:val="0"/>
              <w:jc w:val="center"/>
            </w:pPr>
            <w:r>
              <w:rPr>
                <w:rFonts w:ascii="宋体" w:hAnsi="宋体" w:eastAsia="宋体" w:cs="宋体"/>
                <w:b w:val="0"/>
                <w:i w:val="0"/>
                <w:color w:val="000000"/>
                <w:sz w:val="11"/>
              </w:rPr>
              <w:t>31</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1840" w:type="dxa"/>
            <w:vAlign w:val="center"/>
          </w:tcPr>
          <w:p/>
        </w:tc>
        <w:tc>
          <w:tcPr>
            <w:tcW w:w="280" w:type="dxa"/>
            <w:vAlign w:val="center"/>
          </w:tcPr>
          <w:p>
            <w:pPr>
              <w:snapToGrid w:val="0"/>
              <w:jc w:val="center"/>
            </w:pPr>
            <w:r>
              <w:rPr>
                <w:rFonts w:ascii="宋体" w:hAnsi="宋体" w:eastAsia="宋体" w:cs="宋体"/>
                <w:b w:val="0"/>
                <w:i w:val="0"/>
                <w:color w:val="000000"/>
                <w:sz w:val="11"/>
              </w:rPr>
              <w:t>63</w:t>
            </w: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840" w:type="dxa"/>
            <w:vAlign w:val="center"/>
          </w:tcPr>
          <w:p>
            <w:pPr>
              <w:rPr>
                <w:rFonts w:hint="default" w:ascii="Times New Roman" w:hAnsi="Times New Roman" w:eastAsia="宋体" w:cs="Times New Roman"/>
                <w:sz w:val="24"/>
                <w:szCs w:val="24"/>
              </w:rPr>
            </w:pPr>
          </w:p>
        </w:tc>
        <w:tc>
          <w:tcPr>
            <w:tcW w:w="906" w:type="dxa"/>
            <w:vAlign w:val="center"/>
          </w:tcPr>
          <w:p>
            <w:pPr>
              <w:rPr>
                <w:rFonts w:hint="default" w:ascii="Times New Roman" w:hAnsi="Times New Roman" w:eastAsia="宋体"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1640" w:type="dxa"/>
            <w:vAlign w:val="center"/>
          </w:tcPr>
          <w:p>
            <w:pPr>
              <w:snapToGrid w:val="0"/>
              <w:jc w:val="center"/>
            </w:pPr>
            <w:r>
              <w:rPr>
                <w:rFonts w:ascii="宋体" w:hAnsi="宋体" w:eastAsia="宋体" w:cs="宋体"/>
                <w:b/>
                <w:i w:val="0"/>
                <w:color w:val="000000"/>
                <w:sz w:val="11"/>
              </w:rPr>
              <w:t>总计</w:t>
            </w:r>
          </w:p>
        </w:tc>
        <w:tc>
          <w:tcPr>
            <w:tcW w:w="280" w:type="dxa"/>
            <w:vAlign w:val="center"/>
          </w:tcPr>
          <w:p>
            <w:pPr>
              <w:snapToGrid w:val="0"/>
              <w:jc w:val="center"/>
            </w:pPr>
            <w:r>
              <w:rPr>
                <w:rFonts w:ascii="宋体" w:hAnsi="宋体" w:eastAsia="宋体" w:cs="宋体"/>
                <w:b w:val="0"/>
                <w:i w:val="0"/>
                <w:color w:val="000000"/>
                <w:sz w:val="11"/>
              </w:rPr>
              <w:t>32</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1840" w:type="dxa"/>
            <w:vAlign w:val="center"/>
          </w:tcPr>
          <w:p>
            <w:pPr>
              <w:snapToGrid w:val="0"/>
              <w:jc w:val="center"/>
            </w:pPr>
            <w:r>
              <w:rPr>
                <w:rFonts w:ascii="宋体" w:hAnsi="宋体" w:eastAsia="宋体" w:cs="宋体"/>
                <w:b/>
                <w:i w:val="0"/>
                <w:color w:val="000000"/>
                <w:sz w:val="11"/>
              </w:rPr>
              <w:t>总计</w:t>
            </w:r>
          </w:p>
        </w:tc>
        <w:tc>
          <w:tcPr>
            <w:tcW w:w="280" w:type="dxa"/>
            <w:vAlign w:val="center"/>
          </w:tcPr>
          <w:p>
            <w:pPr>
              <w:snapToGrid w:val="0"/>
              <w:jc w:val="center"/>
            </w:pPr>
            <w:r>
              <w:rPr>
                <w:rFonts w:ascii="宋体" w:hAnsi="宋体" w:eastAsia="宋体" w:cs="宋体"/>
                <w:b w:val="0"/>
                <w:i w:val="0"/>
                <w:color w:val="000000"/>
                <w:sz w:val="11"/>
              </w:rPr>
              <w:t>64</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773.90</w:t>
            </w:r>
          </w:p>
        </w:tc>
        <w:tc>
          <w:tcPr>
            <w:tcW w:w="84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c>
          <w:tcPr>
            <w:tcW w:w="9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5" w:hRule="exact"/>
          <w:jc w:val="center"/>
        </w:trPr>
        <w:tc>
          <w:tcPr>
            <w:tcW w:w="740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1"/>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insideH w:val="single" w:sz="4" w:space="0"/>
              <w:insideV w:val="single" w:sz="4" w:space="0"/>
            </w:tcBorders>
            <w:vAlign w:val="center"/>
          </w:tcP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非财政拨款收入支出决算总表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80"/>
        <w:gridCol w:w="340"/>
        <w:gridCol w:w="1320"/>
        <w:gridCol w:w="2480"/>
        <w:gridCol w:w="340"/>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4140" w:type="dxa"/>
            <w:gridSpan w:val="3"/>
            <w:vAlign w:val="center"/>
          </w:tcPr>
          <w:p>
            <w:pPr>
              <w:snapToGrid w:val="0"/>
              <w:jc w:val="center"/>
            </w:pPr>
            <w:r>
              <w:rPr>
                <w:rFonts w:ascii="宋体" w:hAnsi="宋体" w:eastAsia="宋体" w:cs="宋体"/>
                <w:b w:val="0"/>
                <w:i w:val="0"/>
                <w:color w:val="000000"/>
                <w:sz w:val="12"/>
              </w:rPr>
              <w:t>收入</w:t>
            </w:r>
          </w:p>
        </w:tc>
        <w:tc>
          <w:tcPr>
            <w:tcW w:w="4166" w:type="dxa"/>
            <w:gridSpan w:val="3"/>
            <w:vAlign w:val="center"/>
          </w:tcPr>
          <w:p>
            <w:pPr>
              <w:snapToGrid w:val="0"/>
              <w:jc w:val="center"/>
            </w:pPr>
            <w:r>
              <w:rPr>
                <w:rFonts w:ascii="宋体" w:hAnsi="宋体" w:eastAsia="宋体" w:cs="宋体"/>
                <w:b w:val="0"/>
                <w:i w:val="0"/>
                <w:color w:val="000000"/>
                <w:sz w:val="1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val="0"/>
                <w:i w:val="0"/>
                <w:color w:val="000000"/>
                <w:sz w:val="12"/>
              </w:rPr>
              <w:t>项目</w:t>
            </w:r>
          </w:p>
        </w:tc>
        <w:tc>
          <w:tcPr>
            <w:tcW w:w="340" w:type="dxa"/>
            <w:vAlign w:val="center"/>
          </w:tcPr>
          <w:p>
            <w:pPr>
              <w:snapToGrid w:val="0"/>
              <w:jc w:val="center"/>
            </w:pPr>
            <w:r>
              <w:rPr>
                <w:rFonts w:ascii="宋体" w:hAnsi="宋体" w:eastAsia="宋体" w:cs="宋体"/>
                <w:b w:val="0"/>
                <w:i w:val="0"/>
                <w:color w:val="000000"/>
                <w:sz w:val="12"/>
              </w:rPr>
              <w:t>行次</w:t>
            </w:r>
          </w:p>
        </w:tc>
        <w:tc>
          <w:tcPr>
            <w:tcW w:w="1320" w:type="dxa"/>
            <w:vAlign w:val="center"/>
          </w:tcPr>
          <w:p>
            <w:pPr>
              <w:snapToGrid w:val="0"/>
              <w:jc w:val="center"/>
            </w:pPr>
            <w:r>
              <w:rPr>
                <w:rFonts w:ascii="宋体" w:hAnsi="宋体" w:eastAsia="宋体" w:cs="宋体"/>
                <w:b w:val="0"/>
                <w:i w:val="0"/>
                <w:color w:val="000000"/>
                <w:sz w:val="12"/>
              </w:rPr>
              <w:t>金额</w:t>
            </w:r>
          </w:p>
        </w:tc>
        <w:tc>
          <w:tcPr>
            <w:tcW w:w="2480" w:type="dxa"/>
            <w:vAlign w:val="center"/>
          </w:tcPr>
          <w:p>
            <w:pPr>
              <w:snapToGrid w:val="0"/>
              <w:jc w:val="center"/>
            </w:pPr>
            <w:r>
              <w:rPr>
                <w:rFonts w:ascii="宋体" w:hAnsi="宋体" w:eastAsia="宋体" w:cs="宋体"/>
                <w:b w:val="0"/>
                <w:i w:val="0"/>
                <w:color w:val="000000"/>
                <w:sz w:val="12"/>
              </w:rPr>
              <w:t>项目</w:t>
            </w:r>
          </w:p>
        </w:tc>
        <w:tc>
          <w:tcPr>
            <w:tcW w:w="340" w:type="dxa"/>
            <w:vAlign w:val="center"/>
          </w:tcPr>
          <w:p>
            <w:pPr>
              <w:snapToGrid w:val="0"/>
              <w:jc w:val="center"/>
            </w:pPr>
            <w:r>
              <w:rPr>
                <w:rFonts w:ascii="宋体" w:hAnsi="宋体" w:eastAsia="宋体" w:cs="宋体"/>
                <w:b w:val="0"/>
                <w:i w:val="0"/>
                <w:color w:val="000000"/>
                <w:sz w:val="12"/>
              </w:rPr>
              <w:t>行次</w:t>
            </w:r>
          </w:p>
        </w:tc>
        <w:tc>
          <w:tcPr>
            <w:tcW w:w="1346" w:type="dxa"/>
            <w:vAlign w:val="center"/>
          </w:tcPr>
          <w:p>
            <w:pPr>
              <w:snapToGrid w:val="0"/>
              <w:jc w:val="center"/>
            </w:pPr>
            <w:r>
              <w:rPr>
                <w:rFonts w:ascii="宋体" w:hAnsi="宋体" w:eastAsia="宋体" w:cs="宋体"/>
                <w:b w:val="0"/>
                <w:i w:val="0"/>
                <w:color w:val="000000"/>
                <w:sz w:val="12"/>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val="0"/>
                <w:i w:val="0"/>
                <w:color w:val="000000"/>
                <w:sz w:val="12"/>
              </w:rPr>
              <w:t>栏次</w:t>
            </w:r>
          </w:p>
        </w:tc>
        <w:tc>
          <w:tcPr>
            <w:tcW w:w="340" w:type="dxa"/>
            <w:vAlign w:val="center"/>
          </w:tcPr>
          <w:p/>
        </w:tc>
        <w:tc>
          <w:tcPr>
            <w:tcW w:w="1320" w:type="dxa"/>
            <w:vAlign w:val="center"/>
          </w:tcPr>
          <w:p>
            <w:pPr>
              <w:snapToGrid w:val="0"/>
              <w:jc w:val="center"/>
            </w:pPr>
            <w:r>
              <w:rPr>
                <w:rFonts w:ascii="宋体" w:hAnsi="宋体" w:eastAsia="宋体" w:cs="宋体"/>
                <w:b w:val="0"/>
                <w:i w:val="0"/>
                <w:color w:val="000000"/>
                <w:sz w:val="12"/>
              </w:rPr>
              <w:t>1</w:t>
            </w:r>
          </w:p>
        </w:tc>
        <w:tc>
          <w:tcPr>
            <w:tcW w:w="2480" w:type="dxa"/>
            <w:vAlign w:val="center"/>
          </w:tcPr>
          <w:p>
            <w:pPr>
              <w:snapToGrid w:val="0"/>
              <w:jc w:val="center"/>
            </w:pPr>
            <w:r>
              <w:rPr>
                <w:rFonts w:ascii="宋体" w:hAnsi="宋体" w:eastAsia="宋体" w:cs="宋体"/>
                <w:b w:val="0"/>
                <w:i w:val="0"/>
                <w:color w:val="000000"/>
                <w:sz w:val="12"/>
              </w:rPr>
              <w:t>栏次</w:t>
            </w:r>
          </w:p>
        </w:tc>
        <w:tc>
          <w:tcPr>
            <w:tcW w:w="340" w:type="dxa"/>
            <w:vAlign w:val="center"/>
          </w:tcPr>
          <w:p/>
        </w:tc>
        <w:tc>
          <w:tcPr>
            <w:tcW w:w="1346" w:type="dxa"/>
            <w:vAlign w:val="center"/>
          </w:tcPr>
          <w:p>
            <w:pPr>
              <w:snapToGrid w:val="0"/>
              <w:jc w:val="center"/>
            </w:pPr>
            <w:r>
              <w:rPr>
                <w:rFonts w:ascii="宋体" w:hAnsi="宋体" w:eastAsia="宋体" w:cs="宋体"/>
                <w:b w:val="0"/>
                <w:i w:val="0"/>
                <w:color w:val="000000"/>
                <w:sz w:val="1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一、上级补助收入</w:t>
            </w:r>
          </w:p>
        </w:tc>
        <w:tc>
          <w:tcPr>
            <w:tcW w:w="340" w:type="dxa"/>
            <w:vAlign w:val="center"/>
          </w:tcPr>
          <w:p>
            <w:pPr>
              <w:snapToGrid w:val="0"/>
              <w:jc w:val="center"/>
            </w:pPr>
            <w:r>
              <w:rPr>
                <w:rFonts w:ascii="宋体" w:hAnsi="宋体" w:eastAsia="宋体" w:cs="宋体"/>
                <w:b w:val="0"/>
                <w:i w:val="0"/>
                <w:color w:val="000000"/>
                <w:sz w:val="12"/>
              </w:rPr>
              <w:t>1</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一、一般公共服务支出</w:t>
            </w:r>
          </w:p>
        </w:tc>
        <w:tc>
          <w:tcPr>
            <w:tcW w:w="340" w:type="dxa"/>
            <w:vAlign w:val="center"/>
          </w:tcPr>
          <w:p>
            <w:pPr>
              <w:snapToGrid w:val="0"/>
              <w:jc w:val="center"/>
            </w:pPr>
            <w:r>
              <w:rPr>
                <w:rFonts w:ascii="宋体" w:hAnsi="宋体" w:eastAsia="宋体" w:cs="宋体"/>
                <w:b w:val="0"/>
                <w:i w:val="0"/>
                <w:color w:val="000000"/>
                <w:sz w:val="12"/>
              </w:rPr>
              <w:t>32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二、事业收入</w:t>
            </w:r>
          </w:p>
        </w:tc>
        <w:tc>
          <w:tcPr>
            <w:tcW w:w="340" w:type="dxa"/>
            <w:vAlign w:val="center"/>
          </w:tcPr>
          <w:p>
            <w:pPr>
              <w:snapToGrid w:val="0"/>
              <w:jc w:val="center"/>
            </w:pPr>
            <w:r>
              <w:rPr>
                <w:rFonts w:ascii="宋体" w:hAnsi="宋体" w:eastAsia="宋体" w:cs="宋体"/>
                <w:b w:val="0"/>
                <w:i w:val="0"/>
                <w:color w:val="000000"/>
                <w:sz w:val="12"/>
              </w:rPr>
              <w:t>2</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二、外交支出</w:t>
            </w:r>
          </w:p>
        </w:tc>
        <w:tc>
          <w:tcPr>
            <w:tcW w:w="340" w:type="dxa"/>
            <w:vAlign w:val="center"/>
          </w:tcPr>
          <w:p>
            <w:pPr>
              <w:snapToGrid w:val="0"/>
              <w:jc w:val="center"/>
            </w:pPr>
            <w:r>
              <w:rPr>
                <w:rFonts w:ascii="宋体" w:hAnsi="宋体" w:eastAsia="宋体" w:cs="宋体"/>
                <w:b w:val="0"/>
                <w:i w:val="0"/>
                <w:color w:val="000000"/>
                <w:sz w:val="12"/>
              </w:rPr>
              <w:t>33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三、经营收入</w:t>
            </w:r>
          </w:p>
        </w:tc>
        <w:tc>
          <w:tcPr>
            <w:tcW w:w="340" w:type="dxa"/>
            <w:vAlign w:val="center"/>
          </w:tcPr>
          <w:p>
            <w:pPr>
              <w:snapToGrid w:val="0"/>
              <w:jc w:val="center"/>
            </w:pPr>
            <w:r>
              <w:rPr>
                <w:rFonts w:ascii="宋体" w:hAnsi="宋体" w:eastAsia="宋体" w:cs="宋体"/>
                <w:b w:val="0"/>
                <w:i w:val="0"/>
                <w:color w:val="000000"/>
                <w:sz w:val="12"/>
              </w:rPr>
              <w:t>3</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三、国防支出</w:t>
            </w:r>
          </w:p>
        </w:tc>
        <w:tc>
          <w:tcPr>
            <w:tcW w:w="340" w:type="dxa"/>
            <w:vAlign w:val="center"/>
          </w:tcPr>
          <w:p>
            <w:pPr>
              <w:snapToGrid w:val="0"/>
              <w:jc w:val="center"/>
            </w:pPr>
            <w:r>
              <w:rPr>
                <w:rFonts w:ascii="宋体" w:hAnsi="宋体" w:eastAsia="宋体" w:cs="宋体"/>
                <w:b w:val="0"/>
                <w:i w:val="0"/>
                <w:color w:val="000000"/>
                <w:sz w:val="12"/>
              </w:rPr>
              <w:t>34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四、附属单位上缴收入</w:t>
            </w:r>
          </w:p>
        </w:tc>
        <w:tc>
          <w:tcPr>
            <w:tcW w:w="340" w:type="dxa"/>
            <w:vAlign w:val="center"/>
          </w:tcPr>
          <w:p>
            <w:pPr>
              <w:snapToGrid w:val="0"/>
              <w:jc w:val="center"/>
            </w:pPr>
            <w:r>
              <w:rPr>
                <w:rFonts w:ascii="宋体" w:hAnsi="宋体" w:eastAsia="宋体" w:cs="宋体"/>
                <w:b w:val="0"/>
                <w:i w:val="0"/>
                <w:color w:val="000000"/>
                <w:sz w:val="12"/>
              </w:rPr>
              <w:t>4</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四、公共安全支出</w:t>
            </w:r>
          </w:p>
        </w:tc>
        <w:tc>
          <w:tcPr>
            <w:tcW w:w="340" w:type="dxa"/>
            <w:vAlign w:val="center"/>
          </w:tcPr>
          <w:p>
            <w:pPr>
              <w:snapToGrid w:val="0"/>
              <w:jc w:val="center"/>
            </w:pPr>
            <w:r>
              <w:rPr>
                <w:rFonts w:ascii="宋体" w:hAnsi="宋体" w:eastAsia="宋体" w:cs="宋体"/>
                <w:b w:val="0"/>
                <w:i w:val="0"/>
                <w:color w:val="000000"/>
                <w:sz w:val="12"/>
              </w:rPr>
              <w:t>35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五、其他收入</w:t>
            </w:r>
          </w:p>
        </w:tc>
        <w:tc>
          <w:tcPr>
            <w:tcW w:w="340" w:type="dxa"/>
            <w:vAlign w:val="center"/>
          </w:tcPr>
          <w:p>
            <w:pPr>
              <w:snapToGrid w:val="0"/>
              <w:jc w:val="center"/>
            </w:pPr>
            <w:r>
              <w:rPr>
                <w:rFonts w:ascii="宋体" w:hAnsi="宋体" w:eastAsia="宋体" w:cs="宋体"/>
                <w:b w:val="0"/>
                <w:i w:val="0"/>
                <w:color w:val="000000"/>
                <w:sz w:val="12"/>
              </w:rPr>
              <w:t>5</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五、教育支出</w:t>
            </w:r>
          </w:p>
        </w:tc>
        <w:tc>
          <w:tcPr>
            <w:tcW w:w="340" w:type="dxa"/>
            <w:vAlign w:val="center"/>
          </w:tcPr>
          <w:p>
            <w:pPr>
              <w:snapToGrid w:val="0"/>
              <w:jc w:val="center"/>
            </w:pPr>
            <w:r>
              <w:rPr>
                <w:rFonts w:ascii="宋体" w:hAnsi="宋体" w:eastAsia="宋体" w:cs="宋体"/>
                <w:b w:val="0"/>
                <w:i w:val="0"/>
                <w:color w:val="000000"/>
                <w:sz w:val="12"/>
              </w:rPr>
              <w:t>36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其中：本级横向转拨财政款</w:t>
            </w:r>
          </w:p>
        </w:tc>
        <w:tc>
          <w:tcPr>
            <w:tcW w:w="340" w:type="dxa"/>
            <w:vAlign w:val="center"/>
          </w:tcPr>
          <w:p>
            <w:pPr>
              <w:snapToGrid w:val="0"/>
              <w:jc w:val="center"/>
            </w:pPr>
            <w:r>
              <w:rPr>
                <w:rFonts w:ascii="宋体" w:hAnsi="宋体" w:eastAsia="宋体" w:cs="宋体"/>
                <w:b w:val="0"/>
                <w:i w:val="0"/>
                <w:color w:val="000000"/>
                <w:sz w:val="12"/>
              </w:rPr>
              <w:t>6</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六、科学技术支出</w:t>
            </w:r>
          </w:p>
        </w:tc>
        <w:tc>
          <w:tcPr>
            <w:tcW w:w="340" w:type="dxa"/>
            <w:vAlign w:val="center"/>
          </w:tcPr>
          <w:p>
            <w:pPr>
              <w:snapToGrid w:val="0"/>
              <w:jc w:val="center"/>
            </w:pPr>
            <w:r>
              <w:rPr>
                <w:rFonts w:ascii="宋体" w:hAnsi="宋体" w:eastAsia="宋体" w:cs="宋体"/>
                <w:b w:val="0"/>
                <w:i w:val="0"/>
                <w:color w:val="000000"/>
                <w:sz w:val="12"/>
              </w:rPr>
              <w:t>37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非本级财政拨款</w:t>
            </w:r>
          </w:p>
        </w:tc>
        <w:tc>
          <w:tcPr>
            <w:tcW w:w="340" w:type="dxa"/>
            <w:vAlign w:val="center"/>
          </w:tcPr>
          <w:p>
            <w:pPr>
              <w:snapToGrid w:val="0"/>
              <w:jc w:val="center"/>
            </w:pPr>
            <w:r>
              <w:rPr>
                <w:rFonts w:ascii="宋体" w:hAnsi="宋体" w:eastAsia="宋体" w:cs="宋体"/>
                <w:b w:val="0"/>
                <w:i w:val="0"/>
                <w:color w:val="000000"/>
                <w:sz w:val="12"/>
              </w:rPr>
              <w:t>7</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七、文化旅游体育与传媒支出</w:t>
            </w:r>
          </w:p>
        </w:tc>
        <w:tc>
          <w:tcPr>
            <w:tcW w:w="340" w:type="dxa"/>
            <w:vAlign w:val="center"/>
          </w:tcPr>
          <w:p>
            <w:pPr>
              <w:snapToGrid w:val="0"/>
              <w:jc w:val="center"/>
            </w:pPr>
            <w:r>
              <w:rPr>
                <w:rFonts w:ascii="宋体" w:hAnsi="宋体" w:eastAsia="宋体" w:cs="宋体"/>
                <w:b w:val="0"/>
                <w:i w:val="0"/>
                <w:color w:val="000000"/>
                <w:sz w:val="12"/>
              </w:rPr>
              <w:t>38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事业单位固定资产出租收入</w:t>
            </w:r>
          </w:p>
        </w:tc>
        <w:tc>
          <w:tcPr>
            <w:tcW w:w="340" w:type="dxa"/>
            <w:vAlign w:val="center"/>
          </w:tcPr>
          <w:p>
            <w:pPr>
              <w:snapToGrid w:val="0"/>
              <w:jc w:val="center"/>
            </w:pPr>
            <w:r>
              <w:rPr>
                <w:rFonts w:ascii="宋体" w:hAnsi="宋体" w:eastAsia="宋体" w:cs="宋体"/>
                <w:b w:val="0"/>
                <w:i w:val="0"/>
                <w:color w:val="000000"/>
                <w:sz w:val="12"/>
              </w:rPr>
              <w:t>8</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八、社会保障和就业支出</w:t>
            </w:r>
          </w:p>
        </w:tc>
        <w:tc>
          <w:tcPr>
            <w:tcW w:w="340" w:type="dxa"/>
            <w:vAlign w:val="center"/>
          </w:tcPr>
          <w:p>
            <w:pPr>
              <w:snapToGrid w:val="0"/>
              <w:jc w:val="center"/>
            </w:pPr>
            <w:r>
              <w:rPr>
                <w:rFonts w:ascii="宋体" w:hAnsi="宋体" w:eastAsia="宋体" w:cs="宋体"/>
                <w:b w:val="0"/>
                <w:i w:val="0"/>
                <w:color w:val="000000"/>
                <w:sz w:val="12"/>
              </w:rPr>
              <w:t>39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9</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九、卫生健康支出</w:t>
            </w:r>
          </w:p>
        </w:tc>
        <w:tc>
          <w:tcPr>
            <w:tcW w:w="340" w:type="dxa"/>
            <w:vAlign w:val="center"/>
          </w:tcPr>
          <w:p>
            <w:pPr>
              <w:snapToGrid w:val="0"/>
              <w:jc w:val="center"/>
            </w:pPr>
            <w:r>
              <w:rPr>
                <w:rFonts w:ascii="宋体" w:hAnsi="宋体" w:eastAsia="宋体" w:cs="宋体"/>
                <w:b w:val="0"/>
                <w:i w:val="0"/>
                <w:color w:val="000000"/>
                <w:sz w:val="12"/>
              </w:rPr>
              <w:t>40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十、节能环保支出</w:t>
            </w:r>
          </w:p>
        </w:tc>
        <w:tc>
          <w:tcPr>
            <w:tcW w:w="340" w:type="dxa"/>
            <w:vAlign w:val="center"/>
          </w:tcPr>
          <w:p>
            <w:pPr>
              <w:snapToGrid w:val="0"/>
              <w:jc w:val="center"/>
            </w:pPr>
            <w:r>
              <w:rPr>
                <w:rFonts w:ascii="宋体" w:hAnsi="宋体" w:eastAsia="宋体" w:cs="宋体"/>
                <w:b w:val="0"/>
                <w:i w:val="0"/>
                <w:color w:val="000000"/>
                <w:sz w:val="12"/>
              </w:rPr>
              <w:t>41</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11</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十一、城乡社区支出</w:t>
            </w:r>
          </w:p>
        </w:tc>
        <w:tc>
          <w:tcPr>
            <w:tcW w:w="340" w:type="dxa"/>
            <w:vAlign w:val="center"/>
          </w:tcPr>
          <w:p>
            <w:pPr>
              <w:snapToGrid w:val="0"/>
              <w:jc w:val="center"/>
            </w:pPr>
            <w:r>
              <w:rPr>
                <w:rFonts w:ascii="宋体" w:hAnsi="宋体" w:eastAsia="宋体" w:cs="宋体"/>
                <w:b w:val="0"/>
                <w:i w:val="0"/>
                <w:color w:val="000000"/>
                <w:sz w:val="12"/>
              </w:rPr>
              <w:t>42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12</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十二、农林水支出</w:t>
            </w:r>
          </w:p>
        </w:tc>
        <w:tc>
          <w:tcPr>
            <w:tcW w:w="340" w:type="dxa"/>
            <w:vAlign w:val="center"/>
          </w:tcPr>
          <w:p>
            <w:pPr>
              <w:snapToGrid w:val="0"/>
              <w:jc w:val="center"/>
            </w:pPr>
            <w:r>
              <w:rPr>
                <w:rFonts w:ascii="宋体" w:hAnsi="宋体" w:eastAsia="宋体" w:cs="宋体"/>
                <w:b w:val="0"/>
                <w:i w:val="0"/>
                <w:color w:val="000000"/>
                <w:sz w:val="12"/>
              </w:rPr>
              <w:t>43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13</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十三、交通运输支出</w:t>
            </w:r>
          </w:p>
        </w:tc>
        <w:tc>
          <w:tcPr>
            <w:tcW w:w="340" w:type="dxa"/>
            <w:vAlign w:val="center"/>
          </w:tcPr>
          <w:p>
            <w:pPr>
              <w:snapToGrid w:val="0"/>
              <w:jc w:val="center"/>
            </w:pPr>
            <w:r>
              <w:rPr>
                <w:rFonts w:ascii="宋体" w:hAnsi="宋体" w:eastAsia="宋体" w:cs="宋体"/>
                <w:b w:val="0"/>
                <w:i w:val="0"/>
                <w:color w:val="000000"/>
                <w:sz w:val="12"/>
              </w:rPr>
              <w:t>44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14</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十四、资源勘探工业信息等支出</w:t>
            </w:r>
          </w:p>
        </w:tc>
        <w:tc>
          <w:tcPr>
            <w:tcW w:w="340" w:type="dxa"/>
            <w:vAlign w:val="center"/>
          </w:tcPr>
          <w:p>
            <w:pPr>
              <w:snapToGrid w:val="0"/>
              <w:jc w:val="center"/>
            </w:pPr>
            <w:r>
              <w:rPr>
                <w:rFonts w:ascii="宋体" w:hAnsi="宋体" w:eastAsia="宋体" w:cs="宋体"/>
                <w:b w:val="0"/>
                <w:i w:val="0"/>
                <w:color w:val="000000"/>
                <w:sz w:val="12"/>
              </w:rPr>
              <w:t>45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15</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十五、商业服务业等支出</w:t>
            </w:r>
          </w:p>
        </w:tc>
        <w:tc>
          <w:tcPr>
            <w:tcW w:w="340" w:type="dxa"/>
            <w:vAlign w:val="center"/>
          </w:tcPr>
          <w:p>
            <w:pPr>
              <w:snapToGrid w:val="0"/>
              <w:jc w:val="center"/>
            </w:pPr>
            <w:r>
              <w:rPr>
                <w:rFonts w:ascii="宋体" w:hAnsi="宋体" w:eastAsia="宋体" w:cs="宋体"/>
                <w:b w:val="0"/>
                <w:i w:val="0"/>
                <w:color w:val="000000"/>
                <w:sz w:val="12"/>
              </w:rPr>
              <w:t>46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16</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十六、金融支出</w:t>
            </w:r>
          </w:p>
        </w:tc>
        <w:tc>
          <w:tcPr>
            <w:tcW w:w="340" w:type="dxa"/>
            <w:vAlign w:val="center"/>
          </w:tcPr>
          <w:p>
            <w:pPr>
              <w:snapToGrid w:val="0"/>
              <w:jc w:val="center"/>
            </w:pPr>
            <w:r>
              <w:rPr>
                <w:rFonts w:ascii="宋体" w:hAnsi="宋体" w:eastAsia="宋体" w:cs="宋体"/>
                <w:b w:val="0"/>
                <w:i w:val="0"/>
                <w:color w:val="000000"/>
                <w:sz w:val="12"/>
              </w:rPr>
              <w:t>47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17</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十七、援助其他地区支出</w:t>
            </w:r>
          </w:p>
        </w:tc>
        <w:tc>
          <w:tcPr>
            <w:tcW w:w="340" w:type="dxa"/>
            <w:vAlign w:val="center"/>
          </w:tcPr>
          <w:p>
            <w:pPr>
              <w:snapToGrid w:val="0"/>
              <w:jc w:val="center"/>
            </w:pPr>
            <w:r>
              <w:rPr>
                <w:rFonts w:ascii="宋体" w:hAnsi="宋体" w:eastAsia="宋体" w:cs="宋体"/>
                <w:b w:val="0"/>
                <w:i w:val="0"/>
                <w:color w:val="000000"/>
                <w:sz w:val="12"/>
              </w:rPr>
              <w:t>48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18</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十八、自然资源海洋气象等支出</w:t>
            </w:r>
          </w:p>
        </w:tc>
        <w:tc>
          <w:tcPr>
            <w:tcW w:w="340" w:type="dxa"/>
            <w:vAlign w:val="center"/>
          </w:tcPr>
          <w:p>
            <w:pPr>
              <w:snapToGrid w:val="0"/>
              <w:jc w:val="center"/>
            </w:pPr>
            <w:r>
              <w:rPr>
                <w:rFonts w:ascii="宋体" w:hAnsi="宋体" w:eastAsia="宋体" w:cs="宋体"/>
                <w:b w:val="0"/>
                <w:i w:val="0"/>
                <w:color w:val="000000"/>
                <w:sz w:val="12"/>
              </w:rPr>
              <w:t>49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19</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十九、住房保障支出</w:t>
            </w:r>
          </w:p>
        </w:tc>
        <w:tc>
          <w:tcPr>
            <w:tcW w:w="340" w:type="dxa"/>
            <w:vAlign w:val="center"/>
          </w:tcPr>
          <w:p>
            <w:pPr>
              <w:snapToGrid w:val="0"/>
              <w:jc w:val="center"/>
            </w:pPr>
            <w:r>
              <w:rPr>
                <w:rFonts w:ascii="宋体" w:hAnsi="宋体" w:eastAsia="宋体" w:cs="宋体"/>
                <w:b w:val="0"/>
                <w:i w:val="0"/>
                <w:color w:val="000000"/>
                <w:sz w:val="12"/>
              </w:rPr>
              <w:t>50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二十、粮油物资储备支出</w:t>
            </w:r>
          </w:p>
        </w:tc>
        <w:tc>
          <w:tcPr>
            <w:tcW w:w="340" w:type="dxa"/>
            <w:vAlign w:val="center"/>
          </w:tcPr>
          <w:p>
            <w:pPr>
              <w:snapToGrid w:val="0"/>
              <w:jc w:val="center"/>
            </w:pPr>
            <w:r>
              <w:rPr>
                <w:rFonts w:ascii="宋体" w:hAnsi="宋体" w:eastAsia="宋体" w:cs="宋体"/>
                <w:b w:val="0"/>
                <w:i w:val="0"/>
                <w:color w:val="000000"/>
                <w:sz w:val="12"/>
              </w:rPr>
              <w:t>51</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21</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二十一、国有资本经营预算支出</w:t>
            </w:r>
          </w:p>
        </w:tc>
        <w:tc>
          <w:tcPr>
            <w:tcW w:w="340" w:type="dxa"/>
            <w:vAlign w:val="center"/>
          </w:tcPr>
          <w:p>
            <w:pPr>
              <w:snapToGrid w:val="0"/>
              <w:jc w:val="center"/>
            </w:pPr>
            <w:r>
              <w:rPr>
                <w:rFonts w:ascii="宋体" w:hAnsi="宋体" w:eastAsia="宋体" w:cs="宋体"/>
                <w:b w:val="0"/>
                <w:i w:val="0"/>
                <w:color w:val="000000"/>
                <w:sz w:val="12"/>
              </w:rPr>
              <w:t>52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22</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二十二、灾害防治及应急管理支出</w:t>
            </w:r>
          </w:p>
        </w:tc>
        <w:tc>
          <w:tcPr>
            <w:tcW w:w="340" w:type="dxa"/>
            <w:vAlign w:val="center"/>
          </w:tcPr>
          <w:p>
            <w:pPr>
              <w:snapToGrid w:val="0"/>
              <w:jc w:val="center"/>
            </w:pPr>
            <w:r>
              <w:rPr>
                <w:rFonts w:ascii="宋体" w:hAnsi="宋体" w:eastAsia="宋体" w:cs="宋体"/>
                <w:b w:val="0"/>
                <w:i w:val="0"/>
                <w:color w:val="000000"/>
                <w:sz w:val="12"/>
              </w:rPr>
              <w:t>53</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23</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二十三、其他支出</w:t>
            </w:r>
          </w:p>
        </w:tc>
        <w:tc>
          <w:tcPr>
            <w:tcW w:w="340" w:type="dxa"/>
            <w:vAlign w:val="center"/>
          </w:tcPr>
          <w:p>
            <w:pPr>
              <w:snapToGrid w:val="0"/>
              <w:jc w:val="center"/>
            </w:pPr>
            <w:r>
              <w:rPr>
                <w:rFonts w:ascii="宋体" w:hAnsi="宋体" w:eastAsia="宋体" w:cs="宋体"/>
                <w:b w:val="0"/>
                <w:i w:val="0"/>
                <w:color w:val="000000"/>
                <w:sz w:val="12"/>
              </w:rPr>
              <w:t>54</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24</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二十四、债务还本支出</w:t>
            </w:r>
          </w:p>
        </w:tc>
        <w:tc>
          <w:tcPr>
            <w:tcW w:w="340" w:type="dxa"/>
            <w:vAlign w:val="center"/>
          </w:tcPr>
          <w:p>
            <w:pPr>
              <w:snapToGrid w:val="0"/>
              <w:jc w:val="center"/>
            </w:pPr>
            <w:r>
              <w:rPr>
                <w:rFonts w:ascii="宋体" w:hAnsi="宋体" w:eastAsia="宋体" w:cs="宋体"/>
                <w:b w:val="0"/>
                <w:i w:val="0"/>
                <w:color w:val="000000"/>
                <w:sz w:val="12"/>
              </w:rPr>
              <w:t>55</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25</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二十五、债务付息支出</w:t>
            </w:r>
          </w:p>
        </w:tc>
        <w:tc>
          <w:tcPr>
            <w:tcW w:w="340" w:type="dxa"/>
            <w:vAlign w:val="center"/>
          </w:tcPr>
          <w:p>
            <w:pPr>
              <w:snapToGrid w:val="0"/>
              <w:jc w:val="center"/>
            </w:pPr>
            <w:r>
              <w:rPr>
                <w:rFonts w:ascii="宋体" w:hAnsi="宋体" w:eastAsia="宋体" w:cs="宋体"/>
                <w:b w:val="0"/>
                <w:i w:val="0"/>
                <w:color w:val="000000"/>
                <w:sz w:val="12"/>
              </w:rPr>
              <w:t>56</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26</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pPr>
              <w:snapToGrid w:val="0"/>
              <w:jc w:val="left"/>
            </w:pPr>
            <w:r>
              <w:rPr>
                <w:rFonts w:ascii="宋体" w:hAnsi="宋体" w:eastAsia="宋体" w:cs="宋体"/>
                <w:b w:val="0"/>
                <w:i w:val="0"/>
                <w:color w:val="000000"/>
                <w:sz w:val="12"/>
              </w:rPr>
              <w:t>二十六、抗疫特别国债安排的支出</w:t>
            </w:r>
          </w:p>
        </w:tc>
        <w:tc>
          <w:tcPr>
            <w:tcW w:w="340" w:type="dxa"/>
            <w:vAlign w:val="center"/>
          </w:tcPr>
          <w:p>
            <w:pPr>
              <w:snapToGrid w:val="0"/>
              <w:jc w:val="center"/>
            </w:pPr>
            <w:r>
              <w:rPr>
                <w:rFonts w:ascii="宋体" w:hAnsi="宋体" w:eastAsia="宋体" w:cs="宋体"/>
                <w:b w:val="0"/>
                <w:i w:val="0"/>
                <w:color w:val="000000"/>
                <w:sz w:val="12"/>
              </w:rPr>
              <w:t>57</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i w:val="0"/>
                <w:color w:val="000000"/>
                <w:sz w:val="12"/>
              </w:rPr>
              <w:t>本年收入合计</w:t>
            </w:r>
          </w:p>
        </w:tc>
        <w:tc>
          <w:tcPr>
            <w:tcW w:w="340" w:type="dxa"/>
            <w:vAlign w:val="center"/>
          </w:tcPr>
          <w:p>
            <w:pPr>
              <w:snapToGrid w:val="0"/>
              <w:jc w:val="center"/>
            </w:pPr>
            <w:r>
              <w:rPr>
                <w:rFonts w:ascii="宋体" w:hAnsi="宋体" w:eastAsia="宋体" w:cs="宋体"/>
                <w:b w:val="0"/>
                <w:i w:val="0"/>
                <w:color w:val="000000"/>
                <w:sz w:val="12"/>
              </w:rPr>
              <w:t>27</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center"/>
            </w:pPr>
            <w:r>
              <w:rPr>
                <w:rFonts w:ascii="宋体" w:hAnsi="宋体" w:eastAsia="宋体" w:cs="宋体"/>
                <w:b/>
                <w:i w:val="0"/>
                <w:color w:val="000000"/>
                <w:sz w:val="12"/>
              </w:rPr>
              <w:t>本年支出合计</w:t>
            </w:r>
          </w:p>
        </w:tc>
        <w:tc>
          <w:tcPr>
            <w:tcW w:w="340" w:type="dxa"/>
            <w:vAlign w:val="center"/>
          </w:tcPr>
          <w:p>
            <w:pPr>
              <w:snapToGrid w:val="0"/>
              <w:jc w:val="center"/>
            </w:pPr>
            <w:r>
              <w:rPr>
                <w:rFonts w:ascii="宋体" w:hAnsi="宋体" w:eastAsia="宋体" w:cs="宋体"/>
                <w:b w:val="0"/>
                <w:i w:val="0"/>
                <w:color w:val="000000"/>
                <w:sz w:val="12"/>
              </w:rPr>
              <w:t>58</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使用非财政拨款结余（含专用结余）</w:t>
            </w:r>
          </w:p>
        </w:tc>
        <w:tc>
          <w:tcPr>
            <w:tcW w:w="340" w:type="dxa"/>
            <w:vAlign w:val="center"/>
          </w:tcPr>
          <w:p>
            <w:pPr>
              <w:snapToGrid w:val="0"/>
              <w:jc w:val="center"/>
            </w:pPr>
            <w:r>
              <w:rPr>
                <w:rFonts w:ascii="宋体" w:hAnsi="宋体" w:eastAsia="宋体" w:cs="宋体"/>
                <w:b w:val="0"/>
                <w:i w:val="0"/>
                <w:color w:val="000000"/>
                <w:sz w:val="12"/>
              </w:rPr>
              <w:t>28</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结余分配</w:t>
            </w:r>
          </w:p>
        </w:tc>
        <w:tc>
          <w:tcPr>
            <w:tcW w:w="340" w:type="dxa"/>
            <w:vAlign w:val="center"/>
          </w:tcPr>
          <w:p>
            <w:pPr>
              <w:snapToGrid w:val="0"/>
              <w:jc w:val="center"/>
            </w:pPr>
            <w:r>
              <w:rPr>
                <w:rFonts w:ascii="宋体" w:hAnsi="宋体" w:eastAsia="宋体" w:cs="宋体"/>
                <w:b w:val="0"/>
                <w:i w:val="0"/>
                <w:color w:val="000000"/>
                <w:sz w:val="12"/>
              </w:rPr>
              <w:t>59</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left"/>
            </w:pPr>
            <w:r>
              <w:rPr>
                <w:rFonts w:ascii="宋体" w:hAnsi="宋体" w:eastAsia="宋体" w:cs="宋体"/>
                <w:b w:val="0"/>
                <w:i w:val="0"/>
                <w:color w:val="000000"/>
                <w:sz w:val="12"/>
              </w:rPr>
              <w:t>年初结转和结余</w:t>
            </w:r>
          </w:p>
        </w:tc>
        <w:tc>
          <w:tcPr>
            <w:tcW w:w="340" w:type="dxa"/>
            <w:vAlign w:val="center"/>
          </w:tcPr>
          <w:p>
            <w:pPr>
              <w:snapToGrid w:val="0"/>
              <w:jc w:val="center"/>
            </w:pPr>
            <w:r>
              <w:rPr>
                <w:rFonts w:ascii="宋体" w:hAnsi="宋体" w:eastAsia="宋体" w:cs="宋体"/>
                <w:b w:val="0"/>
                <w:i w:val="0"/>
                <w:color w:val="000000"/>
                <w:sz w:val="12"/>
              </w:rPr>
              <w:t>29</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left"/>
            </w:pPr>
            <w:r>
              <w:rPr>
                <w:rFonts w:ascii="宋体" w:hAnsi="宋体" w:eastAsia="宋体" w:cs="宋体"/>
                <w:b w:val="0"/>
                <w:i w:val="0"/>
                <w:color w:val="000000"/>
                <w:sz w:val="12"/>
              </w:rPr>
              <w:t>年末结转和结余</w:t>
            </w:r>
          </w:p>
        </w:tc>
        <w:tc>
          <w:tcPr>
            <w:tcW w:w="340" w:type="dxa"/>
            <w:vAlign w:val="center"/>
          </w:tcPr>
          <w:p>
            <w:pPr>
              <w:snapToGrid w:val="0"/>
              <w:jc w:val="center"/>
            </w:pPr>
            <w:r>
              <w:rPr>
                <w:rFonts w:ascii="宋体" w:hAnsi="宋体" w:eastAsia="宋体" w:cs="宋体"/>
                <w:b w:val="0"/>
                <w:i w:val="0"/>
                <w:color w:val="000000"/>
                <w:sz w:val="12"/>
              </w:rPr>
              <w:t>60</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30</w:t>
            </w:r>
          </w:p>
        </w:tc>
        <w:tc>
          <w:tcPr>
            <w:tcW w:w="1320" w:type="dxa"/>
            <w:vAlign w:val="center"/>
          </w:tcPr>
          <w:p>
            <w:pPr>
              <w:rPr>
                <w:rFonts w:hint="default" w:ascii="Times New Roman" w:hAnsi="Times New Roman" w:eastAsia="宋体" w:cs="Times New Roman"/>
                <w:sz w:val="24"/>
                <w:szCs w:val="24"/>
              </w:rPr>
            </w:pPr>
          </w:p>
        </w:tc>
        <w:tc>
          <w:tcPr>
            <w:tcW w:w="2480" w:type="dxa"/>
            <w:vAlign w:val="center"/>
          </w:tcPr>
          <w:p/>
        </w:tc>
        <w:tc>
          <w:tcPr>
            <w:tcW w:w="340" w:type="dxa"/>
            <w:vAlign w:val="center"/>
          </w:tcPr>
          <w:p>
            <w:pPr>
              <w:snapToGrid w:val="0"/>
              <w:jc w:val="center"/>
            </w:pPr>
            <w:r>
              <w:rPr>
                <w:rFonts w:ascii="宋体" w:hAnsi="宋体" w:eastAsia="宋体" w:cs="宋体"/>
                <w:b w:val="0"/>
                <w:i w:val="0"/>
                <w:color w:val="000000"/>
                <w:sz w:val="12"/>
              </w:rPr>
              <w:t>61</w:t>
            </w:r>
          </w:p>
        </w:tc>
        <w:tc>
          <w:tcPr>
            <w:tcW w:w="1346" w:type="dxa"/>
            <w:vAlign w:val="center"/>
          </w:tcPr>
          <w:p>
            <w:pPr>
              <w:rPr>
                <w:rFonts w:hint="default" w:ascii="Times New Roman" w:hAnsi="Times New Roman" w:eastAsia="宋体"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480" w:type="dxa"/>
            <w:vAlign w:val="center"/>
          </w:tcPr>
          <w:p>
            <w:pPr>
              <w:snapToGrid w:val="0"/>
              <w:jc w:val="center"/>
            </w:pPr>
            <w:r>
              <w:rPr>
                <w:rFonts w:ascii="宋体" w:hAnsi="宋体" w:eastAsia="宋体" w:cs="宋体"/>
                <w:b/>
                <w:i w:val="0"/>
                <w:color w:val="000000"/>
                <w:sz w:val="12"/>
              </w:rPr>
              <w:t>总计</w:t>
            </w:r>
          </w:p>
        </w:tc>
        <w:tc>
          <w:tcPr>
            <w:tcW w:w="340" w:type="dxa"/>
            <w:vAlign w:val="center"/>
          </w:tcPr>
          <w:p>
            <w:pPr>
              <w:snapToGrid w:val="0"/>
              <w:jc w:val="center"/>
            </w:pPr>
            <w:r>
              <w:rPr>
                <w:rFonts w:ascii="宋体" w:hAnsi="宋体" w:eastAsia="宋体" w:cs="宋体"/>
                <w:b w:val="0"/>
                <w:i w:val="0"/>
                <w:color w:val="000000"/>
                <w:sz w:val="12"/>
              </w:rPr>
              <w:t>31</w:t>
            </w:r>
          </w:p>
        </w:tc>
        <w:tc>
          <w:tcPr>
            <w:tcW w:w="13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c>
          <w:tcPr>
            <w:tcW w:w="2480" w:type="dxa"/>
            <w:vAlign w:val="center"/>
          </w:tcPr>
          <w:p>
            <w:pPr>
              <w:snapToGrid w:val="0"/>
              <w:jc w:val="center"/>
            </w:pPr>
            <w:r>
              <w:rPr>
                <w:rFonts w:ascii="宋体" w:hAnsi="宋体" w:eastAsia="宋体" w:cs="宋体"/>
                <w:b/>
                <w:i w:val="0"/>
                <w:color w:val="000000"/>
                <w:sz w:val="12"/>
              </w:rPr>
              <w:t>总计</w:t>
            </w:r>
          </w:p>
        </w:tc>
        <w:tc>
          <w:tcPr>
            <w:tcW w:w="340" w:type="dxa"/>
            <w:vAlign w:val="center"/>
          </w:tcPr>
          <w:p>
            <w:pPr>
              <w:snapToGrid w:val="0"/>
              <w:jc w:val="center"/>
            </w:pPr>
            <w:r>
              <w:rPr>
                <w:rFonts w:ascii="宋体" w:hAnsi="宋体" w:eastAsia="宋体" w:cs="宋体"/>
                <w:b w:val="0"/>
                <w:i w:val="0"/>
                <w:color w:val="000000"/>
                <w:sz w:val="12"/>
              </w:rPr>
              <w:t>62</w:t>
            </w:r>
          </w:p>
        </w:tc>
        <w:tc>
          <w:tcPr>
            <w:tcW w:w="134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2"/>
              </w:rPr>
              <w:t>注：1.本表反映部门本年度的总收支和年末结转结余情况。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8306"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2"/>
              </w:rPr>
              <w:t xml:space="preserve">    2.本套报表金额单位转换时可能存在尾数误差。</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0"/>
        <w:gridCol w:w="240"/>
        <w:gridCol w:w="240"/>
        <w:gridCol w:w="2800"/>
        <w:gridCol w:w="1600"/>
        <w:gridCol w:w="160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3520" w:type="dxa"/>
            <w:gridSpan w:val="4"/>
            <w:vAlign w:val="center"/>
          </w:tcPr>
          <w:p>
            <w:pPr>
              <w:snapToGrid w:val="0"/>
              <w:jc w:val="center"/>
            </w:pPr>
            <w:r>
              <w:rPr>
                <w:rFonts w:ascii="宋体" w:hAnsi="宋体" w:eastAsia="宋体" w:cs="宋体"/>
                <w:b w:val="0"/>
                <w:i w:val="0"/>
                <w:color w:val="000000"/>
                <w:sz w:val="15"/>
              </w:rPr>
              <w:t>项目</w:t>
            </w:r>
          </w:p>
        </w:tc>
        <w:tc>
          <w:tcPr>
            <w:tcW w:w="4786" w:type="dxa"/>
            <w:gridSpan w:val="3"/>
            <w:vAlign w:val="center"/>
          </w:tcPr>
          <w:p>
            <w:pPr>
              <w:snapToGrid w:val="0"/>
              <w:jc w:val="center"/>
            </w:pPr>
            <w:r>
              <w:rPr>
                <w:rFonts w:ascii="宋体" w:hAnsi="宋体" w:eastAsia="宋体" w:cs="宋体"/>
                <w:b w:val="0"/>
                <w:i w:val="0"/>
                <w:color w:val="000000"/>
                <w:sz w:val="1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Merge w:val="restart"/>
            <w:vAlign w:val="center"/>
          </w:tcPr>
          <w:p>
            <w:pPr>
              <w:snapToGrid w:val="0"/>
              <w:jc w:val="center"/>
            </w:pPr>
            <w:r>
              <w:rPr>
                <w:rFonts w:ascii="宋体" w:hAnsi="宋体" w:eastAsia="宋体" w:cs="宋体"/>
                <w:b w:val="0"/>
                <w:i w:val="0"/>
                <w:color w:val="000000"/>
                <w:sz w:val="15"/>
              </w:rPr>
              <w:t>科目编码</w:t>
            </w:r>
          </w:p>
        </w:tc>
        <w:tc>
          <w:tcPr>
            <w:tcW w:w="2800" w:type="dxa"/>
            <w:vMerge w:val="restart"/>
            <w:vAlign w:val="center"/>
          </w:tcPr>
          <w:p>
            <w:pPr>
              <w:snapToGrid w:val="0"/>
              <w:jc w:val="center"/>
            </w:pPr>
            <w:r>
              <w:rPr>
                <w:rFonts w:ascii="宋体" w:hAnsi="宋体" w:eastAsia="宋体" w:cs="宋体"/>
                <w:b w:val="0"/>
                <w:i w:val="0"/>
                <w:color w:val="000000"/>
                <w:sz w:val="15"/>
              </w:rPr>
              <w:t>科目名称</w:t>
            </w:r>
          </w:p>
        </w:tc>
        <w:tc>
          <w:tcPr>
            <w:tcW w:w="1600" w:type="dxa"/>
            <w:vMerge w:val="restart"/>
            <w:vAlign w:val="center"/>
          </w:tcPr>
          <w:p>
            <w:pPr>
              <w:snapToGrid w:val="0"/>
              <w:jc w:val="center"/>
            </w:pPr>
            <w:r>
              <w:rPr>
                <w:rFonts w:ascii="宋体" w:hAnsi="宋体" w:eastAsia="宋体" w:cs="宋体"/>
                <w:b w:val="0"/>
                <w:i w:val="0"/>
                <w:color w:val="000000"/>
                <w:sz w:val="15"/>
              </w:rPr>
              <w:t>合计</w:t>
            </w:r>
          </w:p>
        </w:tc>
        <w:tc>
          <w:tcPr>
            <w:tcW w:w="1600" w:type="dxa"/>
            <w:vMerge w:val="restart"/>
            <w:vAlign w:val="center"/>
          </w:tcPr>
          <w:p>
            <w:pPr>
              <w:snapToGrid w:val="0"/>
              <w:jc w:val="center"/>
            </w:pPr>
            <w:r>
              <w:rPr>
                <w:rFonts w:ascii="宋体" w:hAnsi="宋体" w:eastAsia="宋体" w:cs="宋体"/>
                <w:b w:val="0"/>
                <w:i w:val="0"/>
                <w:color w:val="000000"/>
                <w:sz w:val="15"/>
              </w:rPr>
              <w:t>基本支出</w:t>
            </w:r>
          </w:p>
        </w:tc>
        <w:tc>
          <w:tcPr>
            <w:tcW w:w="1586" w:type="dxa"/>
            <w:vMerge w:val="restart"/>
            <w:vAlign w:val="center"/>
          </w:tcPr>
          <w:p>
            <w:pPr>
              <w:snapToGrid w:val="0"/>
              <w:jc w:val="center"/>
            </w:pPr>
            <w:r>
              <w:rPr>
                <w:rFonts w:ascii="宋体" w:hAnsi="宋体" w:eastAsia="宋体" w:cs="宋体"/>
                <w:b w:val="0"/>
                <w:i w:val="0"/>
                <w:color w:val="000000"/>
                <w:sz w:val="1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720" w:type="dxa"/>
            <w:gridSpan w:val="3"/>
            <w:vMerge w:val="continue"/>
            <w:vAlign w:val="center"/>
          </w:tcPr>
          <w:p/>
        </w:tc>
        <w:tc>
          <w:tcPr>
            <w:tcW w:w="2800" w:type="dxa"/>
            <w:vMerge w:val="continue"/>
            <w:vAlign w:val="center"/>
          </w:tcPr>
          <w:p/>
        </w:tc>
        <w:tc>
          <w:tcPr>
            <w:tcW w:w="1600" w:type="dxa"/>
            <w:vMerge w:val="continue"/>
            <w:vAlign w:val="center"/>
          </w:tcPr>
          <w:p/>
        </w:tc>
        <w:tc>
          <w:tcPr>
            <w:tcW w:w="1600" w:type="dxa"/>
            <w:vMerge w:val="continue"/>
            <w:vAlign w:val="center"/>
          </w:tcPr>
          <w:p/>
        </w:tc>
        <w:tc>
          <w:tcPr>
            <w:tcW w:w="15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Merge w:val="continue"/>
            <w:vAlign w:val="center"/>
          </w:tcPr>
          <w:p/>
        </w:tc>
        <w:tc>
          <w:tcPr>
            <w:tcW w:w="2800" w:type="dxa"/>
            <w:vMerge w:val="continue"/>
            <w:vAlign w:val="center"/>
          </w:tcPr>
          <w:p/>
        </w:tc>
        <w:tc>
          <w:tcPr>
            <w:tcW w:w="1600" w:type="dxa"/>
            <w:vMerge w:val="continue"/>
            <w:vAlign w:val="center"/>
          </w:tcPr>
          <w:p/>
        </w:tc>
        <w:tc>
          <w:tcPr>
            <w:tcW w:w="1600" w:type="dxa"/>
            <w:vMerge w:val="continue"/>
            <w:vAlign w:val="center"/>
          </w:tcPr>
          <w:p/>
        </w:tc>
        <w:tc>
          <w:tcPr>
            <w:tcW w:w="15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restart"/>
            <w:vAlign w:val="center"/>
          </w:tcPr>
          <w:p>
            <w:pPr>
              <w:snapToGrid w:val="0"/>
              <w:jc w:val="center"/>
            </w:pPr>
            <w:r>
              <w:rPr>
                <w:rFonts w:ascii="宋体" w:hAnsi="宋体" w:eastAsia="宋体" w:cs="宋体"/>
                <w:b w:val="0"/>
                <w:i w:val="0"/>
                <w:color w:val="000000"/>
                <w:sz w:val="15"/>
              </w:rPr>
              <w:t>类</w:t>
            </w:r>
          </w:p>
        </w:tc>
        <w:tc>
          <w:tcPr>
            <w:tcW w:w="240" w:type="dxa"/>
            <w:vMerge w:val="restart"/>
            <w:vAlign w:val="center"/>
          </w:tcPr>
          <w:p>
            <w:pPr>
              <w:snapToGrid w:val="0"/>
              <w:jc w:val="center"/>
            </w:pPr>
            <w:r>
              <w:rPr>
                <w:rFonts w:ascii="宋体" w:hAnsi="宋体" w:eastAsia="宋体" w:cs="宋体"/>
                <w:b w:val="0"/>
                <w:i w:val="0"/>
                <w:color w:val="000000"/>
                <w:sz w:val="15"/>
              </w:rPr>
              <w:t>款</w:t>
            </w:r>
          </w:p>
        </w:tc>
        <w:tc>
          <w:tcPr>
            <w:tcW w:w="240" w:type="dxa"/>
            <w:vMerge w:val="restart"/>
            <w:vAlign w:val="center"/>
          </w:tcPr>
          <w:p>
            <w:pPr>
              <w:snapToGrid w:val="0"/>
              <w:jc w:val="center"/>
            </w:pPr>
            <w:r>
              <w:rPr>
                <w:rFonts w:ascii="宋体" w:hAnsi="宋体" w:eastAsia="宋体" w:cs="宋体"/>
                <w:b w:val="0"/>
                <w:i w:val="0"/>
                <w:color w:val="000000"/>
                <w:sz w:val="15"/>
              </w:rPr>
              <w:t>项</w:t>
            </w:r>
          </w:p>
        </w:tc>
        <w:tc>
          <w:tcPr>
            <w:tcW w:w="2800" w:type="dxa"/>
            <w:vAlign w:val="center"/>
          </w:tcPr>
          <w:p>
            <w:pPr>
              <w:snapToGrid w:val="0"/>
              <w:jc w:val="center"/>
            </w:pPr>
            <w:r>
              <w:rPr>
                <w:rFonts w:ascii="宋体" w:hAnsi="宋体" w:eastAsia="宋体" w:cs="宋体"/>
                <w:b w:val="0"/>
                <w:i w:val="0"/>
                <w:color w:val="000000"/>
                <w:sz w:val="15"/>
              </w:rPr>
              <w:t>栏次</w:t>
            </w:r>
          </w:p>
        </w:tc>
        <w:tc>
          <w:tcPr>
            <w:tcW w:w="1600" w:type="dxa"/>
            <w:vAlign w:val="center"/>
          </w:tcPr>
          <w:p>
            <w:pPr>
              <w:snapToGrid w:val="0"/>
              <w:jc w:val="center"/>
            </w:pPr>
            <w:r>
              <w:rPr>
                <w:rFonts w:ascii="宋体" w:hAnsi="宋体" w:eastAsia="宋体" w:cs="宋体"/>
                <w:b w:val="0"/>
                <w:i w:val="0"/>
                <w:color w:val="000000"/>
                <w:sz w:val="15"/>
              </w:rPr>
              <w:t>1</w:t>
            </w:r>
          </w:p>
        </w:tc>
        <w:tc>
          <w:tcPr>
            <w:tcW w:w="1600" w:type="dxa"/>
            <w:vAlign w:val="center"/>
          </w:tcPr>
          <w:p>
            <w:pPr>
              <w:snapToGrid w:val="0"/>
              <w:jc w:val="center"/>
            </w:pPr>
            <w:r>
              <w:rPr>
                <w:rFonts w:ascii="宋体" w:hAnsi="宋体" w:eastAsia="宋体" w:cs="宋体"/>
                <w:b w:val="0"/>
                <w:i w:val="0"/>
                <w:color w:val="000000"/>
                <w:sz w:val="15"/>
              </w:rPr>
              <w:t>2</w:t>
            </w:r>
          </w:p>
        </w:tc>
        <w:tc>
          <w:tcPr>
            <w:tcW w:w="1586" w:type="dxa"/>
            <w:vAlign w:val="center"/>
          </w:tcPr>
          <w:p>
            <w:pPr>
              <w:snapToGrid w:val="0"/>
              <w:jc w:val="center"/>
            </w:pPr>
            <w:r>
              <w:rPr>
                <w:rFonts w:ascii="宋体" w:hAnsi="宋体" w:eastAsia="宋体" w:cs="宋体"/>
                <w:b w:val="0"/>
                <w:i w:val="0"/>
                <w:color w:val="000000"/>
                <w:sz w:val="1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240" w:type="dxa"/>
            <w:vMerge w:val="continue"/>
            <w:vAlign w:val="center"/>
          </w:tcPr>
          <w:p/>
        </w:tc>
        <w:tc>
          <w:tcPr>
            <w:tcW w:w="240" w:type="dxa"/>
            <w:vMerge w:val="continue"/>
            <w:vAlign w:val="center"/>
          </w:tcPr>
          <w:p/>
        </w:tc>
        <w:tc>
          <w:tcPr>
            <w:tcW w:w="240" w:type="dxa"/>
            <w:vMerge w:val="continue"/>
            <w:vAlign w:val="center"/>
          </w:tcPr>
          <w:p/>
        </w:tc>
        <w:tc>
          <w:tcPr>
            <w:tcW w:w="2800" w:type="dxa"/>
            <w:vAlign w:val="center"/>
          </w:tcPr>
          <w:p>
            <w:pPr>
              <w:snapToGrid w:val="0"/>
              <w:jc w:val="center"/>
            </w:pPr>
            <w:r>
              <w:rPr>
                <w:rFonts w:ascii="宋体" w:hAnsi="宋体" w:eastAsia="宋体" w:cs="宋体"/>
                <w:b w:val="0"/>
                <w:i w:val="0"/>
                <w:color w:val="000000"/>
                <w:sz w:val="15"/>
              </w:rPr>
              <w:t>合计</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i w:val="0"/>
                <w:color w:val="000000"/>
                <w:sz w:val="15"/>
              </w:rPr>
              <w:t>773.90</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i w:val="0"/>
                <w:color w:val="000000"/>
                <w:sz w:val="15"/>
              </w:rPr>
              <w:t>634.56</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i w:val="0"/>
                <w:color w:val="000000"/>
                <w:sz w:val="15"/>
              </w:rPr>
              <w:t>139.34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一般公共服务支出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531.41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417.07</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114.34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20103</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政府办公厅（室）及相关机构事务</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531.41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417.07</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114.34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2010301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行政运行</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323.47</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323.47</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2010302</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一般行政管理事务</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114.34</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114.34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2010350</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事业运行</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93.60</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93.60</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205</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教育支出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20508</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进修及培训</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2050803</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培训支出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社会保障和就业支出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142.64</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142.64</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20805</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行政事业单位养老支出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140.79</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140.79</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2080501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行政单位离退休</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71.82</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71.82</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2080505</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机关事业单位基本养老保险缴费支出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43.66</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43.66</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2080506</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机关事业单位职业年金缴费支出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25.31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25.31</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20899</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其他社会保障和就业支出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1.85</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1.85</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2089999</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其他社会保障和就业支出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1.85</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1.85</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210</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卫生健康支出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31.94</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31.94</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21011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行政事业单位医疗</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31.94</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31.94</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2101101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行政单位医疗</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18.08</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18.08</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2101103</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公务员医疗补助</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13.86</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13.86</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221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住房保障支出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22102</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住房改革支出</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720" w:type="dxa"/>
            <w:gridSpan w:val="3"/>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2210201</w:t>
            </w:r>
          </w:p>
        </w:tc>
        <w:tc>
          <w:tcPr>
            <w:tcW w:w="2800" w:type="dxa"/>
            <w:vAlign w:val="center"/>
          </w:tcPr>
          <w:p>
            <w:pPr>
              <w:snapToGrid w:val="0"/>
              <w:jc w:val="left"/>
              <w:rPr>
                <w:rFonts w:hint="default" w:ascii="Times New Roman" w:hAnsi="Times New Roman" w:eastAsia="宋体" w:cs="Times New Roman"/>
                <w:sz w:val="24"/>
                <w:szCs w:val="24"/>
              </w:rPr>
            </w:pPr>
            <w:r>
              <w:rPr>
                <w:rFonts w:ascii="宋体" w:hAnsi="宋体" w:eastAsia="宋体" w:cs="宋体"/>
                <w:b w:val="0"/>
                <w:i w:val="0"/>
                <w:color w:val="000000"/>
                <w:sz w:val="15"/>
              </w:rPr>
              <w:t>住房公积金</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6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42.91</w:t>
            </w:r>
          </w:p>
        </w:tc>
        <w:tc>
          <w:tcPr>
            <w:tcW w:w="158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0"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注：本表反映部门本年度一般公共预算财政拨款支出情况。</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08"/>
        <w:gridCol w:w="1512"/>
        <w:gridCol w:w="820"/>
        <w:gridCol w:w="458"/>
        <w:gridCol w:w="1142"/>
        <w:gridCol w:w="820"/>
        <w:gridCol w:w="446"/>
        <w:gridCol w:w="1934"/>
        <w:gridCol w:w="7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2740" w:type="dxa"/>
            <w:gridSpan w:val="3"/>
            <w:vAlign w:val="center"/>
          </w:tcPr>
          <w:p>
            <w:pPr>
              <w:snapToGrid w:val="0"/>
              <w:jc w:val="center"/>
            </w:pPr>
            <w:r>
              <w:rPr>
                <w:rFonts w:ascii="宋体" w:hAnsi="宋体" w:eastAsia="宋体" w:cs="宋体"/>
                <w:b w:val="0"/>
                <w:i w:val="0"/>
                <w:color w:val="000000"/>
                <w:sz w:val="9"/>
              </w:rPr>
              <w:t>人员经费</w:t>
            </w:r>
          </w:p>
        </w:tc>
        <w:tc>
          <w:tcPr>
            <w:tcW w:w="5566" w:type="dxa"/>
            <w:gridSpan w:val="6"/>
            <w:vAlign w:val="center"/>
          </w:tcPr>
          <w:p>
            <w:pPr>
              <w:snapToGrid w:val="0"/>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Merge w:val="restart"/>
            <w:vAlign w:val="center"/>
          </w:tcPr>
          <w:p>
            <w:pPr>
              <w:snapToGrid w:val="0"/>
              <w:jc w:val="center"/>
            </w:pPr>
            <w:r>
              <w:rPr>
                <w:rFonts w:ascii="宋体" w:hAnsi="宋体" w:eastAsia="宋体" w:cs="宋体"/>
                <w:b w:val="0"/>
                <w:i w:val="0"/>
                <w:color w:val="000000"/>
                <w:sz w:val="9"/>
              </w:rPr>
              <w:t>科目编码</w:t>
            </w:r>
          </w:p>
        </w:tc>
        <w:tc>
          <w:tcPr>
            <w:tcW w:w="1512" w:type="dxa"/>
            <w:vMerge w:val="restart"/>
            <w:vAlign w:val="center"/>
          </w:tcPr>
          <w:p>
            <w:pPr>
              <w:snapToGrid w:val="0"/>
              <w:jc w:val="center"/>
            </w:pPr>
            <w:r>
              <w:rPr>
                <w:rFonts w:ascii="宋体" w:hAnsi="宋体" w:eastAsia="宋体" w:cs="宋体"/>
                <w:b w:val="0"/>
                <w:i w:val="0"/>
                <w:color w:val="000000"/>
                <w:sz w:val="9"/>
              </w:rPr>
              <w:t>科目名称</w:t>
            </w:r>
          </w:p>
        </w:tc>
        <w:tc>
          <w:tcPr>
            <w:tcW w:w="820" w:type="dxa"/>
            <w:vMerge w:val="restart"/>
            <w:vAlign w:val="center"/>
          </w:tcPr>
          <w:p>
            <w:pPr>
              <w:snapToGrid w:val="0"/>
              <w:jc w:val="center"/>
            </w:pPr>
            <w:r>
              <w:rPr>
                <w:rFonts w:ascii="宋体" w:hAnsi="宋体" w:eastAsia="宋体" w:cs="宋体"/>
                <w:b w:val="0"/>
                <w:i w:val="0"/>
                <w:color w:val="000000"/>
                <w:sz w:val="9"/>
              </w:rPr>
              <w:t>决算数</w:t>
            </w:r>
          </w:p>
        </w:tc>
        <w:tc>
          <w:tcPr>
            <w:tcW w:w="458" w:type="dxa"/>
            <w:vMerge w:val="restart"/>
            <w:vAlign w:val="center"/>
          </w:tcPr>
          <w:p>
            <w:pPr>
              <w:snapToGrid w:val="0"/>
              <w:jc w:val="center"/>
            </w:pPr>
            <w:r>
              <w:rPr>
                <w:rFonts w:ascii="宋体" w:hAnsi="宋体" w:eastAsia="宋体" w:cs="宋体"/>
                <w:b w:val="0"/>
                <w:i w:val="0"/>
                <w:color w:val="000000"/>
                <w:sz w:val="9"/>
              </w:rPr>
              <w:t>科目编码</w:t>
            </w:r>
          </w:p>
        </w:tc>
        <w:tc>
          <w:tcPr>
            <w:tcW w:w="1142" w:type="dxa"/>
            <w:vMerge w:val="restart"/>
            <w:vAlign w:val="center"/>
          </w:tcPr>
          <w:p>
            <w:pPr>
              <w:snapToGrid w:val="0"/>
              <w:jc w:val="center"/>
            </w:pPr>
            <w:r>
              <w:rPr>
                <w:rFonts w:ascii="宋体" w:hAnsi="宋体" w:eastAsia="宋体" w:cs="宋体"/>
                <w:b w:val="0"/>
                <w:i w:val="0"/>
                <w:color w:val="000000"/>
                <w:sz w:val="9"/>
              </w:rPr>
              <w:t>科目名称</w:t>
            </w:r>
          </w:p>
        </w:tc>
        <w:tc>
          <w:tcPr>
            <w:tcW w:w="820" w:type="dxa"/>
            <w:vMerge w:val="restart"/>
            <w:vAlign w:val="center"/>
          </w:tcPr>
          <w:p>
            <w:pPr>
              <w:snapToGrid w:val="0"/>
              <w:jc w:val="center"/>
            </w:pPr>
            <w:r>
              <w:rPr>
                <w:rFonts w:ascii="宋体" w:hAnsi="宋体" w:eastAsia="宋体" w:cs="宋体"/>
                <w:b w:val="0"/>
                <w:i w:val="0"/>
                <w:color w:val="000000"/>
                <w:sz w:val="9"/>
              </w:rPr>
              <w:t>决算数</w:t>
            </w:r>
          </w:p>
        </w:tc>
        <w:tc>
          <w:tcPr>
            <w:tcW w:w="446" w:type="dxa"/>
            <w:vMerge w:val="restart"/>
            <w:vAlign w:val="center"/>
          </w:tcPr>
          <w:p>
            <w:pPr>
              <w:snapToGrid w:val="0"/>
              <w:jc w:val="center"/>
            </w:pPr>
            <w:r>
              <w:rPr>
                <w:rFonts w:ascii="宋体" w:hAnsi="宋体" w:eastAsia="宋体" w:cs="宋体"/>
                <w:b w:val="0"/>
                <w:i w:val="0"/>
                <w:color w:val="000000"/>
                <w:sz w:val="9"/>
              </w:rPr>
              <w:t>科目编码</w:t>
            </w:r>
          </w:p>
        </w:tc>
        <w:tc>
          <w:tcPr>
            <w:tcW w:w="1934" w:type="dxa"/>
            <w:vMerge w:val="restart"/>
            <w:vAlign w:val="center"/>
          </w:tcPr>
          <w:p>
            <w:pPr>
              <w:snapToGrid w:val="0"/>
              <w:jc w:val="center"/>
            </w:pPr>
            <w:r>
              <w:rPr>
                <w:rFonts w:ascii="宋体" w:hAnsi="宋体" w:eastAsia="宋体" w:cs="宋体"/>
                <w:b w:val="0"/>
                <w:i w:val="0"/>
                <w:color w:val="000000"/>
                <w:sz w:val="9"/>
              </w:rPr>
              <w:t>科目名称</w:t>
            </w:r>
          </w:p>
        </w:tc>
        <w:tc>
          <w:tcPr>
            <w:tcW w:w="766" w:type="dxa"/>
            <w:vMerge w:val="restart"/>
            <w:vAlign w:val="center"/>
          </w:tcPr>
          <w:p>
            <w:pPr>
              <w:snapToGrid w:val="0"/>
              <w:jc w:val="center"/>
            </w:pPr>
            <w:r>
              <w:rPr>
                <w:rFonts w:ascii="宋体" w:hAnsi="宋体" w:eastAsia="宋体" w:cs="宋体"/>
                <w:b w:val="0"/>
                <w:i w:val="0"/>
                <w:color w:val="000000"/>
                <w:sz w:val="9"/>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Merge w:val="continue"/>
            <w:vAlign w:val="center"/>
          </w:tcPr>
          <w:p/>
        </w:tc>
        <w:tc>
          <w:tcPr>
            <w:tcW w:w="1512" w:type="dxa"/>
            <w:vMerge w:val="continue"/>
            <w:vAlign w:val="center"/>
          </w:tcPr>
          <w:p/>
        </w:tc>
        <w:tc>
          <w:tcPr>
            <w:tcW w:w="820" w:type="dxa"/>
            <w:vMerge w:val="continue"/>
            <w:vAlign w:val="center"/>
          </w:tcPr>
          <w:p/>
        </w:tc>
        <w:tc>
          <w:tcPr>
            <w:tcW w:w="458" w:type="dxa"/>
            <w:vMerge w:val="continue"/>
            <w:vAlign w:val="center"/>
          </w:tcPr>
          <w:p/>
        </w:tc>
        <w:tc>
          <w:tcPr>
            <w:tcW w:w="1142" w:type="dxa"/>
            <w:vMerge w:val="continue"/>
            <w:vAlign w:val="center"/>
          </w:tcPr>
          <w:p/>
        </w:tc>
        <w:tc>
          <w:tcPr>
            <w:tcW w:w="820" w:type="dxa"/>
            <w:vMerge w:val="continue"/>
            <w:vAlign w:val="center"/>
          </w:tcPr>
          <w:p/>
        </w:tc>
        <w:tc>
          <w:tcPr>
            <w:tcW w:w="446" w:type="dxa"/>
            <w:vMerge w:val="continue"/>
            <w:vAlign w:val="center"/>
          </w:tcPr>
          <w:p/>
        </w:tc>
        <w:tc>
          <w:tcPr>
            <w:tcW w:w="1934" w:type="dxa"/>
            <w:vMerge w:val="continue"/>
            <w:vAlign w:val="center"/>
          </w:tcPr>
          <w:p/>
        </w:tc>
        <w:tc>
          <w:tcPr>
            <w:tcW w:w="7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w:t>
            </w:r>
          </w:p>
        </w:tc>
        <w:tc>
          <w:tcPr>
            <w:tcW w:w="1512" w:type="dxa"/>
            <w:vAlign w:val="center"/>
          </w:tcPr>
          <w:p>
            <w:pPr>
              <w:snapToGrid w:val="0"/>
              <w:jc w:val="left"/>
            </w:pPr>
            <w:r>
              <w:rPr>
                <w:rFonts w:ascii="宋体" w:hAnsi="宋体" w:eastAsia="宋体" w:cs="宋体"/>
                <w:b w:val="0"/>
                <w:i w:val="0"/>
                <w:color w:val="000000"/>
                <w:sz w:val="9"/>
              </w:rPr>
              <w:t>工资福利支出</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486.51</w:t>
            </w:r>
          </w:p>
        </w:tc>
        <w:tc>
          <w:tcPr>
            <w:tcW w:w="458" w:type="dxa"/>
            <w:vAlign w:val="center"/>
          </w:tcPr>
          <w:p>
            <w:pPr>
              <w:snapToGrid w:val="0"/>
              <w:jc w:val="left"/>
            </w:pPr>
            <w:r>
              <w:rPr>
                <w:rFonts w:ascii="宋体" w:hAnsi="宋体" w:eastAsia="宋体" w:cs="宋体"/>
                <w:b w:val="0"/>
                <w:i w:val="0"/>
                <w:color w:val="000000"/>
                <w:sz w:val="9"/>
              </w:rPr>
              <w:t>302</w:t>
            </w:r>
          </w:p>
        </w:tc>
        <w:tc>
          <w:tcPr>
            <w:tcW w:w="1142" w:type="dxa"/>
            <w:vAlign w:val="center"/>
          </w:tcPr>
          <w:p>
            <w:pPr>
              <w:snapToGrid w:val="0"/>
              <w:jc w:val="left"/>
            </w:pPr>
            <w:r>
              <w:rPr>
                <w:rFonts w:ascii="宋体" w:hAnsi="宋体" w:eastAsia="宋体" w:cs="宋体"/>
                <w:b w:val="0"/>
                <w:i w:val="0"/>
                <w:color w:val="000000"/>
                <w:sz w:val="9"/>
              </w:rPr>
              <w:t>商品和服务支出</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307</w:t>
            </w:r>
          </w:p>
        </w:tc>
        <w:tc>
          <w:tcPr>
            <w:tcW w:w="1934" w:type="dxa"/>
            <w:vAlign w:val="center"/>
          </w:tcPr>
          <w:p>
            <w:pPr>
              <w:snapToGrid w:val="0"/>
              <w:jc w:val="left"/>
            </w:pPr>
            <w:r>
              <w:rPr>
                <w:rFonts w:ascii="宋体" w:hAnsi="宋体" w:eastAsia="宋体" w:cs="宋体"/>
                <w:b w:val="0"/>
                <w:i w:val="0"/>
                <w:color w:val="000000"/>
                <w:sz w:val="9"/>
              </w:rPr>
              <w:t>债务利息及费用支出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30101</w:t>
            </w:r>
          </w:p>
        </w:tc>
        <w:tc>
          <w:tcPr>
            <w:tcW w:w="1512" w:type="dxa"/>
            <w:vAlign w:val="center"/>
          </w:tcPr>
          <w:p>
            <w:pPr>
              <w:snapToGrid w:val="0"/>
              <w:jc w:val="left"/>
            </w:pPr>
            <w:r>
              <w:rPr>
                <w:rFonts w:ascii="宋体" w:hAnsi="宋体" w:eastAsia="宋体" w:cs="宋体"/>
                <w:b w:val="0"/>
                <w:i w:val="0"/>
                <w:color w:val="000000"/>
                <w:sz w:val="9"/>
              </w:rPr>
              <w:t xml:space="preserve">  基本工资</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123.78</w:t>
            </w:r>
          </w:p>
        </w:tc>
        <w:tc>
          <w:tcPr>
            <w:tcW w:w="458" w:type="dxa"/>
            <w:vAlign w:val="center"/>
          </w:tcPr>
          <w:p>
            <w:pPr>
              <w:snapToGrid w:val="0"/>
              <w:jc w:val="left"/>
            </w:pPr>
            <w:r>
              <w:rPr>
                <w:rFonts w:ascii="宋体" w:hAnsi="宋体" w:eastAsia="宋体" w:cs="宋体"/>
                <w:b w:val="0"/>
                <w:i w:val="0"/>
                <w:color w:val="000000"/>
                <w:sz w:val="9"/>
              </w:rPr>
              <w:t>30201</w:t>
            </w:r>
          </w:p>
        </w:tc>
        <w:tc>
          <w:tcPr>
            <w:tcW w:w="1142" w:type="dxa"/>
            <w:vAlign w:val="center"/>
          </w:tcPr>
          <w:p>
            <w:pPr>
              <w:snapToGrid w:val="0"/>
              <w:jc w:val="left"/>
            </w:pPr>
            <w:r>
              <w:rPr>
                <w:rFonts w:ascii="宋体" w:hAnsi="宋体" w:eastAsia="宋体" w:cs="宋体"/>
                <w:b w:val="0"/>
                <w:i w:val="0"/>
                <w:color w:val="000000"/>
                <w:sz w:val="9"/>
              </w:rPr>
              <w:t xml:space="preserve">  办公费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30701</w:t>
            </w:r>
          </w:p>
        </w:tc>
        <w:tc>
          <w:tcPr>
            <w:tcW w:w="1934" w:type="dxa"/>
            <w:vAlign w:val="center"/>
          </w:tcPr>
          <w:p>
            <w:pPr>
              <w:snapToGrid w:val="0"/>
              <w:jc w:val="left"/>
            </w:pPr>
            <w:r>
              <w:rPr>
                <w:rFonts w:ascii="宋体" w:hAnsi="宋体" w:eastAsia="宋体" w:cs="宋体"/>
                <w:b w:val="0"/>
                <w:i w:val="0"/>
                <w:color w:val="000000"/>
                <w:sz w:val="9"/>
              </w:rPr>
              <w:t xml:space="preserve">  国内债务付息</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30102</w:t>
            </w:r>
          </w:p>
        </w:tc>
        <w:tc>
          <w:tcPr>
            <w:tcW w:w="1512" w:type="dxa"/>
            <w:vAlign w:val="center"/>
          </w:tcPr>
          <w:p>
            <w:pPr>
              <w:snapToGrid w:val="0"/>
              <w:jc w:val="left"/>
            </w:pPr>
            <w:r>
              <w:rPr>
                <w:rFonts w:ascii="宋体" w:hAnsi="宋体" w:eastAsia="宋体" w:cs="宋体"/>
                <w:b w:val="0"/>
                <w:i w:val="0"/>
                <w:color w:val="000000"/>
                <w:sz w:val="9"/>
              </w:rPr>
              <w:t xml:space="preserve">  津贴补贴</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82.62</w:t>
            </w:r>
          </w:p>
        </w:tc>
        <w:tc>
          <w:tcPr>
            <w:tcW w:w="458" w:type="dxa"/>
            <w:vAlign w:val="center"/>
          </w:tcPr>
          <w:p>
            <w:pPr>
              <w:snapToGrid w:val="0"/>
              <w:jc w:val="left"/>
            </w:pPr>
            <w:r>
              <w:rPr>
                <w:rFonts w:ascii="宋体" w:hAnsi="宋体" w:eastAsia="宋体" w:cs="宋体"/>
                <w:b w:val="0"/>
                <w:i w:val="0"/>
                <w:color w:val="000000"/>
                <w:sz w:val="9"/>
              </w:rPr>
              <w:t>30202</w:t>
            </w:r>
          </w:p>
        </w:tc>
        <w:tc>
          <w:tcPr>
            <w:tcW w:w="1142" w:type="dxa"/>
            <w:vAlign w:val="center"/>
          </w:tcPr>
          <w:p>
            <w:pPr>
              <w:snapToGrid w:val="0"/>
              <w:jc w:val="left"/>
            </w:pPr>
            <w:r>
              <w:rPr>
                <w:rFonts w:ascii="宋体" w:hAnsi="宋体" w:eastAsia="宋体" w:cs="宋体"/>
                <w:b w:val="0"/>
                <w:i w:val="0"/>
                <w:color w:val="000000"/>
                <w:sz w:val="9"/>
              </w:rPr>
              <w:t xml:space="preserve">  印刷费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30702</w:t>
            </w:r>
          </w:p>
        </w:tc>
        <w:tc>
          <w:tcPr>
            <w:tcW w:w="1934" w:type="dxa"/>
            <w:vAlign w:val="center"/>
          </w:tcPr>
          <w:p>
            <w:pPr>
              <w:snapToGrid w:val="0"/>
              <w:jc w:val="left"/>
            </w:pPr>
            <w:r>
              <w:rPr>
                <w:rFonts w:ascii="宋体" w:hAnsi="宋体" w:eastAsia="宋体" w:cs="宋体"/>
                <w:b w:val="0"/>
                <w:i w:val="0"/>
                <w:color w:val="000000"/>
                <w:sz w:val="9"/>
              </w:rPr>
              <w:t xml:space="preserve">  国外债务付息</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30103</w:t>
            </w:r>
          </w:p>
        </w:tc>
        <w:tc>
          <w:tcPr>
            <w:tcW w:w="1512" w:type="dxa"/>
            <w:vAlign w:val="center"/>
          </w:tcPr>
          <w:p>
            <w:pPr>
              <w:snapToGrid w:val="0"/>
              <w:jc w:val="left"/>
            </w:pPr>
            <w:r>
              <w:rPr>
                <w:rFonts w:ascii="宋体" w:hAnsi="宋体" w:eastAsia="宋体" w:cs="宋体"/>
                <w:b w:val="0"/>
                <w:i w:val="0"/>
                <w:color w:val="000000"/>
                <w:sz w:val="9"/>
              </w:rPr>
              <w:t xml:space="preserve">  奖金</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115.34</w:t>
            </w:r>
          </w:p>
        </w:tc>
        <w:tc>
          <w:tcPr>
            <w:tcW w:w="458" w:type="dxa"/>
            <w:vAlign w:val="center"/>
          </w:tcPr>
          <w:p>
            <w:pPr>
              <w:snapToGrid w:val="0"/>
              <w:jc w:val="left"/>
            </w:pPr>
            <w:r>
              <w:rPr>
                <w:rFonts w:ascii="宋体" w:hAnsi="宋体" w:eastAsia="宋体" w:cs="宋体"/>
                <w:b w:val="0"/>
                <w:i w:val="0"/>
                <w:color w:val="000000"/>
                <w:sz w:val="9"/>
              </w:rPr>
              <w:t>30203</w:t>
            </w:r>
          </w:p>
        </w:tc>
        <w:tc>
          <w:tcPr>
            <w:tcW w:w="1142" w:type="dxa"/>
            <w:vAlign w:val="center"/>
          </w:tcPr>
          <w:p>
            <w:pPr>
              <w:snapToGrid w:val="0"/>
              <w:jc w:val="left"/>
            </w:pPr>
            <w:r>
              <w:rPr>
                <w:rFonts w:ascii="宋体" w:hAnsi="宋体" w:eastAsia="宋体" w:cs="宋体"/>
                <w:b w:val="0"/>
                <w:i w:val="0"/>
                <w:color w:val="000000"/>
                <w:sz w:val="9"/>
              </w:rPr>
              <w:t xml:space="preserve">  咨询费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30703</w:t>
            </w:r>
          </w:p>
        </w:tc>
        <w:tc>
          <w:tcPr>
            <w:tcW w:w="1934" w:type="dxa"/>
            <w:vAlign w:val="center"/>
          </w:tcPr>
          <w:p>
            <w:pPr>
              <w:snapToGrid w:val="0"/>
              <w:jc w:val="left"/>
            </w:pPr>
            <w:r>
              <w:rPr>
                <w:rFonts w:ascii="宋体" w:hAnsi="宋体" w:eastAsia="宋体" w:cs="宋体"/>
                <w:b w:val="0"/>
                <w:i w:val="0"/>
                <w:color w:val="000000"/>
                <w:sz w:val="9"/>
              </w:rPr>
              <w:t xml:space="preserve">  国内债务发行费用</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30106</w:t>
            </w:r>
          </w:p>
        </w:tc>
        <w:tc>
          <w:tcPr>
            <w:tcW w:w="1512" w:type="dxa"/>
            <w:vAlign w:val="center"/>
          </w:tcPr>
          <w:p>
            <w:pPr>
              <w:snapToGrid w:val="0"/>
              <w:jc w:val="left"/>
            </w:pPr>
            <w:r>
              <w:rPr>
                <w:rFonts w:ascii="宋体" w:hAnsi="宋体" w:eastAsia="宋体" w:cs="宋体"/>
                <w:b w:val="0"/>
                <w:i w:val="0"/>
                <w:color w:val="000000"/>
                <w:sz w:val="9"/>
              </w:rPr>
              <w:t xml:space="preserve">  伙食补助费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30204</w:t>
            </w:r>
          </w:p>
        </w:tc>
        <w:tc>
          <w:tcPr>
            <w:tcW w:w="1142" w:type="dxa"/>
            <w:vAlign w:val="center"/>
          </w:tcPr>
          <w:p>
            <w:pPr>
              <w:snapToGrid w:val="0"/>
              <w:jc w:val="left"/>
            </w:pPr>
            <w:r>
              <w:rPr>
                <w:rFonts w:ascii="宋体" w:hAnsi="宋体" w:eastAsia="宋体" w:cs="宋体"/>
                <w:b w:val="0"/>
                <w:i w:val="0"/>
                <w:color w:val="000000"/>
                <w:sz w:val="9"/>
              </w:rPr>
              <w:t xml:space="preserve">  手续费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30704</w:t>
            </w:r>
          </w:p>
        </w:tc>
        <w:tc>
          <w:tcPr>
            <w:tcW w:w="1934" w:type="dxa"/>
            <w:vAlign w:val="center"/>
          </w:tcPr>
          <w:p>
            <w:pPr>
              <w:snapToGrid w:val="0"/>
              <w:jc w:val="left"/>
            </w:pPr>
            <w:r>
              <w:rPr>
                <w:rFonts w:ascii="宋体" w:hAnsi="宋体" w:eastAsia="宋体" w:cs="宋体"/>
                <w:b w:val="0"/>
                <w:i w:val="0"/>
                <w:color w:val="000000"/>
                <w:sz w:val="9"/>
              </w:rPr>
              <w:t xml:space="preserve">  国外债务发行费用</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30107</w:t>
            </w:r>
          </w:p>
        </w:tc>
        <w:tc>
          <w:tcPr>
            <w:tcW w:w="1512" w:type="dxa"/>
            <w:vAlign w:val="center"/>
          </w:tcPr>
          <w:p>
            <w:pPr>
              <w:snapToGrid w:val="0"/>
              <w:jc w:val="left"/>
            </w:pPr>
            <w:r>
              <w:rPr>
                <w:rFonts w:ascii="宋体" w:hAnsi="宋体" w:eastAsia="宋体" w:cs="宋体"/>
                <w:b w:val="0"/>
                <w:i w:val="0"/>
                <w:color w:val="000000"/>
                <w:sz w:val="9"/>
              </w:rPr>
              <w:t xml:space="preserve">  绩效工资</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19.12</w:t>
            </w:r>
          </w:p>
        </w:tc>
        <w:tc>
          <w:tcPr>
            <w:tcW w:w="458" w:type="dxa"/>
            <w:vAlign w:val="center"/>
          </w:tcPr>
          <w:p>
            <w:pPr>
              <w:snapToGrid w:val="0"/>
              <w:jc w:val="left"/>
            </w:pPr>
            <w:r>
              <w:rPr>
                <w:rFonts w:ascii="宋体" w:hAnsi="宋体" w:eastAsia="宋体" w:cs="宋体"/>
                <w:b w:val="0"/>
                <w:i w:val="0"/>
                <w:color w:val="000000"/>
                <w:sz w:val="9"/>
              </w:rPr>
              <w:t>30205</w:t>
            </w:r>
          </w:p>
        </w:tc>
        <w:tc>
          <w:tcPr>
            <w:tcW w:w="1142" w:type="dxa"/>
            <w:vAlign w:val="center"/>
          </w:tcPr>
          <w:p>
            <w:pPr>
              <w:snapToGrid w:val="0"/>
              <w:jc w:val="left"/>
            </w:pPr>
            <w:r>
              <w:rPr>
                <w:rFonts w:ascii="宋体" w:hAnsi="宋体" w:eastAsia="宋体" w:cs="宋体"/>
                <w:b w:val="0"/>
                <w:i w:val="0"/>
                <w:color w:val="000000"/>
                <w:sz w:val="9"/>
              </w:rPr>
              <w:t xml:space="preserve">  水费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w:t>
            </w:r>
          </w:p>
        </w:tc>
        <w:tc>
          <w:tcPr>
            <w:tcW w:w="1934" w:type="dxa"/>
            <w:vAlign w:val="center"/>
          </w:tcPr>
          <w:p>
            <w:pPr>
              <w:snapToGrid w:val="0"/>
              <w:jc w:val="left"/>
            </w:pPr>
            <w:r>
              <w:rPr>
                <w:rFonts w:ascii="宋体" w:hAnsi="宋体" w:eastAsia="宋体" w:cs="宋体"/>
                <w:b w:val="0"/>
                <w:i w:val="0"/>
                <w:color w:val="000000"/>
                <w:sz w:val="9"/>
              </w:rPr>
              <w:t>资本性支出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30108</w:t>
            </w:r>
          </w:p>
        </w:tc>
        <w:tc>
          <w:tcPr>
            <w:tcW w:w="1512" w:type="dxa"/>
            <w:vAlign w:val="center"/>
          </w:tcPr>
          <w:p>
            <w:pPr>
              <w:snapToGrid w:val="0"/>
              <w:jc w:val="left"/>
            </w:pPr>
            <w:r>
              <w:rPr>
                <w:rFonts w:ascii="宋体" w:hAnsi="宋体" w:eastAsia="宋体" w:cs="宋体"/>
                <w:b w:val="0"/>
                <w:i w:val="0"/>
                <w:color w:val="000000"/>
                <w:sz w:val="9"/>
              </w:rPr>
              <w:t xml:space="preserve">  机关事业单位基本养老保险缴费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43.66</w:t>
            </w:r>
          </w:p>
        </w:tc>
        <w:tc>
          <w:tcPr>
            <w:tcW w:w="458" w:type="dxa"/>
            <w:vAlign w:val="center"/>
          </w:tcPr>
          <w:p>
            <w:pPr>
              <w:snapToGrid w:val="0"/>
              <w:jc w:val="left"/>
            </w:pPr>
            <w:r>
              <w:rPr>
                <w:rFonts w:ascii="宋体" w:hAnsi="宋体" w:eastAsia="宋体" w:cs="宋体"/>
                <w:b w:val="0"/>
                <w:i w:val="0"/>
                <w:color w:val="000000"/>
                <w:sz w:val="9"/>
              </w:rPr>
              <w:t>30206</w:t>
            </w:r>
          </w:p>
        </w:tc>
        <w:tc>
          <w:tcPr>
            <w:tcW w:w="1142" w:type="dxa"/>
            <w:vAlign w:val="center"/>
          </w:tcPr>
          <w:p>
            <w:pPr>
              <w:snapToGrid w:val="0"/>
              <w:jc w:val="left"/>
            </w:pPr>
            <w:r>
              <w:rPr>
                <w:rFonts w:ascii="宋体" w:hAnsi="宋体" w:eastAsia="宋体" w:cs="宋体"/>
                <w:b w:val="0"/>
                <w:i w:val="0"/>
                <w:color w:val="000000"/>
                <w:sz w:val="9"/>
              </w:rPr>
              <w:t xml:space="preserve">  电费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31001</w:t>
            </w:r>
          </w:p>
        </w:tc>
        <w:tc>
          <w:tcPr>
            <w:tcW w:w="1934" w:type="dxa"/>
            <w:vAlign w:val="center"/>
          </w:tcPr>
          <w:p>
            <w:pPr>
              <w:snapToGrid w:val="0"/>
              <w:jc w:val="left"/>
            </w:pPr>
            <w:r>
              <w:rPr>
                <w:rFonts w:ascii="宋体" w:hAnsi="宋体" w:eastAsia="宋体" w:cs="宋体"/>
                <w:b w:val="0"/>
                <w:i w:val="0"/>
                <w:color w:val="000000"/>
                <w:sz w:val="9"/>
              </w:rPr>
              <w:t xml:space="preserve">  房屋建筑物购建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30109</w:t>
            </w:r>
          </w:p>
        </w:tc>
        <w:tc>
          <w:tcPr>
            <w:tcW w:w="1512" w:type="dxa"/>
            <w:vAlign w:val="center"/>
          </w:tcPr>
          <w:p>
            <w:pPr>
              <w:snapToGrid w:val="0"/>
              <w:jc w:val="left"/>
            </w:pPr>
            <w:r>
              <w:rPr>
                <w:rFonts w:ascii="宋体" w:hAnsi="宋体" w:eastAsia="宋体" w:cs="宋体"/>
                <w:b w:val="0"/>
                <w:i w:val="0"/>
                <w:color w:val="000000"/>
                <w:sz w:val="9"/>
              </w:rPr>
              <w:t xml:space="preserve">  职业年金缴费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25.31</w:t>
            </w:r>
          </w:p>
        </w:tc>
        <w:tc>
          <w:tcPr>
            <w:tcW w:w="458" w:type="dxa"/>
            <w:vAlign w:val="center"/>
          </w:tcPr>
          <w:p>
            <w:pPr>
              <w:snapToGrid w:val="0"/>
              <w:jc w:val="left"/>
            </w:pPr>
            <w:r>
              <w:rPr>
                <w:rFonts w:ascii="宋体" w:hAnsi="宋体" w:eastAsia="宋体" w:cs="宋体"/>
                <w:b w:val="0"/>
                <w:i w:val="0"/>
                <w:color w:val="000000"/>
                <w:sz w:val="9"/>
              </w:rPr>
              <w:t>30207</w:t>
            </w:r>
          </w:p>
        </w:tc>
        <w:tc>
          <w:tcPr>
            <w:tcW w:w="1142" w:type="dxa"/>
            <w:vAlign w:val="center"/>
          </w:tcPr>
          <w:p>
            <w:pPr>
              <w:snapToGrid w:val="0"/>
              <w:jc w:val="left"/>
            </w:pPr>
            <w:r>
              <w:rPr>
                <w:rFonts w:ascii="宋体" w:hAnsi="宋体" w:eastAsia="宋体" w:cs="宋体"/>
                <w:b w:val="0"/>
                <w:i w:val="0"/>
                <w:color w:val="000000"/>
                <w:sz w:val="9"/>
              </w:rPr>
              <w:t xml:space="preserve">  邮电费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31002</w:t>
            </w:r>
          </w:p>
        </w:tc>
        <w:tc>
          <w:tcPr>
            <w:tcW w:w="1934" w:type="dxa"/>
            <w:vAlign w:val="center"/>
          </w:tcPr>
          <w:p>
            <w:pPr>
              <w:snapToGrid w:val="0"/>
              <w:jc w:val="left"/>
            </w:pPr>
            <w:r>
              <w:rPr>
                <w:rFonts w:ascii="宋体" w:hAnsi="宋体" w:eastAsia="宋体" w:cs="宋体"/>
                <w:b w:val="0"/>
                <w:i w:val="0"/>
                <w:color w:val="000000"/>
                <w:sz w:val="9"/>
              </w:rPr>
              <w:t xml:space="preserve">  办公设备购置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30110</w:t>
            </w:r>
          </w:p>
        </w:tc>
        <w:tc>
          <w:tcPr>
            <w:tcW w:w="1512" w:type="dxa"/>
            <w:vAlign w:val="center"/>
          </w:tcPr>
          <w:p>
            <w:pPr>
              <w:snapToGrid w:val="0"/>
              <w:jc w:val="left"/>
            </w:pPr>
            <w:r>
              <w:rPr>
                <w:rFonts w:ascii="宋体" w:hAnsi="宋体" w:eastAsia="宋体" w:cs="宋体"/>
                <w:b w:val="0"/>
                <w:i w:val="0"/>
                <w:color w:val="000000"/>
                <w:sz w:val="9"/>
              </w:rPr>
              <w:t xml:space="preserve">  职工基本医疗保险缴费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18.08</w:t>
            </w:r>
          </w:p>
        </w:tc>
        <w:tc>
          <w:tcPr>
            <w:tcW w:w="458" w:type="dxa"/>
            <w:vAlign w:val="center"/>
          </w:tcPr>
          <w:p>
            <w:pPr>
              <w:snapToGrid w:val="0"/>
              <w:jc w:val="left"/>
            </w:pPr>
            <w:r>
              <w:rPr>
                <w:rFonts w:ascii="宋体" w:hAnsi="宋体" w:eastAsia="宋体" w:cs="宋体"/>
                <w:b w:val="0"/>
                <w:i w:val="0"/>
                <w:color w:val="000000"/>
                <w:sz w:val="9"/>
              </w:rPr>
              <w:t>30208</w:t>
            </w:r>
          </w:p>
        </w:tc>
        <w:tc>
          <w:tcPr>
            <w:tcW w:w="1142" w:type="dxa"/>
            <w:vAlign w:val="center"/>
          </w:tcPr>
          <w:p>
            <w:pPr>
              <w:snapToGrid w:val="0"/>
              <w:jc w:val="left"/>
            </w:pPr>
            <w:r>
              <w:rPr>
                <w:rFonts w:ascii="宋体" w:hAnsi="宋体" w:eastAsia="宋体" w:cs="宋体"/>
                <w:b w:val="0"/>
                <w:i w:val="0"/>
                <w:color w:val="000000"/>
                <w:sz w:val="9"/>
              </w:rPr>
              <w:t xml:space="preserve">  取暖费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31003</w:t>
            </w:r>
          </w:p>
        </w:tc>
        <w:tc>
          <w:tcPr>
            <w:tcW w:w="1934" w:type="dxa"/>
            <w:vAlign w:val="center"/>
          </w:tcPr>
          <w:p>
            <w:pPr>
              <w:snapToGrid w:val="0"/>
              <w:jc w:val="left"/>
            </w:pPr>
            <w:r>
              <w:rPr>
                <w:rFonts w:ascii="宋体" w:hAnsi="宋体" w:eastAsia="宋体" w:cs="宋体"/>
                <w:b w:val="0"/>
                <w:i w:val="0"/>
                <w:color w:val="000000"/>
                <w:sz w:val="9"/>
              </w:rPr>
              <w:t xml:space="preserve">  专用设备购置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30111</w:t>
            </w:r>
          </w:p>
        </w:tc>
        <w:tc>
          <w:tcPr>
            <w:tcW w:w="1512" w:type="dxa"/>
            <w:vAlign w:val="center"/>
          </w:tcPr>
          <w:p>
            <w:pPr>
              <w:snapToGrid w:val="0"/>
              <w:jc w:val="left"/>
            </w:pPr>
            <w:r>
              <w:rPr>
                <w:rFonts w:ascii="宋体" w:hAnsi="宋体" w:eastAsia="宋体" w:cs="宋体"/>
                <w:b w:val="0"/>
                <w:i w:val="0"/>
                <w:color w:val="000000"/>
                <w:sz w:val="9"/>
              </w:rPr>
              <w:t xml:space="preserve">  公务员医疗补助缴费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13.86</w:t>
            </w:r>
          </w:p>
        </w:tc>
        <w:tc>
          <w:tcPr>
            <w:tcW w:w="458" w:type="dxa"/>
            <w:vAlign w:val="center"/>
          </w:tcPr>
          <w:p>
            <w:pPr>
              <w:snapToGrid w:val="0"/>
              <w:jc w:val="left"/>
            </w:pPr>
            <w:r>
              <w:rPr>
                <w:rFonts w:ascii="宋体" w:hAnsi="宋体" w:eastAsia="宋体" w:cs="宋体"/>
                <w:b w:val="0"/>
                <w:i w:val="0"/>
                <w:color w:val="000000"/>
                <w:sz w:val="9"/>
              </w:rPr>
              <w:t>30209</w:t>
            </w:r>
          </w:p>
        </w:tc>
        <w:tc>
          <w:tcPr>
            <w:tcW w:w="1142" w:type="dxa"/>
            <w:vAlign w:val="center"/>
          </w:tcPr>
          <w:p>
            <w:pPr>
              <w:snapToGrid w:val="0"/>
              <w:jc w:val="left"/>
            </w:pPr>
            <w:r>
              <w:rPr>
                <w:rFonts w:ascii="宋体" w:hAnsi="宋体" w:eastAsia="宋体" w:cs="宋体"/>
                <w:b w:val="0"/>
                <w:i w:val="0"/>
                <w:color w:val="000000"/>
                <w:sz w:val="9"/>
              </w:rPr>
              <w:t xml:space="preserve">  物业管理费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31005</w:t>
            </w:r>
          </w:p>
        </w:tc>
        <w:tc>
          <w:tcPr>
            <w:tcW w:w="1934" w:type="dxa"/>
            <w:vAlign w:val="center"/>
          </w:tcPr>
          <w:p>
            <w:pPr>
              <w:snapToGrid w:val="0"/>
              <w:jc w:val="left"/>
            </w:pPr>
            <w:r>
              <w:rPr>
                <w:rFonts w:ascii="宋体" w:hAnsi="宋体" w:eastAsia="宋体" w:cs="宋体"/>
                <w:b w:val="0"/>
                <w:i w:val="0"/>
                <w:color w:val="000000"/>
                <w:sz w:val="9"/>
              </w:rPr>
              <w:t xml:space="preserve">  基础设施建设</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30112</w:t>
            </w:r>
          </w:p>
        </w:tc>
        <w:tc>
          <w:tcPr>
            <w:tcW w:w="1512" w:type="dxa"/>
            <w:vAlign w:val="center"/>
          </w:tcPr>
          <w:p>
            <w:pPr>
              <w:snapToGrid w:val="0"/>
              <w:jc w:val="left"/>
            </w:pPr>
            <w:r>
              <w:rPr>
                <w:rFonts w:ascii="宋体" w:hAnsi="宋体" w:eastAsia="宋体" w:cs="宋体"/>
                <w:b w:val="0"/>
                <w:i w:val="0"/>
                <w:color w:val="000000"/>
                <w:sz w:val="9"/>
              </w:rPr>
              <w:t xml:space="preserve">  其他社会保障缴费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1.85</w:t>
            </w:r>
          </w:p>
        </w:tc>
        <w:tc>
          <w:tcPr>
            <w:tcW w:w="458" w:type="dxa"/>
            <w:vAlign w:val="center"/>
          </w:tcPr>
          <w:p>
            <w:pPr>
              <w:snapToGrid w:val="0"/>
              <w:jc w:val="left"/>
            </w:pPr>
            <w:r>
              <w:rPr>
                <w:rFonts w:ascii="宋体" w:hAnsi="宋体" w:eastAsia="宋体" w:cs="宋体"/>
                <w:b w:val="0"/>
                <w:i w:val="0"/>
                <w:color w:val="000000"/>
                <w:sz w:val="9"/>
              </w:rPr>
              <w:t>30211</w:t>
            </w:r>
          </w:p>
        </w:tc>
        <w:tc>
          <w:tcPr>
            <w:tcW w:w="1142" w:type="dxa"/>
            <w:vAlign w:val="center"/>
          </w:tcPr>
          <w:p>
            <w:pPr>
              <w:snapToGrid w:val="0"/>
              <w:jc w:val="left"/>
            </w:pPr>
            <w:r>
              <w:rPr>
                <w:rFonts w:ascii="宋体" w:hAnsi="宋体" w:eastAsia="宋体" w:cs="宋体"/>
                <w:b w:val="0"/>
                <w:i w:val="0"/>
                <w:color w:val="000000"/>
                <w:sz w:val="9"/>
              </w:rPr>
              <w:t xml:space="preserve">  差旅费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31006</w:t>
            </w:r>
          </w:p>
        </w:tc>
        <w:tc>
          <w:tcPr>
            <w:tcW w:w="1934" w:type="dxa"/>
            <w:vAlign w:val="center"/>
          </w:tcPr>
          <w:p>
            <w:pPr>
              <w:snapToGrid w:val="0"/>
              <w:jc w:val="left"/>
            </w:pPr>
            <w:r>
              <w:rPr>
                <w:rFonts w:ascii="宋体" w:hAnsi="宋体" w:eastAsia="宋体" w:cs="宋体"/>
                <w:b w:val="0"/>
                <w:i w:val="0"/>
                <w:color w:val="000000"/>
                <w:sz w:val="9"/>
              </w:rPr>
              <w:t xml:space="preserve">  大型修缮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30113</w:t>
            </w:r>
          </w:p>
        </w:tc>
        <w:tc>
          <w:tcPr>
            <w:tcW w:w="1512" w:type="dxa"/>
            <w:vAlign w:val="center"/>
          </w:tcPr>
          <w:p>
            <w:pPr>
              <w:snapToGrid w:val="0"/>
              <w:jc w:val="left"/>
            </w:pPr>
            <w:r>
              <w:rPr>
                <w:rFonts w:ascii="宋体" w:hAnsi="宋体" w:eastAsia="宋体" w:cs="宋体"/>
                <w:b w:val="0"/>
                <w:i w:val="0"/>
                <w:color w:val="000000"/>
                <w:sz w:val="9"/>
              </w:rPr>
              <w:t xml:space="preserve">  住房公积金</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42.91</w:t>
            </w:r>
          </w:p>
        </w:tc>
        <w:tc>
          <w:tcPr>
            <w:tcW w:w="458" w:type="dxa"/>
            <w:vAlign w:val="center"/>
          </w:tcPr>
          <w:p>
            <w:pPr>
              <w:snapToGrid w:val="0"/>
              <w:jc w:val="left"/>
            </w:pPr>
            <w:r>
              <w:rPr>
                <w:rFonts w:ascii="宋体" w:hAnsi="宋体" w:eastAsia="宋体" w:cs="宋体"/>
                <w:b w:val="0"/>
                <w:i w:val="0"/>
                <w:color w:val="000000"/>
                <w:sz w:val="9"/>
              </w:rPr>
              <w:t>30212</w:t>
            </w:r>
          </w:p>
        </w:tc>
        <w:tc>
          <w:tcPr>
            <w:tcW w:w="1142" w:type="dxa"/>
            <w:vAlign w:val="center"/>
          </w:tcPr>
          <w:p>
            <w:pPr>
              <w:snapToGrid w:val="0"/>
              <w:jc w:val="left"/>
            </w:pPr>
            <w:r>
              <w:rPr>
                <w:rFonts w:ascii="宋体" w:hAnsi="宋体" w:eastAsia="宋体" w:cs="宋体"/>
                <w:b w:val="0"/>
                <w:i w:val="0"/>
                <w:color w:val="000000"/>
                <w:sz w:val="9"/>
              </w:rPr>
              <w:t xml:space="preserve">  因公出国（境）费用</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31007</w:t>
            </w:r>
          </w:p>
        </w:tc>
        <w:tc>
          <w:tcPr>
            <w:tcW w:w="1934" w:type="dxa"/>
            <w:vAlign w:val="center"/>
          </w:tcPr>
          <w:p>
            <w:pPr>
              <w:snapToGrid w:val="0"/>
              <w:jc w:val="left"/>
            </w:pPr>
            <w:r>
              <w:rPr>
                <w:rFonts w:ascii="宋体" w:hAnsi="宋体" w:eastAsia="宋体" w:cs="宋体"/>
                <w:b w:val="0"/>
                <w:i w:val="0"/>
                <w:color w:val="000000"/>
                <w:sz w:val="9"/>
              </w:rPr>
              <w:t xml:space="preserve">  信息网络及软件购置更新</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30114</w:t>
            </w:r>
          </w:p>
        </w:tc>
        <w:tc>
          <w:tcPr>
            <w:tcW w:w="1512" w:type="dxa"/>
            <w:vAlign w:val="center"/>
          </w:tcPr>
          <w:p>
            <w:pPr>
              <w:snapToGrid w:val="0"/>
              <w:jc w:val="left"/>
            </w:pPr>
            <w:r>
              <w:rPr>
                <w:rFonts w:ascii="宋体" w:hAnsi="宋体" w:eastAsia="宋体" w:cs="宋体"/>
                <w:b w:val="0"/>
                <w:i w:val="0"/>
                <w:color w:val="000000"/>
                <w:sz w:val="9"/>
              </w:rPr>
              <w:t xml:space="preserve">  医疗费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30213</w:t>
            </w:r>
          </w:p>
        </w:tc>
        <w:tc>
          <w:tcPr>
            <w:tcW w:w="1142" w:type="dxa"/>
            <w:vAlign w:val="center"/>
          </w:tcPr>
          <w:p>
            <w:pPr>
              <w:snapToGrid w:val="0"/>
              <w:jc w:val="left"/>
            </w:pPr>
            <w:r>
              <w:rPr>
                <w:rFonts w:ascii="宋体" w:hAnsi="宋体" w:eastAsia="宋体" w:cs="宋体"/>
                <w:b w:val="0"/>
                <w:i w:val="0"/>
                <w:color w:val="000000"/>
                <w:sz w:val="9"/>
              </w:rPr>
              <w:t xml:space="preserve">  维修（护）费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31008</w:t>
            </w:r>
          </w:p>
        </w:tc>
        <w:tc>
          <w:tcPr>
            <w:tcW w:w="1934" w:type="dxa"/>
            <w:vAlign w:val="center"/>
          </w:tcPr>
          <w:p>
            <w:pPr>
              <w:snapToGrid w:val="0"/>
              <w:jc w:val="left"/>
            </w:pPr>
            <w:r>
              <w:rPr>
                <w:rFonts w:ascii="宋体" w:hAnsi="宋体" w:eastAsia="宋体" w:cs="宋体"/>
                <w:b w:val="0"/>
                <w:i w:val="0"/>
                <w:color w:val="000000"/>
                <w:sz w:val="9"/>
              </w:rPr>
              <w:t xml:space="preserve">  物资储备</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30199</w:t>
            </w:r>
          </w:p>
        </w:tc>
        <w:tc>
          <w:tcPr>
            <w:tcW w:w="1512" w:type="dxa"/>
            <w:vAlign w:val="center"/>
          </w:tcPr>
          <w:p>
            <w:pPr>
              <w:snapToGrid w:val="0"/>
              <w:jc w:val="left"/>
            </w:pPr>
            <w:r>
              <w:rPr>
                <w:rFonts w:ascii="宋体" w:hAnsi="宋体" w:eastAsia="宋体" w:cs="宋体"/>
                <w:b w:val="0"/>
                <w:i w:val="0"/>
                <w:color w:val="000000"/>
                <w:sz w:val="9"/>
              </w:rPr>
              <w:t xml:space="preserve">  其他工资福利支出</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30214</w:t>
            </w:r>
          </w:p>
        </w:tc>
        <w:tc>
          <w:tcPr>
            <w:tcW w:w="1142" w:type="dxa"/>
            <w:vAlign w:val="center"/>
          </w:tcPr>
          <w:p>
            <w:pPr>
              <w:snapToGrid w:val="0"/>
              <w:jc w:val="left"/>
            </w:pPr>
            <w:r>
              <w:rPr>
                <w:rFonts w:ascii="宋体" w:hAnsi="宋体" w:eastAsia="宋体" w:cs="宋体"/>
                <w:b w:val="0"/>
                <w:i w:val="0"/>
                <w:color w:val="000000"/>
                <w:sz w:val="9"/>
              </w:rPr>
              <w:t xml:space="preserve">  租赁费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31009</w:t>
            </w:r>
          </w:p>
        </w:tc>
        <w:tc>
          <w:tcPr>
            <w:tcW w:w="1934" w:type="dxa"/>
            <w:vAlign w:val="center"/>
          </w:tcPr>
          <w:p>
            <w:pPr>
              <w:snapToGrid w:val="0"/>
              <w:jc w:val="left"/>
            </w:pPr>
            <w:r>
              <w:rPr>
                <w:rFonts w:ascii="宋体" w:hAnsi="宋体" w:eastAsia="宋体" w:cs="宋体"/>
                <w:b w:val="0"/>
                <w:i w:val="0"/>
                <w:color w:val="000000"/>
                <w:sz w:val="9"/>
              </w:rPr>
              <w:t xml:space="preserve">  土地补偿</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w:t>
            </w:r>
          </w:p>
        </w:tc>
        <w:tc>
          <w:tcPr>
            <w:tcW w:w="1512" w:type="dxa"/>
            <w:vAlign w:val="center"/>
          </w:tcPr>
          <w:p>
            <w:pPr>
              <w:snapToGrid w:val="0"/>
              <w:jc w:val="left"/>
            </w:pPr>
            <w:r>
              <w:rPr>
                <w:rFonts w:ascii="宋体" w:hAnsi="宋体" w:eastAsia="宋体" w:cs="宋体"/>
                <w:b w:val="0"/>
                <w:i w:val="0"/>
                <w:color w:val="000000"/>
                <w:sz w:val="9"/>
              </w:rPr>
              <w:t>对个人和家庭的补助</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70.55</w:t>
            </w:r>
          </w:p>
        </w:tc>
        <w:tc>
          <w:tcPr>
            <w:tcW w:w="458" w:type="dxa"/>
            <w:vAlign w:val="center"/>
          </w:tcPr>
          <w:p>
            <w:pPr>
              <w:snapToGrid w:val="0"/>
              <w:jc w:val="left"/>
            </w:pPr>
            <w:r>
              <w:rPr>
                <w:rFonts w:ascii="宋体" w:hAnsi="宋体" w:eastAsia="宋体" w:cs="宋体"/>
                <w:b w:val="0"/>
                <w:i w:val="0"/>
                <w:color w:val="000000"/>
                <w:sz w:val="9"/>
              </w:rPr>
              <w:t>30215</w:t>
            </w:r>
          </w:p>
        </w:tc>
        <w:tc>
          <w:tcPr>
            <w:tcW w:w="1142" w:type="dxa"/>
            <w:vAlign w:val="center"/>
          </w:tcPr>
          <w:p>
            <w:pPr>
              <w:snapToGrid w:val="0"/>
              <w:jc w:val="left"/>
            </w:pPr>
            <w:r>
              <w:rPr>
                <w:rFonts w:ascii="宋体" w:hAnsi="宋体" w:eastAsia="宋体" w:cs="宋体"/>
                <w:b w:val="0"/>
                <w:i w:val="0"/>
                <w:color w:val="000000"/>
                <w:sz w:val="9"/>
              </w:rPr>
              <w:t xml:space="preserve">  会议费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31010</w:t>
            </w:r>
          </w:p>
        </w:tc>
        <w:tc>
          <w:tcPr>
            <w:tcW w:w="1934" w:type="dxa"/>
            <w:vAlign w:val="center"/>
          </w:tcPr>
          <w:p>
            <w:pPr>
              <w:snapToGrid w:val="0"/>
              <w:jc w:val="left"/>
            </w:pPr>
            <w:r>
              <w:rPr>
                <w:rFonts w:ascii="宋体" w:hAnsi="宋体" w:eastAsia="宋体" w:cs="宋体"/>
                <w:b w:val="0"/>
                <w:i w:val="0"/>
                <w:color w:val="000000"/>
                <w:sz w:val="9"/>
              </w:rPr>
              <w:t xml:space="preserve">  安置补助</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30301</w:t>
            </w:r>
          </w:p>
        </w:tc>
        <w:tc>
          <w:tcPr>
            <w:tcW w:w="1512" w:type="dxa"/>
            <w:vAlign w:val="center"/>
          </w:tcPr>
          <w:p>
            <w:pPr>
              <w:snapToGrid w:val="0"/>
              <w:jc w:val="left"/>
            </w:pPr>
            <w:r>
              <w:rPr>
                <w:rFonts w:ascii="宋体" w:hAnsi="宋体" w:eastAsia="宋体" w:cs="宋体"/>
                <w:b w:val="0"/>
                <w:i w:val="0"/>
                <w:color w:val="000000"/>
                <w:sz w:val="9"/>
              </w:rPr>
              <w:t xml:space="preserve">  离休费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23.64</w:t>
            </w:r>
          </w:p>
        </w:tc>
        <w:tc>
          <w:tcPr>
            <w:tcW w:w="458" w:type="dxa"/>
            <w:vAlign w:val="center"/>
          </w:tcPr>
          <w:p>
            <w:pPr>
              <w:snapToGrid w:val="0"/>
              <w:jc w:val="left"/>
            </w:pPr>
            <w:r>
              <w:rPr>
                <w:rFonts w:ascii="宋体" w:hAnsi="宋体" w:eastAsia="宋体" w:cs="宋体"/>
                <w:b w:val="0"/>
                <w:i w:val="0"/>
                <w:color w:val="000000"/>
                <w:sz w:val="9"/>
              </w:rPr>
              <w:t>30216</w:t>
            </w:r>
          </w:p>
        </w:tc>
        <w:tc>
          <w:tcPr>
            <w:tcW w:w="1142" w:type="dxa"/>
            <w:vAlign w:val="center"/>
          </w:tcPr>
          <w:p>
            <w:pPr>
              <w:snapToGrid w:val="0"/>
              <w:jc w:val="left"/>
            </w:pPr>
            <w:r>
              <w:rPr>
                <w:rFonts w:ascii="宋体" w:hAnsi="宋体" w:eastAsia="宋体" w:cs="宋体"/>
                <w:b w:val="0"/>
                <w:i w:val="0"/>
                <w:color w:val="000000"/>
                <w:sz w:val="9"/>
              </w:rPr>
              <w:t xml:space="preserve">  培训费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31011</w:t>
            </w:r>
          </w:p>
        </w:tc>
        <w:tc>
          <w:tcPr>
            <w:tcW w:w="1934" w:type="dxa"/>
            <w:vAlign w:val="center"/>
          </w:tcPr>
          <w:p>
            <w:pPr>
              <w:snapToGrid w:val="0"/>
              <w:jc w:val="left"/>
            </w:pPr>
            <w:r>
              <w:rPr>
                <w:rFonts w:ascii="宋体" w:hAnsi="宋体" w:eastAsia="宋体" w:cs="宋体"/>
                <w:b w:val="0"/>
                <w:i w:val="0"/>
                <w:color w:val="000000"/>
                <w:sz w:val="9"/>
              </w:rPr>
              <w:t xml:space="preserve">  地上附着物和青苗补偿</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30302</w:t>
            </w:r>
          </w:p>
        </w:tc>
        <w:tc>
          <w:tcPr>
            <w:tcW w:w="1512" w:type="dxa"/>
            <w:vAlign w:val="center"/>
          </w:tcPr>
          <w:p>
            <w:pPr>
              <w:snapToGrid w:val="0"/>
              <w:jc w:val="left"/>
            </w:pPr>
            <w:r>
              <w:rPr>
                <w:rFonts w:ascii="宋体" w:hAnsi="宋体" w:eastAsia="宋体" w:cs="宋体"/>
                <w:b w:val="0"/>
                <w:i w:val="0"/>
                <w:color w:val="000000"/>
                <w:sz w:val="9"/>
              </w:rPr>
              <w:t xml:space="preserve">  退休费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46.89</w:t>
            </w:r>
          </w:p>
        </w:tc>
        <w:tc>
          <w:tcPr>
            <w:tcW w:w="458" w:type="dxa"/>
            <w:vAlign w:val="center"/>
          </w:tcPr>
          <w:p>
            <w:pPr>
              <w:snapToGrid w:val="0"/>
              <w:jc w:val="left"/>
            </w:pPr>
            <w:r>
              <w:rPr>
                <w:rFonts w:ascii="宋体" w:hAnsi="宋体" w:eastAsia="宋体" w:cs="宋体"/>
                <w:b w:val="0"/>
                <w:i w:val="0"/>
                <w:color w:val="000000"/>
                <w:sz w:val="9"/>
              </w:rPr>
              <w:t>30217</w:t>
            </w:r>
          </w:p>
        </w:tc>
        <w:tc>
          <w:tcPr>
            <w:tcW w:w="1142" w:type="dxa"/>
            <w:vAlign w:val="center"/>
          </w:tcPr>
          <w:p>
            <w:pPr>
              <w:snapToGrid w:val="0"/>
              <w:jc w:val="left"/>
            </w:pPr>
            <w:r>
              <w:rPr>
                <w:rFonts w:ascii="宋体" w:hAnsi="宋体" w:eastAsia="宋体" w:cs="宋体"/>
                <w:b w:val="0"/>
                <w:i w:val="0"/>
                <w:color w:val="000000"/>
                <w:sz w:val="9"/>
              </w:rPr>
              <w:t xml:space="preserve">  公务接待费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31012</w:t>
            </w:r>
          </w:p>
        </w:tc>
        <w:tc>
          <w:tcPr>
            <w:tcW w:w="1934" w:type="dxa"/>
            <w:vAlign w:val="center"/>
          </w:tcPr>
          <w:p>
            <w:pPr>
              <w:snapToGrid w:val="0"/>
              <w:jc w:val="left"/>
            </w:pPr>
            <w:r>
              <w:rPr>
                <w:rFonts w:ascii="宋体" w:hAnsi="宋体" w:eastAsia="宋体" w:cs="宋体"/>
                <w:b w:val="0"/>
                <w:i w:val="0"/>
                <w:color w:val="000000"/>
                <w:sz w:val="9"/>
              </w:rPr>
              <w:t xml:space="preserve">  拆迁补偿</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30303</w:t>
            </w:r>
          </w:p>
        </w:tc>
        <w:tc>
          <w:tcPr>
            <w:tcW w:w="1512" w:type="dxa"/>
            <w:vAlign w:val="center"/>
          </w:tcPr>
          <w:p>
            <w:pPr>
              <w:snapToGrid w:val="0"/>
              <w:jc w:val="left"/>
            </w:pPr>
            <w:r>
              <w:rPr>
                <w:rFonts w:ascii="宋体" w:hAnsi="宋体" w:eastAsia="宋体" w:cs="宋体"/>
                <w:b w:val="0"/>
                <w:i w:val="0"/>
                <w:color w:val="000000"/>
                <w:sz w:val="9"/>
              </w:rPr>
              <w:t xml:space="preserve">  退职（役）费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30218</w:t>
            </w:r>
          </w:p>
        </w:tc>
        <w:tc>
          <w:tcPr>
            <w:tcW w:w="1142" w:type="dxa"/>
            <w:vAlign w:val="center"/>
          </w:tcPr>
          <w:p>
            <w:pPr>
              <w:snapToGrid w:val="0"/>
              <w:jc w:val="left"/>
            </w:pPr>
            <w:r>
              <w:rPr>
                <w:rFonts w:ascii="宋体" w:hAnsi="宋体" w:eastAsia="宋体" w:cs="宋体"/>
                <w:b w:val="0"/>
                <w:i w:val="0"/>
                <w:color w:val="000000"/>
                <w:sz w:val="9"/>
              </w:rPr>
              <w:t xml:space="preserve">  专用材料费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31013</w:t>
            </w:r>
          </w:p>
        </w:tc>
        <w:tc>
          <w:tcPr>
            <w:tcW w:w="1934" w:type="dxa"/>
            <w:vAlign w:val="center"/>
          </w:tcPr>
          <w:p>
            <w:pPr>
              <w:snapToGrid w:val="0"/>
              <w:jc w:val="left"/>
            </w:pPr>
            <w:r>
              <w:rPr>
                <w:rFonts w:ascii="宋体" w:hAnsi="宋体" w:eastAsia="宋体" w:cs="宋体"/>
                <w:b w:val="0"/>
                <w:i w:val="0"/>
                <w:color w:val="000000"/>
                <w:sz w:val="9"/>
              </w:rPr>
              <w:t xml:space="preserve">  公务用车购置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30304</w:t>
            </w:r>
          </w:p>
        </w:tc>
        <w:tc>
          <w:tcPr>
            <w:tcW w:w="1512" w:type="dxa"/>
            <w:vAlign w:val="center"/>
          </w:tcPr>
          <w:p>
            <w:pPr>
              <w:snapToGrid w:val="0"/>
              <w:jc w:val="left"/>
            </w:pPr>
            <w:r>
              <w:rPr>
                <w:rFonts w:ascii="宋体" w:hAnsi="宋体" w:eastAsia="宋体" w:cs="宋体"/>
                <w:b w:val="0"/>
                <w:i w:val="0"/>
                <w:color w:val="000000"/>
                <w:sz w:val="9"/>
              </w:rPr>
              <w:t xml:space="preserve">  抚恤金</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30224</w:t>
            </w:r>
          </w:p>
        </w:tc>
        <w:tc>
          <w:tcPr>
            <w:tcW w:w="1142" w:type="dxa"/>
            <w:vAlign w:val="center"/>
          </w:tcPr>
          <w:p>
            <w:pPr>
              <w:snapToGrid w:val="0"/>
              <w:jc w:val="left"/>
            </w:pPr>
            <w:r>
              <w:rPr>
                <w:rFonts w:ascii="宋体" w:hAnsi="宋体" w:eastAsia="宋体" w:cs="宋体"/>
                <w:b w:val="0"/>
                <w:i w:val="0"/>
                <w:color w:val="000000"/>
                <w:sz w:val="9"/>
              </w:rPr>
              <w:t xml:space="preserve">  被装购置费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31019</w:t>
            </w:r>
          </w:p>
        </w:tc>
        <w:tc>
          <w:tcPr>
            <w:tcW w:w="1934" w:type="dxa"/>
            <w:vAlign w:val="center"/>
          </w:tcPr>
          <w:p>
            <w:pPr>
              <w:snapToGrid w:val="0"/>
              <w:jc w:val="left"/>
            </w:pPr>
            <w:r>
              <w:rPr>
                <w:rFonts w:ascii="宋体" w:hAnsi="宋体" w:eastAsia="宋体" w:cs="宋体"/>
                <w:b w:val="0"/>
                <w:i w:val="0"/>
                <w:color w:val="000000"/>
                <w:sz w:val="9"/>
              </w:rPr>
              <w:t xml:space="preserve">  其他交通工具购置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30305</w:t>
            </w:r>
          </w:p>
        </w:tc>
        <w:tc>
          <w:tcPr>
            <w:tcW w:w="1512" w:type="dxa"/>
            <w:vAlign w:val="center"/>
          </w:tcPr>
          <w:p>
            <w:pPr>
              <w:snapToGrid w:val="0"/>
              <w:jc w:val="left"/>
            </w:pPr>
            <w:r>
              <w:rPr>
                <w:rFonts w:ascii="宋体" w:hAnsi="宋体" w:eastAsia="宋体" w:cs="宋体"/>
                <w:b w:val="0"/>
                <w:i w:val="0"/>
                <w:color w:val="000000"/>
                <w:sz w:val="9"/>
              </w:rPr>
              <w:t xml:space="preserve">  生活补助</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30225</w:t>
            </w:r>
          </w:p>
        </w:tc>
        <w:tc>
          <w:tcPr>
            <w:tcW w:w="1142" w:type="dxa"/>
            <w:vAlign w:val="center"/>
          </w:tcPr>
          <w:p>
            <w:pPr>
              <w:snapToGrid w:val="0"/>
              <w:jc w:val="left"/>
            </w:pPr>
            <w:r>
              <w:rPr>
                <w:rFonts w:ascii="宋体" w:hAnsi="宋体" w:eastAsia="宋体" w:cs="宋体"/>
                <w:b w:val="0"/>
                <w:i w:val="0"/>
                <w:color w:val="000000"/>
                <w:sz w:val="9"/>
              </w:rPr>
              <w:t xml:space="preserve">  专用燃料费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31021</w:t>
            </w:r>
          </w:p>
        </w:tc>
        <w:tc>
          <w:tcPr>
            <w:tcW w:w="1934" w:type="dxa"/>
            <w:vAlign w:val="center"/>
          </w:tcPr>
          <w:p>
            <w:pPr>
              <w:snapToGrid w:val="0"/>
              <w:jc w:val="left"/>
            </w:pPr>
            <w:r>
              <w:rPr>
                <w:rFonts w:ascii="宋体" w:hAnsi="宋体" w:eastAsia="宋体" w:cs="宋体"/>
                <w:b w:val="0"/>
                <w:i w:val="0"/>
                <w:color w:val="000000"/>
                <w:sz w:val="9"/>
              </w:rPr>
              <w:t xml:space="preserve">  文物和陈列品购置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30306</w:t>
            </w:r>
          </w:p>
        </w:tc>
        <w:tc>
          <w:tcPr>
            <w:tcW w:w="1512" w:type="dxa"/>
            <w:vAlign w:val="center"/>
          </w:tcPr>
          <w:p>
            <w:pPr>
              <w:snapToGrid w:val="0"/>
              <w:jc w:val="left"/>
            </w:pPr>
            <w:r>
              <w:rPr>
                <w:rFonts w:ascii="宋体" w:hAnsi="宋体" w:eastAsia="宋体" w:cs="宋体"/>
                <w:b w:val="0"/>
                <w:i w:val="0"/>
                <w:color w:val="000000"/>
                <w:sz w:val="9"/>
              </w:rPr>
              <w:t xml:space="preserve">  救济费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30226</w:t>
            </w:r>
          </w:p>
        </w:tc>
        <w:tc>
          <w:tcPr>
            <w:tcW w:w="1142" w:type="dxa"/>
            <w:vAlign w:val="center"/>
          </w:tcPr>
          <w:p>
            <w:pPr>
              <w:snapToGrid w:val="0"/>
              <w:jc w:val="left"/>
            </w:pPr>
            <w:r>
              <w:rPr>
                <w:rFonts w:ascii="宋体" w:hAnsi="宋体" w:eastAsia="宋体" w:cs="宋体"/>
                <w:b w:val="0"/>
                <w:i w:val="0"/>
                <w:color w:val="000000"/>
                <w:sz w:val="9"/>
              </w:rPr>
              <w:t xml:space="preserve">  劳务费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31022</w:t>
            </w:r>
          </w:p>
        </w:tc>
        <w:tc>
          <w:tcPr>
            <w:tcW w:w="1934" w:type="dxa"/>
            <w:vAlign w:val="center"/>
          </w:tcPr>
          <w:p>
            <w:pPr>
              <w:snapToGrid w:val="0"/>
              <w:jc w:val="left"/>
            </w:pPr>
            <w:r>
              <w:rPr>
                <w:rFonts w:ascii="宋体" w:hAnsi="宋体" w:eastAsia="宋体" w:cs="宋体"/>
                <w:b w:val="0"/>
                <w:i w:val="0"/>
                <w:color w:val="000000"/>
                <w:sz w:val="9"/>
              </w:rPr>
              <w:t xml:space="preserve">  无形资产购置</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30307</w:t>
            </w:r>
          </w:p>
        </w:tc>
        <w:tc>
          <w:tcPr>
            <w:tcW w:w="1512" w:type="dxa"/>
            <w:vAlign w:val="center"/>
          </w:tcPr>
          <w:p>
            <w:pPr>
              <w:snapToGrid w:val="0"/>
              <w:jc w:val="left"/>
            </w:pPr>
            <w:r>
              <w:rPr>
                <w:rFonts w:ascii="宋体" w:hAnsi="宋体" w:eastAsia="宋体" w:cs="宋体"/>
                <w:b w:val="0"/>
                <w:i w:val="0"/>
                <w:color w:val="000000"/>
                <w:sz w:val="9"/>
              </w:rPr>
              <w:t xml:space="preserve">  医疗费补助</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30227</w:t>
            </w:r>
          </w:p>
        </w:tc>
        <w:tc>
          <w:tcPr>
            <w:tcW w:w="1142" w:type="dxa"/>
            <w:vAlign w:val="center"/>
          </w:tcPr>
          <w:p>
            <w:pPr>
              <w:snapToGrid w:val="0"/>
              <w:jc w:val="left"/>
            </w:pPr>
            <w:r>
              <w:rPr>
                <w:rFonts w:ascii="宋体" w:hAnsi="宋体" w:eastAsia="宋体" w:cs="宋体"/>
                <w:b w:val="0"/>
                <w:i w:val="0"/>
                <w:color w:val="000000"/>
                <w:sz w:val="9"/>
              </w:rPr>
              <w:t xml:space="preserve">  委托业务费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31099</w:t>
            </w:r>
          </w:p>
        </w:tc>
        <w:tc>
          <w:tcPr>
            <w:tcW w:w="1934" w:type="dxa"/>
            <w:vAlign w:val="center"/>
          </w:tcPr>
          <w:p>
            <w:pPr>
              <w:snapToGrid w:val="0"/>
              <w:jc w:val="left"/>
            </w:pPr>
            <w:r>
              <w:rPr>
                <w:rFonts w:ascii="宋体" w:hAnsi="宋体" w:eastAsia="宋体" w:cs="宋体"/>
                <w:b w:val="0"/>
                <w:i w:val="0"/>
                <w:color w:val="000000"/>
                <w:sz w:val="9"/>
              </w:rPr>
              <w:t xml:space="preserve">  其他资本性支出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30308</w:t>
            </w:r>
          </w:p>
        </w:tc>
        <w:tc>
          <w:tcPr>
            <w:tcW w:w="1512" w:type="dxa"/>
            <w:vAlign w:val="center"/>
          </w:tcPr>
          <w:p>
            <w:pPr>
              <w:snapToGrid w:val="0"/>
              <w:jc w:val="left"/>
            </w:pPr>
            <w:r>
              <w:rPr>
                <w:rFonts w:ascii="宋体" w:hAnsi="宋体" w:eastAsia="宋体" w:cs="宋体"/>
                <w:b w:val="0"/>
                <w:i w:val="0"/>
                <w:color w:val="000000"/>
                <w:sz w:val="9"/>
              </w:rPr>
              <w:t xml:space="preserve">  助学金</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30228</w:t>
            </w:r>
          </w:p>
        </w:tc>
        <w:tc>
          <w:tcPr>
            <w:tcW w:w="1142" w:type="dxa"/>
            <w:vAlign w:val="center"/>
          </w:tcPr>
          <w:p>
            <w:pPr>
              <w:snapToGrid w:val="0"/>
              <w:jc w:val="left"/>
            </w:pPr>
            <w:r>
              <w:rPr>
                <w:rFonts w:ascii="宋体" w:hAnsi="宋体" w:eastAsia="宋体" w:cs="宋体"/>
                <w:b w:val="0"/>
                <w:i w:val="0"/>
                <w:color w:val="000000"/>
                <w:sz w:val="9"/>
              </w:rPr>
              <w:t xml:space="preserve">  工会经费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w:t>
            </w:r>
          </w:p>
        </w:tc>
        <w:tc>
          <w:tcPr>
            <w:tcW w:w="1934" w:type="dxa"/>
            <w:vAlign w:val="center"/>
          </w:tcPr>
          <w:p>
            <w:pPr>
              <w:snapToGrid w:val="0"/>
              <w:jc w:val="left"/>
            </w:pPr>
            <w:r>
              <w:rPr>
                <w:rFonts w:ascii="宋体" w:hAnsi="宋体" w:eastAsia="宋体" w:cs="宋体"/>
                <w:b w:val="0"/>
                <w:i w:val="0"/>
                <w:color w:val="000000"/>
                <w:sz w:val="9"/>
              </w:rPr>
              <w:t>其他支出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30309</w:t>
            </w:r>
          </w:p>
        </w:tc>
        <w:tc>
          <w:tcPr>
            <w:tcW w:w="1512" w:type="dxa"/>
            <w:vAlign w:val="center"/>
          </w:tcPr>
          <w:p>
            <w:pPr>
              <w:snapToGrid w:val="0"/>
              <w:jc w:val="left"/>
            </w:pPr>
            <w:r>
              <w:rPr>
                <w:rFonts w:ascii="宋体" w:hAnsi="宋体" w:eastAsia="宋体" w:cs="宋体"/>
                <w:b w:val="0"/>
                <w:i w:val="0"/>
                <w:color w:val="000000"/>
                <w:sz w:val="9"/>
              </w:rPr>
              <w:t xml:space="preserve">  奖励金</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0.03</w:t>
            </w:r>
          </w:p>
        </w:tc>
        <w:tc>
          <w:tcPr>
            <w:tcW w:w="458" w:type="dxa"/>
            <w:vAlign w:val="center"/>
          </w:tcPr>
          <w:p>
            <w:pPr>
              <w:snapToGrid w:val="0"/>
              <w:jc w:val="left"/>
            </w:pPr>
            <w:r>
              <w:rPr>
                <w:rFonts w:ascii="宋体" w:hAnsi="宋体" w:eastAsia="宋体" w:cs="宋体"/>
                <w:b w:val="0"/>
                <w:i w:val="0"/>
                <w:color w:val="000000"/>
                <w:sz w:val="9"/>
              </w:rPr>
              <w:t>30229</w:t>
            </w:r>
          </w:p>
        </w:tc>
        <w:tc>
          <w:tcPr>
            <w:tcW w:w="1142" w:type="dxa"/>
            <w:vAlign w:val="center"/>
          </w:tcPr>
          <w:p>
            <w:pPr>
              <w:snapToGrid w:val="0"/>
              <w:jc w:val="left"/>
            </w:pPr>
            <w:r>
              <w:rPr>
                <w:rFonts w:ascii="宋体" w:hAnsi="宋体" w:eastAsia="宋体" w:cs="宋体"/>
                <w:b w:val="0"/>
                <w:i w:val="0"/>
                <w:color w:val="000000"/>
                <w:sz w:val="9"/>
              </w:rPr>
              <w:t xml:space="preserve">  福利费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39907</w:t>
            </w:r>
          </w:p>
        </w:tc>
        <w:tc>
          <w:tcPr>
            <w:tcW w:w="1934" w:type="dxa"/>
            <w:vAlign w:val="center"/>
          </w:tcPr>
          <w:p>
            <w:pPr>
              <w:snapToGrid w:val="0"/>
              <w:jc w:val="left"/>
            </w:pPr>
            <w:r>
              <w:rPr>
                <w:rFonts w:ascii="宋体" w:hAnsi="宋体" w:eastAsia="宋体" w:cs="宋体"/>
                <w:b w:val="0"/>
                <w:i w:val="0"/>
                <w:color w:val="000000"/>
                <w:sz w:val="9"/>
              </w:rPr>
              <w:t xml:space="preserve">  国家赔偿费用支出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30310</w:t>
            </w:r>
          </w:p>
        </w:tc>
        <w:tc>
          <w:tcPr>
            <w:tcW w:w="1512" w:type="dxa"/>
            <w:vAlign w:val="center"/>
          </w:tcPr>
          <w:p>
            <w:pPr>
              <w:snapToGrid w:val="0"/>
              <w:jc w:val="left"/>
            </w:pPr>
            <w:r>
              <w:rPr>
                <w:rFonts w:ascii="宋体" w:hAnsi="宋体" w:eastAsia="宋体" w:cs="宋体"/>
                <w:b w:val="0"/>
                <w:i w:val="0"/>
                <w:color w:val="000000"/>
                <w:sz w:val="9"/>
              </w:rPr>
              <w:t xml:space="preserve">  个人农业生产补贴</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30231</w:t>
            </w:r>
          </w:p>
        </w:tc>
        <w:tc>
          <w:tcPr>
            <w:tcW w:w="1142" w:type="dxa"/>
            <w:vAlign w:val="center"/>
          </w:tcPr>
          <w:p>
            <w:pPr>
              <w:snapToGrid w:val="0"/>
              <w:jc w:val="left"/>
            </w:pPr>
            <w:r>
              <w:rPr>
                <w:rFonts w:ascii="宋体" w:hAnsi="宋体" w:eastAsia="宋体" w:cs="宋体"/>
                <w:b w:val="0"/>
                <w:i w:val="0"/>
                <w:color w:val="000000"/>
                <w:sz w:val="9"/>
              </w:rPr>
              <w:t xml:space="preserve">  公务用车运行维护费</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39908</w:t>
            </w:r>
          </w:p>
        </w:tc>
        <w:tc>
          <w:tcPr>
            <w:tcW w:w="1934" w:type="dxa"/>
            <w:vAlign w:val="center"/>
          </w:tcPr>
          <w:p>
            <w:pPr>
              <w:snapToGrid w:val="0"/>
              <w:jc w:val="left"/>
            </w:pPr>
            <w:r>
              <w:rPr>
                <w:rFonts w:ascii="宋体" w:hAnsi="宋体" w:eastAsia="宋体" w:cs="宋体"/>
                <w:b w:val="0"/>
                <w:i w:val="0"/>
                <w:color w:val="000000"/>
                <w:sz w:val="9"/>
              </w:rPr>
              <w:t xml:space="preserve">  对民间非营利组织和群众性自治组织补贴</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30311</w:t>
            </w:r>
          </w:p>
        </w:tc>
        <w:tc>
          <w:tcPr>
            <w:tcW w:w="1512" w:type="dxa"/>
            <w:vAlign w:val="center"/>
          </w:tcPr>
          <w:p>
            <w:pPr>
              <w:snapToGrid w:val="0"/>
              <w:jc w:val="left"/>
            </w:pPr>
            <w:r>
              <w:rPr>
                <w:rFonts w:ascii="宋体" w:hAnsi="宋体" w:eastAsia="宋体" w:cs="宋体"/>
                <w:b w:val="0"/>
                <w:i w:val="0"/>
                <w:color w:val="000000"/>
                <w:sz w:val="9"/>
              </w:rPr>
              <w:t xml:space="preserve">  代缴社会保险费</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30239</w:t>
            </w:r>
          </w:p>
        </w:tc>
        <w:tc>
          <w:tcPr>
            <w:tcW w:w="1142" w:type="dxa"/>
            <w:vAlign w:val="center"/>
          </w:tcPr>
          <w:p>
            <w:pPr>
              <w:snapToGrid w:val="0"/>
              <w:jc w:val="left"/>
            </w:pPr>
            <w:r>
              <w:rPr>
                <w:rFonts w:ascii="宋体" w:hAnsi="宋体" w:eastAsia="宋体" w:cs="宋体"/>
                <w:b w:val="0"/>
                <w:i w:val="0"/>
                <w:color w:val="000000"/>
                <w:sz w:val="9"/>
              </w:rPr>
              <w:t xml:space="preserve">  其他交通费用</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39909</w:t>
            </w:r>
          </w:p>
        </w:tc>
        <w:tc>
          <w:tcPr>
            <w:tcW w:w="1934" w:type="dxa"/>
            <w:vAlign w:val="center"/>
          </w:tcPr>
          <w:p>
            <w:pPr>
              <w:snapToGrid w:val="0"/>
              <w:jc w:val="left"/>
            </w:pPr>
            <w:r>
              <w:rPr>
                <w:rFonts w:ascii="宋体" w:hAnsi="宋体" w:eastAsia="宋体" w:cs="宋体"/>
                <w:b w:val="0"/>
                <w:i w:val="0"/>
                <w:color w:val="000000"/>
                <w:sz w:val="9"/>
              </w:rPr>
              <w:t xml:space="preserve">  经常性赠与</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pPr>
              <w:snapToGrid w:val="0"/>
              <w:jc w:val="left"/>
            </w:pPr>
            <w:r>
              <w:rPr>
                <w:rFonts w:ascii="宋体" w:hAnsi="宋体" w:eastAsia="宋体" w:cs="宋体"/>
                <w:b w:val="0"/>
                <w:i w:val="0"/>
                <w:color w:val="000000"/>
                <w:sz w:val="9"/>
              </w:rPr>
              <w:t>30399</w:t>
            </w:r>
          </w:p>
        </w:tc>
        <w:tc>
          <w:tcPr>
            <w:tcW w:w="1512" w:type="dxa"/>
            <w:vAlign w:val="center"/>
          </w:tcPr>
          <w:p>
            <w:pPr>
              <w:snapToGrid w:val="0"/>
              <w:jc w:val="left"/>
            </w:pPr>
            <w:r>
              <w:rPr>
                <w:rFonts w:ascii="宋体" w:hAnsi="宋体" w:eastAsia="宋体" w:cs="宋体"/>
                <w:b w:val="0"/>
                <w:i w:val="0"/>
                <w:color w:val="000000"/>
                <w:sz w:val="9"/>
              </w:rPr>
              <w:t xml:space="preserve">  其他对个人和家庭的补助</w:t>
            </w:r>
          </w:p>
        </w:tc>
        <w:tc>
          <w:tcPr>
            <w:tcW w:w="82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c>
          <w:tcPr>
            <w:tcW w:w="458" w:type="dxa"/>
            <w:vAlign w:val="center"/>
          </w:tcPr>
          <w:p>
            <w:pPr>
              <w:snapToGrid w:val="0"/>
              <w:jc w:val="left"/>
            </w:pPr>
            <w:r>
              <w:rPr>
                <w:rFonts w:ascii="宋体" w:hAnsi="宋体" w:eastAsia="宋体" w:cs="宋体"/>
                <w:b w:val="0"/>
                <w:i w:val="0"/>
                <w:color w:val="000000"/>
                <w:sz w:val="9"/>
              </w:rPr>
              <w:t>30240</w:t>
            </w:r>
          </w:p>
        </w:tc>
        <w:tc>
          <w:tcPr>
            <w:tcW w:w="1142" w:type="dxa"/>
            <w:vAlign w:val="center"/>
          </w:tcPr>
          <w:p>
            <w:pPr>
              <w:snapToGrid w:val="0"/>
              <w:jc w:val="left"/>
            </w:pPr>
            <w:r>
              <w:rPr>
                <w:rFonts w:ascii="宋体" w:hAnsi="宋体" w:eastAsia="宋体" w:cs="宋体"/>
                <w:b w:val="0"/>
                <w:i w:val="0"/>
                <w:color w:val="000000"/>
                <w:sz w:val="9"/>
              </w:rPr>
              <w:t xml:space="preserve">  税金及附加费用</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39910</w:t>
            </w:r>
          </w:p>
        </w:tc>
        <w:tc>
          <w:tcPr>
            <w:tcW w:w="1934" w:type="dxa"/>
            <w:vAlign w:val="center"/>
          </w:tcPr>
          <w:p>
            <w:pPr>
              <w:snapToGrid w:val="0"/>
              <w:jc w:val="left"/>
            </w:pPr>
            <w:r>
              <w:rPr>
                <w:rFonts w:ascii="宋体" w:hAnsi="宋体" w:eastAsia="宋体" w:cs="宋体"/>
                <w:b w:val="0"/>
                <w:i w:val="0"/>
                <w:color w:val="000000"/>
                <w:sz w:val="9"/>
              </w:rPr>
              <w:t xml:space="preserve">  资本性赠与</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408" w:type="dxa"/>
            <w:vAlign w:val="center"/>
          </w:tcPr>
          <w:p/>
        </w:tc>
        <w:tc>
          <w:tcPr>
            <w:tcW w:w="1512" w:type="dxa"/>
            <w:vAlign w:val="center"/>
          </w:tcPr>
          <w:p/>
        </w:tc>
        <w:tc>
          <w:tcPr>
            <w:tcW w:w="820" w:type="dxa"/>
            <w:vAlign w:val="center"/>
          </w:tcPr>
          <w:p>
            <w:pPr>
              <w:rPr>
                <w:rFonts w:hint="default" w:ascii="Times New Roman" w:hAnsi="Times New Roman" w:eastAsia="宋体" w:cs="Times New Roman"/>
                <w:sz w:val="24"/>
                <w:szCs w:val="24"/>
              </w:rPr>
            </w:pPr>
          </w:p>
        </w:tc>
        <w:tc>
          <w:tcPr>
            <w:tcW w:w="458" w:type="dxa"/>
            <w:vAlign w:val="center"/>
          </w:tcPr>
          <w:p>
            <w:pPr>
              <w:snapToGrid w:val="0"/>
              <w:jc w:val="left"/>
            </w:pPr>
            <w:r>
              <w:rPr>
                <w:rFonts w:ascii="宋体" w:hAnsi="宋体" w:eastAsia="宋体" w:cs="宋体"/>
                <w:b w:val="0"/>
                <w:i w:val="0"/>
                <w:color w:val="000000"/>
                <w:sz w:val="9"/>
              </w:rPr>
              <w:t>30299</w:t>
            </w:r>
          </w:p>
        </w:tc>
        <w:tc>
          <w:tcPr>
            <w:tcW w:w="1142" w:type="dxa"/>
            <w:vAlign w:val="center"/>
          </w:tcPr>
          <w:p>
            <w:pPr>
              <w:snapToGrid w:val="0"/>
              <w:jc w:val="left"/>
            </w:pPr>
            <w:r>
              <w:rPr>
                <w:rFonts w:ascii="宋体" w:hAnsi="宋体" w:eastAsia="宋体" w:cs="宋体"/>
                <w:b w:val="0"/>
                <w:i w:val="0"/>
                <w:color w:val="000000"/>
                <w:sz w:val="9"/>
              </w:rPr>
              <w:t xml:space="preserve">  其他商品和服务支出</w:t>
            </w:r>
          </w:p>
        </w:tc>
        <w:tc>
          <w:tcPr>
            <w:tcW w:w="820" w:type="dxa"/>
            <w:vAlign w:val="center"/>
          </w:tcPr>
          <w:p>
            <w:pPr>
              <w:snapToGrid w:val="0"/>
              <w:jc w:val="right"/>
            </w:pPr>
          </w:p>
        </w:tc>
        <w:tc>
          <w:tcPr>
            <w:tcW w:w="446" w:type="dxa"/>
            <w:vAlign w:val="center"/>
          </w:tcPr>
          <w:p>
            <w:pPr>
              <w:snapToGrid w:val="0"/>
              <w:jc w:val="left"/>
            </w:pPr>
            <w:r>
              <w:rPr>
                <w:rFonts w:ascii="宋体" w:hAnsi="宋体" w:eastAsia="宋体" w:cs="宋体"/>
                <w:b w:val="0"/>
                <w:i w:val="0"/>
                <w:color w:val="000000"/>
                <w:sz w:val="9"/>
              </w:rPr>
              <w:t>39999</w:t>
            </w:r>
          </w:p>
        </w:tc>
        <w:tc>
          <w:tcPr>
            <w:tcW w:w="1934" w:type="dxa"/>
            <w:vAlign w:val="center"/>
          </w:tcPr>
          <w:p>
            <w:pPr>
              <w:snapToGrid w:val="0"/>
              <w:jc w:val="left"/>
            </w:pPr>
            <w:r>
              <w:rPr>
                <w:rFonts w:ascii="宋体" w:hAnsi="宋体" w:eastAsia="宋体" w:cs="宋体"/>
                <w:b w:val="0"/>
                <w:i w:val="0"/>
                <w:color w:val="000000"/>
                <w:sz w:val="9"/>
              </w:rPr>
              <w:t xml:space="preserve">  其他支出</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1920" w:type="dxa"/>
            <w:gridSpan w:val="2"/>
            <w:vAlign w:val="center"/>
          </w:tcPr>
          <w:p>
            <w:pPr>
              <w:snapToGrid w:val="0"/>
              <w:jc w:val="center"/>
            </w:pPr>
            <w:r>
              <w:rPr>
                <w:rFonts w:ascii="宋体" w:hAnsi="宋体" w:eastAsia="宋体" w:cs="宋体"/>
                <w:b w:val="0"/>
                <w:i w:val="0"/>
                <w:color w:val="000000"/>
                <w:sz w:val="9"/>
              </w:rPr>
              <w:t>人员经费合计</w:t>
            </w:r>
          </w:p>
        </w:tc>
        <w:tc>
          <w:tcPr>
            <w:tcW w:w="820" w:type="dxa"/>
            <w:vAlign w:val="center"/>
          </w:tcPr>
          <w:p>
            <w:pPr>
              <w:snapToGrid w:val="0"/>
              <w:jc w:val="right"/>
            </w:pPr>
            <w:r>
              <w:rPr>
                <w:rFonts w:ascii="宋体" w:hAnsi="宋体" w:eastAsia="宋体" w:cs="宋体"/>
                <w:b w:val="0"/>
                <w:i w:val="0"/>
                <w:color w:val="000000"/>
                <w:sz w:val="9"/>
              </w:rPr>
              <w:t>557.06</w:t>
            </w:r>
          </w:p>
        </w:tc>
        <w:tc>
          <w:tcPr>
            <w:tcW w:w="4800" w:type="dxa"/>
            <w:gridSpan w:val="5"/>
            <w:vAlign w:val="center"/>
          </w:tcPr>
          <w:p>
            <w:pPr>
              <w:snapToGrid w:val="0"/>
              <w:jc w:val="center"/>
              <w:rPr>
                <w:rFonts w:hint="default" w:ascii="Times New Roman" w:hAnsi="Times New Roman" w:eastAsia="宋体" w:cs="Times New Roman"/>
                <w:sz w:val="24"/>
                <w:szCs w:val="24"/>
              </w:rPr>
            </w:pPr>
            <w:r>
              <w:rPr>
                <w:rFonts w:ascii="宋体" w:hAnsi="宋体" w:eastAsia="宋体" w:cs="宋体"/>
                <w:b w:val="0"/>
                <w:i w:val="0"/>
                <w:color w:val="000000"/>
                <w:sz w:val="9"/>
              </w:rPr>
              <w:t>公用经费合计</w:t>
            </w:r>
          </w:p>
        </w:tc>
        <w:tc>
          <w:tcPr>
            <w:tcW w:w="76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9"/>
              </w:rPr>
              <w:t>77.49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3"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注：本表反映部门本年度一般公共预算财政拨款基本支出明细情况。</w:t>
            </w: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180"/>
        <w:gridCol w:w="1840"/>
        <w:gridCol w:w="960"/>
        <w:gridCol w:w="940"/>
        <w:gridCol w:w="1040"/>
        <w:gridCol w:w="960"/>
        <w:gridCol w:w="960"/>
        <w:gridCol w:w="10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4"/>
            <w:vAlign w:val="center"/>
          </w:tcPr>
          <w:p>
            <w:pPr>
              <w:snapToGrid w:val="0"/>
              <w:jc w:val="center"/>
            </w:pPr>
            <w:r>
              <w:rPr>
                <w:rFonts w:ascii="宋体" w:hAnsi="宋体" w:eastAsia="宋体" w:cs="宋体"/>
                <w:b w:val="0"/>
                <w:i w:val="0"/>
                <w:color w:val="000000"/>
                <w:sz w:val="12"/>
              </w:rPr>
              <w:t>项目</w:t>
            </w:r>
          </w:p>
        </w:tc>
        <w:tc>
          <w:tcPr>
            <w:tcW w:w="960" w:type="dxa"/>
            <w:vMerge w:val="restart"/>
            <w:vAlign w:val="center"/>
          </w:tcPr>
          <w:p>
            <w:pPr>
              <w:snapToGrid w:val="0"/>
              <w:jc w:val="center"/>
            </w:pPr>
            <w:r>
              <w:rPr>
                <w:rFonts w:ascii="宋体" w:hAnsi="宋体" w:eastAsia="宋体" w:cs="宋体"/>
                <w:b w:val="0"/>
                <w:i w:val="0"/>
                <w:color w:val="000000"/>
                <w:sz w:val="11"/>
              </w:rPr>
              <w:t>年初结转和结余</w:t>
            </w:r>
          </w:p>
        </w:tc>
        <w:tc>
          <w:tcPr>
            <w:tcW w:w="940" w:type="dxa"/>
            <w:vMerge w:val="restart"/>
            <w:vAlign w:val="center"/>
          </w:tcPr>
          <w:p>
            <w:pPr>
              <w:snapToGrid w:val="0"/>
              <w:jc w:val="center"/>
            </w:pPr>
            <w:r>
              <w:rPr>
                <w:rFonts w:ascii="宋体" w:hAnsi="宋体" w:eastAsia="宋体" w:cs="宋体"/>
                <w:b w:val="0"/>
                <w:i w:val="0"/>
                <w:color w:val="000000"/>
                <w:sz w:val="11"/>
              </w:rPr>
              <w:t>本年收入</w:t>
            </w:r>
          </w:p>
        </w:tc>
        <w:tc>
          <w:tcPr>
            <w:tcW w:w="1040" w:type="dxa"/>
            <w:gridSpan w:val="3"/>
            <w:vAlign w:val="center"/>
          </w:tcPr>
          <w:p>
            <w:pPr>
              <w:snapToGrid w:val="0"/>
              <w:jc w:val="center"/>
            </w:pPr>
            <w:r>
              <w:rPr>
                <w:rFonts w:ascii="宋体" w:hAnsi="宋体" w:eastAsia="宋体" w:cs="宋体"/>
                <w:b w:val="0"/>
                <w:i w:val="0"/>
                <w:color w:val="000000"/>
                <w:sz w:val="11"/>
              </w:rPr>
              <w:t>本年支出</w:t>
            </w:r>
          </w:p>
        </w:tc>
        <w:tc>
          <w:tcPr>
            <w:tcW w:w="1066" w:type="dxa"/>
            <w:vMerge w:val="restart"/>
            <w:vAlign w:val="center"/>
          </w:tcPr>
          <w:p>
            <w:pPr>
              <w:snapToGrid w:val="0"/>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3"/>
            <w:vMerge w:val="restart"/>
            <w:vAlign w:val="center"/>
          </w:tcPr>
          <w:p>
            <w:pPr>
              <w:snapToGrid w:val="0"/>
              <w:jc w:val="center"/>
            </w:pPr>
            <w:r>
              <w:rPr>
                <w:rFonts w:ascii="宋体" w:hAnsi="宋体" w:eastAsia="宋体" w:cs="宋体"/>
                <w:b w:val="0"/>
                <w:i w:val="0"/>
                <w:color w:val="000000"/>
                <w:sz w:val="12"/>
              </w:rPr>
              <w:t>科目编码</w:t>
            </w:r>
          </w:p>
        </w:tc>
        <w:tc>
          <w:tcPr>
            <w:tcW w:w="1840" w:type="dxa"/>
            <w:vMerge w:val="restart"/>
            <w:vAlign w:val="center"/>
          </w:tcPr>
          <w:p>
            <w:pPr>
              <w:snapToGrid w:val="0"/>
              <w:jc w:val="center"/>
            </w:pPr>
            <w:r>
              <w:rPr>
                <w:rFonts w:ascii="宋体" w:hAnsi="宋体" w:eastAsia="宋体" w:cs="宋体"/>
                <w:b w:val="0"/>
                <w:i w:val="0"/>
                <w:color w:val="000000"/>
                <w:sz w:val="12"/>
              </w:rPr>
              <w:t>科目名称</w:t>
            </w:r>
          </w:p>
        </w:tc>
        <w:tc>
          <w:tcPr>
            <w:tcW w:w="960" w:type="dxa"/>
            <w:vMerge w:val="continue"/>
            <w:vAlign w:val="center"/>
          </w:tcPr>
          <w:p/>
        </w:tc>
        <w:tc>
          <w:tcPr>
            <w:tcW w:w="940" w:type="dxa"/>
            <w:vMerge w:val="continue"/>
            <w:vAlign w:val="center"/>
          </w:tcPr>
          <w:p/>
        </w:tc>
        <w:tc>
          <w:tcPr>
            <w:tcW w:w="1040" w:type="dxa"/>
            <w:vMerge w:val="restart"/>
            <w:vAlign w:val="center"/>
          </w:tcPr>
          <w:p>
            <w:pPr>
              <w:snapToGrid w:val="0"/>
              <w:jc w:val="center"/>
            </w:pPr>
            <w:r>
              <w:rPr>
                <w:rFonts w:ascii="宋体" w:hAnsi="宋体" w:eastAsia="宋体" w:cs="宋体"/>
                <w:b w:val="0"/>
                <w:i w:val="0"/>
                <w:color w:val="000000"/>
                <w:sz w:val="11"/>
              </w:rPr>
              <w:t>小计</w:t>
            </w:r>
          </w:p>
        </w:tc>
        <w:tc>
          <w:tcPr>
            <w:tcW w:w="960" w:type="dxa"/>
            <w:vMerge w:val="restart"/>
            <w:vAlign w:val="center"/>
          </w:tcPr>
          <w:p>
            <w:pPr>
              <w:snapToGrid w:val="0"/>
              <w:jc w:val="center"/>
            </w:pPr>
            <w:r>
              <w:rPr>
                <w:rFonts w:ascii="宋体" w:hAnsi="宋体" w:eastAsia="宋体" w:cs="宋体"/>
                <w:b w:val="0"/>
                <w:i w:val="0"/>
                <w:color w:val="000000"/>
                <w:sz w:val="12"/>
              </w:rPr>
              <w:t>基本支出</w:t>
            </w:r>
          </w:p>
        </w:tc>
        <w:tc>
          <w:tcPr>
            <w:tcW w:w="960" w:type="dxa"/>
            <w:vMerge w:val="restart"/>
            <w:vAlign w:val="center"/>
          </w:tcPr>
          <w:p>
            <w:pPr>
              <w:snapToGrid w:val="0"/>
              <w:jc w:val="center"/>
            </w:pPr>
            <w:r>
              <w:rPr>
                <w:rFonts w:ascii="宋体" w:hAnsi="宋体" w:eastAsia="宋体" w:cs="宋体"/>
                <w:b w:val="0"/>
                <w:i w:val="0"/>
                <w:color w:val="000000"/>
                <w:sz w:val="12"/>
              </w:rPr>
              <w:t>项目支出</w:t>
            </w:r>
          </w:p>
        </w:tc>
        <w:tc>
          <w:tcPr>
            <w:tcW w:w="10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3"/>
            <w:vMerge w:val="continue"/>
            <w:vAlign w:val="center"/>
          </w:tcPr>
          <w:p/>
        </w:tc>
        <w:tc>
          <w:tcPr>
            <w:tcW w:w="1840" w:type="dxa"/>
            <w:vMerge w:val="continue"/>
            <w:vAlign w:val="center"/>
          </w:tcPr>
          <w:p/>
        </w:tc>
        <w:tc>
          <w:tcPr>
            <w:tcW w:w="960" w:type="dxa"/>
            <w:vMerge w:val="continue"/>
            <w:vAlign w:val="center"/>
          </w:tcPr>
          <w:p/>
        </w:tc>
        <w:tc>
          <w:tcPr>
            <w:tcW w:w="940" w:type="dxa"/>
            <w:vMerge w:val="continue"/>
            <w:vAlign w:val="center"/>
          </w:tcPr>
          <w:p/>
        </w:tc>
        <w:tc>
          <w:tcPr>
            <w:tcW w:w="1040" w:type="dxa"/>
            <w:vMerge w:val="continue"/>
            <w:vAlign w:val="center"/>
          </w:tcPr>
          <w:p/>
        </w:tc>
        <w:tc>
          <w:tcPr>
            <w:tcW w:w="960" w:type="dxa"/>
            <w:vMerge w:val="continue"/>
            <w:vAlign w:val="center"/>
          </w:tcPr>
          <w:p/>
        </w:tc>
        <w:tc>
          <w:tcPr>
            <w:tcW w:w="960" w:type="dxa"/>
            <w:vMerge w:val="continue"/>
            <w:vAlign w:val="center"/>
          </w:tcPr>
          <w:p/>
        </w:tc>
        <w:tc>
          <w:tcPr>
            <w:tcW w:w="10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3"/>
            <w:vMerge w:val="continue"/>
            <w:vAlign w:val="center"/>
          </w:tcPr>
          <w:p/>
        </w:tc>
        <w:tc>
          <w:tcPr>
            <w:tcW w:w="1840" w:type="dxa"/>
            <w:vMerge w:val="continue"/>
            <w:vAlign w:val="center"/>
          </w:tcPr>
          <w:p/>
        </w:tc>
        <w:tc>
          <w:tcPr>
            <w:tcW w:w="960" w:type="dxa"/>
            <w:vMerge w:val="continue"/>
            <w:vAlign w:val="center"/>
          </w:tcPr>
          <w:p/>
        </w:tc>
        <w:tc>
          <w:tcPr>
            <w:tcW w:w="940" w:type="dxa"/>
            <w:vMerge w:val="continue"/>
            <w:vAlign w:val="center"/>
          </w:tcPr>
          <w:p/>
        </w:tc>
        <w:tc>
          <w:tcPr>
            <w:tcW w:w="1040" w:type="dxa"/>
            <w:vMerge w:val="continue"/>
            <w:vAlign w:val="center"/>
          </w:tcPr>
          <w:p/>
        </w:tc>
        <w:tc>
          <w:tcPr>
            <w:tcW w:w="960" w:type="dxa"/>
            <w:vMerge w:val="continue"/>
            <w:vAlign w:val="center"/>
          </w:tcPr>
          <w:p/>
        </w:tc>
        <w:tc>
          <w:tcPr>
            <w:tcW w:w="960" w:type="dxa"/>
            <w:vMerge w:val="continue"/>
            <w:vAlign w:val="center"/>
          </w:tcPr>
          <w:p/>
        </w:tc>
        <w:tc>
          <w:tcPr>
            <w:tcW w:w="10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vMerge w:val="restart"/>
            <w:vAlign w:val="center"/>
          </w:tcPr>
          <w:p>
            <w:pPr>
              <w:snapToGrid w:val="0"/>
              <w:jc w:val="center"/>
            </w:pPr>
            <w:r>
              <w:rPr>
                <w:rFonts w:ascii="宋体" w:hAnsi="宋体" w:eastAsia="宋体" w:cs="宋体"/>
                <w:b w:val="0"/>
                <w:i w:val="0"/>
                <w:color w:val="000000"/>
                <w:sz w:val="12"/>
              </w:rPr>
              <w:t>类</w:t>
            </w:r>
          </w:p>
        </w:tc>
        <w:tc>
          <w:tcPr>
            <w:tcW w:w="180" w:type="dxa"/>
            <w:vMerge w:val="restart"/>
            <w:vAlign w:val="center"/>
          </w:tcPr>
          <w:p>
            <w:pPr>
              <w:snapToGrid w:val="0"/>
              <w:jc w:val="center"/>
            </w:pPr>
            <w:r>
              <w:rPr>
                <w:rFonts w:ascii="宋体" w:hAnsi="宋体" w:eastAsia="宋体" w:cs="宋体"/>
                <w:b w:val="0"/>
                <w:i w:val="0"/>
                <w:color w:val="000000"/>
                <w:sz w:val="12"/>
              </w:rPr>
              <w:t>款</w:t>
            </w:r>
          </w:p>
        </w:tc>
        <w:tc>
          <w:tcPr>
            <w:tcW w:w="180" w:type="dxa"/>
            <w:vMerge w:val="restart"/>
            <w:vAlign w:val="center"/>
          </w:tcPr>
          <w:p>
            <w:pPr>
              <w:snapToGrid w:val="0"/>
              <w:jc w:val="center"/>
            </w:pPr>
            <w:r>
              <w:rPr>
                <w:rFonts w:ascii="宋体" w:hAnsi="宋体" w:eastAsia="宋体" w:cs="宋体"/>
                <w:b w:val="0"/>
                <w:i w:val="0"/>
                <w:color w:val="000000"/>
                <w:sz w:val="12"/>
              </w:rPr>
              <w:t>项</w:t>
            </w:r>
          </w:p>
        </w:tc>
        <w:tc>
          <w:tcPr>
            <w:tcW w:w="1840" w:type="dxa"/>
            <w:vAlign w:val="center"/>
          </w:tcPr>
          <w:p>
            <w:pPr>
              <w:snapToGrid w:val="0"/>
              <w:jc w:val="center"/>
            </w:pPr>
            <w:r>
              <w:rPr>
                <w:rFonts w:ascii="宋体" w:hAnsi="宋体" w:eastAsia="宋体" w:cs="宋体"/>
                <w:b w:val="0"/>
                <w:i w:val="0"/>
                <w:color w:val="000000"/>
                <w:sz w:val="12"/>
              </w:rPr>
              <w:t>栏次</w:t>
            </w:r>
          </w:p>
        </w:tc>
        <w:tc>
          <w:tcPr>
            <w:tcW w:w="960" w:type="dxa"/>
            <w:vAlign w:val="center"/>
          </w:tcPr>
          <w:p>
            <w:pPr>
              <w:snapToGrid w:val="0"/>
              <w:jc w:val="center"/>
            </w:pPr>
            <w:r>
              <w:rPr>
                <w:rFonts w:ascii="宋体" w:hAnsi="宋体" w:eastAsia="宋体" w:cs="宋体"/>
                <w:b w:val="0"/>
                <w:i w:val="0"/>
                <w:color w:val="000000"/>
                <w:sz w:val="11"/>
              </w:rPr>
              <w:t>1</w:t>
            </w:r>
          </w:p>
        </w:tc>
        <w:tc>
          <w:tcPr>
            <w:tcW w:w="940" w:type="dxa"/>
            <w:vAlign w:val="center"/>
          </w:tcPr>
          <w:p>
            <w:pPr>
              <w:snapToGrid w:val="0"/>
              <w:jc w:val="center"/>
            </w:pPr>
            <w:r>
              <w:rPr>
                <w:rFonts w:ascii="宋体" w:hAnsi="宋体" w:eastAsia="宋体" w:cs="宋体"/>
                <w:b w:val="0"/>
                <w:i w:val="0"/>
                <w:color w:val="000000"/>
                <w:sz w:val="11"/>
              </w:rPr>
              <w:t>2</w:t>
            </w:r>
          </w:p>
        </w:tc>
        <w:tc>
          <w:tcPr>
            <w:tcW w:w="1040" w:type="dxa"/>
            <w:vAlign w:val="center"/>
          </w:tcPr>
          <w:p>
            <w:pPr>
              <w:snapToGrid w:val="0"/>
              <w:jc w:val="center"/>
            </w:pPr>
            <w:r>
              <w:rPr>
                <w:rFonts w:ascii="宋体" w:hAnsi="宋体" w:eastAsia="宋体" w:cs="宋体"/>
                <w:b w:val="0"/>
                <w:i w:val="0"/>
                <w:color w:val="000000"/>
                <w:sz w:val="11"/>
              </w:rPr>
              <w:t>3</w:t>
            </w:r>
          </w:p>
        </w:tc>
        <w:tc>
          <w:tcPr>
            <w:tcW w:w="960" w:type="dxa"/>
            <w:vAlign w:val="center"/>
          </w:tcPr>
          <w:p>
            <w:pPr>
              <w:snapToGrid w:val="0"/>
              <w:jc w:val="center"/>
            </w:pPr>
            <w:r>
              <w:rPr>
                <w:rFonts w:ascii="宋体" w:hAnsi="宋体" w:eastAsia="宋体" w:cs="宋体"/>
                <w:b w:val="0"/>
                <w:i w:val="0"/>
                <w:color w:val="000000"/>
                <w:sz w:val="12"/>
              </w:rPr>
              <w:t>4</w:t>
            </w:r>
          </w:p>
        </w:tc>
        <w:tc>
          <w:tcPr>
            <w:tcW w:w="960" w:type="dxa"/>
            <w:vAlign w:val="center"/>
          </w:tcPr>
          <w:p>
            <w:pPr>
              <w:snapToGrid w:val="0"/>
              <w:jc w:val="center"/>
            </w:pPr>
            <w:r>
              <w:rPr>
                <w:rFonts w:ascii="宋体" w:hAnsi="宋体" w:eastAsia="宋体" w:cs="宋体"/>
                <w:b w:val="0"/>
                <w:i w:val="0"/>
                <w:color w:val="000000"/>
                <w:sz w:val="12"/>
              </w:rPr>
              <w:t>5</w:t>
            </w:r>
          </w:p>
        </w:tc>
        <w:tc>
          <w:tcPr>
            <w:tcW w:w="1066" w:type="dxa"/>
            <w:vAlign w:val="center"/>
          </w:tcPr>
          <w:p>
            <w:pPr>
              <w:snapToGrid w:val="0"/>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vMerge w:val="continue"/>
            <w:vAlign w:val="center"/>
          </w:tcPr>
          <w:p/>
        </w:tc>
        <w:tc>
          <w:tcPr>
            <w:tcW w:w="180" w:type="dxa"/>
            <w:vMerge w:val="continue"/>
            <w:vAlign w:val="center"/>
          </w:tcPr>
          <w:p/>
        </w:tc>
        <w:tc>
          <w:tcPr>
            <w:tcW w:w="180" w:type="dxa"/>
            <w:vMerge w:val="continue"/>
            <w:vAlign w:val="center"/>
          </w:tcPr>
          <w:p/>
        </w:tc>
        <w:tc>
          <w:tcPr>
            <w:tcW w:w="1840" w:type="dxa"/>
            <w:vAlign w:val="center"/>
          </w:tcPr>
          <w:p>
            <w:pPr>
              <w:snapToGrid w:val="0"/>
              <w:jc w:val="center"/>
            </w:pPr>
            <w:r>
              <w:rPr>
                <w:rFonts w:ascii="宋体" w:hAnsi="宋体" w:eastAsia="宋体" w:cs="宋体"/>
                <w:b w:val="0"/>
                <w:i w:val="0"/>
                <w:color w:val="000000"/>
                <w:sz w:val="11"/>
              </w:rPr>
              <w:t>合计</w:t>
            </w:r>
          </w:p>
        </w:tc>
        <w:tc>
          <w:tcPr>
            <w:tcW w:w="960" w:type="dxa"/>
            <w:vAlign w:val="center"/>
          </w:tcPr>
          <w:p>
            <w:pPr>
              <w:snapToGrid w:val="0"/>
              <w:jc w:val="left"/>
            </w:pPr>
          </w:p>
        </w:tc>
        <w:tc>
          <w:tcPr>
            <w:tcW w:w="940" w:type="dxa"/>
            <w:vAlign w:val="center"/>
          </w:tcPr>
          <w:p>
            <w:pPr>
              <w:snapToGrid w:val="0"/>
              <w:jc w:val="right"/>
            </w:pPr>
          </w:p>
        </w:tc>
        <w:tc>
          <w:tcPr>
            <w:tcW w:w="1040" w:type="dxa"/>
            <w:vAlign w:val="center"/>
          </w:tcPr>
          <w:p>
            <w:pPr>
              <w:snapToGrid w:val="0"/>
              <w:jc w:val="right"/>
            </w:pPr>
          </w:p>
        </w:tc>
        <w:tc>
          <w:tcPr>
            <w:tcW w:w="960" w:type="dxa"/>
            <w:vAlign w:val="center"/>
          </w:tcPr>
          <w:p>
            <w:pPr>
              <w:snapToGrid w:val="0"/>
              <w:jc w:val="right"/>
            </w:pPr>
          </w:p>
        </w:tc>
        <w:tc>
          <w:tcPr>
            <w:tcW w:w="960" w:type="dxa"/>
            <w:vAlign w:val="center"/>
          </w:tcPr>
          <w:p>
            <w:pPr>
              <w:snapToGrid w:val="0"/>
              <w:jc w:val="right"/>
            </w:pPr>
          </w:p>
        </w:tc>
        <w:tc>
          <w:tcPr>
            <w:tcW w:w="1066" w:type="dxa"/>
            <w:vAlign w:val="center"/>
          </w:tcPr>
          <w:p>
            <w:pPr>
              <w:snapToGrid w:val="0"/>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3"/>
            <w:vAlign w:val="center"/>
          </w:tcPr>
          <w:p/>
        </w:tc>
        <w:tc>
          <w:tcPr>
            <w:tcW w:w="1840" w:type="dxa"/>
            <w:vAlign w:val="center"/>
          </w:tcPr>
          <w:p/>
        </w:tc>
        <w:tc>
          <w:tcPr>
            <w:tcW w:w="960" w:type="dxa"/>
            <w:vAlign w:val="center"/>
          </w:tcPr>
          <w:p/>
        </w:tc>
        <w:tc>
          <w:tcPr>
            <w:tcW w:w="940" w:type="dxa"/>
            <w:vAlign w:val="center"/>
          </w:tcPr>
          <w:p/>
        </w:tc>
        <w:tc>
          <w:tcPr>
            <w:tcW w:w="1040" w:type="dxa"/>
            <w:vAlign w:val="center"/>
          </w:tcPr>
          <w:p/>
        </w:tc>
        <w:tc>
          <w:tcPr>
            <w:tcW w:w="960" w:type="dxa"/>
            <w:vAlign w:val="center"/>
          </w:tcPr>
          <w:p/>
        </w:tc>
        <w:tc>
          <w:tcPr>
            <w:tcW w:w="960" w:type="dxa"/>
            <w:vAlign w:val="center"/>
          </w:tcPr>
          <w:p/>
        </w:tc>
        <w:tc>
          <w:tcPr>
            <w:tcW w:w="10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8" w:hRule="exact"/>
          <w:jc w:val="center"/>
        </w:trPr>
        <w:tc>
          <w:tcPr>
            <w:tcW w:w="18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注：本表反映部门本年度政府性基金预算财政拨款收入、支出及结转和结余情况。</w:t>
            </w:r>
          </w:p>
        </w:tc>
        <w:tc>
          <w:tcPr>
            <w:tcW w:w="1066" w:type="dxa"/>
            <w:tcBorders>
              <w:left w:val="single" w:color="FFFFFF" w:sz="4" w:space="0"/>
              <w:bottom w:val="single" w:color="FFFFFF" w:sz="4" w:space="0"/>
              <w:right w:val="single" w:color="FFFFFF" w:sz="4" w:space="0"/>
              <w:insideH w:val="single" w:sz="4" w:space="0"/>
              <w:insideV w:val="single" w:sz="4" w:space="0"/>
            </w:tcBorders>
            <w:vAlign w:val="center"/>
          </w:tcPr>
          <w:p/>
        </w:tc>
      </w:tr>
    </w:tbl>
    <w:p>
      <w:pPr>
        <w:snapToGrid w:val="0"/>
        <w:spacing w:before="0" w:after="0" w:line="0" w:lineRule="auto"/>
      </w:pPr>
      <w:r>
        <w:rPr>
          <w:sz w:val="8"/>
        </w:rPr>
        <w:t xml:space="preserve"> </w:t>
      </w: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80"/>
        <w:gridCol w:w="280"/>
        <w:gridCol w:w="3280"/>
        <w:gridCol w:w="1400"/>
        <w:gridCol w:w="1400"/>
        <w:gridCol w:w="13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4"/>
            <w:vAlign w:val="center"/>
          </w:tcPr>
          <w:p>
            <w:pPr>
              <w:snapToGrid w:val="0"/>
              <w:jc w:val="center"/>
            </w:pPr>
            <w:r>
              <w:rPr>
                <w:rFonts w:ascii="宋体" w:hAnsi="宋体" w:eastAsia="宋体" w:cs="宋体"/>
                <w:b w:val="0"/>
                <w:i w:val="0"/>
                <w:color w:val="000000"/>
                <w:sz w:val="18"/>
              </w:rPr>
              <w:t>项目</w:t>
            </w:r>
          </w:p>
        </w:tc>
        <w:tc>
          <w:tcPr>
            <w:tcW w:w="1400" w:type="dxa"/>
            <w:gridSpan w:val="3"/>
            <w:vAlign w:val="center"/>
          </w:tcPr>
          <w:p>
            <w:pPr>
              <w:snapToGrid w:val="0"/>
              <w:jc w:val="center"/>
            </w:pPr>
            <w:r>
              <w:rPr>
                <w:rFonts w:ascii="宋体" w:hAnsi="宋体" w:eastAsia="宋体" w:cs="宋体"/>
                <w:b w:val="0"/>
                <w:i w:val="0"/>
                <w:color w:val="000000"/>
                <w:sz w:val="1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3"/>
            <w:vMerge w:val="restart"/>
            <w:vAlign w:val="center"/>
          </w:tcPr>
          <w:p>
            <w:pPr>
              <w:snapToGrid w:val="0"/>
              <w:jc w:val="center"/>
            </w:pPr>
            <w:r>
              <w:rPr>
                <w:rFonts w:ascii="宋体" w:hAnsi="宋体" w:eastAsia="宋体" w:cs="宋体"/>
                <w:b w:val="0"/>
                <w:i w:val="0"/>
                <w:color w:val="000000"/>
                <w:sz w:val="18"/>
              </w:rPr>
              <w:t>科目编码</w:t>
            </w:r>
          </w:p>
        </w:tc>
        <w:tc>
          <w:tcPr>
            <w:tcW w:w="3280" w:type="dxa"/>
            <w:vMerge w:val="restart"/>
            <w:vAlign w:val="center"/>
          </w:tcPr>
          <w:p>
            <w:pPr>
              <w:snapToGrid w:val="0"/>
              <w:jc w:val="center"/>
            </w:pPr>
            <w:r>
              <w:rPr>
                <w:rFonts w:ascii="宋体" w:hAnsi="宋体" w:eastAsia="宋体" w:cs="宋体"/>
                <w:b w:val="0"/>
                <w:i w:val="0"/>
                <w:color w:val="000000"/>
                <w:sz w:val="18"/>
              </w:rPr>
              <w:t>科目名称</w:t>
            </w:r>
          </w:p>
        </w:tc>
        <w:tc>
          <w:tcPr>
            <w:tcW w:w="1400" w:type="dxa"/>
            <w:vMerge w:val="restart"/>
            <w:vAlign w:val="center"/>
          </w:tcPr>
          <w:p>
            <w:pPr>
              <w:snapToGrid w:val="0"/>
              <w:jc w:val="center"/>
            </w:pPr>
            <w:r>
              <w:rPr>
                <w:rFonts w:ascii="宋体" w:hAnsi="宋体" w:eastAsia="宋体" w:cs="宋体"/>
                <w:b w:val="0"/>
                <w:i w:val="0"/>
                <w:color w:val="000000"/>
                <w:sz w:val="18"/>
              </w:rPr>
              <w:t>合计</w:t>
            </w:r>
          </w:p>
        </w:tc>
        <w:tc>
          <w:tcPr>
            <w:tcW w:w="1400" w:type="dxa"/>
            <w:vMerge w:val="restart"/>
            <w:vAlign w:val="center"/>
          </w:tcPr>
          <w:p>
            <w:pPr>
              <w:snapToGrid w:val="0"/>
              <w:jc w:val="center"/>
            </w:pPr>
            <w:r>
              <w:rPr>
                <w:rFonts w:ascii="宋体" w:hAnsi="宋体" w:eastAsia="宋体" w:cs="宋体"/>
                <w:b w:val="0"/>
                <w:i w:val="0"/>
                <w:color w:val="000000"/>
                <w:sz w:val="18"/>
              </w:rPr>
              <w:t>基本支出</w:t>
            </w:r>
          </w:p>
        </w:tc>
        <w:tc>
          <w:tcPr>
            <w:tcW w:w="1386" w:type="dxa"/>
            <w:vMerge w:val="restart"/>
            <w:vAlign w:val="center"/>
          </w:tcPr>
          <w:p>
            <w:pPr>
              <w:snapToGrid w:val="0"/>
              <w:jc w:val="center"/>
            </w:pPr>
            <w:r>
              <w:rPr>
                <w:rFonts w:ascii="宋体" w:hAnsi="宋体" w:eastAsia="宋体" w:cs="宋体"/>
                <w:b w:val="0"/>
                <w:i w:val="0"/>
                <w:color w:val="000000"/>
                <w:sz w:val="1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3"/>
            <w:vMerge w:val="continue"/>
            <w:vAlign w:val="center"/>
          </w:tcPr>
          <w:p/>
        </w:tc>
        <w:tc>
          <w:tcPr>
            <w:tcW w:w="3280" w:type="dxa"/>
            <w:vMerge w:val="continue"/>
            <w:vAlign w:val="center"/>
          </w:tcPr>
          <w:p/>
        </w:tc>
        <w:tc>
          <w:tcPr>
            <w:tcW w:w="1400" w:type="dxa"/>
            <w:vMerge w:val="continue"/>
            <w:vAlign w:val="center"/>
          </w:tcPr>
          <w:p/>
        </w:tc>
        <w:tc>
          <w:tcPr>
            <w:tcW w:w="1400" w:type="dxa"/>
            <w:vMerge w:val="continue"/>
            <w:vAlign w:val="center"/>
          </w:tcPr>
          <w:p/>
        </w:tc>
        <w:tc>
          <w:tcPr>
            <w:tcW w:w="13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3"/>
            <w:vMerge w:val="continue"/>
            <w:vAlign w:val="center"/>
          </w:tcPr>
          <w:p/>
        </w:tc>
        <w:tc>
          <w:tcPr>
            <w:tcW w:w="3280" w:type="dxa"/>
            <w:vMerge w:val="continue"/>
            <w:vAlign w:val="center"/>
          </w:tcPr>
          <w:p/>
        </w:tc>
        <w:tc>
          <w:tcPr>
            <w:tcW w:w="1400" w:type="dxa"/>
            <w:vMerge w:val="continue"/>
            <w:vAlign w:val="center"/>
          </w:tcPr>
          <w:p/>
        </w:tc>
        <w:tc>
          <w:tcPr>
            <w:tcW w:w="1400" w:type="dxa"/>
            <w:vMerge w:val="continue"/>
            <w:vAlign w:val="center"/>
          </w:tcPr>
          <w:p/>
        </w:tc>
        <w:tc>
          <w:tcPr>
            <w:tcW w:w="13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restart"/>
            <w:vAlign w:val="center"/>
          </w:tcPr>
          <w:p>
            <w:pPr>
              <w:snapToGrid w:val="0"/>
              <w:jc w:val="center"/>
            </w:pPr>
            <w:r>
              <w:rPr>
                <w:rFonts w:ascii="宋体" w:hAnsi="宋体" w:eastAsia="宋体" w:cs="宋体"/>
                <w:b w:val="0"/>
                <w:i w:val="0"/>
                <w:color w:val="000000"/>
                <w:sz w:val="18"/>
              </w:rPr>
              <w:t>类</w:t>
            </w:r>
          </w:p>
        </w:tc>
        <w:tc>
          <w:tcPr>
            <w:tcW w:w="280" w:type="dxa"/>
            <w:vMerge w:val="restart"/>
            <w:vAlign w:val="center"/>
          </w:tcPr>
          <w:p>
            <w:pPr>
              <w:snapToGrid w:val="0"/>
              <w:jc w:val="center"/>
            </w:pPr>
            <w:r>
              <w:rPr>
                <w:rFonts w:ascii="宋体" w:hAnsi="宋体" w:eastAsia="宋体" w:cs="宋体"/>
                <w:b w:val="0"/>
                <w:i w:val="0"/>
                <w:color w:val="000000"/>
                <w:sz w:val="18"/>
              </w:rPr>
              <w:t>款</w:t>
            </w:r>
          </w:p>
        </w:tc>
        <w:tc>
          <w:tcPr>
            <w:tcW w:w="280" w:type="dxa"/>
            <w:vMerge w:val="restart"/>
            <w:vAlign w:val="center"/>
          </w:tcPr>
          <w:p>
            <w:pPr>
              <w:snapToGrid w:val="0"/>
              <w:jc w:val="center"/>
            </w:pPr>
            <w:r>
              <w:rPr>
                <w:rFonts w:ascii="宋体" w:hAnsi="宋体" w:eastAsia="宋体" w:cs="宋体"/>
                <w:b w:val="0"/>
                <w:i w:val="0"/>
                <w:color w:val="000000"/>
                <w:sz w:val="18"/>
              </w:rPr>
              <w:t>项</w:t>
            </w:r>
          </w:p>
        </w:tc>
        <w:tc>
          <w:tcPr>
            <w:tcW w:w="3280" w:type="dxa"/>
            <w:vAlign w:val="center"/>
          </w:tcPr>
          <w:p>
            <w:pPr>
              <w:snapToGrid w:val="0"/>
              <w:jc w:val="center"/>
            </w:pPr>
            <w:r>
              <w:rPr>
                <w:rFonts w:ascii="宋体" w:hAnsi="宋体" w:eastAsia="宋体" w:cs="宋体"/>
                <w:b w:val="0"/>
                <w:i w:val="0"/>
                <w:color w:val="000000"/>
                <w:sz w:val="18"/>
              </w:rPr>
              <w:t>栏次</w:t>
            </w:r>
          </w:p>
        </w:tc>
        <w:tc>
          <w:tcPr>
            <w:tcW w:w="1400" w:type="dxa"/>
            <w:vAlign w:val="center"/>
          </w:tcPr>
          <w:p>
            <w:pPr>
              <w:snapToGrid w:val="0"/>
              <w:jc w:val="center"/>
            </w:pPr>
            <w:r>
              <w:rPr>
                <w:rFonts w:ascii="宋体" w:hAnsi="宋体" w:eastAsia="宋体" w:cs="宋体"/>
                <w:b w:val="0"/>
                <w:i w:val="0"/>
                <w:color w:val="000000"/>
                <w:sz w:val="18"/>
              </w:rPr>
              <w:t>1</w:t>
            </w:r>
          </w:p>
        </w:tc>
        <w:tc>
          <w:tcPr>
            <w:tcW w:w="1400" w:type="dxa"/>
            <w:vAlign w:val="center"/>
          </w:tcPr>
          <w:p>
            <w:pPr>
              <w:snapToGrid w:val="0"/>
              <w:jc w:val="center"/>
            </w:pPr>
            <w:r>
              <w:rPr>
                <w:rFonts w:ascii="宋体" w:hAnsi="宋体" w:eastAsia="宋体" w:cs="宋体"/>
                <w:b w:val="0"/>
                <w:i w:val="0"/>
                <w:color w:val="000000"/>
                <w:sz w:val="18"/>
              </w:rPr>
              <w:t>2</w:t>
            </w:r>
          </w:p>
        </w:tc>
        <w:tc>
          <w:tcPr>
            <w:tcW w:w="1386" w:type="dxa"/>
            <w:vAlign w:val="center"/>
          </w:tcPr>
          <w:p>
            <w:pPr>
              <w:snapToGrid w:val="0"/>
              <w:jc w:val="center"/>
            </w:pPr>
            <w:r>
              <w:rPr>
                <w:rFonts w:ascii="宋体" w:hAnsi="宋体" w:eastAsia="宋体" w:cs="宋体"/>
                <w:b w:val="0"/>
                <w:i w:val="0"/>
                <w:color w:val="000000"/>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vMerge w:val="continue"/>
            <w:vAlign w:val="center"/>
          </w:tcPr>
          <w:p/>
        </w:tc>
        <w:tc>
          <w:tcPr>
            <w:tcW w:w="280" w:type="dxa"/>
            <w:vMerge w:val="continue"/>
            <w:vAlign w:val="center"/>
          </w:tcPr>
          <w:p/>
        </w:tc>
        <w:tc>
          <w:tcPr>
            <w:tcW w:w="280" w:type="dxa"/>
            <w:vMerge w:val="continue"/>
            <w:vAlign w:val="center"/>
          </w:tcPr>
          <w:p/>
        </w:tc>
        <w:tc>
          <w:tcPr>
            <w:tcW w:w="3280" w:type="dxa"/>
            <w:vAlign w:val="center"/>
          </w:tcPr>
          <w:p>
            <w:pPr>
              <w:snapToGrid w:val="0"/>
              <w:jc w:val="center"/>
            </w:pPr>
            <w:r>
              <w:rPr>
                <w:rFonts w:ascii="宋体" w:hAnsi="宋体" w:eastAsia="宋体" w:cs="宋体"/>
                <w:b w:val="0"/>
                <w:i w:val="0"/>
                <w:color w:val="000000"/>
                <w:sz w:val="18"/>
              </w:rPr>
              <w:t>合计</w:t>
            </w:r>
          </w:p>
        </w:tc>
        <w:tc>
          <w:tcPr>
            <w:tcW w:w="1400" w:type="dxa"/>
            <w:vAlign w:val="center"/>
          </w:tcPr>
          <w:p>
            <w:pPr>
              <w:snapToGrid w:val="0"/>
              <w:jc w:val="right"/>
            </w:pPr>
          </w:p>
        </w:tc>
        <w:tc>
          <w:tcPr>
            <w:tcW w:w="1400" w:type="dxa"/>
            <w:vAlign w:val="center"/>
          </w:tcPr>
          <w:p>
            <w:pPr>
              <w:snapToGrid w:val="0"/>
              <w:jc w:val="right"/>
            </w:pPr>
          </w:p>
        </w:tc>
        <w:tc>
          <w:tcPr>
            <w:tcW w:w="1386" w:type="dxa"/>
            <w:vAlign w:val="center"/>
          </w:tcPr>
          <w:p>
            <w:pPr>
              <w:snapToGrid w:val="0"/>
              <w:jc w:val="righ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3"/>
            <w:vAlign w:val="center"/>
          </w:tcPr>
          <w:p/>
        </w:tc>
        <w:tc>
          <w:tcPr>
            <w:tcW w:w="3280" w:type="dxa"/>
            <w:vAlign w:val="center"/>
          </w:tcPr>
          <w:p/>
        </w:tc>
        <w:tc>
          <w:tcPr>
            <w:tcW w:w="1400" w:type="dxa"/>
            <w:vAlign w:val="center"/>
          </w:tcPr>
          <w:p/>
        </w:tc>
        <w:tc>
          <w:tcPr>
            <w:tcW w:w="1400" w:type="dxa"/>
            <w:vAlign w:val="center"/>
          </w:tcPr>
          <w:p/>
        </w:tc>
        <w:tc>
          <w:tcPr>
            <w:tcW w:w="13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8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注：本表反映部门本年度国有资本经营预算财政拨款支出情况。</w:t>
            </w:r>
          </w:p>
        </w:tc>
        <w:tc>
          <w:tcPr>
            <w:tcW w:w="1386" w:type="dxa"/>
            <w:tcBorders>
              <w:left w:val="single" w:color="FFFFFF" w:sz="4" w:space="0"/>
              <w:bottom w:val="single" w:color="FFFFFF" w:sz="4" w:space="0"/>
              <w:right w:val="single" w:color="FFFFFF" w:sz="4" w:space="0"/>
              <w:insideH w:val="single" w:sz="4" w:space="0"/>
              <w:insideV w:val="single" w:sz="4" w:space="0"/>
            </w:tcBorders>
            <w:vAlign w:val="center"/>
          </w:tcPr>
          <w:p/>
        </w:tc>
      </w:tr>
    </w:tbl>
    <w:p>
      <w:pPr>
        <w:snapToGrid w:val="0"/>
        <w:spacing w:before="0" w:after="0" w:line="0" w:lineRule="auto"/>
      </w:pPr>
      <w:r>
        <w:rPr>
          <w:sz w:val="8"/>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keepLines/>
        <w:spacing w:beforeLines="0" w:afterLines="0" w:line="240" w:lineRule="atLeast"/>
        <w:ind w:firstLine="420"/>
        <w:jc w:val="center"/>
        <w:rPr>
          <w:rFonts w:hint="eastAsia" w:ascii="Times New Roman" w:hAnsi="Times New Roman" w:eastAsia="Times New Roman"/>
          <w:kern w:val="2"/>
          <w:sz w:val="21"/>
          <w:szCs w:val="24"/>
          <w:highlight w:val="none"/>
        </w:rPr>
      </w:pPr>
      <w:r>
        <w:br w:type="page"/>
      </w:r>
      <w:r>
        <w:rPr>
          <w:rFonts w:hint="eastAsia" w:ascii="黑体" w:hAnsi="黑体" w:eastAsia="黑体"/>
          <w:b/>
          <w:sz w:val="30"/>
          <w:szCs w:val="24"/>
          <w:highlight w:val="none"/>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rPr>
                <w:rFonts w:hint="eastAsia" w:eastAsia="宋体"/>
                <w:lang w:eastAsia="zh-CN"/>
              </w:rPr>
            </w:pPr>
            <w:r>
              <w:rPr>
                <w:rFonts w:ascii="宋体" w:hAnsi="宋体" w:eastAsia="宋体" w:cs="宋体"/>
                <w:sz w:val="20"/>
              </w:rPr>
              <w:t>部门：</w:t>
            </w:r>
            <w:r>
              <w:rPr>
                <w:rFonts w:hint="eastAsia" w:ascii="宋体" w:hAnsi="宋体" w:cs="宋体"/>
                <w:sz w:val="20"/>
                <w:lang w:eastAsia="zh-CN"/>
              </w:rPr>
              <w:t>贵阳市外事办公室</w:t>
            </w:r>
          </w:p>
        </w:tc>
        <w:tc>
          <w:tcPr>
            <w:tcW w:w="2000" w:type="dxa"/>
          </w:tcPr>
          <w:p>
            <w:pPr>
              <w:jc w:val="center"/>
            </w:pPr>
            <w:r>
              <w:rPr>
                <w:rFonts w:ascii="宋体" w:hAnsi="宋体" w:eastAsia="宋体" w:cs="宋体"/>
                <w:sz w:val="20"/>
              </w:rPr>
              <w:t>2024年度</w:t>
            </w:r>
          </w:p>
        </w:tc>
        <w:tc>
          <w:tcPr>
            <w:tcW w:w="3153"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00"/>
        <w:gridCol w:w="700"/>
        <w:gridCol w:w="700"/>
        <w:gridCol w:w="700"/>
        <w:gridCol w:w="700"/>
        <w:gridCol w:w="700"/>
        <w:gridCol w:w="700"/>
        <w:gridCol w:w="700"/>
        <w:gridCol w:w="700"/>
        <w:gridCol w:w="700"/>
        <w:gridCol w:w="700"/>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1" w:hRule="exact"/>
          <w:jc w:val="center"/>
        </w:trPr>
        <w:tc>
          <w:tcPr>
            <w:tcW w:w="4200" w:type="dxa"/>
            <w:gridSpan w:val="6"/>
            <w:vAlign w:val="center"/>
          </w:tcPr>
          <w:p>
            <w:pPr>
              <w:snapToGrid w:val="0"/>
              <w:jc w:val="center"/>
            </w:pPr>
            <w:r>
              <w:rPr>
                <w:rFonts w:ascii="宋体" w:hAnsi="宋体" w:eastAsia="宋体" w:cs="宋体"/>
                <w:b w:val="0"/>
                <w:i w:val="0"/>
                <w:color w:val="000000"/>
                <w:sz w:val="10"/>
              </w:rPr>
              <w:t>预算数</w:t>
            </w:r>
          </w:p>
        </w:tc>
        <w:tc>
          <w:tcPr>
            <w:tcW w:w="4106" w:type="dxa"/>
            <w:gridSpan w:val="6"/>
            <w:vAlign w:val="center"/>
          </w:tcPr>
          <w:p>
            <w:pPr>
              <w:snapToGrid w:val="0"/>
              <w:jc w:val="center"/>
            </w:pPr>
            <w:r>
              <w:rPr>
                <w:rFonts w:ascii="宋体" w:hAnsi="宋体" w:eastAsia="宋体" w:cs="宋体"/>
                <w:b w:val="0"/>
                <w:i w:val="0"/>
                <w:color w:val="000000"/>
                <w:sz w:val="1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1" w:hRule="exact"/>
          <w:jc w:val="center"/>
        </w:trPr>
        <w:tc>
          <w:tcPr>
            <w:tcW w:w="700" w:type="dxa"/>
            <w:vMerge w:val="restart"/>
            <w:vAlign w:val="center"/>
          </w:tcPr>
          <w:p>
            <w:pPr>
              <w:snapToGrid w:val="0"/>
              <w:jc w:val="center"/>
            </w:pPr>
            <w:r>
              <w:rPr>
                <w:rFonts w:ascii="宋体" w:hAnsi="宋体" w:eastAsia="宋体" w:cs="宋体"/>
                <w:b w:val="0"/>
                <w:i w:val="0"/>
                <w:color w:val="000000"/>
                <w:sz w:val="10"/>
              </w:rPr>
              <w:t>合计</w:t>
            </w:r>
          </w:p>
        </w:tc>
        <w:tc>
          <w:tcPr>
            <w:tcW w:w="700" w:type="dxa"/>
            <w:vMerge w:val="restart"/>
            <w:vAlign w:val="center"/>
          </w:tcPr>
          <w:p>
            <w:pPr>
              <w:snapToGrid w:val="0"/>
              <w:jc w:val="center"/>
            </w:pPr>
            <w:r>
              <w:rPr>
                <w:rFonts w:ascii="宋体" w:hAnsi="宋体" w:eastAsia="宋体" w:cs="宋体"/>
                <w:b w:val="0"/>
                <w:i w:val="0"/>
                <w:color w:val="000000"/>
                <w:sz w:val="10"/>
              </w:rPr>
              <w:t>因公出国（境）费</w:t>
            </w:r>
          </w:p>
        </w:tc>
        <w:tc>
          <w:tcPr>
            <w:tcW w:w="2100" w:type="dxa"/>
            <w:gridSpan w:val="3"/>
            <w:vAlign w:val="center"/>
          </w:tcPr>
          <w:p>
            <w:pPr>
              <w:snapToGrid w:val="0"/>
              <w:jc w:val="center"/>
            </w:pPr>
            <w:r>
              <w:rPr>
                <w:rFonts w:ascii="宋体" w:hAnsi="宋体" w:eastAsia="宋体" w:cs="宋体"/>
                <w:b w:val="0"/>
                <w:i w:val="0"/>
                <w:color w:val="000000"/>
                <w:sz w:val="10"/>
              </w:rPr>
              <w:t>公务用车购置及运行维护费</w:t>
            </w:r>
          </w:p>
        </w:tc>
        <w:tc>
          <w:tcPr>
            <w:tcW w:w="700" w:type="dxa"/>
            <w:vMerge w:val="restart"/>
            <w:vAlign w:val="center"/>
          </w:tcPr>
          <w:p>
            <w:pPr>
              <w:snapToGrid w:val="0"/>
              <w:jc w:val="center"/>
            </w:pPr>
            <w:r>
              <w:rPr>
                <w:rFonts w:ascii="宋体" w:hAnsi="宋体" w:eastAsia="宋体" w:cs="宋体"/>
                <w:b w:val="0"/>
                <w:i w:val="0"/>
                <w:color w:val="000000"/>
                <w:sz w:val="10"/>
              </w:rPr>
              <w:t>公务接待费</w:t>
            </w:r>
          </w:p>
        </w:tc>
        <w:tc>
          <w:tcPr>
            <w:tcW w:w="700" w:type="dxa"/>
            <w:vMerge w:val="restart"/>
            <w:vAlign w:val="center"/>
          </w:tcPr>
          <w:p>
            <w:pPr>
              <w:snapToGrid w:val="0"/>
              <w:jc w:val="center"/>
            </w:pPr>
            <w:r>
              <w:rPr>
                <w:rFonts w:ascii="宋体" w:hAnsi="宋体" w:eastAsia="宋体" w:cs="宋体"/>
                <w:b w:val="0"/>
                <w:i w:val="0"/>
                <w:color w:val="000000"/>
                <w:sz w:val="10"/>
              </w:rPr>
              <w:t>合计</w:t>
            </w:r>
          </w:p>
        </w:tc>
        <w:tc>
          <w:tcPr>
            <w:tcW w:w="700" w:type="dxa"/>
            <w:vMerge w:val="restart"/>
            <w:vAlign w:val="center"/>
          </w:tcPr>
          <w:p>
            <w:pPr>
              <w:snapToGrid w:val="0"/>
              <w:jc w:val="center"/>
            </w:pPr>
            <w:r>
              <w:rPr>
                <w:rFonts w:ascii="宋体" w:hAnsi="宋体" w:eastAsia="宋体" w:cs="宋体"/>
                <w:b w:val="0"/>
                <w:i w:val="0"/>
                <w:color w:val="000000"/>
                <w:sz w:val="10"/>
              </w:rPr>
              <w:t>因公出国（境）费</w:t>
            </w:r>
          </w:p>
        </w:tc>
        <w:tc>
          <w:tcPr>
            <w:tcW w:w="2100" w:type="dxa"/>
            <w:gridSpan w:val="3"/>
            <w:vAlign w:val="center"/>
          </w:tcPr>
          <w:p>
            <w:pPr>
              <w:snapToGrid w:val="0"/>
              <w:jc w:val="center"/>
            </w:pPr>
            <w:r>
              <w:rPr>
                <w:rFonts w:ascii="宋体" w:hAnsi="宋体" w:eastAsia="宋体" w:cs="宋体"/>
                <w:b w:val="0"/>
                <w:i w:val="0"/>
                <w:color w:val="000000"/>
                <w:sz w:val="10"/>
              </w:rPr>
              <w:t>公务用车购置及运行维护费</w:t>
            </w:r>
          </w:p>
        </w:tc>
        <w:tc>
          <w:tcPr>
            <w:tcW w:w="606" w:type="dxa"/>
            <w:vMerge w:val="restart"/>
            <w:vAlign w:val="center"/>
          </w:tcPr>
          <w:p>
            <w:pPr>
              <w:snapToGrid w:val="0"/>
              <w:jc w:val="center"/>
            </w:pPr>
            <w:r>
              <w:rPr>
                <w:rFonts w:ascii="宋体" w:hAnsi="宋体" w:eastAsia="宋体" w:cs="宋体"/>
                <w:b w:val="0"/>
                <w:i w:val="0"/>
                <w:color w:val="000000"/>
                <w:sz w:val="1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2" w:hRule="exact"/>
          <w:jc w:val="center"/>
        </w:trPr>
        <w:tc>
          <w:tcPr>
            <w:tcW w:w="700" w:type="dxa"/>
            <w:vMerge w:val="continue"/>
            <w:vAlign w:val="center"/>
          </w:tcPr>
          <w:p/>
        </w:tc>
        <w:tc>
          <w:tcPr>
            <w:tcW w:w="700" w:type="dxa"/>
            <w:vMerge w:val="continue"/>
            <w:vAlign w:val="center"/>
          </w:tcPr>
          <w:p/>
        </w:tc>
        <w:tc>
          <w:tcPr>
            <w:tcW w:w="700" w:type="dxa"/>
            <w:vAlign w:val="center"/>
          </w:tcPr>
          <w:p>
            <w:pPr>
              <w:snapToGrid w:val="0"/>
              <w:jc w:val="center"/>
            </w:pPr>
            <w:r>
              <w:rPr>
                <w:rFonts w:ascii="宋体" w:hAnsi="宋体" w:eastAsia="宋体" w:cs="宋体"/>
                <w:b w:val="0"/>
                <w:i w:val="0"/>
                <w:color w:val="000000"/>
                <w:sz w:val="10"/>
              </w:rPr>
              <w:t>小计</w:t>
            </w:r>
          </w:p>
        </w:tc>
        <w:tc>
          <w:tcPr>
            <w:tcW w:w="700" w:type="dxa"/>
            <w:vAlign w:val="center"/>
          </w:tcPr>
          <w:p>
            <w:pPr>
              <w:snapToGrid w:val="0"/>
              <w:jc w:val="center"/>
            </w:pPr>
            <w:r>
              <w:rPr>
                <w:rFonts w:ascii="宋体" w:hAnsi="宋体" w:eastAsia="宋体" w:cs="宋体"/>
                <w:b w:val="0"/>
                <w:i w:val="0"/>
                <w:color w:val="000000"/>
                <w:sz w:val="10"/>
              </w:rPr>
              <w:t>公务用车购置费</w:t>
            </w:r>
          </w:p>
        </w:tc>
        <w:tc>
          <w:tcPr>
            <w:tcW w:w="700" w:type="dxa"/>
            <w:vAlign w:val="center"/>
          </w:tcPr>
          <w:p>
            <w:pPr>
              <w:snapToGrid w:val="0"/>
              <w:jc w:val="center"/>
            </w:pPr>
            <w:r>
              <w:rPr>
                <w:rFonts w:ascii="宋体" w:hAnsi="宋体" w:eastAsia="宋体" w:cs="宋体"/>
                <w:b w:val="0"/>
                <w:i w:val="0"/>
                <w:color w:val="000000"/>
                <w:sz w:val="10"/>
              </w:rPr>
              <w:t>公务用车运行维护费</w:t>
            </w:r>
          </w:p>
        </w:tc>
        <w:tc>
          <w:tcPr>
            <w:tcW w:w="700" w:type="dxa"/>
            <w:vMerge w:val="continue"/>
            <w:vAlign w:val="center"/>
          </w:tcPr>
          <w:p/>
        </w:tc>
        <w:tc>
          <w:tcPr>
            <w:tcW w:w="700" w:type="dxa"/>
            <w:vMerge w:val="continue"/>
            <w:vAlign w:val="center"/>
          </w:tcPr>
          <w:p/>
        </w:tc>
        <w:tc>
          <w:tcPr>
            <w:tcW w:w="700" w:type="dxa"/>
            <w:vMerge w:val="continue"/>
            <w:vAlign w:val="center"/>
          </w:tcPr>
          <w:p/>
        </w:tc>
        <w:tc>
          <w:tcPr>
            <w:tcW w:w="700" w:type="dxa"/>
            <w:vAlign w:val="center"/>
          </w:tcPr>
          <w:p>
            <w:pPr>
              <w:snapToGrid w:val="0"/>
              <w:jc w:val="center"/>
            </w:pPr>
            <w:r>
              <w:rPr>
                <w:rFonts w:ascii="宋体" w:hAnsi="宋体" w:eastAsia="宋体" w:cs="宋体"/>
                <w:b w:val="0"/>
                <w:i w:val="0"/>
                <w:color w:val="000000"/>
                <w:sz w:val="10"/>
              </w:rPr>
              <w:t>小计</w:t>
            </w:r>
          </w:p>
        </w:tc>
        <w:tc>
          <w:tcPr>
            <w:tcW w:w="700" w:type="dxa"/>
            <w:vAlign w:val="center"/>
          </w:tcPr>
          <w:p>
            <w:pPr>
              <w:snapToGrid w:val="0"/>
              <w:jc w:val="center"/>
            </w:pPr>
            <w:r>
              <w:rPr>
                <w:rFonts w:ascii="宋体" w:hAnsi="宋体" w:eastAsia="宋体" w:cs="宋体"/>
                <w:b w:val="0"/>
                <w:i w:val="0"/>
                <w:color w:val="000000"/>
                <w:sz w:val="10"/>
              </w:rPr>
              <w:t>公务用车购置费</w:t>
            </w:r>
          </w:p>
        </w:tc>
        <w:tc>
          <w:tcPr>
            <w:tcW w:w="700" w:type="dxa"/>
            <w:vAlign w:val="center"/>
          </w:tcPr>
          <w:p>
            <w:pPr>
              <w:snapToGrid w:val="0"/>
              <w:jc w:val="center"/>
            </w:pPr>
            <w:r>
              <w:rPr>
                <w:rFonts w:ascii="宋体" w:hAnsi="宋体" w:eastAsia="宋体" w:cs="宋体"/>
                <w:b w:val="0"/>
                <w:i w:val="0"/>
                <w:color w:val="000000"/>
                <w:sz w:val="10"/>
              </w:rPr>
              <w:t>公务用车运行维护费</w:t>
            </w:r>
          </w:p>
        </w:tc>
        <w:tc>
          <w:tcPr>
            <w:tcW w:w="60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1" w:hRule="exact"/>
          <w:jc w:val="center"/>
        </w:trPr>
        <w:tc>
          <w:tcPr>
            <w:tcW w:w="700" w:type="dxa"/>
            <w:vAlign w:val="center"/>
          </w:tcPr>
          <w:p>
            <w:pPr>
              <w:snapToGrid w:val="0"/>
              <w:jc w:val="center"/>
            </w:pPr>
            <w:r>
              <w:rPr>
                <w:rFonts w:ascii="宋体" w:hAnsi="宋体" w:eastAsia="宋体" w:cs="宋体"/>
                <w:b w:val="0"/>
                <w:i w:val="0"/>
                <w:color w:val="000000"/>
                <w:sz w:val="10"/>
              </w:rPr>
              <w:t>1</w:t>
            </w:r>
          </w:p>
        </w:tc>
        <w:tc>
          <w:tcPr>
            <w:tcW w:w="700" w:type="dxa"/>
            <w:vAlign w:val="center"/>
          </w:tcPr>
          <w:p>
            <w:pPr>
              <w:snapToGrid w:val="0"/>
              <w:jc w:val="center"/>
            </w:pPr>
            <w:r>
              <w:rPr>
                <w:rFonts w:ascii="宋体" w:hAnsi="宋体" w:eastAsia="宋体" w:cs="宋体"/>
                <w:b w:val="0"/>
                <w:i w:val="0"/>
                <w:color w:val="000000"/>
                <w:sz w:val="10"/>
              </w:rPr>
              <w:t>2</w:t>
            </w:r>
          </w:p>
        </w:tc>
        <w:tc>
          <w:tcPr>
            <w:tcW w:w="700" w:type="dxa"/>
            <w:vAlign w:val="center"/>
          </w:tcPr>
          <w:p>
            <w:pPr>
              <w:snapToGrid w:val="0"/>
              <w:jc w:val="center"/>
            </w:pPr>
            <w:r>
              <w:rPr>
                <w:rFonts w:ascii="宋体" w:hAnsi="宋体" w:eastAsia="宋体" w:cs="宋体"/>
                <w:b w:val="0"/>
                <w:i w:val="0"/>
                <w:color w:val="000000"/>
                <w:sz w:val="10"/>
              </w:rPr>
              <w:t>3</w:t>
            </w:r>
          </w:p>
        </w:tc>
        <w:tc>
          <w:tcPr>
            <w:tcW w:w="700" w:type="dxa"/>
            <w:vAlign w:val="center"/>
          </w:tcPr>
          <w:p>
            <w:pPr>
              <w:snapToGrid w:val="0"/>
              <w:jc w:val="center"/>
            </w:pPr>
            <w:r>
              <w:rPr>
                <w:rFonts w:ascii="宋体" w:hAnsi="宋体" w:eastAsia="宋体" w:cs="宋体"/>
                <w:b w:val="0"/>
                <w:i w:val="0"/>
                <w:color w:val="000000"/>
                <w:sz w:val="10"/>
              </w:rPr>
              <w:t>4</w:t>
            </w:r>
          </w:p>
        </w:tc>
        <w:tc>
          <w:tcPr>
            <w:tcW w:w="700" w:type="dxa"/>
            <w:vAlign w:val="center"/>
          </w:tcPr>
          <w:p>
            <w:pPr>
              <w:snapToGrid w:val="0"/>
              <w:jc w:val="center"/>
            </w:pPr>
            <w:r>
              <w:rPr>
                <w:rFonts w:ascii="宋体" w:hAnsi="宋体" w:eastAsia="宋体" w:cs="宋体"/>
                <w:b w:val="0"/>
                <w:i w:val="0"/>
                <w:color w:val="000000"/>
                <w:sz w:val="10"/>
              </w:rPr>
              <w:t>5</w:t>
            </w:r>
          </w:p>
        </w:tc>
        <w:tc>
          <w:tcPr>
            <w:tcW w:w="700" w:type="dxa"/>
            <w:vAlign w:val="center"/>
          </w:tcPr>
          <w:p>
            <w:pPr>
              <w:snapToGrid w:val="0"/>
              <w:jc w:val="center"/>
            </w:pPr>
            <w:r>
              <w:rPr>
                <w:rFonts w:ascii="宋体" w:hAnsi="宋体" w:eastAsia="宋体" w:cs="宋体"/>
                <w:b w:val="0"/>
                <w:i w:val="0"/>
                <w:color w:val="000000"/>
                <w:sz w:val="10"/>
              </w:rPr>
              <w:t>6</w:t>
            </w:r>
          </w:p>
        </w:tc>
        <w:tc>
          <w:tcPr>
            <w:tcW w:w="700" w:type="dxa"/>
            <w:vAlign w:val="center"/>
          </w:tcPr>
          <w:p>
            <w:pPr>
              <w:snapToGrid w:val="0"/>
              <w:jc w:val="center"/>
            </w:pPr>
            <w:r>
              <w:rPr>
                <w:rFonts w:ascii="宋体" w:hAnsi="宋体" w:eastAsia="宋体" w:cs="宋体"/>
                <w:b w:val="0"/>
                <w:i w:val="0"/>
                <w:color w:val="000000"/>
                <w:sz w:val="10"/>
              </w:rPr>
              <w:t>7</w:t>
            </w:r>
          </w:p>
        </w:tc>
        <w:tc>
          <w:tcPr>
            <w:tcW w:w="700" w:type="dxa"/>
            <w:vAlign w:val="center"/>
          </w:tcPr>
          <w:p>
            <w:pPr>
              <w:snapToGrid w:val="0"/>
              <w:jc w:val="center"/>
            </w:pPr>
            <w:r>
              <w:rPr>
                <w:rFonts w:ascii="宋体" w:hAnsi="宋体" w:eastAsia="宋体" w:cs="宋体"/>
                <w:b w:val="0"/>
                <w:i w:val="0"/>
                <w:color w:val="000000"/>
                <w:sz w:val="10"/>
              </w:rPr>
              <w:t>8</w:t>
            </w:r>
          </w:p>
        </w:tc>
        <w:tc>
          <w:tcPr>
            <w:tcW w:w="700" w:type="dxa"/>
            <w:vAlign w:val="center"/>
          </w:tcPr>
          <w:p>
            <w:pPr>
              <w:snapToGrid w:val="0"/>
              <w:jc w:val="center"/>
            </w:pPr>
            <w:r>
              <w:rPr>
                <w:rFonts w:ascii="宋体" w:hAnsi="宋体" w:eastAsia="宋体" w:cs="宋体"/>
                <w:b w:val="0"/>
                <w:i w:val="0"/>
                <w:color w:val="000000"/>
                <w:sz w:val="10"/>
              </w:rPr>
              <w:t>9</w:t>
            </w:r>
          </w:p>
        </w:tc>
        <w:tc>
          <w:tcPr>
            <w:tcW w:w="700" w:type="dxa"/>
            <w:vAlign w:val="center"/>
          </w:tcPr>
          <w:p>
            <w:pPr>
              <w:snapToGrid w:val="0"/>
              <w:jc w:val="center"/>
            </w:pPr>
            <w:r>
              <w:rPr>
                <w:rFonts w:ascii="宋体" w:hAnsi="宋体" w:eastAsia="宋体" w:cs="宋体"/>
                <w:b w:val="0"/>
                <w:i w:val="0"/>
                <w:color w:val="000000"/>
                <w:sz w:val="10"/>
              </w:rPr>
              <w:t>10</w:t>
            </w:r>
          </w:p>
        </w:tc>
        <w:tc>
          <w:tcPr>
            <w:tcW w:w="700" w:type="dxa"/>
            <w:vAlign w:val="center"/>
          </w:tcPr>
          <w:p>
            <w:pPr>
              <w:snapToGrid w:val="0"/>
              <w:jc w:val="center"/>
            </w:pPr>
            <w:r>
              <w:rPr>
                <w:rFonts w:ascii="宋体" w:hAnsi="宋体" w:eastAsia="宋体" w:cs="宋体"/>
                <w:b w:val="0"/>
                <w:i w:val="0"/>
                <w:color w:val="000000"/>
                <w:sz w:val="10"/>
              </w:rPr>
              <w:t>11</w:t>
            </w:r>
          </w:p>
        </w:tc>
        <w:tc>
          <w:tcPr>
            <w:tcW w:w="606" w:type="dxa"/>
            <w:vAlign w:val="center"/>
          </w:tcPr>
          <w:p>
            <w:pPr>
              <w:snapToGrid w:val="0"/>
              <w:jc w:val="center"/>
            </w:pPr>
            <w:r>
              <w:rPr>
                <w:rFonts w:ascii="宋体" w:hAnsi="宋体" w:eastAsia="宋体" w:cs="宋体"/>
                <w:b w:val="0"/>
                <w:i w:val="0"/>
                <w:color w:val="000000"/>
                <w:sz w:val="1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1" w:hRule="exact"/>
          <w:jc w:val="center"/>
        </w:trPr>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34.36</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28.43</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1.93</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1.93</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4.00</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32.07</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28.43</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0.40</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0.00</w:t>
            </w:r>
          </w:p>
        </w:tc>
        <w:tc>
          <w:tcPr>
            <w:tcW w:w="700"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0.40</w:t>
            </w:r>
          </w:p>
        </w:tc>
        <w:tc>
          <w:tcPr>
            <w:tcW w:w="606" w:type="dxa"/>
            <w:vAlign w:val="center"/>
          </w:tcPr>
          <w:p>
            <w:pPr>
              <w:snapToGrid w:val="0"/>
              <w:jc w:val="right"/>
              <w:rPr>
                <w:rFonts w:hint="default" w:ascii="Times New Roman" w:hAnsi="Times New Roman" w:eastAsia="宋体" w:cs="Times New Roman"/>
                <w:sz w:val="24"/>
                <w:szCs w:val="24"/>
              </w:rPr>
            </w:pPr>
            <w:r>
              <w:rPr>
                <w:rFonts w:ascii="宋体" w:hAnsi="宋体" w:eastAsia="宋体" w:cs="宋体"/>
                <w:b w:val="0"/>
                <w:i w:val="0"/>
                <w:color w:val="000000"/>
                <w:sz w:val="10"/>
              </w:rPr>
              <w:t>3.24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2" w:hRule="exact"/>
          <w:jc w:val="center"/>
        </w:trPr>
        <w:tc>
          <w:tcPr>
            <w:tcW w:w="8306" w:type="dxa"/>
            <w:gridSpan w:val="12"/>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snapToGrid w:val="0"/>
        <w:spacing w:before="0" w:after="0" w:line="0" w:lineRule="auto"/>
      </w:pPr>
      <w:r>
        <w:rPr>
          <w:sz w:val="8"/>
        </w:rPr>
        <w:t xml:space="preserve"> </w:t>
      </w:r>
    </w:p>
    <w:p>
      <w:pPr>
        <w:spacing w:beforeLines="0" w:afterLines="0" w:line="480" w:lineRule="auto"/>
        <w:jc w:val="center"/>
        <w:rPr>
          <w:rFonts w:hint="eastAsia" w:ascii="方正小标宋_GBK" w:hAnsi="方正小标宋_GBK" w:eastAsia="方正小标宋_GBK" w:cs="方正小标宋_GBK"/>
          <w:kern w:val="2"/>
          <w:sz w:val="44"/>
          <w:szCs w:val="44"/>
          <w:highlight w:val="none"/>
        </w:rPr>
      </w:pPr>
      <w:r>
        <w:br w:type="page"/>
      </w:r>
      <w:r>
        <w:rPr>
          <w:rFonts w:hint="eastAsia" w:ascii="方正小标宋_GBK" w:hAnsi="方正小标宋_GBK" w:eastAsia="方正小标宋_GBK" w:cs="方正小标宋_GBK"/>
          <w:b/>
          <w:kern w:val="2"/>
          <w:sz w:val="44"/>
          <w:szCs w:val="44"/>
          <w:highlight w:val="none"/>
        </w:rPr>
        <w:t>第三部分 2024年度部门决算情况说明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0"/>
        <w:jc w:val="left"/>
        <w:textAlignment w:val="auto"/>
        <w:rPr>
          <w:rFonts w:hint="eastAsia" w:ascii="黑体" w:hAnsi="黑体" w:eastAsia="黑体"/>
          <w:kern w:val="2"/>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640" w:firstLineChars="200"/>
        <w:jc w:val="left"/>
        <w:textAlignment w:val="auto"/>
        <w:rPr>
          <w:rFonts w:hint="eastAsia" w:ascii="黑体" w:hAnsi="黑体" w:eastAsia="黑体"/>
          <w:kern w:val="2"/>
          <w:sz w:val="32"/>
          <w:szCs w:val="24"/>
          <w:highlight w:val="none"/>
        </w:rPr>
      </w:pPr>
      <w:r>
        <w:rPr>
          <w:rFonts w:hint="eastAsia" w:ascii="黑体" w:hAnsi="黑体" w:eastAsia="黑体"/>
          <w:kern w:val="2"/>
          <w:sz w:val="32"/>
          <w:szCs w:val="24"/>
          <w:highlight w:val="none"/>
        </w:rPr>
        <w:t>一、收入支出决算总体情况说明</w:t>
      </w:r>
    </w:p>
    <w:p>
      <w:pPr>
        <w:autoSpaceDE/>
        <w:autoSpaceDN/>
        <w:spacing w:beforeLines="0" w:afterLines="0" w:line="600" w:lineRule="exact"/>
        <w:ind w:firstLine="600" w:firstLineChars="200"/>
        <w:textAlignment w:val="baseline"/>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bidi="ar-SA"/>
        </w:rPr>
        <w:t>贵阳市外事办公室2024年度收入、支出决算总计773.90万元。2023年度收入、支出决算总计680.55万元。与2023年度相比，</w:t>
      </w:r>
      <w:r>
        <w:rPr>
          <w:rFonts w:hint="eastAsia" w:ascii="仿宋_GB2312" w:hAnsi="仿宋_GB2312" w:eastAsia="仿宋_GB2312" w:cs="仿宋_GB2312"/>
          <w:sz w:val="30"/>
          <w:szCs w:val="30"/>
          <w:highlight w:val="none"/>
          <w:u w:val="none"/>
        </w:rPr>
        <w:t>增加93.35万元，增长13.72%，</w:t>
      </w:r>
      <w:r>
        <w:rPr>
          <w:rFonts w:hint="eastAsia" w:ascii="仿宋_GB2312" w:hAnsi="仿宋_GB2312" w:eastAsia="仿宋_GB2312" w:cs="仿宋_GB2312"/>
          <w:sz w:val="30"/>
          <w:szCs w:val="30"/>
          <w:highlight w:val="none"/>
          <w:u w:val="none"/>
          <w:lang w:val="en-US" w:eastAsia="zh-CN" w:bidi="ar-SA"/>
        </w:rPr>
        <w:t>主要原因是：</w:t>
      </w:r>
      <w:r>
        <w:rPr>
          <w:rFonts w:hint="eastAsia" w:ascii="仿宋_GB2312" w:hAnsi="仿宋_GB2312" w:eastAsia="仿宋_GB2312" w:cs="仿宋_GB2312"/>
          <w:sz w:val="30"/>
          <w:szCs w:val="30"/>
          <w:highlight w:val="none"/>
          <w:u w:val="none"/>
        </w:rPr>
        <w:t>2024年人员比上年增加3人。</w:t>
      </w:r>
    </w:p>
    <w:p>
      <w:pPr>
        <w:keepNext w:val="0"/>
        <w:keepLines w:val="0"/>
        <w:pageBreakBefore w:val="0"/>
        <w:widowControl w:val="0"/>
        <w:kinsoku/>
        <w:wordWrap/>
        <w:overflowPunct/>
        <w:topLinePunct w:val="0"/>
        <w:autoSpaceDE w:val="0"/>
        <w:autoSpaceDN w:val="0"/>
        <w:bidi w:val="0"/>
        <w:adjustRightInd w:val="0"/>
        <w:snapToGrid/>
        <w:spacing w:beforeLines="0" w:afterLines="0" w:line="590" w:lineRule="exact"/>
        <w:ind w:firstLine="640" w:firstLineChars="200"/>
        <w:jc w:val="both"/>
        <w:textAlignment w:val="auto"/>
        <w:rPr>
          <w:rFonts w:hint="eastAsia" w:ascii="黑体" w:hAnsi="黑体" w:eastAsia="黑体"/>
          <w:kern w:val="2"/>
          <w:sz w:val="32"/>
          <w:szCs w:val="24"/>
          <w:highlight w:val="none"/>
        </w:rPr>
      </w:pPr>
      <w:r>
        <w:rPr>
          <w:rFonts w:hint="eastAsia" w:ascii="黑体" w:hAnsi="黑体" w:eastAsia="黑体"/>
          <w:kern w:val="2"/>
          <w:sz w:val="32"/>
          <w:szCs w:val="24"/>
          <w:highlight w:val="none"/>
        </w:rPr>
        <w:t>二、收入决算情况说明</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贵阳市外事办公室2024年度</w:t>
      </w:r>
      <w:r>
        <w:rPr>
          <w:rFonts w:hint="eastAsia" w:ascii="仿宋_GB2312" w:eastAsia="仿宋_GB2312" w:cs="仿宋_GB2312"/>
          <w:sz w:val="32"/>
          <w:szCs w:val="32"/>
          <w:highlight w:val="none"/>
        </w:rPr>
        <w:t>收入</w:t>
      </w:r>
      <w:r>
        <w:rPr>
          <w:rFonts w:hint="eastAsia" w:ascii="仿宋_GB2312" w:eastAsia="仿宋_GB2312" w:cs="仿宋_GB2312"/>
          <w:sz w:val="32"/>
          <w:szCs w:val="32"/>
          <w:highlight w:val="none"/>
          <w:lang w:val="en-US" w:eastAsia="zh-CN"/>
        </w:rPr>
        <w:t>决算合计773.90万元。</w:t>
      </w:r>
      <w:r>
        <w:rPr>
          <w:rFonts w:hint="eastAsia" w:ascii="仿宋_GB2312" w:eastAsia="仿宋_GB2312" w:cs="仿宋_GB2312"/>
          <w:sz w:val="32"/>
          <w:szCs w:val="32"/>
          <w:highlight w:val="none"/>
        </w:rPr>
        <w:t>其中：</w:t>
      </w:r>
      <w:r>
        <w:rPr>
          <w:rFonts w:hint="eastAsia" w:ascii="仿宋_GB2312" w:eastAsia="仿宋_GB2312" w:cs="仿宋_GB2312"/>
          <w:sz w:val="32"/>
          <w:szCs w:val="32"/>
          <w:highlight w:val="none"/>
          <w:lang w:eastAsia="zh-CN"/>
        </w:rPr>
        <w:t>财政拨款收入773.90万元，占100.00%。</w:t>
      </w:r>
    </w:p>
    <w:p>
      <w:pPr>
        <w:spacing w:beforeLines="0" w:afterLines="0" w:line="590" w:lineRule="exact"/>
        <w:ind w:firstLine="640" w:firstLineChars="200"/>
        <w:jc w:val="both"/>
        <w:rPr>
          <w:rFonts w:hint="eastAsia" w:ascii="黑体" w:hAnsi="黑体" w:eastAsia="黑体"/>
          <w:kern w:val="2"/>
          <w:sz w:val="32"/>
          <w:szCs w:val="24"/>
          <w:highlight w:val="none"/>
        </w:rPr>
      </w:pPr>
      <w:r>
        <w:rPr>
          <w:rFonts w:hint="eastAsia" w:ascii="黑体" w:hAnsi="黑体" w:eastAsia="黑体"/>
          <w:kern w:val="2"/>
          <w:sz w:val="32"/>
          <w:szCs w:val="24"/>
          <w:highlight w:val="none"/>
        </w:rPr>
        <w:t>三、支出决算情况说明</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贵阳市外事办公室2024年度支出决算合计773.90万元。</w:t>
      </w:r>
      <w:r>
        <w:rPr>
          <w:rFonts w:hint="eastAsia" w:ascii="仿宋_GB2312" w:eastAsia="仿宋_GB2312" w:cs="仿宋_GB2312"/>
          <w:sz w:val="32"/>
          <w:szCs w:val="32"/>
          <w:highlight w:val="none"/>
        </w:rPr>
        <w:t>其中：</w:t>
      </w:r>
      <w:r>
        <w:rPr>
          <w:rFonts w:hint="eastAsia" w:ascii="仿宋_GB2312" w:eastAsia="仿宋_GB2312" w:cs="仿宋_GB2312"/>
          <w:sz w:val="32"/>
          <w:szCs w:val="32"/>
          <w:highlight w:val="none"/>
          <w:lang w:eastAsia="zh-CN"/>
        </w:rPr>
        <w:t>基本支出634.56万元，占82.00%；项目支出139.34万元，占18.00%。</w:t>
      </w:r>
    </w:p>
    <w:p>
      <w:pPr>
        <w:autoSpaceDE w:val="0"/>
        <w:autoSpaceDN w:val="0"/>
        <w:adjustRightInd w:val="0"/>
        <w:spacing w:line="590" w:lineRule="exact"/>
        <w:ind w:firstLine="640" w:firstLineChars="200"/>
        <w:rPr>
          <w:rFonts w:hint="eastAsia" w:ascii="仿宋_GB2312" w:eastAsia="仿宋_GB2312" w:cs="仿宋_GB2312"/>
          <w:sz w:val="32"/>
          <w:szCs w:val="32"/>
          <w:highlight w:val="none"/>
          <w:lang w:val="en-US" w:eastAsia="zh-CN"/>
        </w:rPr>
      </w:pPr>
      <w:r>
        <w:rPr>
          <w:rFonts w:hint="eastAsia" w:ascii="黑体" w:hAnsi="黑体" w:eastAsia="黑体"/>
          <w:kern w:val="2"/>
          <w:sz w:val="32"/>
          <w:szCs w:val="24"/>
          <w:highlight w:val="none"/>
        </w:rPr>
        <w:t>四、财政拨款收入支出决算总体情况说明</w:t>
      </w:r>
    </w:p>
    <w:p>
      <w:pPr>
        <w:autoSpaceDE/>
        <w:autoSpaceDN/>
        <w:spacing w:beforeLines="0" w:afterLines="0" w:line="600" w:lineRule="exact"/>
        <w:ind w:firstLine="600"/>
        <w:textAlignment w:val="baseline"/>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bidi="ar-SA"/>
        </w:rPr>
        <w:t>贵阳市外事办公室2024年度</w:t>
      </w:r>
      <w:r>
        <w:rPr>
          <w:rFonts w:hint="eastAsia" w:ascii="仿宋_GB2312" w:hAnsi="仿宋_GB2312" w:eastAsia="仿宋_GB2312"/>
          <w:sz w:val="32"/>
          <w:highlight w:val="none"/>
          <w:lang w:val="zh-CN"/>
        </w:rPr>
        <w:t>财政拨款收、支决算总计</w:t>
      </w:r>
      <w:r>
        <w:rPr>
          <w:rFonts w:hint="eastAsia" w:ascii="仿宋_GB2312" w:hAnsi="仿宋_GB2312" w:eastAsia="仿宋_GB2312" w:cs="仿宋_GB2312"/>
          <w:sz w:val="30"/>
          <w:szCs w:val="30"/>
          <w:highlight w:val="none"/>
          <w:u w:val="none"/>
          <w:lang w:val="en-US" w:eastAsia="zh-CN" w:bidi="ar-SA"/>
        </w:rPr>
        <w:t>773.90万元。2023年度收、支决算总计680.55万元。与2023年度相比，</w:t>
      </w:r>
      <w:r>
        <w:rPr>
          <w:rFonts w:hint="eastAsia" w:ascii="仿宋_GB2312" w:hAnsi="仿宋_GB2312" w:eastAsia="仿宋_GB2312" w:cs="仿宋_GB2312"/>
          <w:sz w:val="30"/>
          <w:szCs w:val="30"/>
          <w:highlight w:val="none"/>
          <w:u w:val="none"/>
        </w:rPr>
        <w:t>增加93.35万元，增长13.72%，</w:t>
      </w:r>
      <w:r>
        <w:rPr>
          <w:rFonts w:hint="eastAsia" w:ascii="仿宋_GB2312" w:hAnsi="仿宋_GB2312" w:eastAsia="仿宋_GB2312" w:cs="仿宋_GB2312"/>
          <w:sz w:val="30"/>
          <w:szCs w:val="30"/>
          <w:highlight w:val="none"/>
          <w:u w:val="none"/>
          <w:lang w:val="en-US" w:eastAsia="zh-CN" w:bidi="ar-SA"/>
        </w:rPr>
        <w:t>主要原因是：</w:t>
      </w:r>
      <w:r>
        <w:rPr>
          <w:rFonts w:hint="eastAsia" w:ascii="仿宋_GB2312" w:hAnsi="仿宋_GB2312" w:eastAsia="仿宋_GB2312" w:cs="仿宋_GB2312"/>
          <w:sz w:val="30"/>
          <w:szCs w:val="30"/>
          <w:highlight w:val="none"/>
          <w:u w:val="none"/>
        </w:rPr>
        <w:t>人员较上年增加3人。</w:t>
      </w:r>
    </w:p>
    <w:p>
      <w:pPr>
        <w:autoSpaceDE w:val="0"/>
        <w:autoSpaceDN w:val="0"/>
        <w:adjustRightInd w:val="0"/>
        <w:spacing w:line="590" w:lineRule="exact"/>
        <w:ind w:firstLine="640" w:firstLineChars="200"/>
        <w:rPr>
          <w:rFonts w:hint="eastAsia" w:ascii="仿宋_GB2312" w:eastAsia="仿宋_GB2312" w:cs="仿宋_GB2312"/>
          <w:sz w:val="32"/>
          <w:szCs w:val="32"/>
          <w:highlight w:val="none"/>
          <w:lang w:val="en-US" w:eastAsia="zh-CN"/>
        </w:rPr>
      </w:pPr>
      <w:r>
        <w:rPr>
          <w:rFonts w:hint="eastAsia" w:ascii="黑体" w:hAnsi="黑体" w:eastAsia="黑体"/>
          <w:kern w:val="2"/>
          <w:sz w:val="32"/>
          <w:szCs w:val="24"/>
          <w:highlight w:val="none"/>
        </w:rPr>
        <w:t>五、非财政拨款收入支出决算总体情况说明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bidi="ar-SA"/>
        </w:rPr>
      </w:pPr>
      <w:r>
        <w:rPr>
          <w:rFonts w:hint="eastAsia" w:ascii="仿宋_GB2312" w:hAnsi="仿宋_GB2312" w:eastAsia="仿宋_GB2312" w:cs="仿宋_GB2312"/>
          <w:sz w:val="30"/>
          <w:szCs w:val="30"/>
          <w:highlight w:val="none"/>
          <w:u w:val="none"/>
          <w:lang w:val="en-US" w:eastAsia="zh-CN" w:bidi="ar-SA"/>
        </w:rPr>
        <w:t>贵阳市外事办公室2024年度无非</w:t>
      </w:r>
      <w:r>
        <w:rPr>
          <w:rFonts w:hint="eastAsia" w:ascii="仿宋_GB2312" w:hAnsi="仿宋_GB2312" w:eastAsia="仿宋_GB2312"/>
          <w:sz w:val="32"/>
          <w:highlight w:val="none"/>
          <w:lang w:val="zh-CN"/>
        </w:rPr>
        <w:t>财政拨款</w:t>
      </w:r>
      <w:r>
        <w:rPr>
          <w:rFonts w:hint="eastAsia" w:ascii="仿宋_GB2312" w:hAnsi="仿宋_GB2312" w:eastAsia="仿宋_GB2312"/>
          <w:sz w:val="32"/>
          <w:highlight w:val="none"/>
          <w:lang w:val="en-US" w:eastAsia="zh-CN"/>
        </w:rPr>
        <w:t>收支</w:t>
      </w:r>
      <w:r>
        <w:rPr>
          <w:rFonts w:hint="eastAsia" w:ascii="仿宋_GB2312" w:hAnsi="仿宋_GB2312" w:eastAsia="仿宋_GB2312" w:cs="仿宋_GB2312"/>
          <w:sz w:val="30"/>
          <w:szCs w:val="30"/>
          <w:highlight w:val="none"/>
          <w:u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黑体" w:hAnsi="黑体" w:eastAsia="黑体"/>
          <w:kern w:val="2"/>
          <w:sz w:val="32"/>
          <w:szCs w:val="24"/>
          <w:highlight w:val="none"/>
        </w:rPr>
      </w:pPr>
      <w:r>
        <w:rPr>
          <w:rFonts w:hint="eastAsia" w:ascii="黑体" w:hAnsi="黑体" w:eastAsia="黑体"/>
          <w:kern w:val="2"/>
          <w:sz w:val="32"/>
          <w:szCs w:val="24"/>
          <w:highlight w:val="none"/>
        </w:rPr>
        <w:t>六、一般公共预算财政拨款支出决算情况说明</w:t>
      </w:r>
    </w:p>
    <w:p>
      <w:p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(一)一般公共预算财政拨款支出决算总体情况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贵阳市外事办公室</w:t>
      </w:r>
      <w:r>
        <w:rPr>
          <w:rFonts w:hint="eastAsia" w:ascii="仿宋_GB2312" w:hAnsi="仿宋_GB2312" w:eastAsia="仿宋_GB2312" w:cs="仿宋_GB2312"/>
          <w:sz w:val="30"/>
          <w:szCs w:val="30"/>
          <w:highlight w:val="none"/>
          <w:u w:val="none"/>
          <w:lang w:eastAsia="zh-CN"/>
        </w:rPr>
        <w:t>2024</w:t>
      </w:r>
      <w:r>
        <w:rPr>
          <w:rFonts w:hint="eastAsia" w:ascii="仿宋_GB2312" w:hAnsi="仿宋_GB2312" w:eastAsia="仿宋_GB2312" w:cs="仿宋_GB2312"/>
          <w:sz w:val="30"/>
          <w:szCs w:val="30"/>
          <w:highlight w:val="none"/>
          <w:u w:val="none"/>
        </w:rPr>
        <w:t>年度一般公共预算财政拨款支出合计773.90</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元，占本年支出合计的100.00%。与</w:t>
      </w:r>
      <w:r>
        <w:rPr>
          <w:rFonts w:hint="eastAsia" w:ascii="仿宋_GB2312" w:hAnsi="仿宋_GB2312" w:eastAsia="仿宋_GB2312" w:cs="仿宋_GB2312"/>
          <w:sz w:val="30"/>
          <w:szCs w:val="30"/>
          <w:highlight w:val="none"/>
          <w:u w:val="none"/>
          <w:lang w:eastAsia="zh-CN"/>
        </w:rPr>
        <w:t>2023</w:t>
      </w:r>
      <w:r>
        <w:rPr>
          <w:rFonts w:hint="eastAsia" w:ascii="仿宋_GB2312" w:hAnsi="仿宋_GB2312" w:eastAsia="仿宋_GB2312" w:cs="仿宋_GB2312"/>
          <w:sz w:val="30"/>
          <w:szCs w:val="30"/>
          <w:highlight w:val="none"/>
          <w:u w:val="none"/>
        </w:rPr>
        <w:t>年度相比，一般公共预算财政拨款支出增加93.35万元，增长13.72% ，主要原因是人员较上年增加3人。</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(二)一般公共预算财政拨款支出决算结构情况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eastAsia="仿宋_GB2312" w:cs="仿宋_GB2312"/>
          <w:sz w:val="32"/>
          <w:szCs w:val="32"/>
          <w:highlight w:val="none"/>
        </w:rPr>
      </w:pPr>
      <w:r>
        <w:rPr>
          <w:rFonts w:hint="eastAsia" w:ascii="仿宋_GB2312" w:hAnsi="仿宋_GB2312" w:eastAsia="仿宋_GB2312" w:cs="仿宋_GB2312"/>
          <w:sz w:val="30"/>
          <w:szCs w:val="30"/>
          <w:highlight w:val="none"/>
          <w:u w:val="none"/>
          <w:lang w:eastAsia="zh-CN"/>
        </w:rPr>
        <w:t>2024</w:t>
      </w:r>
      <w:r>
        <w:rPr>
          <w:rFonts w:hint="eastAsia" w:ascii="仿宋_GB2312" w:hAnsi="仿宋_GB2312" w:eastAsia="仿宋_GB2312" w:cs="仿宋_GB2312"/>
          <w:sz w:val="30"/>
          <w:szCs w:val="30"/>
          <w:highlight w:val="none"/>
          <w:u w:val="none"/>
        </w:rPr>
        <w:t>年度一般公共预算财政拨款支出773.90</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元，主要用于以下方面：</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一般公共服务支出（类）531.41万元，占68.67%；教育支出（类）25.00万元，占3.23%；社会保障和就业支出（类）142.64万元，占18.43%；卫生健康支出（类）31.94万元，占4.13%；住房保障支出（类）42.91万元，占5.54%。</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（三）一般公共预算财政拨款支出决算具体情况</w:t>
      </w:r>
    </w:p>
    <w:p>
      <w:pPr>
        <w:spacing w:line="600" w:lineRule="exact"/>
        <w:ind w:firstLine="600" w:firstLineChars="200"/>
        <w:rPr>
          <w:rFonts w:hint="eastAsia" w:ascii="仿宋_GB2312" w:hAnsi="仿宋_GB2312" w:eastAsia="仿宋_GB2312" w:cs="仿宋_GB2312"/>
          <w:sz w:val="30"/>
          <w:szCs w:val="30"/>
          <w:highlight w:val="none"/>
          <w:u w:val="none"/>
        </w:rPr>
      </w:pPr>
      <w:r>
        <w:rPr>
          <w:rFonts w:hint="eastAsia" w:ascii="仿宋_GB2312" w:eastAsia="仿宋_GB2312" w:cs="仿宋_GB2312"/>
          <w:sz w:val="30"/>
          <w:szCs w:val="30"/>
          <w:highlight w:val="none"/>
          <w:lang w:eastAsia="zh-CN"/>
        </w:rPr>
        <w:t>2024年度一般公共预算财政拨款支出年初预算为</w:t>
      </w:r>
      <w:r>
        <w:rPr>
          <w:rFonts w:hint="eastAsia" w:ascii="仿宋_GB2312" w:hAnsi="仿宋_GB2312" w:eastAsia="仿宋_GB2312" w:cs="仿宋_GB2312"/>
          <w:sz w:val="30"/>
          <w:szCs w:val="30"/>
          <w:highlight w:val="none"/>
          <w:u w:val="none"/>
        </w:rPr>
        <w:t>666.19</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lang w:eastAsia="zh-CN"/>
        </w:rPr>
        <w:t>元</w:t>
      </w:r>
      <w:r>
        <w:rPr>
          <w:rFonts w:eastAsia="仿宋_GB2312"/>
          <w:sz w:val="30"/>
          <w:szCs w:val="30"/>
          <w:highlight w:val="none"/>
          <w:u w:val="none"/>
        </w:rPr>
        <w:t>，</w:t>
      </w:r>
      <w:r>
        <w:rPr>
          <w:rFonts w:hint="eastAsia" w:ascii="仿宋_GB2312" w:eastAsia="仿宋_GB2312" w:cs="仿宋_GB2312"/>
          <w:sz w:val="30"/>
          <w:szCs w:val="30"/>
          <w:highlight w:val="none"/>
          <w:lang w:eastAsia="zh-CN"/>
        </w:rPr>
        <w:t>支出决算为</w:t>
      </w:r>
      <w:r>
        <w:rPr>
          <w:rFonts w:hint="eastAsia" w:ascii="仿宋_GB2312" w:hAnsi="仿宋_GB2312" w:eastAsia="仿宋_GB2312" w:cs="仿宋_GB2312"/>
          <w:sz w:val="30"/>
          <w:szCs w:val="30"/>
          <w:highlight w:val="none"/>
          <w:u w:val="none"/>
        </w:rPr>
        <w:t>773.90</w:t>
      </w:r>
      <w:r>
        <w:rPr>
          <w:rFonts w:hint="eastAsia" w:ascii="仿宋_GB2312" w:hAnsi="仿宋_GB2312" w:eastAsia="仿宋_GB2312" w:cs="仿宋_GB2312"/>
          <w:sz w:val="30"/>
          <w:szCs w:val="30"/>
          <w:highlight w:val="none"/>
          <w:u w:val="none"/>
          <w:lang w:val="en-US" w:eastAsia="zh-CN"/>
        </w:rPr>
        <w:t>万元</w:t>
      </w:r>
      <w:r>
        <w:rPr>
          <w:rFonts w:eastAsia="仿宋_GB2312"/>
          <w:sz w:val="30"/>
          <w:szCs w:val="30"/>
          <w:highlight w:val="none"/>
          <w:u w:val="none"/>
        </w:rPr>
        <w:t>，</w:t>
      </w:r>
      <w:r>
        <w:rPr>
          <w:rFonts w:hint="eastAsia" w:ascii="仿宋_GB2312" w:hAnsi="仿宋_GB2312" w:eastAsia="仿宋_GB2312" w:cs="仿宋_GB2312"/>
          <w:sz w:val="30"/>
          <w:szCs w:val="30"/>
          <w:highlight w:val="none"/>
          <w:u w:val="none"/>
          <w:lang w:val="en-US" w:eastAsia="zh-CN"/>
        </w:rPr>
        <w:t>完成年初预算的</w:t>
      </w:r>
      <w:r>
        <w:rPr>
          <w:rFonts w:hint="eastAsia" w:ascii="仿宋_GB2312" w:hAnsi="仿宋_GB2312" w:eastAsia="仿宋_GB2312" w:cs="仿宋_GB2312"/>
          <w:sz w:val="30"/>
          <w:szCs w:val="30"/>
          <w:highlight w:val="none"/>
          <w:u w:val="none"/>
        </w:rPr>
        <w:t>116.17%</w:t>
      </w:r>
      <w:r>
        <w:rPr>
          <w:rFonts w:hint="eastAsia" w:eastAsia="仿宋_GB2312"/>
          <w:sz w:val="30"/>
          <w:szCs w:val="30"/>
          <w:highlight w:val="none"/>
          <w:u w:val="none"/>
          <w:lang w:eastAsia="zh-CN"/>
        </w:rPr>
        <w:t>，</w:t>
      </w:r>
      <w:r>
        <w:rPr>
          <w:rFonts w:hint="eastAsia" w:ascii="仿宋_GB2312" w:hAnsi="仿宋_GB2312" w:eastAsia="仿宋_GB2312" w:cs="仿宋_GB2312"/>
          <w:sz w:val="30"/>
          <w:szCs w:val="30"/>
          <w:highlight w:val="none"/>
          <w:u w:val="none"/>
          <w:lang w:val="en-US" w:eastAsia="zh-CN"/>
        </w:rPr>
        <w:t>其中：</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1.一般公共服务支出(类)政府办公厅（室）及相关机构事务(款)行政运行(项)年初预算为270.76万元，支出决算为323.47万元，完成年初预算的119.47%，决算数高于预算数的主要原因是：</w:t>
      </w:r>
      <w:r>
        <w:rPr>
          <w:rFonts w:hint="eastAsia" w:ascii="仿宋_GB2312" w:hAnsi="仿宋_GB2312" w:eastAsia="仿宋_GB2312" w:cs="仿宋_GB2312"/>
          <w:sz w:val="30"/>
          <w:szCs w:val="30"/>
          <w:highlight w:val="none"/>
          <w:u w:val="none"/>
          <w:lang w:eastAsia="zh-CN"/>
        </w:rPr>
        <w:t>当年</w:t>
      </w:r>
      <w:r>
        <w:rPr>
          <w:rFonts w:hint="eastAsia" w:ascii="仿宋_GB2312" w:hAnsi="仿宋_GB2312" w:eastAsia="仿宋_GB2312" w:cs="仿宋_GB2312"/>
          <w:sz w:val="30"/>
          <w:szCs w:val="30"/>
          <w:highlight w:val="none"/>
          <w:u w:val="none"/>
        </w:rPr>
        <w:t>行政人员增加2人。</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2.一般公共服务支出(类)政府办公厅（室）及相关机构事务(款)一般行政管理事务(项)年初预算为127.80万元，支出决算为114.34万元，完成年初预算的89.47%，决算数低于预算数的主要原因是：部分项目没有实施完成。</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3.一般公共服务支出(类)政府办公厅（室）及相关机构事务(款)事业运行(项)年初预算为71.59万元，支出决算为93.60万元，完成年初预算的130.74%，决算数高于预算数的主要原因是：</w:t>
      </w:r>
      <w:r>
        <w:rPr>
          <w:rFonts w:hint="eastAsia" w:ascii="仿宋_GB2312" w:hAnsi="仿宋_GB2312" w:eastAsia="仿宋_GB2312" w:cs="仿宋_GB2312"/>
          <w:sz w:val="30"/>
          <w:szCs w:val="30"/>
          <w:highlight w:val="none"/>
          <w:u w:val="none"/>
          <w:lang w:eastAsia="zh-CN"/>
        </w:rPr>
        <w:t>当年</w:t>
      </w:r>
      <w:r>
        <w:rPr>
          <w:rFonts w:hint="eastAsia" w:ascii="仿宋_GB2312" w:hAnsi="仿宋_GB2312" w:eastAsia="仿宋_GB2312" w:cs="仿宋_GB2312"/>
          <w:sz w:val="30"/>
          <w:szCs w:val="30"/>
          <w:highlight w:val="none"/>
          <w:u w:val="none"/>
        </w:rPr>
        <w:t>事业人员增加1人。</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4.教育支出(类)进修及培训(款)培训支出(项)年初预算为25.00万元，支出决算为25.00万元，完成年初预算的100.00%，决算数等于预算数。</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5.社会保障和就业支出(类)行政事业单位养老支出(款)行政单位离退休(项)年初预算为70.56万元，支出决算为71.82万元，完成年初预算的101.79%。</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6.社会保障和就业支出(类)行政事业单位养老支出(款)机关事业单位基本养老保险缴费支出(项)年初预算为38.50万元，支出决算为43.66万元，完成年初预算的113.40%，决算数高于预算数的主要原因是：</w:t>
      </w:r>
      <w:r>
        <w:rPr>
          <w:rFonts w:hint="eastAsia" w:ascii="仿宋_GB2312" w:hAnsi="仿宋_GB2312" w:eastAsia="仿宋_GB2312" w:cs="仿宋_GB2312"/>
          <w:sz w:val="30"/>
          <w:szCs w:val="30"/>
          <w:highlight w:val="none"/>
          <w:u w:val="none"/>
          <w:lang w:eastAsia="zh-CN"/>
        </w:rPr>
        <w:t>当年总人数</w:t>
      </w:r>
      <w:r>
        <w:rPr>
          <w:rFonts w:hint="eastAsia" w:ascii="仿宋_GB2312" w:hAnsi="仿宋_GB2312" w:eastAsia="仿宋_GB2312" w:cs="仿宋_GB2312"/>
          <w:sz w:val="30"/>
          <w:szCs w:val="30"/>
          <w:highlight w:val="none"/>
          <w:u w:val="none"/>
        </w:rPr>
        <w:t>增加3人。</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7.社会保障和就业支出(类)行政事业单位养老支出(款)机关事业单位职业年金缴费支出(项)年初预算为18.93万元，支出决算为25.31万元，完成年初预算的133.70%，决算数高于预算数的主要原因是：</w:t>
      </w:r>
      <w:r>
        <w:rPr>
          <w:rFonts w:hint="eastAsia" w:ascii="仿宋_GB2312" w:hAnsi="仿宋_GB2312" w:eastAsia="仿宋_GB2312" w:cs="仿宋_GB2312"/>
          <w:sz w:val="30"/>
          <w:szCs w:val="30"/>
          <w:highlight w:val="none"/>
          <w:u w:val="none"/>
          <w:lang w:eastAsia="zh-CN"/>
        </w:rPr>
        <w:t>当年总人数</w:t>
      </w:r>
      <w:r>
        <w:rPr>
          <w:rFonts w:hint="eastAsia" w:ascii="仿宋_GB2312" w:hAnsi="仿宋_GB2312" w:eastAsia="仿宋_GB2312" w:cs="仿宋_GB2312"/>
          <w:sz w:val="30"/>
          <w:szCs w:val="30"/>
          <w:highlight w:val="none"/>
          <w:u w:val="none"/>
        </w:rPr>
        <w:t>增加3</w:t>
      </w:r>
      <w:r>
        <w:rPr>
          <w:rFonts w:hint="eastAsia" w:ascii="仿宋_GB2312" w:hAnsi="仿宋_GB2312" w:eastAsia="仿宋_GB2312" w:cs="仿宋_GB2312"/>
          <w:sz w:val="30"/>
          <w:szCs w:val="30"/>
          <w:highlight w:val="none"/>
          <w:u w:val="none"/>
          <w:lang w:eastAsia="zh-CN"/>
        </w:rPr>
        <w:t>人</w:t>
      </w:r>
      <w:r>
        <w:rPr>
          <w:rFonts w:hint="eastAsia" w:ascii="仿宋_GB2312" w:hAnsi="仿宋_GB2312" w:eastAsia="仿宋_GB2312" w:cs="仿宋_GB2312"/>
          <w:sz w:val="30"/>
          <w:szCs w:val="30"/>
          <w:highlight w:val="none"/>
          <w:u w:val="none"/>
        </w:rPr>
        <w:t>。</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8.社会保障和就业支出(类)其他社会保障和就业支出(款)其他社会保障和就业支出(项)年初预算为2.00万元，支出决算为1.85万元，完成年初预算的92.50%，决算数低于预算数的主要原因是：其他缴费基数调整变化不大。</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9.卫生健康支出(类)行政事业单位医疗(款)行政单位医疗(项)年初预算为15.50万元，支出决算为18.08万元，完成年初预算的116.65%，决算数高于预算数的主要原因是：</w:t>
      </w:r>
      <w:r>
        <w:rPr>
          <w:rFonts w:hint="eastAsia" w:ascii="仿宋_GB2312" w:hAnsi="仿宋_GB2312" w:eastAsia="仿宋_GB2312" w:cs="仿宋_GB2312"/>
          <w:sz w:val="30"/>
          <w:szCs w:val="30"/>
          <w:highlight w:val="none"/>
          <w:u w:val="none"/>
          <w:lang w:eastAsia="zh-CN"/>
        </w:rPr>
        <w:t>当年总人数</w:t>
      </w:r>
      <w:r>
        <w:rPr>
          <w:rFonts w:hint="eastAsia" w:ascii="仿宋_GB2312" w:hAnsi="仿宋_GB2312" w:eastAsia="仿宋_GB2312" w:cs="仿宋_GB2312"/>
          <w:sz w:val="30"/>
          <w:szCs w:val="30"/>
          <w:highlight w:val="none"/>
          <w:u w:val="none"/>
        </w:rPr>
        <w:t>增加3人。</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rPr>
        <w:t>10.卫生健康支出(类)行政事业单位医疗(款)公务员医疗补助(项)年初预算为12.00万元，支出决算为13.86万元，完成年初预算的115.50%，决算数高于预算数的主要原因是：</w:t>
      </w:r>
      <w:r>
        <w:rPr>
          <w:rFonts w:hint="eastAsia" w:ascii="仿宋_GB2312" w:hAnsi="仿宋_GB2312" w:eastAsia="仿宋_GB2312" w:cs="仿宋_GB2312"/>
          <w:sz w:val="30"/>
          <w:szCs w:val="30"/>
          <w:highlight w:val="none"/>
          <w:u w:val="none"/>
          <w:lang w:eastAsia="zh-CN"/>
        </w:rPr>
        <w:t>当年总人数</w:t>
      </w:r>
      <w:r>
        <w:rPr>
          <w:rFonts w:hint="eastAsia" w:ascii="仿宋_GB2312" w:hAnsi="仿宋_GB2312" w:eastAsia="仿宋_GB2312" w:cs="仿宋_GB2312"/>
          <w:sz w:val="30"/>
          <w:szCs w:val="30"/>
          <w:highlight w:val="none"/>
          <w:u w:val="none"/>
        </w:rPr>
        <w:t>增加3人。</w:t>
      </w:r>
    </w:p>
    <w:p>
      <w:pPr>
        <w:pStyle w:val="2"/>
        <w:keepNext w:val="0"/>
        <w:keepLines w:val="0"/>
        <w:pageBreakBefore w:val="0"/>
        <w:widowControl w:val="0"/>
        <w:kinsoku/>
        <w:wordWrap/>
        <w:overflowPunct/>
        <w:topLinePunct w:val="0"/>
        <w:autoSpaceDE w:val="0"/>
        <w:autoSpaceDN w:val="0"/>
        <w:bidi w:val="0"/>
        <w:adjustRightInd w:val="0"/>
        <w:snapToGrid/>
        <w:spacing w:before="0" w:after="0" w:line="600" w:lineRule="exact"/>
        <w:ind w:firstLine="600" w:firstLineChars="200"/>
        <w:textAlignment w:val="auto"/>
        <w:outlineLvl w:val="0"/>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rPr>
        <w:t>11.住房保障支出(类)住房改革支出(款)住房公积金(项)年初预算为38.55万元，支出决算为42.91万元，完成年初预算的111.31%，决算数高于预算数的主要原因是：</w:t>
      </w:r>
      <w:r>
        <w:rPr>
          <w:rFonts w:hint="eastAsia" w:ascii="仿宋_GB2312" w:hAnsi="仿宋_GB2312" w:eastAsia="仿宋_GB2312" w:cs="仿宋_GB2312"/>
          <w:sz w:val="30"/>
          <w:szCs w:val="30"/>
          <w:highlight w:val="none"/>
          <w:u w:val="none"/>
          <w:lang w:eastAsia="zh-CN"/>
        </w:rPr>
        <w:t>当年总人数</w:t>
      </w:r>
      <w:r>
        <w:rPr>
          <w:rFonts w:hint="eastAsia" w:ascii="仿宋_GB2312" w:hAnsi="仿宋_GB2312" w:eastAsia="仿宋_GB2312" w:cs="仿宋_GB2312"/>
          <w:sz w:val="30"/>
          <w:szCs w:val="30"/>
          <w:highlight w:val="none"/>
          <w:u w:val="none"/>
        </w:rPr>
        <w:t>增加3人</w:t>
      </w:r>
      <w:r>
        <w:rPr>
          <w:rFonts w:hint="eastAsia" w:ascii="仿宋_GB2312" w:hAnsi="仿宋_GB2312" w:eastAsia="仿宋_GB2312" w:cs="仿宋_GB2312"/>
          <w:sz w:val="30"/>
          <w:szCs w:val="30"/>
          <w:highlight w:val="none"/>
          <w:u w:val="none"/>
          <w:lang w:eastAsia="zh-CN"/>
        </w:rPr>
        <w:t>。</w:t>
      </w:r>
    </w:p>
    <w:p>
      <w:pPr>
        <w:pStyle w:val="2"/>
        <w:spacing w:before="0" w:after="0" w:line="600" w:lineRule="exact"/>
        <w:ind w:firstLine="602" w:firstLineChars="200"/>
        <w:outlineLvl w:val="0"/>
        <w:rPr>
          <w:rFonts w:hint="eastAsia" w:ascii="黑体" w:hAnsi="黑体" w:eastAsia="黑体" w:cs="仿宋_GB2312"/>
          <w:b/>
          <w:bCs/>
          <w:sz w:val="30"/>
          <w:szCs w:val="30"/>
          <w:highlight w:val="none"/>
          <w:u w:val="none"/>
        </w:rPr>
      </w:pPr>
      <w:r>
        <w:rPr>
          <w:rFonts w:hint="eastAsia" w:ascii="黑体" w:hAnsi="黑体" w:eastAsia="黑体" w:cs="仿宋_GB2312"/>
          <w:b/>
          <w:bCs/>
          <w:sz w:val="30"/>
          <w:szCs w:val="30"/>
          <w:highlight w:val="none"/>
          <w:u w:val="none"/>
        </w:rPr>
        <w:t>七、一般公共预算财政拨款基本支出决算情况说明</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00" w:firstLineChars="200"/>
        <w:textAlignment w:val="baseline"/>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rPr>
        <w:t>贵阳市外事办公室</w:t>
      </w:r>
      <w:r>
        <w:rPr>
          <w:rFonts w:hint="eastAsia" w:ascii="仿宋_GB2312" w:hAnsi="仿宋_GB2312" w:eastAsia="仿宋_GB2312" w:cs="仿宋_GB2312"/>
          <w:sz w:val="30"/>
          <w:szCs w:val="30"/>
          <w:highlight w:val="none"/>
          <w:u w:val="none"/>
          <w:lang w:eastAsia="zh-CN"/>
        </w:rPr>
        <w:t>2024</w:t>
      </w:r>
      <w:r>
        <w:rPr>
          <w:rFonts w:hint="eastAsia" w:ascii="仿宋_GB2312" w:hAnsi="仿宋_GB2312" w:eastAsia="仿宋_GB2312" w:cs="仿宋_GB2312"/>
          <w:sz w:val="30"/>
          <w:szCs w:val="30"/>
          <w:highlight w:val="none"/>
          <w:u w:val="none"/>
        </w:rPr>
        <w:t>年度一般公共预算财政拨款基本支出合计634.56</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w:t>
      </w:r>
      <w:r>
        <w:rPr>
          <w:rFonts w:hint="eastAsia" w:ascii="仿宋_GB2312" w:hAnsi="仿宋_GB2312" w:eastAsia="仿宋_GB2312" w:cs="仿宋_GB2312"/>
          <w:sz w:val="30"/>
          <w:szCs w:val="30"/>
          <w:highlight w:val="none"/>
          <w:u w:val="none"/>
          <w:lang w:val="en-US" w:eastAsia="zh-CN"/>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（一）人员经费：557.06万元，主要包括：基本工资、津贴补贴、离退休费、社保缴费、公积金等。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（二）公用经费:77.49万元，主要包括：办公费、印刷费、手续费、劳务费、维修（护）费等。</w:t>
      </w:r>
    </w:p>
    <w:p>
      <w:pPr>
        <w:numPr>
          <w:ilvl w:val="0"/>
          <w:numId w:val="0"/>
        </w:numPr>
        <w:autoSpaceDE w:val="0"/>
        <w:autoSpaceDN w:val="0"/>
        <w:adjustRightInd w:val="0"/>
        <w:spacing w:line="590" w:lineRule="exact"/>
        <w:ind w:firstLine="602" w:firstLineChars="200"/>
        <w:jc w:val="left"/>
        <w:rPr>
          <w:rFonts w:hint="eastAsia" w:ascii="黑体" w:hAnsi="黑体" w:eastAsia="黑体" w:cs="仿宋_GB2312"/>
          <w:b/>
          <w:bCs/>
          <w:sz w:val="30"/>
          <w:szCs w:val="30"/>
          <w:highlight w:val="none"/>
          <w:u w:val="none"/>
        </w:rPr>
      </w:pPr>
      <w:r>
        <w:rPr>
          <w:rFonts w:hint="eastAsia" w:ascii="黑体" w:hAnsi="黑体" w:eastAsia="黑体" w:cs="仿宋_GB2312"/>
          <w:b/>
          <w:bCs/>
          <w:sz w:val="30"/>
          <w:szCs w:val="30"/>
          <w:highlight w:val="none"/>
          <w:u w:val="none"/>
        </w:rPr>
        <w:t>八、政府性基金预算财政拨款收入支出决算情况说明</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00" w:firstLineChars="200"/>
        <w:textAlignment w:val="baseline"/>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bidi="ar-SA"/>
        </w:rPr>
        <w:t>贵阳市外事办公室2024年度无政府性基金预算财政拨款收支。</w:t>
      </w:r>
    </w:p>
    <w:p>
      <w:pPr>
        <w:numPr>
          <w:ilvl w:val="0"/>
          <w:numId w:val="0"/>
        </w:numPr>
        <w:autoSpaceDE w:val="0"/>
        <w:autoSpaceDN w:val="0"/>
        <w:adjustRightInd w:val="0"/>
        <w:spacing w:line="590" w:lineRule="exact"/>
        <w:ind w:firstLine="602" w:firstLineChars="200"/>
        <w:rPr>
          <w:rFonts w:hint="eastAsia" w:ascii="黑体" w:hAnsi="黑体" w:eastAsia="黑体" w:cs="仿宋_GB2312"/>
          <w:b/>
          <w:bCs/>
          <w:sz w:val="30"/>
          <w:szCs w:val="30"/>
          <w:highlight w:val="none"/>
          <w:u w:val="none"/>
          <w:lang w:eastAsia="zh-CN"/>
        </w:rPr>
      </w:pPr>
      <w:r>
        <w:rPr>
          <w:rFonts w:hint="eastAsia" w:ascii="黑体" w:hAnsi="黑体" w:eastAsia="黑体" w:cs="仿宋_GB2312"/>
          <w:b/>
          <w:bCs/>
          <w:sz w:val="30"/>
          <w:szCs w:val="30"/>
          <w:highlight w:val="none"/>
          <w:u w:val="none"/>
        </w:rPr>
        <w:t>九、国有资本经营预算财政拨款决算情况说明</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00" w:firstLineChars="200"/>
        <w:textAlignment w:val="baseline"/>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bidi="ar-SA"/>
        </w:rPr>
        <w:t>贵阳市外事办公室2024年度无</w:t>
      </w:r>
      <w:r>
        <w:rPr>
          <w:rFonts w:hint="eastAsia" w:ascii="仿宋_GB2312" w:hAnsi="仿宋_GB2312" w:eastAsia="仿宋_GB2312" w:cs="仿宋_GB2312"/>
          <w:kern w:val="2"/>
          <w:sz w:val="32"/>
          <w:szCs w:val="24"/>
          <w:highlight w:val="none"/>
          <w:lang w:val="en-US" w:eastAsia="zh-CN"/>
        </w:rPr>
        <w:t>国有资本经营预算财政拨款支出。</w:t>
      </w:r>
    </w:p>
    <w:p>
      <w:pPr>
        <w:numPr>
          <w:ilvl w:val="0"/>
          <w:numId w:val="0"/>
        </w:numPr>
        <w:autoSpaceDE w:val="0"/>
        <w:autoSpaceDN w:val="0"/>
        <w:adjustRightInd w:val="0"/>
        <w:spacing w:line="590" w:lineRule="exact"/>
        <w:ind w:firstLine="602" w:firstLineChars="200"/>
        <w:rPr>
          <w:rFonts w:hint="eastAsia" w:ascii="仿宋_GB2312" w:hAnsi="仿宋_GB2312" w:eastAsia="仿宋_GB2312" w:cs="仿宋_GB2312"/>
          <w:kern w:val="2"/>
          <w:sz w:val="32"/>
          <w:szCs w:val="24"/>
          <w:highlight w:val="none"/>
          <w:lang w:val="en-US" w:eastAsia="zh-CN"/>
        </w:rPr>
      </w:pPr>
      <w:r>
        <w:rPr>
          <w:rFonts w:hint="eastAsia" w:ascii="黑体" w:hAnsi="黑体" w:eastAsia="黑体" w:cs="仿宋_GB2312"/>
          <w:b/>
          <w:bCs/>
          <w:sz w:val="30"/>
          <w:szCs w:val="30"/>
          <w:highlight w:val="none"/>
          <w:u w:val="none"/>
        </w:rPr>
        <w:t>十、财政拨款“三公”经费支出决算情况说明</w:t>
      </w:r>
    </w:p>
    <w:p>
      <w:pPr>
        <w:autoSpaceDE w:val="0"/>
        <w:autoSpaceDN w:val="0"/>
        <w:adjustRightInd w:val="0"/>
        <w:spacing w:line="590" w:lineRule="exact"/>
        <w:ind w:firstLine="320" w:firstLineChars="1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（一）“三公”经费财政拨款支出决算总体情况说明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bidi="ar-SA"/>
        </w:rPr>
        <w:t>贵阳市外事办公室2024年</w:t>
      </w:r>
      <w:r>
        <w:rPr>
          <w:rFonts w:hint="eastAsia" w:ascii="仿宋_GB2312" w:hAnsi="仿宋_GB2312" w:eastAsia="仿宋_GB2312"/>
          <w:sz w:val="32"/>
          <w:highlight w:val="none"/>
        </w:rPr>
        <w:t>“三公”经费财政拨款支出预算为</w:t>
      </w:r>
      <w:r>
        <w:rPr>
          <w:rFonts w:hint="eastAsia" w:ascii="仿宋_GB2312" w:hAnsi="仿宋_GB2312" w:eastAsia="仿宋_GB2312" w:cs="仿宋_GB2312"/>
          <w:sz w:val="30"/>
          <w:szCs w:val="30"/>
          <w:highlight w:val="none"/>
          <w:u w:val="none"/>
          <w:lang w:val="en-US" w:eastAsia="zh-CN" w:bidi="ar-SA"/>
        </w:rPr>
        <w:t>34.36万元，</w:t>
      </w:r>
      <w:r>
        <w:rPr>
          <w:rFonts w:hint="eastAsia" w:ascii="仿宋_GB2312" w:hAnsi="仿宋_GB2312" w:eastAsia="仿宋_GB2312"/>
          <w:sz w:val="32"/>
          <w:highlight w:val="none"/>
        </w:rPr>
        <w:t>“三公”经费财政拨款支出</w:t>
      </w:r>
      <w:r>
        <w:rPr>
          <w:rFonts w:hint="eastAsia" w:ascii="仿宋_GB2312" w:hAnsi="仿宋_GB2312" w:eastAsia="仿宋_GB2312"/>
          <w:sz w:val="32"/>
          <w:highlight w:val="none"/>
          <w:lang w:val="en-US" w:eastAsia="zh-CN"/>
        </w:rPr>
        <w:t>决算为</w:t>
      </w:r>
      <w:r>
        <w:rPr>
          <w:rFonts w:hint="eastAsia" w:ascii="仿宋_GB2312" w:hAnsi="仿宋_GB2312" w:eastAsia="仿宋_GB2312" w:cs="仿宋_GB2312"/>
          <w:sz w:val="30"/>
          <w:szCs w:val="30"/>
          <w:highlight w:val="none"/>
          <w:u w:val="none"/>
          <w:lang w:val="en-US" w:eastAsia="zh-CN" w:bidi="ar-SA"/>
        </w:rPr>
        <w:t>32.06万元，完成预算数的93.31%</w:t>
      </w:r>
      <w:r>
        <w:rPr>
          <w:rFonts w:hint="eastAsia" w:ascii="仿宋_GB2312" w:hAnsi="仿宋_GB2312" w:eastAsia="仿宋_GB2312" w:cs="仿宋_GB2312"/>
          <w:sz w:val="30"/>
          <w:szCs w:val="30"/>
          <w:highlight w:val="none"/>
          <w:u w:val="none"/>
          <w:lang w:eastAsia="zh-CN"/>
        </w:rPr>
        <w:t>。支出决算较上年增加28.28万元，增长761.84%。</w:t>
      </w:r>
      <w:r>
        <w:rPr>
          <w:rFonts w:hint="eastAsia" w:ascii="仿宋_GB2312" w:hAnsi="仿宋_GB2312" w:eastAsia="仿宋_GB2312" w:cs="仿宋_GB2312"/>
          <w:sz w:val="30"/>
          <w:szCs w:val="30"/>
          <w:highlight w:val="none"/>
          <w:u w:val="none"/>
          <w:lang w:val="en-US" w:eastAsia="zh-CN" w:bidi="ar-SA"/>
        </w:rPr>
        <w:t>主要原因是：</w:t>
      </w:r>
      <w:r>
        <w:rPr>
          <w:rFonts w:hint="eastAsia" w:ascii="仿宋_GB2312" w:hAnsi="仿宋_GB2312" w:eastAsia="仿宋_GB2312" w:cs="仿宋_GB2312"/>
          <w:sz w:val="30"/>
          <w:szCs w:val="30"/>
          <w:highlight w:val="none"/>
          <w:u w:val="none"/>
        </w:rPr>
        <w:t>2024年因公出国（境）较上年增幅较大。</w:t>
      </w:r>
    </w:p>
    <w:p>
      <w:pPr>
        <w:autoSpaceDE w:val="0"/>
        <w:autoSpaceDN w:val="0"/>
        <w:adjustRightInd w:val="0"/>
        <w:spacing w:line="590" w:lineRule="exact"/>
        <w:ind w:firstLine="320" w:firstLineChars="1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（二）“三公”经费财政拨款支出决算具体情况说明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2" w:firstLineChars="200"/>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b/>
          <w:bCs/>
          <w:sz w:val="30"/>
          <w:szCs w:val="30"/>
          <w:highlight w:val="none"/>
          <w:u w:val="none"/>
          <w:lang w:val="en-US" w:eastAsia="zh-CN"/>
        </w:rPr>
        <w:t>1.</w:t>
      </w:r>
      <w:r>
        <w:rPr>
          <w:rFonts w:hint="eastAsia" w:ascii="仿宋_GB2312" w:hAnsi="仿宋_GB2312" w:eastAsia="仿宋_GB2312" w:cs="仿宋_GB2312"/>
          <w:b/>
          <w:bCs/>
          <w:sz w:val="30"/>
          <w:szCs w:val="30"/>
          <w:highlight w:val="none"/>
          <w:u w:val="none"/>
        </w:rPr>
        <w:t>因公出国（境）费预算</w:t>
      </w:r>
      <w:r>
        <w:rPr>
          <w:rFonts w:hint="eastAsia" w:ascii="仿宋_GB2312" w:hAnsi="仿宋_GB2312" w:eastAsia="仿宋_GB2312" w:cs="仿宋_GB2312"/>
          <w:sz w:val="30"/>
          <w:szCs w:val="30"/>
          <w:highlight w:val="none"/>
          <w:u w:val="none"/>
        </w:rPr>
        <w:t>28.43</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元，支出决算28.43</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元，完成预算的100.00%；与</w:t>
      </w:r>
      <w:r>
        <w:rPr>
          <w:rFonts w:hint="eastAsia" w:ascii="仿宋_GB2312" w:hAnsi="仿宋_GB2312" w:eastAsia="仿宋_GB2312" w:cs="仿宋_GB2312"/>
          <w:sz w:val="30"/>
          <w:szCs w:val="30"/>
          <w:highlight w:val="none"/>
          <w:u w:val="none"/>
          <w:lang w:val="en-US" w:eastAsia="zh-CN"/>
        </w:rPr>
        <w:t>上一年</w:t>
      </w:r>
      <w:r>
        <w:rPr>
          <w:rFonts w:hint="eastAsia" w:ascii="仿宋_GB2312" w:hAnsi="仿宋_GB2312" w:eastAsia="仿宋_GB2312" w:cs="仿宋_GB2312"/>
          <w:sz w:val="30"/>
          <w:szCs w:val="30"/>
          <w:highlight w:val="none"/>
          <w:u w:val="none"/>
        </w:rPr>
        <w:t>相比</w:t>
      </w:r>
      <w:r>
        <w:rPr>
          <w:rFonts w:hint="eastAsia" w:ascii="仿宋_GB2312" w:hAnsi="仿宋_GB2312" w:eastAsia="仿宋_GB2312" w:cs="仿宋_GB2312"/>
          <w:sz w:val="30"/>
          <w:szCs w:val="30"/>
          <w:highlight w:val="none"/>
          <w:u w:val="none"/>
          <w:lang w:eastAsia="zh-CN"/>
        </w:rPr>
        <w:t>，</w:t>
      </w:r>
      <w:r>
        <w:rPr>
          <w:rFonts w:hint="eastAsia" w:ascii="仿宋_GB2312" w:hAnsi="仿宋_GB2312" w:eastAsia="仿宋_GB2312" w:cs="仿宋_GB2312"/>
          <w:sz w:val="30"/>
          <w:szCs w:val="30"/>
          <w:highlight w:val="none"/>
          <w:u w:val="none"/>
        </w:rPr>
        <w:t xml:space="preserve">支出决算较上年增加25.86万元，增长1006.23%。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决算数较上年增加的主要原因是因公出国（境）任务较多，2024年因公出国（境）5批次1人次；2023年因公出国（境）1批次1人次人。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default"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2024年本单位组织的出国团5个，出国团6人次,开支包括：</w:t>
      </w:r>
      <w:r>
        <w:rPr>
          <w:rFonts w:hint="eastAsia" w:ascii="仿宋_GB2312" w:hAnsi="仿宋_GB2312" w:eastAsia="仿宋_GB2312" w:cs="仿宋_GB2312"/>
          <w:sz w:val="30"/>
          <w:szCs w:val="30"/>
          <w:highlight w:val="none"/>
          <w:u w:val="none"/>
        </w:rPr>
        <w:t>国际旅费、国外城市间交通费、住宿费、公杂费等。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43" w:firstLineChars="200"/>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b/>
          <w:bCs/>
          <w:sz w:val="32"/>
          <w:highlight w:val="none"/>
        </w:rPr>
        <w:t>2.公务用车购置及运行维护费</w:t>
      </w:r>
      <w:r>
        <w:rPr>
          <w:rFonts w:hint="eastAsia" w:ascii="仿宋_GB2312" w:hAnsi="仿宋_GB2312" w:eastAsia="仿宋_GB2312"/>
          <w:b/>
          <w:bCs/>
          <w:sz w:val="32"/>
          <w:highlight w:val="none"/>
          <w:lang w:val="en-US" w:eastAsia="zh-CN"/>
        </w:rPr>
        <w:t>预算</w:t>
      </w:r>
      <w:r>
        <w:rPr>
          <w:rFonts w:hint="eastAsia" w:ascii="仿宋_GB2312" w:hAnsi="仿宋_GB2312" w:eastAsia="仿宋_GB2312" w:cs="仿宋_GB2312"/>
          <w:sz w:val="30"/>
          <w:szCs w:val="30"/>
          <w:highlight w:val="none"/>
          <w:u w:val="none"/>
        </w:rPr>
        <w:t>1.93</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元，支出决算0.40</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w:t>
      </w:r>
      <w:r>
        <w:rPr>
          <w:rFonts w:hint="eastAsia" w:ascii="仿宋_GB2312" w:hAnsi="仿宋_GB2312" w:eastAsia="仿宋_GB2312" w:cs="仿宋_GB2312"/>
          <w:sz w:val="30"/>
          <w:szCs w:val="30"/>
          <w:highlight w:val="none"/>
          <w:u w:val="none"/>
          <w:lang w:val="en-US" w:eastAsia="zh-CN"/>
        </w:rPr>
        <w:t>完</w:t>
      </w:r>
      <w:r>
        <w:rPr>
          <w:rFonts w:hint="eastAsia" w:ascii="仿宋_GB2312" w:hAnsi="仿宋_GB2312" w:eastAsia="仿宋_GB2312" w:cs="仿宋_GB2312"/>
          <w:sz w:val="30"/>
          <w:szCs w:val="30"/>
          <w:highlight w:val="none"/>
          <w:u w:val="none"/>
        </w:rPr>
        <w:t>成预算的20.73%；与</w:t>
      </w:r>
      <w:r>
        <w:rPr>
          <w:rFonts w:hint="eastAsia" w:ascii="仿宋_GB2312" w:hAnsi="仿宋_GB2312" w:eastAsia="仿宋_GB2312" w:cs="仿宋_GB2312"/>
          <w:sz w:val="30"/>
          <w:szCs w:val="30"/>
          <w:highlight w:val="none"/>
          <w:u w:val="none"/>
          <w:lang w:val="en-US" w:eastAsia="zh-CN"/>
        </w:rPr>
        <w:t>上一年</w:t>
      </w:r>
      <w:r>
        <w:rPr>
          <w:rFonts w:hint="eastAsia" w:ascii="仿宋_GB2312" w:hAnsi="仿宋_GB2312" w:eastAsia="仿宋_GB2312" w:cs="仿宋_GB2312"/>
          <w:sz w:val="30"/>
          <w:szCs w:val="30"/>
          <w:highlight w:val="none"/>
          <w:u w:val="none"/>
        </w:rPr>
        <w:t>相比</w:t>
      </w:r>
      <w:r>
        <w:rPr>
          <w:rFonts w:hint="eastAsia" w:ascii="仿宋_GB2312" w:hAnsi="仿宋_GB2312" w:eastAsia="仿宋_GB2312" w:cs="仿宋_GB2312"/>
          <w:sz w:val="30"/>
          <w:szCs w:val="30"/>
          <w:highlight w:val="none"/>
          <w:u w:val="none"/>
          <w:lang w:eastAsia="zh-CN"/>
        </w:rPr>
        <w:t>，</w:t>
      </w:r>
      <w:r>
        <w:rPr>
          <w:rFonts w:hint="eastAsia" w:ascii="仿宋_GB2312" w:hAnsi="仿宋_GB2312" w:eastAsia="仿宋_GB2312" w:cs="仿宋_GB2312"/>
          <w:sz w:val="30"/>
          <w:szCs w:val="30"/>
          <w:highlight w:val="none"/>
          <w:u w:val="none"/>
        </w:rPr>
        <w:t xml:space="preserve">支出决算较上年减少0.04万元,下降9.09%。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决算数小于预算数的主要原因是公务车辆2024年仅开支车辆保险费及停车费等；决算数较上年减少的主要原因是公务车使用情况较上年减少。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其中：公务用车购置费0.00万元，2024年购置公务用车0辆。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eastAsia="仿宋_GB2312"/>
          <w:sz w:val="30"/>
          <w:szCs w:val="30"/>
          <w:highlight w:val="none"/>
          <w:u w:val="none"/>
          <w:lang w:eastAsia="zh-CN"/>
        </w:rPr>
      </w:pPr>
      <w:r>
        <w:rPr>
          <w:rFonts w:hint="eastAsia" w:ascii="仿宋_GB2312" w:hAnsi="仿宋_GB2312" w:eastAsia="仿宋_GB2312" w:cs="仿宋_GB2312"/>
          <w:sz w:val="30"/>
          <w:szCs w:val="30"/>
          <w:highlight w:val="none"/>
          <w:u w:val="none"/>
          <w:lang w:val="en-US" w:eastAsia="zh-CN"/>
        </w:rPr>
        <w:t>公务用车运行维护费0.40万元，</w:t>
      </w:r>
      <w:r>
        <w:rPr>
          <w:rFonts w:hint="eastAsia" w:ascii="仿宋_GB2312" w:hAnsi="仿宋_GB2312" w:eastAsia="仿宋_GB2312"/>
          <w:sz w:val="32"/>
          <w:highlight w:val="none"/>
        </w:rPr>
        <w:t>主要用于</w:t>
      </w:r>
      <w:r>
        <w:rPr>
          <w:rFonts w:hint="eastAsia" w:ascii="仿宋_GB2312" w:hAnsi="仿宋_GB2312" w:eastAsia="仿宋_GB2312"/>
          <w:sz w:val="32"/>
          <w:highlight w:val="none"/>
          <w:lang w:eastAsia="zh-CN"/>
        </w:rPr>
        <w:t>：</w:t>
      </w:r>
      <w:r>
        <w:rPr>
          <w:rFonts w:hint="eastAsia" w:ascii="仿宋_GB2312" w:eastAsia="仿宋_GB2312"/>
          <w:sz w:val="30"/>
          <w:szCs w:val="30"/>
          <w:highlight w:val="none"/>
          <w:u w:val="none"/>
          <w:lang w:eastAsia="zh-CN"/>
        </w:rPr>
        <w:t>保险费及停车费。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eastAsia="仿宋_GB2312" w:cs="仿宋_GB2312"/>
          <w:kern w:val="0"/>
          <w:sz w:val="32"/>
          <w:szCs w:val="32"/>
          <w:highlight w:val="none"/>
        </w:rPr>
        <w:t>截至202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w:t>
      </w:r>
      <w:r>
        <w:rPr>
          <w:rFonts w:ascii="仿宋_GB2312" w:eastAsia="仿宋_GB2312" w:cs="仿宋_GB2312"/>
          <w:kern w:val="0"/>
          <w:sz w:val="32"/>
          <w:szCs w:val="32"/>
          <w:highlight w:val="none"/>
        </w:rPr>
        <w:t>12</w:t>
      </w:r>
      <w:r>
        <w:rPr>
          <w:rFonts w:hint="eastAsia" w:ascii="仿宋_GB2312" w:eastAsia="仿宋_GB2312" w:cs="仿宋_GB2312"/>
          <w:kern w:val="0"/>
          <w:sz w:val="32"/>
          <w:szCs w:val="32"/>
          <w:highlight w:val="none"/>
        </w:rPr>
        <w:t>月</w:t>
      </w:r>
      <w:r>
        <w:rPr>
          <w:rFonts w:ascii="仿宋_GB2312" w:eastAsia="仿宋_GB2312" w:cs="仿宋_GB2312"/>
          <w:kern w:val="0"/>
          <w:sz w:val="32"/>
          <w:szCs w:val="32"/>
          <w:highlight w:val="none"/>
        </w:rPr>
        <w:t>31</w:t>
      </w:r>
      <w:r>
        <w:rPr>
          <w:rFonts w:hint="eastAsia" w:ascii="仿宋_GB2312" w:eastAsia="仿宋_GB2312" w:cs="仿宋_GB2312"/>
          <w:kern w:val="0"/>
          <w:sz w:val="32"/>
          <w:szCs w:val="32"/>
          <w:highlight w:val="none"/>
        </w:rPr>
        <w:t>日</w:t>
      </w:r>
      <w:r>
        <w:rPr>
          <w:rFonts w:hint="eastAsia" w:ascii="仿宋_GB2312" w:hAnsi="仿宋_GB2312" w:eastAsia="仿宋_GB2312"/>
          <w:sz w:val="32"/>
          <w:highlight w:val="none"/>
        </w:rPr>
        <w:t>，开支财政拨款的公务用车保有量为</w:t>
      </w:r>
      <w:r>
        <w:rPr>
          <w:rFonts w:hint="eastAsia" w:ascii="仿宋_GB2312" w:hAnsi="仿宋_GB2312" w:eastAsia="仿宋_GB2312" w:cs="仿宋_GB2312"/>
          <w:sz w:val="30"/>
          <w:szCs w:val="30"/>
          <w:highlight w:val="none"/>
          <w:u w:val="none"/>
          <w:lang w:val="en-US" w:eastAsia="zh-CN"/>
        </w:rPr>
        <w:t>1</w:t>
      </w:r>
      <w:r>
        <w:rPr>
          <w:rFonts w:hint="eastAsia" w:ascii="仿宋_GB2312" w:hAnsi="仿宋_GB2312" w:eastAsia="仿宋_GB2312"/>
          <w:sz w:val="32"/>
          <w:highlight w:val="none"/>
        </w:rPr>
        <w:t>辆</w:t>
      </w:r>
      <w:r>
        <w:rPr>
          <w:rFonts w:hint="eastAsia" w:ascii="仿宋_GB2312" w:hAnsi="仿宋_GB2312" w:eastAsia="仿宋_GB2312"/>
          <w:sz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2" w:firstLineChars="200"/>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b/>
          <w:bCs/>
          <w:sz w:val="30"/>
          <w:szCs w:val="30"/>
          <w:highlight w:val="none"/>
          <w:u w:val="none"/>
        </w:rPr>
        <w:t>3.公务接待费预算</w:t>
      </w:r>
      <w:r>
        <w:rPr>
          <w:rFonts w:hint="eastAsia" w:ascii="仿宋_GB2312" w:hAnsi="仿宋_GB2312" w:eastAsia="仿宋_GB2312" w:cs="仿宋_GB2312"/>
          <w:sz w:val="30"/>
          <w:szCs w:val="30"/>
          <w:highlight w:val="none"/>
          <w:u w:val="none"/>
        </w:rPr>
        <w:t>4.00</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元，支出决算3.24</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元，完成预算的81.00%；与</w:t>
      </w:r>
      <w:r>
        <w:rPr>
          <w:rFonts w:hint="eastAsia" w:ascii="仿宋_GB2312" w:hAnsi="仿宋_GB2312" w:eastAsia="仿宋_GB2312" w:cs="仿宋_GB2312"/>
          <w:sz w:val="30"/>
          <w:szCs w:val="30"/>
          <w:highlight w:val="none"/>
          <w:u w:val="none"/>
          <w:lang w:val="en-US" w:eastAsia="zh-CN"/>
        </w:rPr>
        <w:t>上一年</w:t>
      </w:r>
      <w:r>
        <w:rPr>
          <w:rFonts w:hint="eastAsia" w:ascii="仿宋_GB2312" w:hAnsi="仿宋_GB2312" w:eastAsia="仿宋_GB2312" w:cs="仿宋_GB2312"/>
          <w:sz w:val="30"/>
          <w:szCs w:val="30"/>
          <w:highlight w:val="none"/>
          <w:u w:val="none"/>
        </w:rPr>
        <w:t>相比</w:t>
      </w:r>
      <w:r>
        <w:rPr>
          <w:rFonts w:hint="eastAsia" w:ascii="仿宋_GB2312" w:hAnsi="仿宋_GB2312" w:eastAsia="仿宋_GB2312" w:cs="仿宋_GB2312"/>
          <w:sz w:val="30"/>
          <w:szCs w:val="30"/>
          <w:highlight w:val="none"/>
          <w:u w:val="none"/>
          <w:lang w:eastAsia="zh-CN"/>
        </w:rPr>
        <w:t>，</w:t>
      </w:r>
      <w:r>
        <w:rPr>
          <w:rFonts w:hint="eastAsia" w:ascii="仿宋_GB2312" w:hAnsi="仿宋_GB2312" w:eastAsia="仿宋_GB2312" w:cs="仿宋_GB2312"/>
          <w:sz w:val="30"/>
          <w:szCs w:val="30"/>
          <w:highlight w:val="none"/>
          <w:u w:val="none"/>
        </w:rPr>
        <w:t>支出决算较上年增加2.53万元，增长</w:t>
      </w:r>
      <w:r>
        <w:rPr>
          <w:rFonts w:hint="eastAsia" w:ascii="仿宋_GB2312" w:hAnsi="仿宋_GB2312" w:eastAsia="仿宋_GB2312" w:cs="仿宋_GB2312"/>
          <w:sz w:val="30"/>
          <w:szCs w:val="30"/>
          <w:highlight w:val="none"/>
          <w:u w:val="none"/>
          <w:lang w:val="en-US" w:eastAsia="zh-CN"/>
        </w:rPr>
        <w:t>456.34</w:t>
      </w:r>
      <w:r>
        <w:rPr>
          <w:rFonts w:hint="eastAsia" w:ascii="仿宋_GB2312" w:hAnsi="仿宋_GB2312" w:eastAsia="仿宋_GB2312" w:cs="仿宋_GB2312"/>
          <w:sz w:val="30"/>
          <w:szCs w:val="30"/>
          <w:highlight w:val="none"/>
          <w:u w:val="none"/>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决算数小于预算数的主要原因是：坚持厉行节约，严控接待费开支；决算数较上年增加的主要原因是：2024年接待任务较上年有所增加。</w:t>
      </w:r>
    </w:p>
    <w:p>
      <w:pPr>
        <w:pStyle w:val="3"/>
        <w:keepNext w:val="0"/>
        <w:keepLines w:val="0"/>
        <w:pageBreakBefore w:val="0"/>
        <w:widowControl w:val="0"/>
        <w:kinsoku/>
        <w:wordWrap/>
        <w:overflowPunct/>
        <w:topLinePunct w:val="0"/>
        <w:autoSpaceDE w:val="0"/>
        <w:autoSpaceDN w:val="0"/>
        <w:bidi w:val="0"/>
        <w:adjustRightInd w:val="0"/>
        <w:snapToGrid/>
        <w:spacing w:line="590" w:lineRule="exact"/>
        <w:ind w:firstLine="602" w:firstLineChars="200"/>
        <w:jc w:val="left"/>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b/>
          <w:bCs/>
          <w:sz w:val="30"/>
          <w:szCs w:val="30"/>
          <w:highlight w:val="none"/>
          <w:lang w:val="zh-CN"/>
        </w:rPr>
        <w:t>国内接待费</w:t>
      </w:r>
      <w:r>
        <w:rPr>
          <w:rFonts w:hint="eastAsia" w:ascii="仿宋_GB2312" w:hAnsi="仿宋_GB2312" w:eastAsia="仿宋_GB2312"/>
          <w:b/>
          <w:bCs/>
          <w:sz w:val="30"/>
          <w:szCs w:val="30"/>
          <w:highlight w:val="none"/>
          <w:lang w:val="en-US" w:eastAsia="zh-CN"/>
        </w:rPr>
        <w:t>支出</w:t>
      </w:r>
      <w:r>
        <w:rPr>
          <w:rFonts w:hint="eastAsia" w:ascii="仿宋_GB2312" w:hAnsi="仿宋_GB2312" w:eastAsia="仿宋_GB2312" w:cs="仿宋_GB2312"/>
          <w:sz w:val="30"/>
          <w:szCs w:val="30"/>
          <w:highlight w:val="none"/>
          <w:u w:val="none"/>
        </w:rPr>
        <w:t>3.24</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w:t>
      </w:r>
      <w:r>
        <w:rPr>
          <w:rFonts w:hint="eastAsia" w:ascii="仿宋_GB2312" w:hAnsi="仿宋_GB2312" w:eastAsia="仿宋_GB2312" w:cs="仿宋_GB2312"/>
          <w:sz w:val="30"/>
          <w:szCs w:val="30"/>
          <w:highlight w:val="none"/>
          <w:u w:val="none"/>
          <w:lang w:val="en-US" w:eastAsia="zh-CN"/>
        </w:rPr>
        <w:t>,主要是</w:t>
      </w:r>
      <w:r>
        <w:rPr>
          <w:rFonts w:hint="eastAsia" w:ascii="仿宋_GB2312" w:hAnsi="仿宋_GB2312" w:eastAsia="仿宋_GB2312" w:cs="仿宋_GB2312"/>
          <w:sz w:val="30"/>
          <w:szCs w:val="30"/>
          <w:highlight w:val="none"/>
          <w:u w:val="none"/>
        </w:rPr>
        <w:t>接待外交部驻外使领馆大使参赞团、其他省市外办来筑调研团等。</w:t>
      </w:r>
      <w:r>
        <w:rPr>
          <w:rFonts w:hint="eastAsia" w:ascii="仿宋_GB2312" w:hAnsi="仿宋_GB2312" w:eastAsia="仿宋_GB2312" w:cs="仿宋_GB2312"/>
          <w:sz w:val="30"/>
          <w:szCs w:val="30"/>
          <w:highlight w:val="none"/>
          <w:u w:val="none"/>
          <w:lang w:eastAsia="zh-CN"/>
        </w:rPr>
        <w:t>2024</w:t>
      </w:r>
      <w:r>
        <w:rPr>
          <w:rFonts w:hint="eastAsia" w:ascii="仿宋_GB2312" w:hAnsi="仿宋_GB2312" w:eastAsia="仿宋_GB2312" w:cs="仿宋_GB2312"/>
          <w:sz w:val="30"/>
          <w:szCs w:val="30"/>
          <w:highlight w:val="none"/>
          <w:u w:val="none"/>
        </w:rPr>
        <w:t>年本单位国内公务接待14批次，102人次</w:t>
      </w:r>
      <w:r>
        <w:rPr>
          <w:rFonts w:hint="eastAsia" w:ascii="仿宋_GB2312" w:hAnsi="仿宋_GB2312" w:eastAsia="仿宋_GB2312" w:cs="仿宋_GB2312"/>
          <w:sz w:val="30"/>
          <w:szCs w:val="30"/>
          <w:highlight w:val="none"/>
          <w:u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spacing w:line="590" w:lineRule="exact"/>
        <w:ind w:firstLine="602" w:firstLineChars="200"/>
        <w:jc w:val="left"/>
        <w:textAlignment w:val="auto"/>
        <w:rPr>
          <w:rFonts w:hint="default" w:ascii="仿宋_GB2312" w:hAnsi="仿宋_GB2312" w:eastAsia="仿宋_GB2312" w:cs="仿宋_GB2312"/>
          <w:sz w:val="30"/>
          <w:szCs w:val="30"/>
          <w:highlight w:val="none"/>
          <w:u w:val="none"/>
          <w:lang w:val="en-US" w:eastAsia="zh-CN"/>
        </w:rPr>
      </w:pPr>
      <w:r>
        <w:rPr>
          <w:rFonts w:hint="eastAsia" w:ascii="仿宋_GB2312" w:eastAsia="仿宋_GB2312" w:cs="仿宋_GB2312"/>
          <w:b/>
          <w:bCs/>
          <w:sz w:val="30"/>
          <w:szCs w:val="30"/>
          <w:highlight w:val="none"/>
          <w:lang w:eastAsia="zh-CN"/>
        </w:rPr>
        <w:t>外事接待费用2.61万元</w:t>
      </w:r>
      <w:r>
        <w:rPr>
          <w:rFonts w:hint="eastAsia" w:ascii="仿宋_GB2312" w:eastAsia="仿宋_GB2312" w:cs="仿宋_GB2312"/>
          <w:sz w:val="30"/>
          <w:szCs w:val="30"/>
          <w:highlight w:val="none"/>
          <w:lang w:eastAsia="zh-CN"/>
        </w:rPr>
        <w:t>，外事接待批次11批次，外事接待人次66人次。</w:t>
      </w:r>
      <w:r>
        <w:rPr>
          <w:rFonts w:hint="eastAsia" w:ascii="仿宋_GB2312" w:hAnsi="仿宋_GB2312" w:eastAsia="仿宋_GB2312" w:cs="仿宋_GB2312"/>
          <w:sz w:val="30"/>
          <w:szCs w:val="30"/>
          <w:highlight w:val="none"/>
          <w:u w:val="none"/>
        </w:rPr>
        <w:t>主要接待外国驻华</w:t>
      </w:r>
      <w:r>
        <w:rPr>
          <w:rFonts w:hint="eastAsia" w:ascii="仿宋_GB2312" w:hAnsi="仿宋_GB2312" w:eastAsia="仿宋_GB2312" w:cs="仿宋_GB2312"/>
          <w:sz w:val="30"/>
          <w:szCs w:val="30"/>
          <w:highlight w:val="none"/>
          <w:u w:val="none"/>
          <w:lang w:eastAsia="zh-CN"/>
        </w:rPr>
        <w:t>总</w:t>
      </w:r>
      <w:r>
        <w:rPr>
          <w:rFonts w:hint="eastAsia" w:ascii="仿宋_GB2312" w:hAnsi="仿宋_GB2312" w:eastAsia="仿宋_GB2312" w:cs="仿宋_GB2312"/>
          <w:sz w:val="30"/>
          <w:szCs w:val="30"/>
          <w:highlight w:val="none"/>
          <w:u w:val="none"/>
        </w:rPr>
        <w:t>领馆。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firstLine="602" w:firstLineChars="200"/>
        <w:textAlignment w:val="auto"/>
        <w:rPr>
          <w:rFonts w:hint="eastAsia" w:ascii="仿宋_GB2312" w:hAnsi="仿宋_GB2312" w:eastAsia="仿宋_GB2312" w:cs="仿宋_GB2312"/>
          <w:sz w:val="30"/>
          <w:szCs w:val="30"/>
          <w:highlight w:val="none"/>
          <w:u w:val="none"/>
        </w:rPr>
      </w:pPr>
      <w:r>
        <w:rPr>
          <w:rFonts w:hint="eastAsia" w:ascii="仿宋_GB2312" w:eastAsia="仿宋_GB2312" w:cs="仿宋_GB2312"/>
          <w:b/>
          <w:bCs/>
          <w:kern w:val="0"/>
          <w:sz w:val="30"/>
          <w:szCs w:val="30"/>
          <w:highlight w:val="none"/>
          <w:lang w:val="en-US" w:eastAsia="zh-CN"/>
        </w:rPr>
        <w:t>国</w:t>
      </w:r>
      <w:r>
        <w:rPr>
          <w:rFonts w:hint="eastAsia" w:ascii="仿宋_GB2312" w:eastAsia="仿宋_GB2312" w:cs="仿宋_GB2312"/>
          <w:b/>
          <w:bCs/>
          <w:kern w:val="0"/>
          <w:sz w:val="30"/>
          <w:szCs w:val="30"/>
          <w:highlight w:val="none"/>
        </w:rPr>
        <w:t>（境）外接待费</w:t>
      </w:r>
      <w:r>
        <w:rPr>
          <w:rFonts w:hint="eastAsia" w:ascii="仿宋_GB2312" w:eastAsia="仿宋_GB2312" w:cs="仿宋_GB2312"/>
          <w:kern w:val="0"/>
          <w:sz w:val="30"/>
          <w:szCs w:val="30"/>
          <w:highlight w:val="none"/>
        </w:rPr>
        <w:t>支出</w:t>
      </w:r>
      <w:r>
        <w:rPr>
          <w:rFonts w:hint="eastAsia" w:ascii="仿宋_GB2312" w:hAnsi="仿宋_GB2312" w:eastAsia="仿宋_GB2312" w:cs="仿宋_GB2312"/>
          <w:sz w:val="30"/>
          <w:szCs w:val="30"/>
          <w:highlight w:val="none"/>
          <w:u w:val="none"/>
        </w:rPr>
        <w:t>0.00</w:t>
      </w:r>
      <w:r>
        <w:rPr>
          <w:rFonts w:hint="eastAsia" w:ascii="仿宋_GB2312" w:hAnsi="仿宋_GB2312" w:eastAsia="仿宋_GB2312" w:cs="仿宋_GB2312"/>
          <w:sz w:val="30"/>
          <w:szCs w:val="30"/>
          <w:highlight w:val="none"/>
          <w:u w:val="none"/>
          <w:lang w:val="en-US" w:eastAsia="zh-CN"/>
        </w:rPr>
        <w:t>万</w:t>
      </w:r>
      <w:r>
        <w:rPr>
          <w:rFonts w:hint="eastAsia" w:ascii="仿宋_GB2312" w:hAnsi="仿宋_GB2312" w:eastAsia="仿宋_GB2312" w:cs="仿宋_GB2312"/>
          <w:sz w:val="30"/>
          <w:szCs w:val="30"/>
          <w:highlight w:val="none"/>
          <w:u w:val="none"/>
        </w:rPr>
        <w:t>元，</w:t>
      </w:r>
      <w:r>
        <w:rPr>
          <w:rFonts w:hint="eastAsia" w:ascii="仿宋_GB2312" w:hAnsi="仿宋_GB2312" w:eastAsia="仿宋_GB2312" w:cs="仿宋_GB2312"/>
          <w:sz w:val="30"/>
          <w:szCs w:val="30"/>
          <w:highlight w:val="none"/>
          <w:u w:val="none"/>
          <w:lang w:val="en-US" w:eastAsia="zh-CN"/>
        </w:rPr>
        <w:t>主要是</w:t>
      </w:r>
      <w:r>
        <w:rPr>
          <w:rFonts w:hint="eastAsia" w:ascii="仿宋_GB2312" w:hAnsi="仿宋_GB2312" w:eastAsia="仿宋_GB2312" w:cs="仿宋_GB2312"/>
          <w:sz w:val="30"/>
          <w:szCs w:val="30"/>
          <w:highlight w:val="none"/>
          <w:u w:val="none"/>
        </w:rPr>
        <w:t>。</w:t>
      </w:r>
      <w:r>
        <w:rPr>
          <w:rFonts w:hint="eastAsia" w:ascii="仿宋_GB2312" w:hAnsi="仿宋_GB2312" w:eastAsia="仿宋_GB2312" w:cs="仿宋_GB2312"/>
          <w:sz w:val="30"/>
          <w:szCs w:val="30"/>
          <w:highlight w:val="none"/>
          <w:u w:val="none"/>
          <w:lang w:val="en-US" w:eastAsia="zh-CN"/>
        </w:rPr>
        <w:t>2</w:t>
      </w:r>
      <w:r>
        <w:rPr>
          <w:rFonts w:hint="eastAsia" w:ascii="仿宋_GB2312" w:hAnsi="仿宋_GB2312" w:eastAsia="仿宋_GB2312" w:cs="仿宋_GB2312"/>
          <w:sz w:val="30"/>
          <w:szCs w:val="30"/>
          <w:highlight w:val="none"/>
          <w:u w:val="none"/>
          <w:lang w:eastAsia="zh-CN"/>
        </w:rPr>
        <w:t>024</w:t>
      </w:r>
      <w:r>
        <w:rPr>
          <w:rFonts w:hint="eastAsia" w:ascii="仿宋_GB2312" w:hAnsi="仿宋_GB2312" w:eastAsia="仿宋_GB2312" w:cs="仿宋_GB2312"/>
          <w:sz w:val="30"/>
          <w:szCs w:val="30"/>
          <w:highlight w:val="none"/>
          <w:u w:val="none"/>
        </w:rPr>
        <w:t>年本单位</w:t>
      </w:r>
      <w:r>
        <w:rPr>
          <w:rFonts w:hint="eastAsia" w:ascii="仿宋_GB2312" w:eastAsia="仿宋_GB2312" w:cs="仿宋_GB2312"/>
          <w:kern w:val="0"/>
          <w:sz w:val="30"/>
          <w:szCs w:val="30"/>
          <w:highlight w:val="none"/>
        </w:rPr>
        <w:t>国（境）外公务接待</w:t>
      </w:r>
      <w:r>
        <w:rPr>
          <w:rFonts w:hint="eastAsia" w:ascii="仿宋_GB2312" w:hAnsi="仿宋_GB2312" w:eastAsia="仿宋_GB2312" w:cs="仿宋_GB2312"/>
          <w:sz w:val="30"/>
          <w:szCs w:val="30"/>
          <w:highlight w:val="none"/>
          <w:u w:val="none"/>
        </w:rPr>
        <w:t>0批次，0人次。</w:t>
      </w:r>
    </w:p>
    <w:p>
      <w:pPr>
        <w:numPr>
          <w:ilvl w:val="0"/>
          <w:numId w:val="0"/>
        </w:numPr>
        <w:autoSpaceDE w:val="0"/>
        <w:autoSpaceDN w:val="0"/>
        <w:adjustRightInd w:val="0"/>
        <w:spacing w:line="590" w:lineRule="exact"/>
        <w:ind w:firstLine="602" w:firstLineChars="200"/>
        <w:rPr>
          <w:rFonts w:hint="eastAsia" w:ascii="黑体" w:hAnsi="黑体" w:eastAsia="黑体"/>
          <w:kern w:val="2"/>
          <w:sz w:val="32"/>
          <w:szCs w:val="24"/>
          <w:highlight w:val="none"/>
          <w:lang w:val="en-US" w:eastAsia="zh-CN"/>
        </w:rPr>
      </w:pPr>
      <w:r>
        <w:rPr>
          <w:rFonts w:hint="eastAsia" w:ascii="黑体" w:hAnsi="黑体" w:eastAsia="黑体" w:cs="仿宋_GB2312"/>
          <w:b/>
          <w:bCs/>
          <w:sz w:val="30"/>
          <w:szCs w:val="30"/>
          <w:highlight w:val="none"/>
          <w:u w:val="none"/>
          <w:lang w:eastAsia="zh-CN"/>
        </w:rPr>
        <w:t>十一、</w:t>
      </w:r>
      <w:r>
        <w:rPr>
          <w:rFonts w:hint="eastAsia" w:ascii="黑体" w:hAnsi="黑体" w:eastAsia="黑体" w:cs="仿宋_GB2312"/>
          <w:b/>
          <w:bCs/>
          <w:sz w:val="30"/>
          <w:szCs w:val="30"/>
          <w:highlight w:val="none"/>
          <w:u w:val="none"/>
        </w:rPr>
        <w:t>其他重要事项的情况说明</w:t>
      </w:r>
    </w:p>
    <w:p>
      <w:pPr>
        <w:numPr>
          <w:ilvl w:val="0"/>
          <w:numId w:val="0"/>
        </w:num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（一）机关运行经费支出情况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仿宋_GB2312" w:hAnsi="仿宋_GB2312" w:eastAsia="仿宋_GB2312" w:cs="仿宋_GB2312"/>
          <w:sz w:val="30"/>
          <w:szCs w:val="30"/>
          <w:highlight w:val="none"/>
          <w:u w:val="none"/>
        </w:rPr>
      </w:pPr>
      <w:r>
        <w:rPr>
          <w:rFonts w:hint="eastAsia" w:ascii="仿宋_GB2312" w:eastAsia="仿宋_GB2312" w:cs="仿宋_GB2312"/>
          <w:sz w:val="32"/>
          <w:szCs w:val="32"/>
          <w:highlight w:val="none"/>
          <w:lang w:val="en-US" w:eastAsia="zh-CN"/>
        </w:rPr>
        <w:t>贵阳市外事办公室2024年度</w:t>
      </w:r>
      <w:r>
        <w:rPr>
          <w:rFonts w:hint="eastAsia" w:ascii="仿宋_GB2312" w:hAnsi="仿宋_GB2312" w:eastAsia="仿宋_GB2312" w:cs="仿宋_GB2312"/>
          <w:kern w:val="0"/>
          <w:sz w:val="30"/>
          <w:szCs w:val="30"/>
          <w:highlight w:val="none"/>
          <w:lang w:val="en-US" w:eastAsia="zh-CN"/>
        </w:rPr>
        <w:t>机关运行经费支出</w:t>
      </w:r>
      <w:r>
        <w:rPr>
          <w:rFonts w:hint="eastAsia" w:ascii="仿宋_GB2312" w:eastAsia="仿宋_GB2312" w:cs="仿宋_GB2312"/>
          <w:sz w:val="32"/>
          <w:szCs w:val="32"/>
          <w:highlight w:val="none"/>
          <w:lang w:val="en-US" w:eastAsia="zh-CN"/>
        </w:rPr>
        <w:t>77.49万元。与2023年相比增加5.09万元，增长7.03%。</w:t>
      </w:r>
      <w:r>
        <w:rPr>
          <w:rFonts w:hint="eastAsia" w:ascii="仿宋_GB2312" w:hAnsi="仿宋_GB2312" w:eastAsia="仿宋_GB2312" w:cs="仿宋_GB2312"/>
          <w:sz w:val="30"/>
          <w:szCs w:val="30"/>
          <w:highlight w:val="none"/>
          <w:u w:val="none"/>
          <w:lang w:val="en-US" w:eastAsia="zh-CN" w:bidi="ar-SA"/>
        </w:rPr>
        <w:t>主要原因是：</w:t>
      </w:r>
      <w:r>
        <w:rPr>
          <w:rFonts w:hint="eastAsia" w:ascii="仿宋_GB2312" w:hAnsi="仿宋_GB2312" w:eastAsia="仿宋_GB2312" w:cs="仿宋_GB2312"/>
          <w:sz w:val="30"/>
          <w:szCs w:val="30"/>
          <w:highlight w:val="none"/>
          <w:u w:val="none"/>
        </w:rPr>
        <w:t>人员增加故运行费用增</w:t>
      </w:r>
      <w:r>
        <w:rPr>
          <w:rFonts w:hint="eastAsia" w:ascii="仿宋_GB2312" w:hAnsi="仿宋_GB2312" w:eastAsia="仿宋_GB2312" w:cs="仿宋_GB2312"/>
          <w:sz w:val="30"/>
          <w:szCs w:val="30"/>
          <w:highlight w:val="none"/>
          <w:u w:val="none"/>
          <w:lang w:eastAsia="zh-CN"/>
        </w:rPr>
        <w:t>加</w:t>
      </w:r>
      <w:r>
        <w:rPr>
          <w:rFonts w:hint="eastAsia" w:ascii="仿宋_GB2312" w:hAnsi="仿宋_GB2312" w:eastAsia="仿宋_GB2312" w:cs="仿宋_GB2312"/>
          <w:sz w:val="30"/>
          <w:szCs w:val="30"/>
          <w:highlight w:val="none"/>
          <w:u w:val="none"/>
        </w:rPr>
        <w:t>。</w:t>
      </w:r>
    </w:p>
    <w:p>
      <w:p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（二）政府采购支出情况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eastAsia="仿宋_GB2312"/>
          <w:sz w:val="30"/>
          <w:szCs w:val="30"/>
          <w:highlight w:val="none"/>
          <w:u w:val="none"/>
        </w:rPr>
      </w:pPr>
      <w:r>
        <w:rPr>
          <w:rFonts w:hint="eastAsia" w:ascii="仿宋_GB2312" w:eastAsia="仿宋_GB2312"/>
          <w:sz w:val="30"/>
          <w:szCs w:val="30"/>
          <w:highlight w:val="none"/>
          <w:u w:val="none"/>
        </w:rPr>
        <w:t>贵阳市外事办公室2024年度无政府采购支出。</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（三）国有资产占用情况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rPr>
        <w:t>截至2024年12月31日，贵阳市外事办公室共有车辆1辆，其中：副部（省）级及以上领导用车0辆、主要负责人用车0辆、机要通信用车1辆、应急保障用车0辆、执法执勤用车0辆、特种专业技术用车0辆、离退休干部服务用车0辆、其他用车0辆、</w:t>
      </w:r>
      <w:r>
        <w:rPr>
          <w:rFonts w:hint="eastAsia" w:ascii="仿宋_GB2312" w:hAnsi="仿宋_GB2312" w:eastAsia="仿宋_GB2312" w:cs="仿宋_GB2312"/>
          <w:kern w:val="0"/>
          <w:sz w:val="30"/>
          <w:szCs w:val="30"/>
          <w:highlight w:val="none"/>
          <w:lang w:val="en-US" w:eastAsia="zh-CN"/>
        </w:rPr>
        <w:t>单价100万元以上的设备0台（套）。</w:t>
      </w:r>
    </w:p>
    <w:p>
      <w:pPr>
        <w:numPr>
          <w:ilvl w:val="0"/>
          <w:numId w:val="0"/>
        </w:numPr>
        <w:autoSpaceDE w:val="0"/>
        <w:autoSpaceDN w:val="0"/>
        <w:adjustRightInd w:val="0"/>
        <w:spacing w:line="590" w:lineRule="exact"/>
        <w:ind w:firstLine="602" w:firstLineChars="200"/>
        <w:rPr>
          <w:rFonts w:hint="eastAsia" w:ascii="仿宋_GB2312" w:hAnsi="仿宋_GB2312" w:eastAsia="仿宋_GB2312" w:cs="仿宋_GB2312"/>
          <w:kern w:val="2"/>
          <w:sz w:val="32"/>
          <w:szCs w:val="24"/>
          <w:highlight w:val="none"/>
          <w:lang w:val="en-US" w:eastAsia="zh-CN"/>
        </w:rPr>
      </w:pPr>
      <w:r>
        <w:rPr>
          <w:rFonts w:hint="eastAsia" w:ascii="黑体" w:hAnsi="黑体" w:eastAsia="黑体" w:cs="仿宋_GB2312"/>
          <w:b/>
          <w:bCs/>
          <w:sz w:val="30"/>
          <w:szCs w:val="30"/>
          <w:highlight w:val="none"/>
          <w:u w:val="none"/>
        </w:rPr>
        <w:t>十二、预算绩效情况说明</w:t>
      </w:r>
    </w:p>
    <w:p>
      <w:p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（一）预算绩效管理工作开展情况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根据财政预算绩效管理要求，贵阳市外事办公室组织对2024年度项目支出开展了绩效自评工作。</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其中：项目支出开展自评4项，涉及资金114.34万元，自评覆盖率达到100%。</w:t>
      </w:r>
    </w:p>
    <w:p>
      <w:p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（二）项目支出绩效自评结果</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1.外事工作经费项目完成情况综述：项目全年预算数68万元，执行数64.33万元，完成预算的94.60%。项目自评得分为99.46分。从评价情况看该项目执行情况良好，圆满完成了全年各项目标任务。存在的问题：一是预算执行不强；二是绩效管理水平有待提高，评价指标体系需要进一步完善、优化。下一步改进措施：强化部门预算管理意识，提升项目预算编制科学性。在以后年度实施项目时，做好摸底论证和调研，结合以前年度实际发生的费用进行预算测算，进一步提高预算编制准确性。</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2.友协工作经费项目完成情况综述：项目全年预算数30万元，执行数27.68万元，完成预算的92.26%。项目自评得分为99.23分。从评价情况看较好的完成友协工作任务。存在的问题：一是预算执行不强；二是绩效管理水平有待提高，评价指标体系需要进一步完善、优化。下一步改进措施：强化部门预算管理意识，提升项目预算编制科学性。在以后年度实施项目时，做好摸底论证和调研，结合以前年度实际发生的费用进行预算测算，进一步提高预算编制准确性。</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《项目支出绩效目标自评表》详见附件。</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90" w:lineRule="exact"/>
        <w:ind w:firstLine="640" w:firstLineChars="200"/>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部门整体绩效自评</w:t>
      </w:r>
    </w:p>
    <w:p>
      <w:pPr>
        <w:autoSpaceDE w:val="0"/>
        <w:autoSpaceDN w:val="0"/>
        <w:adjustRightInd w:val="0"/>
        <w:spacing w:beforeLines="0" w:afterLines="0" w:line="572" w:lineRule="exact"/>
        <w:ind w:firstLine="600" w:firstLineChars="200"/>
        <w:rPr>
          <w:rFonts w:hint="eastAsia" w:ascii="仿宋_GB2312" w:hAnsi="仿宋_GB2312" w:eastAsia="仿宋_GB2312"/>
          <w:b w:val="0"/>
          <w:bCs/>
          <w:color w:val="auto"/>
          <w:sz w:val="30"/>
          <w:szCs w:val="30"/>
          <w:u w:val="single"/>
          <w:lang w:val="en-US" w:eastAsia="zh-CN"/>
        </w:rPr>
      </w:pPr>
      <w:r>
        <w:rPr>
          <w:rFonts w:hint="eastAsia" w:ascii="仿宋_GB2312" w:hAnsi="仿宋_GB2312" w:eastAsia="仿宋_GB2312"/>
          <w:b w:val="0"/>
          <w:bCs/>
          <w:color w:val="auto"/>
          <w:sz w:val="30"/>
          <w:szCs w:val="30"/>
          <w:lang w:val="en-US" w:eastAsia="zh-CN"/>
        </w:rPr>
        <w:t>我办按要求对2024年度部门整体开展绩效自评，涉及资金总额773.90万元，部门整体自评得分为98分，自评结论为优。</w:t>
      </w:r>
    </w:p>
    <w:p>
      <w:pPr>
        <w:autoSpaceDE w:val="0"/>
        <w:autoSpaceDN w:val="0"/>
        <w:adjustRightInd w:val="0"/>
        <w:spacing w:line="590" w:lineRule="exact"/>
        <w:ind w:firstLine="640" w:firstLineChars="200"/>
        <w:rPr>
          <w:rFonts w:hint="eastAsia" w:ascii="黑体" w:hAnsi="黑体" w:eastAsia="黑体"/>
          <w:kern w:val="2"/>
          <w:sz w:val="32"/>
          <w:szCs w:val="24"/>
          <w:highlight w:val="none"/>
          <w:lang w:val="en-US" w:eastAsia="zh-CN"/>
        </w:rPr>
      </w:pPr>
      <w:r>
        <w:rPr>
          <w:rFonts w:hint="eastAsia" w:ascii="黑体" w:hAnsi="黑体" w:eastAsia="黑体"/>
          <w:kern w:val="2"/>
          <w:sz w:val="32"/>
          <w:szCs w:val="24"/>
          <w:highlight w:val="none"/>
          <w:lang w:val="en-US" w:eastAsia="zh-CN"/>
        </w:rPr>
        <w:t>（四）部分重点项目绩效评价结果</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00" w:firstLineChars="200"/>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 </w:t>
      </w:r>
      <w:r>
        <w:rPr>
          <w:rFonts w:hint="eastAsia" w:ascii="Times New Roman" w:hAnsi="Times New Roman" w:eastAsia="仿宋_GB2312"/>
          <w:sz w:val="30"/>
          <w:szCs w:val="24"/>
          <w:highlight w:val="none"/>
          <w:lang w:val="en-US" w:eastAsia="zh-CN"/>
        </w:rPr>
        <w:t>202</w:t>
      </w:r>
      <w:r>
        <w:rPr>
          <w:rFonts w:hint="eastAsia" w:eastAsia="仿宋_GB2312"/>
          <w:sz w:val="30"/>
          <w:szCs w:val="24"/>
          <w:highlight w:val="none"/>
          <w:lang w:val="en-US" w:eastAsia="zh-CN"/>
        </w:rPr>
        <w:t>4</w:t>
      </w:r>
      <w:r>
        <w:rPr>
          <w:rFonts w:hint="eastAsia" w:ascii="Times New Roman" w:hAnsi="Times New Roman" w:eastAsia="仿宋_GB2312"/>
          <w:sz w:val="30"/>
          <w:szCs w:val="24"/>
          <w:highlight w:val="none"/>
          <w:lang w:val="en-US" w:eastAsia="zh-CN"/>
        </w:rPr>
        <w:t>年度，我部门未纳入财政重点项目绩效评价，故无相关绩效评价结果</w:t>
      </w:r>
      <w:r>
        <w:rPr>
          <w:rFonts w:hint="eastAsia" w:ascii="仿宋_GB2312" w:hAnsi="仿宋_GB2312" w:eastAsia="仿宋_GB2312" w:cs="仿宋_GB2312"/>
          <w:kern w:val="0"/>
          <w:sz w:val="30"/>
          <w:szCs w:val="30"/>
          <w:highlight w:val="none"/>
          <w:lang w:val="en-US" w:eastAsia="zh-CN"/>
        </w:rPr>
        <w:t>。</w:t>
      </w: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方正小标宋_GBK" w:hAnsi="方正小标宋_GBK" w:eastAsia="方正小标宋_GBK" w:cs="方正小标宋_GBK"/>
          <w:b/>
          <w:kern w:val="2"/>
          <w:sz w:val="44"/>
          <w:szCs w:val="44"/>
          <w:highlight w:val="none"/>
        </w:rPr>
      </w:pPr>
    </w:p>
    <w:p>
      <w:pPr>
        <w:autoSpaceDE/>
        <w:autoSpaceDN/>
        <w:spacing w:beforeLines="0" w:afterLines="0" w:line="600" w:lineRule="exact"/>
        <w:jc w:val="center"/>
        <w:textAlignment w:val="baseline"/>
        <w:rPr>
          <w:rFonts w:hint="eastAsia" w:ascii="宋体" w:hAnsi="宋体" w:eastAsia="宋体"/>
          <w:b/>
          <w:kern w:val="2"/>
          <w:sz w:val="52"/>
          <w:szCs w:val="24"/>
          <w:highlight w:val="none"/>
        </w:rPr>
      </w:pPr>
      <w:bookmarkStart w:id="3" w:name="_GoBack"/>
      <w:bookmarkEnd w:id="3"/>
      <w:r>
        <w:rPr>
          <w:rFonts w:hint="eastAsia" w:ascii="方正小标宋_GBK" w:hAnsi="方正小标宋_GBK" w:eastAsia="方正小标宋_GBK" w:cs="方正小标宋_GBK"/>
          <w:b/>
          <w:kern w:val="2"/>
          <w:sz w:val="44"/>
          <w:szCs w:val="44"/>
          <w:highlight w:val="none"/>
        </w:rPr>
        <w:t>第四部分 名词解释</w:t>
      </w:r>
    </w:p>
    <w:p>
      <w:pPr>
        <w:autoSpaceDE/>
        <w:autoSpaceDN/>
        <w:spacing w:beforeLines="0" w:afterLines="0" w:line="600" w:lineRule="exact"/>
        <w:jc w:val="center"/>
        <w:textAlignment w:val="baseline"/>
        <w:rPr>
          <w:rFonts w:hint="eastAsia" w:ascii="宋体" w:hAnsi="宋体" w:eastAsia="宋体"/>
          <w:b/>
          <w:kern w:val="2"/>
          <w:sz w:val="52"/>
          <w:szCs w:val="24"/>
          <w:highlight w:val="none"/>
        </w:rPr>
      </w:pP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一、财政拨款收入：指同级财政当年拨付的资金，包括一般公共预算财政拨款、政府性基金预算财政拨款和国有资本经营预算财政拨款。</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二、上级补助收入：指事业单位从主管部门和上级单位取得的非财政补助收入。</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三、事业收入：指事业单位开展专业业务活动及其辅助活动所取得的收入。</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四、经营收入：指事业单位在专业业务活动及其辅助活动之外开展非独立核算经营活动取得的收入。</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五、附属单位上缴收入：指事业单位附属的独立核算单位按有关规定上缴的收入。</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六、其他收入：指除上述“财政拨款收入”“事业收入”“经营收入”“附属单位缴款”等之外取得的收入。</w:t>
      </w:r>
    </w:p>
    <w:p>
      <w:pPr>
        <w:autoSpaceDE w:val="0"/>
        <w:autoSpaceDN w:val="0"/>
        <w:adjustRightInd w:val="0"/>
        <w:spacing w:line="590" w:lineRule="exact"/>
        <w:ind w:firstLine="640"/>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七、使用非财政拨款结余（含专用结余）：指事业单位 按照预算管理要求使用非财政拨款结余弥补收支差额的金 额，以及使用专用结余安排支出的金额。</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八、年初结转和结余：指单位以前年度尚未完成、结转到本年仍按原规定用途继续使用的资金，或项目已完成等产生的结余资金。</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九、结余分配：指事业单位按照会计制度规定缴纳的所得税、提取的专用结余以及转入非财政拨款结余的金额等。</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十、年末结转和结余：指单位按有关规定结转到下年或以后年度继续使用的资金，或项目已完成等产生的结余资金。</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十一、基本支出：指为保障机构正常运转、完成日常工作任务而发生的人员支出和公用支出。</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十二、项目支出：指在基本支出之外为完成特定行政任务和事业发展目标所发生的支出。</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十三、经营支出：指事业单位在专业业务活动及其辅助活动之外开展非独立核算经营活动发生的支出。</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十四、对附属单位补助支出：指事业单位发生的用非财政预算资金对附属单位的补助支出。</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五、“三公”经费：纳入同级财政预决算管理的“三公”经费是指用财政拨款安排的因公出国（境）费、公务用车购置及运行维护费和公务接待费。其中，因公出国（境）费反映单位公务出国（境）的住宿费、旅费、伙食补助费、杂费、培训费等支出；公务用车购置及运行维护费反映单位公务用车购置费及租用费、燃料费、维修费、过路过桥费、保险费、安全奖励费用等支出；公务接待费反映单位按规定开支的各类公务接待（含外宾接待）支出。</w:t>
      </w:r>
    </w:p>
    <w:p>
      <w:pPr>
        <w:autoSpaceDE w:val="0"/>
        <w:autoSpaceDN w:val="0"/>
        <w:adjustRightInd w:val="0"/>
        <w:spacing w:line="590" w:lineRule="exact"/>
        <w:ind w:firstLine="64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90" w:lineRule="exact"/>
        <w:jc w:val="center"/>
        <w:rPr>
          <w:rFonts w:ascii="仿宋" w:hAnsi="仿宋" w:eastAsia="仿宋" w:cs="仿宋"/>
          <w:sz w:val="32"/>
          <w:szCs w:val="32"/>
          <w:highlight w:val="none"/>
        </w:rPr>
      </w:pPr>
    </w:p>
    <w:p>
      <w:pPr>
        <w:autoSpaceDE w:val="0"/>
        <w:autoSpaceDN w:val="0"/>
        <w:adjustRightInd w:val="0"/>
        <w:spacing w:line="590" w:lineRule="exact"/>
        <w:jc w:val="center"/>
        <w:rPr>
          <w:rFonts w:ascii="仿宋" w:hAnsi="仿宋" w:eastAsia="仿宋" w:cs="仿宋"/>
          <w:sz w:val="32"/>
          <w:szCs w:val="32"/>
          <w:highlight w:val="none"/>
        </w:rPr>
      </w:pPr>
    </w:p>
    <w:p>
      <w:pPr>
        <w:autoSpaceDE w:val="0"/>
        <w:autoSpaceDN w:val="0"/>
        <w:adjustRightInd w:val="0"/>
        <w:spacing w:line="590" w:lineRule="exact"/>
        <w:jc w:val="center"/>
        <w:rPr>
          <w:rFonts w:hint="eastAsia" w:ascii="黑体" w:hAnsi="黑体" w:eastAsia="黑体"/>
          <w:kern w:val="2"/>
          <w:sz w:val="48"/>
          <w:szCs w:val="24"/>
          <w:highlight w:val="none"/>
        </w:rPr>
      </w:pPr>
      <w:r>
        <w:br w:type="page"/>
      </w:r>
      <w:r>
        <w:rPr>
          <w:rFonts w:hint="eastAsia" w:ascii="宋体" w:hAnsi="宋体" w:eastAsia="宋体"/>
          <w:b/>
          <w:kern w:val="2"/>
          <w:sz w:val="52"/>
          <w:szCs w:val="24"/>
          <w:highlight w:val="none"/>
        </w:rPr>
        <w:t>第五部分 附件</w:t>
      </w:r>
    </w:p>
    <w:p>
      <w:pPr>
        <w:spacing w:beforeLines="0" w:afterLines="0" w:line="590" w:lineRule="exact"/>
        <w:jc w:val="both"/>
        <w:rPr>
          <w:rFonts w:hint="eastAsia" w:ascii="仿宋_GB2312" w:eastAsia="仿宋_GB2312" w:cs="仿宋_GB2312"/>
          <w:sz w:val="32"/>
          <w:szCs w:val="32"/>
          <w:highlight w:val="none"/>
          <w:lang w:val="en-US" w:eastAsia="zh-CN"/>
        </w:rPr>
      </w:pPr>
      <w:bookmarkStart w:id="2" w:name="PO_part5A1Attachment1"/>
      <w:r>
        <w:rPr>
          <w:rFonts w:hint="eastAsia" w:ascii="仿宋_GB2312" w:eastAsia="仿宋_GB2312" w:cs="仿宋_GB2312"/>
          <w:sz w:val="32"/>
          <w:szCs w:val="32"/>
          <w:highlight w:val="none"/>
        </w:rPr>
        <w:br w:type="textWrapping"/>
      </w:r>
      <w:bookmarkEnd w:id="2"/>
      <w:r>
        <w:rPr>
          <w:rFonts w:hint="eastAsia" w:ascii="仿宋_GB2312" w:eastAsia="仿宋_GB2312" w:cs="仿宋_GB2312"/>
          <w:sz w:val="32"/>
          <w:szCs w:val="32"/>
          <w:highlight w:val="none"/>
          <w:lang w:eastAsia="zh-CN"/>
        </w:rPr>
        <w:t>附件：</w:t>
      </w:r>
      <w:r>
        <w:rPr>
          <w:rFonts w:hint="eastAsia" w:ascii="仿宋_GB2312" w:eastAsia="仿宋_GB2312" w:cs="仿宋_GB2312"/>
          <w:sz w:val="32"/>
          <w:szCs w:val="32"/>
          <w:highlight w:val="none"/>
          <w:lang w:val="en-US" w:eastAsia="zh-CN"/>
        </w:rPr>
        <w:t>1.项目支出绩效自评表</w:t>
      </w:r>
    </w:p>
    <w:p>
      <w:pPr>
        <w:spacing w:beforeLines="0" w:afterLines="0" w:line="590" w:lineRule="exact"/>
        <w:ind w:firstLine="640"/>
        <w:jc w:val="both"/>
        <w:rPr>
          <w:rFonts w:hint="default"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 xml:space="preserve">  2.部门整体支出绩效自评表</w:t>
      </w:r>
    </w:p>
    <w:p>
      <w:pPr>
        <w:spacing w:beforeLines="0" w:afterLines="0" w:line="590" w:lineRule="exact"/>
        <w:ind w:firstLine="640"/>
        <w:jc w:val="both"/>
        <w:rPr>
          <w:rFonts w:hint="eastAsia" w:ascii="黑体" w:hAnsi="黑体" w:eastAsia="黑体"/>
          <w:kern w:val="2"/>
          <w:sz w:val="32"/>
          <w:szCs w:val="24"/>
          <w:highlight w:val="none"/>
        </w:rPr>
      </w:pPr>
    </w:p>
    <w:p>
      <w:pPr>
        <w:spacing w:beforeLines="0" w:afterLines="0" w:line="590" w:lineRule="exact"/>
        <w:ind w:firstLine="640"/>
        <w:jc w:val="both"/>
        <w:rPr>
          <w:rFonts w:hint="eastAsia" w:ascii="黑体" w:hAnsi="黑体" w:eastAsia="黑体"/>
          <w:kern w:val="2"/>
          <w:sz w:val="32"/>
          <w:szCs w:val="24"/>
          <w:highlight w:val="none"/>
        </w:rPr>
      </w:pPr>
    </w:p>
    <w:p>
      <w:pPr>
        <w:autoSpaceDE/>
        <w:autoSpaceDN/>
        <w:spacing w:beforeLines="0" w:afterLines="0" w:line="600" w:lineRule="exact"/>
        <w:ind w:firstLine="600"/>
        <w:textAlignment w:val="baseline"/>
        <w:rPr>
          <w:rFonts w:hint="eastAsia" w:eastAsia="仿宋_GB2312"/>
          <w:sz w:val="30"/>
          <w:szCs w:val="30"/>
          <w:highlight w:val="none"/>
          <w:u w:val="none"/>
        </w:rPr>
      </w:pPr>
    </w:p>
    <w:p>
      <w:pPr>
        <w:autoSpaceDE/>
        <w:autoSpaceDN/>
        <w:spacing w:beforeLines="0" w:afterLines="0" w:line="600" w:lineRule="exact"/>
        <w:ind w:firstLine="600"/>
        <w:textAlignment w:val="baseline"/>
        <w:rPr>
          <w:rFonts w:hint="eastAsia" w:eastAsia="仿宋_GB2312"/>
          <w:sz w:val="30"/>
          <w:szCs w:val="30"/>
          <w:highlight w:val="none"/>
          <w:u w:val="none"/>
          <w:lang w:val="en-US" w:eastAsia="zh-CN"/>
        </w:rPr>
      </w:pPr>
    </w:p>
    <w:p>
      <w:pPr>
        <w:autoSpaceDE/>
        <w:autoSpaceDN/>
        <w:spacing w:beforeLines="0" w:afterLines="0" w:line="600" w:lineRule="exact"/>
        <w:ind w:firstLine="600"/>
        <w:textAlignment w:val="baseline"/>
        <w:rPr>
          <w:rFonts w:hint="eastAsia" w:ascii="Times New Roman" w:hAnsi="Times New Roman" w:eastAsia="仿宋_GB2312" w:cs="Times New Roman"/>
          <w:sz w:val="30"/>
          <w:szCs w:val="30"/>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spacing w:beforeLines="0" w:afterLines="0"/>
        <w:jc w:val="center"/>
        <w:rPr>
          <w:rFonts w:hint="eastAsia" w:ascii="宋体" w:hAnsi="宋体" w:eastAsia="宋体"/>
          <w:b/>
          <w:sz w:val="32"/>
          <w:szCs w:val="24"/>
          <w:highlight w:val="none"/>
        </w:rPr>
      </w:pPr>
    </w:p>
    <w:p>
      <w:pPr>
        <w:rPr>
          <w:rFonts w:hint="eastAsia" w:ascii="仿宋_GB2312" w:eastAsia="仿宋_GB2312"/>
          <w:sz w:val="30"/>
          <w:szCs w:val="30"/>
          <w:highlight w:val="none"/>
          <w:u w:val="none"/>
          <w:lang w:eastAsia="zh-CN"/>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pPr>
    </w:p>
    <w:p>
      <w:pPr>
        <w:spacing w:beforeLines="0" w:afterLines="0"/>
        <w:jc w:val="center"/>
        <w:rPr>
          <w:rFonts w:hint="eastAsia" w:ascii="黑体" w:hAnsi="黑体" w:eastAsia="黑体"/>
          <w:kern w:val="2"/>
          <w:sz w:val="48"/>
          <w:szCs w:val="24"/>
          <w:highlight w:val="none"/>
        </w:rPr>
        <w:sectPr>
          <w:pgSz w:w="11906" w:h="16838"/>
          <w:pgMar w:top="1440" w:right="1800" w:bottom="1440" w:left="1800" w:header="851" w:footer="992" w:gutter="0"/>
          <w:cols w:space="720" w:num="1"/>
          <w:docGrid w:type="lines" w:linePitch="312" w:charSpace="0"/>
        </w:sectPr>
      </w:pPr>
    </w:p>
    <w:tbl>
      <w:tblPr>
        <w:tblStyle w:val="4"/>
        <w:tblW w:w="13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689"/>
        <w:gridCol w:w="825"/>
        <w:gridCol w:w="2294"/>
        <w:gridCol w:w="1790"/>
        <w:gridCol w:w="1366"/>
        <w:gridCol w:w="730"/>
        <w:gridCol w:w="690"/>
        <w:gridCol w:w="580"/>
        <w:gridCol w:w="585"/>
        <w:gridCol w:w="2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242" w:type="dxa"/>
            <w:gridSpan w:val="11"/>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242" w:type="dxa"/>
            <w:gridSpan w:val="11"/>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43" w:type="dxa"/>
            <w:gridSpan w:val="3"/>
            <w:tcBorders>
              <w:top w:val="nil"/>
              <w:left w:val="nil"/>
              <w:bottom w:val="single" w:color="000000" w:sz="4" w:space="0"/>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单位（盖章）：</w:t>
            </w:r>
          </w:p>
        </w:tc>
        <w:tc>
          <w:tcPr>
            <w:tcW w:w="2294"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3886"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690"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4129"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2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项目名称</w:t>
            </w:r>
          </w:p>
        </w:tc>
        <w:tc>
          <w:tcPr>
            <w:tcW w:w="1099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外事综合业务保障经费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主管部门及代码</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[111]贵阳市外事办公室</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实施单位</w:t>
            </w:r>
          </w:p>
        </w:tc>
        <w:tc>
          <w:tcPr>
            <w:tcW w:w="554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贵阳市外事办公室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项目资金                    （元）</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 金 来 源</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年初预算数</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全年预算数（A）</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全年执行数（B）</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执行率</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年度资金总额：</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643264.9</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94.60</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财政拨款：</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643264.9</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------本级安排：</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680000.00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643264.90</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------其中：上级补助：</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其他：</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2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w:t>
            </w:r>
          </w:p>
        </w:tc>
        <w:tc>
          <w:tcPr>
            <w:tcW w:w="559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预期目标</w:t>
            </w:r>
          </w:p>
        </w:tc>
        <w:tc>
          <w:tcPr>
            <w:tcW w:w="691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559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目标1：配合中央、省、市的安排，做好重要涉外团组的礼宾及外事服务工作； 目标2：优化创新外宣渠道，进一步优化微博、微信公众号等信息发布平台 ；目标3：高质量完成市委、市政府安排的口笔译工作；目标4：做好大型活动的筹备工作；目标5：完成贵阳市重要公共场所外语标识规范工作。     </w:t>
            </w:r>
          </w:p>
        </w:tc>
        <w:tc>
          <w:tcPr>
            <w:tcW w:w="691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参与筹办2024年数博会，做好31个国家140名外宾的邀请。2.更新外事办英文网站信息80余篇、“贵阳外事”微信公众号信息937篇、“贵阳外事”新浪微博信息918篇，印制《爽爽贵阳》英文宣传材料2期，协助审核市政府英文门户网站上网信息305篇。3.持续推进重点涉外公共场所外事标识规范，累计审核外语标识580余条，提供规范译写参考200余条，翻译何校审文本2.9万余字。4.完成34场重要活动的英语、法语口译，翻译及校审市政府工作报告节选等重要稿件共计123篇12.84万余字。5.开展领事保护进机关、进校园活动，更新领事保护动画宣传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二级指标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三级指标</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年度指标值(A)</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实际完成值(B)</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产出指标(50分)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接待外宾的批次</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≥26次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翻译文字的字数</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≥12万字</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≥12.84万字</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规范外语标识译写参考</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≥600条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≥620条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“贵阳外事”微信公众号信息发布</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≥937条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翻译的质量</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高质量完成</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完成工作的及时性</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及时完成</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项目或定额成本控制率</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效益指标(30分)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服务高质量发展</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不断加强</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对外的影响力</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提升贵阳的国际影响力</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满意度指标(10分)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合作交流单位的满意度</w:t>
            </w:r>
          </w:p>
        </w:tc>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≥96%</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93"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         分</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99.46</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   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结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论</w:t>
            </w:r>
          </w:p>
        </w:tc>
        <w:tc>
          <w:tcPr>
            <w:tcW w:w="12513"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自评得分99.46分。</w:t>
            </w:r>
          </w:p>
        </w:tc>
      </w:tr>
    </w:tbl>
    <w:p>
      <w:pPr>
        <w:autoSpaceDE/>
        <w:autoSpaceDN/>
        <w:spacing w:beforeLines="0" w:afterLines="0" w:line="600" w:lineRule="exact"/>
        <w:ind w:firstLine="600"/>
        <w:textAlignment w:val="baseline"/>
        <w:rPr>
          <w:rFonts w:hint="eastAsia" w:ascii="宋体" w:hAnsi="宋体" w:eastAsia="宋体" w:cs="宋体"/>
          <w:sz w:val="13"/>
          <w:szCs w:val="13"/>
          <w:highlight w:val="none"/>
          <w:u w:val="none"/>
          <w:lang w:val="en-US" w:eastAsia="zh-CN"/>
        </w:rPr>
      </w:pPr>
    </w:p>
    <w:p>
      <w:pPr>
        <w:autoSpaceDE/>
        <w:autoSpaceDN/>
        <w:spacing w:beforeLines="0" w:afterLines="0" w:line="600" w:lineRule="exact"/>
        <w:ind w:firstLine="600"/>
        <w:textAlignment w:val="baseline"/>
        <w:rPr>
          <w:rFonts w:hint="eastAsia" w:ascii="仿宋" w:hAnsi="仿宋" w:eastAsia="仿宋" w:cs="仿宋"/>
          <w:sz w:val="16"/>
          <w:szCs w:val="16"/>
          <w:highlight w:val="none"/>
          <w:u w:val="none"/>
          <w:lang w:val="en-US" w:eastAsia="zh-CN"/>
        </w:rPr>
      </w:pPr>
    </w:p>
    <w:tbl>
      <w:tblPr>
        <w:tblStyle w:val="4"/>
        <w:tblW w:w="14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
        <w:gridCol w:w="1109"/>
        <w:gridCol w:w="1170"/>
        <w:gridCol w:w="3019"/>
        <w:gridCol w:w="1829"/>
        <w:gridCol w:w="1859"/>
        <w:gridCol w:w="980"/>
        <w:gridCol w:w="930"/>
        <w:gridCol w:w="580"/>
        <w:gridCol w:w="104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240" w:type="dxa"/>
            <w:gridSpan w:val="11"/>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1"/>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10" w:type="dxa"/>
            <w:gridSpan w:val="3"/>
            <w:tcBorders>
              <w:top w:val="nil"/>
              <w:left w:val="nil"/>
              <w:bottom w:val="single" w:color="000000" w:sz="4" w:space="0"/>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单位（盖章）：</w:t>
            </w:r>
          </w:p>
        </w:tc>
        <w:tc>
          <w:tcPr>
            <w:tcW w:w="3020"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4670"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930"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2610"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友协综合业务保障经费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[111]贵阳市外事办公室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贵阳市外事办公室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项目资金                    （元）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 金 来 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全年执行数（B）</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276772.77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276772.77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------本级安排：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276772.77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------其中：上级补助：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w:t>
            </w:r>
          </w:p>
        </w:tc>
        <w:tc>
          <w:tcPr>
            <w:tcW w:w="713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713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目标1：加大国际友城建设，扩大朋友圈，争取与1至3个国外城市建立友好合作关系。 目标2：开展民间外交，继续深化与老友城的交往合作工作。    </w:t>
            </w:r>
          </w:p>
        </w:tc>
        <w:tc>
          <w:tcPr>
            <w:tcW w:w="638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圆满完成我市青少年学生赴美国沃斯堡参加“国际领导力”夏令营活动和贵阳市教育医疗代表团赴美参加第六届中美友城大会，促进对美民间交往。2.编印《贵阳市国际友城友好交往城市基本信息手册》，更新完善《贵阳市国际友城友好交往城市合作情况表》，”一城一策“谋划合作项目。3.顺利完成新西兰北帕市市长代表团访筑工作。4.新增3个正式友城和1个友好交往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年度指标值(A)</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实际完成值(B)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产出指标(50分)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建立友城及友好关系城市个数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与友城的合作度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成果满意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工作任务完成的及时性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项目或定额成本控制率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效益指标(30分)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服务地方经济高质量发展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不断深化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扩大影响力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国际影响力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满意度指标(10分)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交往友城的满意度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Style w:val="14"/>
                <w:rFonts w:hint="eastAsia" w:ascii="宋体" w:hAnsi="宋体" w:eastAsia="宋体" w:cs="宋体"/>
                <w:sz w:val="13"/>
                <w:szCs w:val="13"/>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   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结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自评得分99.23分。</w:t>
            </w:r>
          </w:p>
        </w:tc>
      </w:tr>
    </w:tbl>
    <w:p>
      <w:pPr>
        <w:autoSpaceDE/>
        <w:autoSpaceDN/>
        <w:spacing w:beforeLines="0" w:afterLines="0" w:line="600" w:lineRule="exact"/>
        <w:ind w:firstLine="600"/>
        <w:textAlignment w:val="baseline"/>
        <w:rPr>
          <w:rFonts w:hint="eastAsia" w:ascii="宋体" w:hAnsi="宋体" w:eastAsia="宋体" w:cs="宋体"/>
          <w:sz w:val="13"/>
          <w:szCs w:val="13"/>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仿宋" w:eastAsia="黑体" w:cs="Times New Roman"/>
          <w:sz w:val="21"/>
          <w:szCs w:val="21"/>
          <w:highlight w:val="none"/>
          <w:u w:val="none"/>
          <w:lang w:val="en-US" w:eastAsia="zh-CN"/>
        </w:rPr>
      </w:pPr>
    </w:p>
    <w:p>
      <w:pPr>
        <w:spacing w:beforeLines="0" w:afterLines="0"/>
        <w:jc w:val="center"/>
        <w:rPr>
          <w:rFonts w:hint="eastAsia" w:ascii="宋体" w:hAnsi="宋体" w:eastAsia="宋体"/>
          <w:b/>
          <w:sz w:val="32"/>
          <w:szCs w:val="24"/>
          <w:highlight w:val="none"/>
        </w:rPr>
      </w:pPr>
    </w:p>
    <w:p>
      <w:pPr>
        <w:rPr>
          <w:rFonts w:hint="eastAsia" w:ascii="仿宋_GB2312" w:eastAsia="仿宋_GB2312"/>
          <w:sz w:val="30"/>
          <w:szCs w:val="30"/>
          <w:highlight w:val="none"/>
          <w:u w:val="none"/>
          <w:lang w:eastAsia="zh-CN"/>
        </w:rPr>
        <w:sectPr>
          <w:pgSz w:w="16838" w:h="11906" w:orient="landscape"/>
          <w:pgMar w:top="1803" w:right="1440" w:bottom="1803" w:left="1440" w:header="851" w:footer="992" w:gutter="0"/>
          <w:cols w:space="720" w:num="1"/>
          <w:rtlGutter w:val="0"/>
          <w:docGrid w:type="lines" w:linePitch="332" w:charSpace="0"/>
        </w:sectPr>
      </w:pPr>
    </w:p>
    <w:tbl>
      <w:tblPr>
        <w:tblStyle w:val="4"/>
        <w:tblW w:w="14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
        <w:gridCol w:w="1063"/>
        <w:gridCol w:w="1141"/>
        <w:gridCol w:w="2944"/>
        <w:gridCol w:w="2166"/>
        <w:gridCol w:w="1815"/>
        <w:gridCol w:w="956"/>
        <w:gridCol w:w="905"/>
        <w:gridCol w:w="564"/>
        <w:gridCol w:w="1011"/>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240" w:type="dxa"/>
            <w:gridSpan w:val="11"/>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1"/>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10" w:type="dxa"/>
            <w:gridSpan w:val="3"/>
            <w:tcBorders>
              <w:top w:val="nil"/>
              <w:left w:val="nil"/>
              <w:bottom w:val="single" w:color="000000" w:sz="4" w:space="0"/>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单位（盖章）：</w:t>
            </w:r>
          </w:p>
        </w:tc>
        <w:tc>
          <w:tcPr>
            <w:tcW w:w="3020"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4670"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930" w:type="dxa"/>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c>
          <w:tcPr>
            <w:tcW w:w="2610" w:type="dxa"/>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贵阳市外事办公室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部门（单位）总体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资金（元）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 金 来 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全年执行数（B）</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6661898.85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7738953.05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7738953.05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人员类项目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4847427.55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5570648.55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5570648.55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运转类公用经费项目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536471.30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774906.83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774906.83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其他运转类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0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特定目标类项目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1278000.00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1393397.67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1393397.67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w:t>
            </w:r>
          </w:p>
        </w:tc>
        <w:tc>
          <w:tcPr>
            <w:tcW w:w="713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713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是探索友城合作新模式，发挥友城平台桥梁纽带作用。2024年，力争新增国际友城或友好交往城市2至3个。二是配合办好各类活动平台，参与办好数博会、酒博会、中国—东盟教育交流周等重大开放活动，充分发挥开放活动平台赋能国际交流合作的集中优势，强化省+市+区（市、县）在外事接待、外事考察、招商引资、对外宣传等工作协力推进对外交流合作，助推各领域国际交流合作取得新突破。三是强化对外交往和务实合作，继续做好与外国驻华领馆的交流合作工作，积极寻找我市与外方的务实合作机会和项目。充分发挥对外交流合作与经贸产业合作双向促进作用，用好RCEP政策红利，突出贸易、工业、大数据、生态、文旅等领域优化国际交往布局，推进“引进来”和“走出去”，提升国际交流合作承载能力。 四是狠抓外事服务管理。一是坚持因事定人、信息公开原则，扎实做好因公出国（境）审批管理和服务工作，服务国有企业“走出去”，提高因公出访成效。五是推进我市公共场外语标识规范,强化优质外事考察点建设，强化外国人服务管理，提升城市国际化水平。六是坚定不移贯彻落实总体国家安全观，发挥涉外安全和管理相关机制作用，加强涉外领域意识形态工作，持续做好领事保护和涉外案（事）件处置工作，切实保护海外公民、法人、其他组织人身、财产安全和正当权益。七是强化对外宣传，积极通过外交部、省外事办资源渠道，对外宣介“爽爽贵阳”城市品牌，不断提升贵阳国际影响力。</w:t>
            </w:r>
          </w:p>
        </w:tc>
        <w:tc>
          <w:tcPr>
            <w:tcW w:w="638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1.2024年新增3个正式友城，1个友好交往城市。2.参与筹办2024年数博会，做好31个国家140名外宾的邀请。3.更新外事办英文网站信息80余篇、“贵阳外事”微信公众号信息937篇、“贵阳外事”新浪微博信息918篇，印制《爽爽贵阳》英文宣传材料2期，协助审核市政府英文门户网站上网信息305篇。4.持续推进重点涉外公共场所外事标识规范，累计审核外语标识380余条，提供规范译写参考200余条，翻译何校审文本2.9万余字。5.完成34场重要活动的英语、法语口译，翻译及校审市政府工作报告节选等重要稿件共计123篇12.84万余字。6.开展领事保护进机关、进校园活动，更新领事保护动画宣传片。7.在贵州大学、苏州大学举办对外交往人才外语能力建设培训班、外事治理能力提升培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年度指标值(A)</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实际完成值(B)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产出指标(50分)</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友城建设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翻译的数量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≥12万字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≥12.84万字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贵阳外事微信公众号信息发布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≥937条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工作的完成率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工作任务完成的时限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项目或定额成本控制率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效益指标(30分)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服务地方经济高质量发展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助推地方经济发展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3"/>
                <w:szCs w:val="13"/>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促进对外友好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通过对外交流提升贵阳国际知名度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达成年度指标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000000"/>
                <w:sz w:val="13"/>
                <w:szCs w:val="13"/>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满意度指标(10分)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合作交流单位满意度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绩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结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论</w:t>
            </w:r>
          </w:p>
        </w:tc>
        <w:tc>
          <w:tcPr>
            <w:tcW w:w="1351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2024年按照外事办制定的绩效目标管理办法执行，部门整体绩效的目标设定、预算配置、预算执行、制度管理、预算管理、职责履行、履职效益环节符合相关法律法规要求。自评得分</w:t>
            </w:r>
            <w:r>
              <w:rPr>
                <w:rFonts w:hint="eastAsia" w:ascii="宋体" w:hAnsi="宋体" w:cs="宋体"/>
                <w:i w:val="0"/>
                <w:iCs w:val="0"/>
                <w:color w:val="000000"/>
                <w:kern w:val="0"/>
                <w:sz w:val="13"/>
                <w:szCs w:val="13"/>
                <w:u w:val="none"/>
                <w:lang w:val="en-US" w:eastAsia="zh-CN" w:bidi="ar"/>
              </w:rPr>
              <w:t>98</w:t>
            </w:r>
            <w:r>
              <w:rPr>
                <w:rFonts w:hint="eastAsia" w:ascii="宋体" w:hAnsi="宋体" w:eastAsia="宋体" w:cs="宋体"/>
                <w:i w:val="0"/>
                <w:iCs w:val="0"/>
                <w:color w:val="000000"/>
                <w:kern w:val="0"/>
                <w:sz w:val="13"/>
                <w:szCs w:val="13"/>
                <w:u w:val="none"/>
                <w:lang w:val="en-US" w:eastAsia="zh-CN" w:bidi="ar"/>
              </w:rPr>
              <w:t>分。</w:t>
            </w:r>
          </w:p>
        </w:tc>
      </w:tr>
    </w:tbl>
    <w:p>
      <w:pPr>
        <w:spacing w:beforeLines="0" w:afterLines="0"/>
        <w:jc w:val="center"/>
        <w:rPr>
          <w:rFonts w:hint="eastAsia" w:ascii="黑体" w:hAnsi="黑体" w:eastAsia="黑体"/>
          <w:kern w:val="2"/>
          <w:sz w:val="48"/>
          <w:szCs w:val="24"/>
          <w:highlight w:val="none"/>
        </w:rPr>
      </w:pPr>
    </w:p>
    <w:sectPr>
      <w:pgSz w:w="16838" w:h="11906" w:orient="landscape"/>
      <w:pgMar w:top="1803" w:right="1440" w:bottom="1803" w:left="1440" w:header="851" w:footer="992" w:gutter="0"/>
      <w:paperSrc/>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3DF19"/>
    <w:multiLevelType w:val="singleLevel"/>
    <w:tmpl w:val="2FF3DF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66"/>
  <w:displayVerticalDrawingGridEvery w:val="2"/>
  <w:noPunctuationKerning w:val="1"/>
  <w:characterSpacingControl w:val="compressPunctuation"/>
  <w:noLineBreaksAfter w:lang="zh-CN" w:val="([{·‘“〈《「『【〔〖（．［｛￡￥"/>
  <w:noLineBreaksBefore w:lang="zh-CN" w:val="!),.:;?]}¨·ˇˉ―‖’”…∶、。〃々〉》」』】〕〗！＂＇），．：；？］｀｜｝～￠"/>
  <w:footnotePr>
    <w:footnote w:id="0"/>
    <w:footnote w:id="1"/>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mY0NWI3M2I1NThjNDdkMDQxY2EwMWM2YzUzZDhmYjAifQ=="/>
  </w:docVars>
  <w:rsids>
    <w:rsidRoot w:val="00000000"/>
    <w:rsid w:val="016523B7"/>
    <w:rsid w:val="0C150E58"/>
    <w:rsid w:val="110D762F"/>
    <w:rsid w:val="11DC5A93"/>
    <w:rsid w:val="130F07F4"/>
    <w:rsid w:val="131E0E72"/>
    <w:rsid w:val="13D14320"/>
    <w:rsid w:val="171D2947"/>
    <w:rsid w:val="1D6F24F4"/>
    <w:rsid w:val="1DEB4A5C"/>
    <w:rsid w:val="1F7D267C"/>
    <w:rsid w:val="28D700F3"/>
    <w:rsid w:val="2CDC3CBB"/>
    <w:rsid w:val="2F7E0B59"/>
    <w:rsid w:val="33FA2C2E"/>
    <w:rsid w:val="343C144D"/>
    <w:rsid w:val="357D2FE8"/>
    <w:rsid w:val="35877D9D"/>
    <w:rsid w:val="35E13612"/>
    <w:rsid w:val="38645B29"/>
    <w:rsid w:val="3A3F07DB"/>
    <w:rsid w:val="3C886EA9"/>
    <w:rsid w:val="43A55CE5"/>
    <w:rsid w:val="442640FD"/>
    <w:rsid w:val="48A53656"/>
    <w:rsid w:val="4E107DA6"/>
    <w:rsid w:val="556B363A"/>
    <w:rsid w:val="561567AE"/>
    <w:rsid w:val="582C42F6"/>
    <w:rsid w:val="59D52EBB"/>
    <w:rsid w:val="59E263BF"/>
    <w:rsid w:val="5BAA2650"/>
    <w:rsid w:val="5F7D31B9"/>
    <w:rsid w:val="652A1392"/>
    <w:rsid w:val="6BF7489D"/>
    <w:rsid w:val="6DED562A"/>
    <w:rsid w:val="71D01753"/>
    <w:rsid w:val="72D26CED"/>
  </w:rsids>
  <m:mathPr>
    <m:mathFont m:val="Times New Roman"/>
    <m:brkBin m:val="before"/>
    <m:brkBinSub m:val="--"/>
    <m:smallFrac m:val="0"/>
    <m:dispDef/>
    <m:lMargin m:val="0"/>
    <m:rMargin m:val="0"/>
    <m:defJc m:val="centerGroup"/>
    <m:preSp m:val="0"/>
    <m:postSp m:val="0"/>
    <m:interSp m:val="0"/>
    <m:intraSp m:val="0"/>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2">
    <w:name w:val="heading 2"/>
    <w:basedOn w:val="1"/>
    <w:next w:val="1"/>
    <w:unhideWhenUsed/>
    <w:qFormat/>
    <w:uiPriority w:val="99"/>
    <w:pPr>
      <w:widowControl w:val="0"/>
      <w:autoSpaceDE w:val="0"/>
      <w:autoSpaceDN w:val="0"/>
      <w:adjustRightInd w:val="0"/>
      <w:spacing w:beforeLines="0" w:afterLines="0"/>
      <w:outlineLvl w:val="1"/>
    </w:pPr>
    <w:rPr>
      <w:rFonts w:hint="default" w:ascii="Times New Roman" w:hAnsi="Times New Roman" w:eastAsia="宋体" w:cs="Times New Roman"/>
      <w:sz w:val="24"/>
      <w:szCs w:val="24"/>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标题 21"/>
    <w:basedOn w:val="1"/>
    <w:next w:val="1"/>
    <w:unhideWhenUsed/>
    <w:qFormat/>
    <w:uiPriority w:val="99"/>
    <w:pPr>
      <w:widowControl w:val="0"/>
      <w:autoSpaceDE w:val="0"/>
      <w:autoSpaceDN w:val="0"/>
      <w:adjustRightInd w:val="0"/>
      <w:spacing w:beforeLines="0" w:afterLines="0"/>
      <w:outlineLvl w:val="1"/>
    </w:pPr>
    <w:rPr>
      <w:rFonts w:hint="default" w:ascii="Times New Roman" w:hAnsi="Times New Roman" w:eastAsia="宋体" w:cs="Times New Roman"/>
      <w:sz w:val="24"/>
      <w:szCs w:val="24"/>
    </w:rPr>
  </w:style>
  <w:style w:type="character" w:customStyle="1" w:styleId="8">
    <w:name w:val="默认段落字体1"/>
    <w:semiHidden/>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页脚1"/>
    <w:basedOn w:val="1"/>
    <w:unhideWhenUsed/>
    <w:qFormat/>
    <w:uiPriority w:val="0"/>
    <w:pPr>
      <w:tabs>
        <w:tab w:val="center" w:pos="4153"/>
        <w:tab w:val="right" w:pos="8306"/>
      </w:tabs>
      <w:snapToGrid w:val="0"/>
      <w:spacing w:line="240" w:lineRule="atLeast"/>
    </w:pPr>
    <w:rPr>
      <w:sz w:val="18"/>
      <w:szCs w:val="18"/>
    </w:rPr>
  </w:style>
  <w:style w:type="character" w:customStyle="1" w:styleId="12">
    <w:name w:val="已访问的超链接1"/>
    <w:basedOn w:val="8"/>
    <w:qFormat/>
    <w:uiPriority w:val="0"/>
    <w:rPr>
      <w:color w:val="800080"/>
      <w:u w:val="single"/>
    </w:rPr>
  </w:style>
  <w:style w:type="character" w:customStyle="1" w:styleId="13">
    <w:name w:val="超链接1"/>
    <w:basedOn w:val="8"/>
    <w:qFormat/>
    <w:uiPriority w:val="0"/>
    <w:rPr>
      <w:color w:val="0000FF"/>
      <w:u w:val="single"/>
    </w:rPr>
  </w:style>
  <w:style w:type="character" w:customStyle="1" w:styleId="14">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7867</Words>
  <Characters>9368</Characters>
  <Lines>0</Lines>
  <Paragraphs>0</Paragraphs>
  <TotalTime>0</TotalTime>
  <ScaleCrop>false</ScaleCrop>
  <LinksUpToDate>false</LinksUpToDate>
  <CharactersWithSpaces>9585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2025-07-06T08:35:00Z</dcterms:created>
  <dc:creator>Sam</dc:creator>
  <cp:lastModifiedBy>Administrator</cp:lastModifiedBy>
  <dcterms:modified xsi:type="dcterms:W3CDTF">2025-07-30T04:55:37Z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35AA6401EA0F436580BE273DD290543B_13</vt:lpwstr>
  </property>
  <property fmtid="{D5CDD505-2E9C-101B-9397-08002B2CF9AE}" pid="4" name="KSOTemplateDocerSaveRecord">
    <vt:lpwstr>eyJoZGlkIjoiNzdmZGJjNzg2ZWU1OTYzZDQ2MDIzNzBkZTUwYzNmNTEiLCJ1c2VySWQiOiI5NTAyODQyODEifQ_x003D__x003D_</vt:lpwstr>
  </property>
</Properties>
</file>