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白云区全辖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政府预算说明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一、一般公共预算收支预算情况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白云区一般公共预算收入预计完成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163400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基本与上年持平</w:t>
      </w:r>
      <w:r>
        <w:rPr>
          <w:rFonts w:hint="eastAsia" w:ascii="仿宋_GB2312" w:eastAsia="仿宋_GB2312"/>
          <w:sz w:val="32"/>
          <w:szCs w:val="32"/>
        </w:rPr>
        <w:t>。其中：税收收入预计完成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137270</w:t>
      </w:r>
      <w:r>
        <w:rPr>
          <w:rFonts w:hint="eastAsia" w:ascii="仿宋_GB2312" w:eastAsia="仿宋_GB2312"/>
          <w:sz w:val="32"/>
          <w:szCs w:val="32"/>
        </w:rPr>
        <w:t>万元，占一般公共预算收入的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sz w:val="32"/>
          <w:szCs w:val="32"/>
        </w:rPr>
        <w:t>%，非税收入预计完成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26130</w:t>
      </w:r>
      <w:r>
        <w:rPr>
          <w:rFonts w:hint="eastAsia" w:ascii="仿宋_GB2312" w:eastAsia="仿宋_GB2312"/>
          <w:sz w:val="32"/>
          <w:szCs w:val="32"/>
        </w:rPr>
        <w:t>万元，占一般公共预算收入的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%，收入结构趋于合理（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白云区全辖预算公开表1）。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白云区一般公共预算支出预计完成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248000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6.44</w:t>
      </w:r>
      <w:r>
        <w:rPr>
          <w:rFonts w:hint="eastAsia" w:ascii="仿宋_GB2312" w:eastAsia="仿宋_GB2312"/>
          <w:sz w:val="32"/>
          <w:szCs w:val="32"/>
        </w:rPr>
        <w:t>%（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白云区全辖预算公开表2）。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白云区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全区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基本支出预计完成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133074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基本与上年持平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。其中：机关工资福利支出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41002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万元；机关商品和服务支出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3046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万元；机关资本性支出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130万元，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对事业单位经常性补助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72579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万元；对个人和家庭的补助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8381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；预备费及预留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7936万元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3）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白云区一般预算转移支付补助分地区分项目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77380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二、政府性基金收支预算情况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白云区政府性基金收入预计完成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9300</w:t>
      </w:r>
      <w:r>
        <w:rPr>
          <w:rFonts w:hint="eastAsia" w:ascii="仿宋_GB2312" w:eastAsia="仿宋_GB2312"/>
          <w:sz w:val="32"/>
          <w:szCs w:val="32"/>
        </w:rPr>
        <w:t>万元，同比下降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97.37</w:t>
      </w:r>
      <w:r>
        <w:rPr>
          <w:rFonts w:hint="eastAsia" w:ascii="仿宋_GB2312" w:eastAsia="仿宋_GB2312"/>
          <w:sz w:val="32"/>
          <w:szCs w:val="32"/>
        </w:rPr>
        <w:t>%；政府性基金支出预计完成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57200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78.77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；全区无政府性基金转移支付补助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白云区全辖预算公开表表5-7）。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三、国有资本经营预算情况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白云区国有资本经营收入预计完成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3959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1515.92</w:t>
      </w:r>
      <w:r>
        <w:rPr>
          <w:rFonts w:hint="eastAsia" w:ascii="仿宋_GB2312" w:eastAsia="仿宋_GB2312"/>
          <w:sz w:val="32"/>
          <w:szCs w:val="32"/>
        </w:rPr>
        <w:t>%；国有资本经营支出预计完成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3959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1515.92</w:t>
      </w:r>
      <w:r>
        <w:rPr>
          <w:rFonts w:hint="eastAsia" w:ascii="仿宋_GB2312" w:eastAsia="仿宋_GB2312"/>
          <w:sz w:val="32"/>
          <w:szCs w:val="32"/>
        </w:rPr>
        <w:t>%（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白云区全辖预算公开表8-9）。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四、社保基金预算情况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白云区社会保险基金收入预计完成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2556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38.16</w:t>
      </w:r>
      <w:r>
        <w:rPr>
          <w:rFonts w:hint="eastAsia" w:ascii="仿宋_GB2312" w:eastAsia="仿宋_GB2312"/>
          <w:sz w:val="32"/>
          <w:szCs w:val="32"/>
        </w:rPr>
        <w:t>%；社会保险基金支出预计完成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2320</w:t>
      </w:r>
      <w:r>
        <w:rPr>
          <w:rFonts w:hint="eastAsia" w:ascii="仿宋_GB2312" w:eastAsia="仿宋_GB2312"/>
          <w:sz w:val="32"/>
          <w:szCs w:val="32"/>
        </w:rPr>
        <w:t>万元，同比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8.41</w:t>
      </w:r>
      <w:r>
        <w:rPr>
          <w:rFonts w:hint="eastAsia" w:ascii="仿宋_GB2312" w:eastAsia="仿宋_GB2312"/>
          <w:sz w:val="32"/>
          <w:szCs w:val="32"/>
        </w:rPr>
        <w:t>%；社会保险基金</w:t>
      </w:r>
      <w:r>
        <w:rPr>
          <w:rFonts w:hint="eastAsia" w:ascii="仿宋_GB2312" w:eastAsia="仿宋_GB2312"/>
          <w:sz w:val="32"/>
          <w:szCs w:val="32"/>
          <w:lang w:eastAsia="zh-CN"/>
        </w:rPr>
        <w:t>滚存</w:t>
      </w:r>
      <w:r>
        <w:rPr>
          <w:rFonts w:hint="eastAsia" w:ascii="仿宋_GB2312" w:eastAsia="仿宋_GB2312"/>
          <w:sz w:val="32"/>
          <w:szCs w:val="32"/>
        </w:rPr>
        <w:t>结余预计为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6596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白云区全辖预算公开表10-12）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五、政府性债务情况</w:t>
      </w:r>
    </w:p>
    <w:p>
      <w:pPr>
        <w:widowControl w:val="0"/>
        <w:wordWrap/>
        <w:adjustRightIn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2020年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</w:rPr>
        <w:t>全区政府债务限额为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53.5亿元（其中：一般债务4.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亿元，专项债务49.4亿元）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val="en-US" w:eastAsia="zh-CN"/>
        </w:rPr>
        <w:t>2018年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</w:rPr>
        <w:t>政府债务余额为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val="en-US" w:eastAsia="zh-CN"/>
        </w:rPr>
        <w:t>50.5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eastAsia="zh-CN"/>
        </w:rPr>
        <w:t>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</w:rPr>
        <w:t>元（一般债务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val="en-US" w:eastAsia="zh-CN"/>
        </w:rPr>
        <w:t>2.6亿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</w:rPr>
        <w:t>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eastAsia="zh-CN"/>
        </w:rPr>
        <w:t>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</w:rPr>
        <w:t>专项债务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val="en-US" w:eastAsia="zh-CN"/>
        </w:rPr>
        <w:t>47.9亿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</w:rPr>
        <w:t>元）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 w:color="auto"/>
          <w:lang w:val="en-US" w:eastAsia="zh-CN"/>
        </w:rPr>
        <w:t>我区将切实履行偿债责任，做好债券资金的管理。进一步完善政府性债务应急处置预案，健全工作机制，切实防范和化解财政金融风险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白云区全辖预算公开表13-14）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扶贫资金安排情况</w:t>
      </w:r>
    </w:p>
    <w:p>
      <w:pPr>
        <w:widowControl w:val="0"/>
        <w:numPr>
          <w:ilvl w:val="0"/>
          <w:numId w:val="0"/>
        </w:numPr>
        <w:wordWrap/>
        <w:adjustRightIn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2020年我区专项扶贫资金安排1100万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元，主要用于对水城县、白云山镇、乐旺镇等对口帮扶贫困地区的帮扶工作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2020年</w:t>
      </w:r>
      <w:r>
        <w:rPr>
          <w:rFonts w:hint="eastAsia" w:ascii="仿宋_GB2312" w:eastAsia="仿宋_GB2312"/>
          <w:sz w:val="32"/>
          <w:szCs w:val="32"/>
        </w:rPr>
        <w:t>白云区全辖预算公开表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F3F5"/>
    <w:multiLevelType w:val="singleLevel"/>
    <w:tmpl w:val="5C91F3F5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A3E4A"/>
    <w:rsid w:val="0D1536D7"/>
    <w:rsid w:val="10227AEB"/>
    <w:rsid w:val="12052C83"/>
    <w:rsid w:val="26AC17BD"/>
    <w:rsid w:val="3B0F46D7"/>
    <w:rsid w:val="4E8C652E"/>
    <w:rsid w:val="5D935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0"/>
    <w:basedOn w:val="1"/>
    <w:link w:val="5"/>
    <w:qFormat/>
    <w:uiPriority w:val="0"/>
    <w:pPr>
      <w:snapToGrid w:val="0"/>
    </w:pPr>
  </w:style>
  <w:style w:type="character" w:styleId="7">
    <w:name w:val="page number"/>
    <w:basedOn w:val="5"/>
    <w:unhideWhenUsed/>
    <w:qFormat/>
    <w:uiPriority w:val="0"/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www.deepin.org</Company>
  <Pages>2</Pages>
  <Words>135</Words>
  <Characters>770</Characters>
  <Lines>6</Lines>
  <Paragraphs>1</Paragraphs>
  <TotalTime>10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2016-10-08T08:22:00Z</dcterms:created>
  <dc:creator>User</dc:creator>
  <cp:lastModifiedBy>Administrator</cp:lastModifiedBy>
  <dcterms:modified xsi:type="dcterms:W3CDTF">2020-06-11T09:21:50Z</dcterms:modified>
  <dc:title>白云区全辖2016年政府预算说明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