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99" w:rsidRPr="00922D9F" w:rsidRDefault="00EE3D99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Arial"/>
          <w:color w:val="000000" w:themeColor="text1"/>
          <w:sz w:val="44"/>
          <w:szCs w:val="44"/>
        </w:rPr>
      </w:pP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Arial"/>
          <w:color w:val="000000" w:themeColor="text1"/>
          <w:sz w:val="44"/>
          <w:szCs w:val="44"/>
        </w:rPr>
      </w:pPr>
      <w:r w:rsidRPr="00922D9F">
        <w:rPr>
          <w:rFonts w:ascii="Times New Roman" w:eastAsia="方正小标宋简体" w:hAnsi="方正小标宋简体" w:cs="Arial" w:hint="eastAsia"/>
          <w:color w:val="000000" w:themeColor="text1"/>
          <w:sz w:val="44"/>
          <w:szCs w:val="44"/>
        </w:rPr>
        <w:t>观山湖区</w:t>
      </w:r>
      <w:r w:rsidRPr="00922D9F">
        <w:rPr>
          <w:rFonts w:ascii="Times New Roman" w:eastAsia="方正小标宋简体" w:hAnsi="Times New Roman" w:cs="Arial" w:hint="eastAsia"/>
          <w:color w:val="000000" w:themeColor="text1"/>
          <w:sz w:val="44"/>
          <w:szCs w:val="44"/>
        </w:rPr>
        <w:t>2020</w:t>
      </w:r>
      <w:r w:rsidRPr="00922D9F">
        <w:rPr>
          <w:rFonts w:ascii="Times New Roman" w:eastAsia="方正小标宋简体" w:hAnsi="方正小标宋简体" w:cs="Arial" w:hint="eastAsia"/>
          <w:color w:val="000000" w:themeColor="text1"/>
          <w:sz w:val="44"/>
          <w:szCs w:val="44"/>
        </w:rPr>
        <w:t>年财政决算（草案）报告</w:t>
      </w:r>
    </w:p>
    <w:p w:rsidR="00EE3D99" w:rsidRPr="00922D9F" w:rsidRDefault="00EE3D99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Arial"/>
          <w:color w:val="000000" w:themeColor="text1"/>
          <w:sz w:val="44"/>
          <w:szCs w:val="44"/>
        </w:rPr>
      </w:pPr>
    </w:p>
    <w:p w:rsidR="00EE3D99" w:rsidRPr="00922D9F" w:rsidRDefault="00EE3D99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楷体_GB2312" w:hAnsi="Times New Roman" w:cs="Arial"/>
          <w:color w:val="000000" w:themeColor="text1"/>
          <w:sz w:val="32"/>
          <w:szCs w:val="32"/>
        </w:rPr>
      </w:pP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区人大常委会：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根据常委会工作安排，受区人民政府委托，现将我区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2020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年全区和区本级财政决算（草案）报告如下，请</w:t>
      </w:r>
      <w:proofErr w:type="gramStart"/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予审</w:t>
      </w:r>
      <w:proofErr w:type="gramEnd"/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议。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   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黑体" w:hAnsi="Times New Roman" w:cs="Arial"/>
          <w:color w:val="000000" w:themeColor="text1"/>
          <w:sz w:val="32"/>
          <w:szCs w:val="32"/>
        </w:rPr>
        <w:t>一、全区财政</w:t>
      </w:r>
      <w:r w:rsidR="00145D03" w:rsidRPr="00922D9F">
        <w:rPr>
          <w:rFonts w:ascii="Times New Roman" w:eastAsia="黑体" w:hAnsi="Times New Roman" w:cs="Arial" w:hint="eastAsia"/>
          <w:color w:val="000000" w:themeColor="text1"/>
          <w:sz w:val="32"/>
          <w:szCs w:val="32"/>
        </w:rPr>
        <w:t>收支</w:t>
      </w:r>
      <w:r w:rsidRPr="00922D9F">
        <w:rPr>
          <w:rFonts w:ascii="Times New Roman" w:eastAsia="黑体" w:hAnsi="Times New Roman" w:cs="Arial"/>
          <w:color w:val="000000" w:themeColor="text1"/>
          <w:sz w:val="32"/>
          <w:szCs w:val="32"/>
        </w:rPr>
        <w:t>决算情况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2020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年，全区财政总收入完成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1500171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8.08%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；一般公共预算收入完成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539140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万元，为预算（预算调整数，下同）的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100.21%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0.22%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。一般公共预算支出完成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749618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万元，减上级专款（含指定用途的一般性转移支付，下同）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116865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万元，全区实际完成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632753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96.47%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，同比下降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2020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年，全区政府性基金收入完成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59554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102.93%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，同比下降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36.77%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；政府性基金支出完成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340162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278202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61960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95.9%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，同比下降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16.77%</w:t>
      </w:r>
      <w:bookmarkStart w:id="0" w:name="_GoBack"/>
      <w:bookmarkEnd w:id="0"/>
      <w:r w:rsidR="00145D03" w:rsidRPr="00922D9F">
        <w:rPr>
          <w:rFonts w:ascii="Times New Roman" w:eastAsia="仿宋_GB2312" w:hAnsi="Arial" w:cs="Arial" w:hint="eastAsia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黑体" w:hAnsi="Times New Roman" w:cs="Arial"/>
          <w:color w:val="000000" w:themeColor="text1"/>
          <w:sz w:val="32"/>
          <w:szCs w:val="32"/>
        </w:rPr>
        <w:t>二、区本级财政收支决算情况</w:t>
      </w:r>
      <w:r w:rsidRPr="00922D9F">
        <w:rPr>
          <w:rFonts w:ascii="Times New Roman" w:eastAsia="黑体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</w:t>
      </w: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t>（一）一般公共预算</w:t>
      </w:r>
      <w:r w:rsidR="00145D03" w:rsidRPr="00922D9F">
        <w:rPr>
          <w:rFonts w:ascii="Times New Roman" w:eastAsia="楷体_GB2312" w:hAnsi="Times New Roman" w:cs="Arial" w:hint="eastAsia"/>
          <w:color w:val="000000" w:themeColor="text1"/>
          <w:sz w:val="32"/>
          <w:szCs w:val="32"/>
        </w:rPr>
        <w:t>收支</w:t>
      </w: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t>决算情况</w:t>
      </w: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区本级一般公共预算收入完成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515902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100.49%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0.15%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。加上级补助收入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280621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万元，上年结转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7597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万元，调入预算稳定调节基金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49573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万元，从政府性基金收入调入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3883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万元，下级上解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8719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万元，地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lastRenderedPageBreak/>
        <w:t>方政府一般债务转贷收入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23994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万元，收入合计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890289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万元。一般公共预算支出完成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728283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万元，上解支出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55703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万元，地方政府一般债务还本支出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23994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万元，补助下级支出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7015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万元，补充预算稳定调节基金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65468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万元，年终滚存结余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9826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 (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全部为结转下年上级专款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)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，全年财政收支平衡。</w:t>
      </w:r>
    </w:p>
    <w:p w:rsidR="00EE3D99" w:rsidRPr="00922D9F" w:rsidRDefault="001F3453" w:rsidP="0083400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b/>
          <w:bCs/>
          <w:color w:val="000000" w:themeColor="text1"/>
          <w:sz w:val="32"/>
          <w:szCs w:val="32"/>
        </w:rPr>
        <w:t>收入方面</w:t>
      </w:r>
      <w:r w:rsidRPr="00922D9F">
        <w:rPr>
          <w:rFonts w:ascii="Times New Roman" w:eastAsia="仿宋_GB2312" w:hAnsi="Times New Roman" w:cs="Arial"/>
          <w:b/>
          <w:bCs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）税收收入完成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423969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93.56%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，同比下降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13%</w:t>
      </w:r>
      <w:r w:rsidR="00E20D62" w:rsidRPr="00922D9F">
        <w:rPr>
          <w:rFonts w:ascii="Times New Roman" w:eastAsia="仿宋_GB2312" w:hAnsi="Times New Roman" w:cs="Arial" w:hint="eastAsia"/>
          <w:color w:val="000000" w:themeColor="text1"/>
          <w:sz w:val="32"/>
          <w:szCs w:val="32"/>
        </w:rPr>
        <w:t>，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其中：增值税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84514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万元，企业所得税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80549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万元，个人所得税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22718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万元，土地增值税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76548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万元，耕地占用税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4628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万元，契税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67306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万元，其他各项税收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87706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）非税收入完成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91933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152.56%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230.92%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 w:rsidP="0083400A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b/>
          <w:bCs/>
          <w:color w:val="000000" w:themeColor="text1"/>
          <w:sz w:val="32"/>
          <w:szCs w:val="32"/>
        </w:rPr>
        <w:t xml:space="preserve">2. </w:t>
      </w:r>
      <w:r w:rsidRPr="00922D9F">
        <w:rPr>
          <w:rFonts w:ascii="Times New Roman" w:eastAsia="仿宋_GB2312" w:hAnsi="Times New Roman" w:cs="Arial"/>
          <w:b/>
          <w:bCs/>
          <w:color w:val="000000" w:themeColor="text1"/>
          <w:sz w:val="32"/>
          <w:szCs w:val="32"/>
        </w:rPr>
        <w:t>支出方面</w:t>
      </w:r>
      <w:r w:rsidRPr="00922D9F">
        <w:rPr>
          <w:rFonts w:ascii="Times New Roman" w:eastAsia="仿宋_GB2312" w:hAnsi="Times New Roman" w:cs="Arial"/>
          <w:b/>
          <w:bCs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 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一般公共预算支出完成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728283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116865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万元，加下达镇专款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685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612103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96.83%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，同比下降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1.35%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。按功能科目分类完成情况如下：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）一般公共服务支出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97869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739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97130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97.91%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49.46%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）国防支出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831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98.93%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21.85%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lastRenderedPageBreak/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）公共安全支出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31018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1428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29590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97.11%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，同比下降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9.49%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4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）教育支出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94801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23578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71223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99.77%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22.64%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）科学技术支出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62120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28757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33363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97.87%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2.55%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）文化旅游体育与传媒支出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8895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613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8282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99.30%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21.19%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）社会保障和就业支出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33376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6708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万元，加下达镇专款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140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26808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91.71%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15.13%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）卫生健康支出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30114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4550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25564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97.42%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18.84%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）节能环保支出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10869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5227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5642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96.94%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，与去年同期基本持平。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）城乡社区支出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228418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2485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225933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96.84%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，同比下降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24.96%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11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）农林水支出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25020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7091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万元，加下达镇专款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545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18474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91.55%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29.42%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lastRenderedPageBreak/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12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）交通运输支出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5210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125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5085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83.77%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，同比下降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26.27%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）资源勘探工业信息等支出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55212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31506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23706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95.01%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28.27%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14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）商业服务业等支出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158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150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100%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，同比下降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77.14%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。主要是上年结转上级下达该科目的外经贸发展资金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27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</w:t>
      </w:r>
      <w:proofErr w:type="gramStart"/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剔除此</w:t>
      </w:r>
      <w:proofErr w:type="gramEnd"/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因素后，与上年持平。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）金融支出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528</w:t>
      </w:r>
      <w:r w:rsidR="00BA2772"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万元，全为上级专款，主要是企业贴息</w:t>
      </w:r>
      <w:r w:rsidR="006960B8"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补助资金</w:t>
      </w:r>
      <w:r w:rsidR="00BA2772"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54310B" w:rsidRPr="00922D9F" w:rsidRDefault="001F3453" w:rsidP="0054310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16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）自然资源海洋气象等支出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1487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27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</w:t>
      </w:r>
      <w:r w:rsidR="00E20D62" w:rsidRPr="00922D9F">
        <w:rPr>
          <w:rFonts w:ascii="Times New Roman" w:eastAsia="仿宋_GB2312" w:hAnsi="Times New Roman" w:cs="Arial" w:hint="eastAsia"/>
          <w:color w:val="000000" w:themeColor="text1"/>
          <w:sz w:val="32"/>
          <w:szCs w:val="32"/>
        </w:rPr>
        <w:t>，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1460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81.56%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10.77%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 w:rsidP="0054310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17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）住房保障支出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26005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1908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24097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96.35%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33.19%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）粮油物资储备支出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1334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786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548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89.25%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107.58%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19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）灾害防治及应急管理支出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4524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万元，减上级专款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万元，实际完成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4517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95.7%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，同比增长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27.67%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）其他支出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652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万元，全为上级专款</w:t>
      </w:r>
      <w:r w:rsidR="00BA2772"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，主要是疫情</w:t>
      </w:r>
      <w:proofErr w:type="gramStart"/>
      <w:r w:rsidR="00BA2772"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期间返筑返岗</w:t>
      </w:r>
      <w:proofErr w:type="gramEnd"/>
      <w:r w:rsidR="00BA2772"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交通补助</w:t>
      </w:r>
      <w:r w:rsidR="006960B8"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资金</w:t>
      </w:r>
      <w:r w:rsidR="00BA2772"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lastRenderedPageBreak/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21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）债务付息支出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9815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99.92%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22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）债务发行费用支出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27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79.41%</w:t>
      </w:r>
      <w:r w:rsidR="00145D03" w:rsidRPr="00922D9F">
        <w:rPr>
          <w:rFonts w:ascii="Times New Roman" w:eastAsia="仿宋_GB2312" w:hAnsi="Arial" w:cs="Arial" w:hint="eastAsia"/>
          <w:color w:val="000000" w:themeColor="text1"/>
          <w:sz w:val="32"/>
          <w:szCs w:val="32"/>
        </w:rPr>
        <w:t>。</w:t>
      </w:r>
    </w:p>
    <w:p w:rsidR="00EE3D99" w:rsidRPr="00922D9F" w:rsidRDefault="001F345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楷体_GB2312" w:hAnsi="Arial" w:cs="Arial"/>
          <w:color w:val="000000" w:themeColor="text1"/>
          <w:sz w:val="32"/>
          <w:szCs w:val="32"/>
        </w:rPr>
        <w:t>（二）政府性基金</w:t>
      </w:r>
      <w:r w:rsidR="00145D03" w:rsidRPr="00922D9F">
        <w:rPr>
          <w:rFonts w:ascii="Times New Roman" w:eastAsia="楷体_GB2312" w:hAnsi="Arial" w:cs="Arial" w:hint="eastAsia"/>
          <w:color w:val="000000" w:themeColor="text1"/>
          <w:sz w:val="32"/>
          <w:szCs w:val="32"/>
        </w:rPr>
        <w:t>预算收支</w:t>
      </w:r>
      <w:r w:rsidRPr="00922D9F">
        <w:rPr>
          <w:rFonts w:ascii="Times New Roman" w:eastAsia="楷体_GB2312" w:hAnsi="Arial" w:cs="Arial"/>
          <w:color w:val="000000" w:themeColor="text1"/>
          <w:sz w:val="32"/>
          <w:szCs w:val="32"/>
        </w:rPr>
        <w:t>决算情况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 xml:space="preserve">　　区本级政府性基金收入完成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59554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万元，加上级专款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222871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万元，上年结余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6750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万元，地方政府专项债务转贷收入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519332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万元和</w:t>
      </w:r>
      <w:r w:rsidR="00F12154" w:rsidRPr="00922D9F">
        <w:rPr>
          <w:rFonts w:ascii="Times New Roman" w:eastAsia="仿宋_GB2312" w:hAnsi="Arial" w:cs="Arial"/>
          <w:sz w:val="32"/>
          <w:szCs w:val="32"/>
        </w:rPr>
        <w:t>新增专项债券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95585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万元，收入合计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904092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万元。政府性基金支出完成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340162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万元，上解上级支出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20330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万元，调出资金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3883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万元，地方政府专项债务还本支出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519332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万元，支出合计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883707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万元，政府性基金结余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20385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万元。具体如下：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 xml:space="preserve">　　（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）政府性基金收入完成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59554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万元，为预算的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102.93%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，同比下降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36.77%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。其中：国有土地使用权出让收入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52345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万元，国有土地收益基金收入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526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万元，农业土地开发资金收入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140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万元，城市基础设施配套费收入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6539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万元，污水处理费收入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4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万元。</w:t>
      </w:r>
    </w:p>
    <w:p w:rsidR="00EE3D99" w:rsidRPr="00922D9F" w:rsidRDefault="001F3453">
      <w:pPr>
        <w:pStyle w:val="2"/>
        <w:ind w:firstLine="640"/>
        <w:rPr>
          <w:rFonts w:ascii="Times New Roman" w:hAnsi="Times New Roman" w:cs="Arial"/>
          <w:color w:val="000000" w:themeColor="text1"/>
          <w:szCs w:val="32"/>
        </w:rPr>
      </w:pPr>
      <w:r w:rsidRPr="00922D9F">
        <w:rPr>
          <w:rFonts w:ascii="Times New Roman" w:hAnsi="Arial" w:cs="Arial"/>
          <w:color w:val="000000" w:themeColor="text1"/>
          <w:szCs w:val="32"/>
        </w:rPr>
        <w:t>（</w:t>
      </w:r>
      <w:r w:rsidRPr="00922D9F">
        <w:rPr>
          <w:rFonts w:ascii="Times New Roman" w:hAnsi="Times New Roman" w:cs="Arial"/>
          <w:color w:val="000000" w:themeColor="text1"/>
          <w:szCs w:val="32"/>
        </w:rPr>
        <w:t>2</w:t>
      </w:r>
      <w:r w:rsidRPr="00922D9F">
        <w:rPr>
          <w:rFonts w:ascii="Times New Roman" w:hAnsi="Arial" w:cs="Arial"/>
          <w:color w:val="000000" w:themeColor="text1"/>
          <w:szCs w:val="32"/>
        </w:rPr>
        <w:t>）政府性基金支出完成</w:t>
      </w:r>
      <w:r w:rsidRPr="00922D9F">
        <w:rPr>
          <w:rFonts w:ascii="Times New Roman" w:hAnsi="Times New Roman" w:cs="Arial"/>
          <w:color w:val="000000" w:themeColor="text1"/>
          <w:szCs w:val="32"/>
        </w:rPr>
        <w:t>340162</w:t>
      </w:r>
      <w:r w:rsidRPr="00922D9F">
        <w:rPr>
          <w:rFonts w:ascii="Times New Roman" w:hAnsi="Arial" w:cs="Arial"/>
          <w:color w:val="000000" w:themeColor="text1"/>
          <w:szCs w:val="32"/>
        </w:rPr>
        <w:t>万元，减上级专款</w:t>
      </w:r>
      <w:r w:rsidRPr="00922D9F">
        <w:rPr>
          <w:rFonts w:ascii="Times New Roman" w:hAnsi="Times New Roman" w:cs="Arial"/>
          <w:color w:val="000000" w:themeColor="text1"/>
          <w:szCs w:val="32"/>
        </w:rPr>
        <w:t>182617</w:t>
      </w:r>
      <w:r w:rsidRPr="00922D9F">
        <w:rPr>
          <w:rFonts w:ascii="Times New Roman" w:hAnsi="Arial" w:cs="Arial"/>
          <w:color w:val="000000" w:themeColor="text1"/>
          <w:szCs w:val="32"/>
        </w:rPr>
        <w:t>万元和</w:t>
      </w:r>
      <w:r w:rsidR="00F12154" w:rsidRPr="00922D9F">
        <w:rPr>
          <w:rFonts w:ascii="Times New Roman" w:hAnsi="Arial" w:cs="Arial"/>
          <w:szCs w:val="32"/>
        </w:rPr>
        <w:t>新增专项债券</w:t>
      </w:r>
      <w:r w:rsidRPr="00922D9F">
        <w:rPr>
          <w:rFonts w:ascii="Times New Roman" w:hAnsi="Times New Roman" w:cs="Arial"/>
          <w:color w:val="000000" w:themeColor="text1"/>
          <w:szCs w:val="32"/>
        </w:rPr>
        <w:t>95585</w:t>
      </w:r>
      <w:r w:rsidRPr="00922D9F">
        <w:rPr>
          <w:rFonts w:ascii="Times New Roman" w:hAnsi="Arial" w:cs="Arial"/>
          <w:color w:val="000000" w:themeColor="text1"/>
          <w:szCs w:val="32"/>
        </w:rPr>
        <w:t>万元，实际完成</w:t>
      </w:r>
      <w:r w:rsidRPr="00922D9F">
        <w:rPr>
          <w:rFonts w:ascii="Times New Roman" w:hAnsi="Times New Roman" w:cs="Arial"/>
          <w:color w:val="000000" w:themeColor="text1"/>
          <w:szCs w:val="32"/>
        </w:rPr>
        <w:t>61960</w:t>
      </w:r>
      <w:r w:rsidRPr="00922D9F">
        <w:rPr>
          <w:rFonts w:ascii="Times New Roman" w:hAnsi="Arial" w:cs="Arial"/>
          <w:color w:val="000000" w:themeColor="text1"/>
          <w:szCs w:val="32"/>
        </w:rPr>
        <w:t>万元，为预算的</w:t>
      </w:r>
      <w:r w:rsidRPr="00922D9F">
        <w:rPr>
          <w:rFonts w:ascii="Times New Roman" w:hAnsi="Times New Roman" w:cs="Arial"/>
          <w:color w:val="000000" w:themeColor="text1"/>
          <w:szCs w:val="32"/>
        </w:rPr>
        <w:t>95.9%</w:t>
      </w:r>
      <w:r w:rsidRPr="00922D9F">
        <w:rPr>
          <w:rFonts w:ascii="Times New Roman" w:hAnsi="Arial" w:cs="Arial"/>
          <w:color w:val="000000" w:themeColor="text1"/>
          <w:szCs w:val="32"/>
        </w:rPr>
        <w:t>，同比下降</w:t>
      </w:r>
      <w:r w:rsidRPr="00922D9F">
        <w:rPr>
          <w:rFonts w:ascii="Times New Roman" w:hAnsi="Times New Roman" w:cs="Arial"/>
          <w:color w:val="000000" w:themeColor="text1"/>
          <w:szCs w:val="32"/>
        </w:rPr>
        <w:t>16.77%</w:t>
      </w:r>
      <w:r w:rsidRPr="00922D9F">
        <w:rPr>
          <w:rFonts w:ascii="Times New Roman" w:hAnsi="Arial" w:cs="Arial"/>
          <w:color w:val="000000" w:themeColor="text1"/>
          <w:szCs w:val="32"/>
        </w:rPr>
        <w:t>。其中：国有土地使用权出让收入安排的支出</w:t>
      </w:r>
      <w:r w:rsidRPr="00922D9F">
        <w:rPr>
          <w:rFonts w:ascii="Times New Roman" w:hAnsi="Times New Roman" w:cs="Arial"/>
          <w:color w:val="000000" w:themeColor="text1"/>
          <w:szCs w:val="32"/>
        </w:rPr>
        <w:t>56584</w:t>
      </w:r>
      <w:r w:rsidRPr="00922D9F">
        <w:rPr>
          <w:rFonts w:ascii="Times New Roman" w:hAnsi="Arial" w:cs="Arial"/>
          <w:color w:val="000000" w:themeColor="text1"/>
          <w:szCs w:val="32"/>
        </w:rPr>
        <w:t>万元，城市基础设施配套费支出</w:t>
      </w:r>
      <w:r w:rsidRPr="00922D9F">
        <w:rPr>
          <w:rFonts w:ascii="Times New Roman" w:hAnsi="Times New Roman" w:cs="Arial"/>
          <w:color w:val="000000" w:themeColor="text1"/>
          <w:szCs w:val="32"/>
        </w:rPr>
        <w:t>5053</w:t>
      </w:r>
      <w:r w:rsidRPr="00922D9F">
        <w:rPr>
          <w:rFonts w:ascii="Times New Roman" w:hAnsi="Arial" w:cs="Arial"/>
          <w:color w:val="000000" w:themeColor="text1"/>
          <w:szCs w:val="32"/>
        </w:rPr>
        <w:t>万元，其他各项基金支出</w:t>
      </w:r>
      <w:r w:rsidRPr="00922D9F">
        <w:rPr>
          <w:rFonts w:ascii="Times New Roman" w:hAnsi="Times New Roman" w:cs="Arial"/>
          <w:color w:val="000000" w:themeColor="text1"/>
          <w:szCs w:val="32"/>
        </w:rPr>
        <w:t>323</w:t>
      </w:r>
      <w:r w:rsidRPr="00922D9F">
        <w:rPr>
          <w:rFonts w:ascii="Times New Roman" w:hAnsi="Arial" w:cs="Arial"/>
          <w:color w:val="000000" w:themeColor="text1"/>
          <w:szCs w:val="32"/>
        </w:rPr>
        <w:t>万元。</w:t>
      </w:r>
    </w:p>
    <w:p w:rsidR="00EE3D99" w:rsidRPr="00922D9F" w:rsidRDefault="001F3453">
      <w:pPr>
        <w:pStyle w:val="2"/>
        <w:ind w:firstLine="640"/>
        <w:rPr>
          <w:rFonts w:ascii="Times New Roman" w:hAnsi="Times New Roman" w:cs="Arial"/>
          <w:color w:val="000000" w:themeColor="text1"/>
          <w:szCs w:val="32"/>
        </w:rPr>
      </w:pPr>
      <w:r w:rsidRPr="00922D9F">
        <w:rPr>
          <w:rFonts w:ascii="Times New Roman" w:eastAsia="楷体_GB2312" w:hAnsi="Arial" w:cs="Arial"/>
          <w:color w:val="000000" w:themeColor="text1"/>
          <w:szCs w:val="32"/>
        </w:rPr>
        <w:t>（三）国有资本经营预算</w:t>
      </w:r>
      <w:r w:rsidR="00145D03" w:rsidRPr="00922D9F">
        <w:rPr>
          <w:rFonts w:ascii="Times New Roman" w:eastAsia="楷体_GB2312" w:hAnsi="Arial" w:cs="Arial" w:hint="eastAsia"/>
          <w:color w:val="000000" w:themeColor="text1"/>
          <w:szCs w:val="32"/>
        </w:rPr>
        <w:t>收支</w:t>
      </w:r>
      <w:r w:rsidRPr="00922D9F">
        <w:rPr>
          <w:rFonts w:ascii="Times New Roman" w:eastAsia="楷体_GB2312" w:hAnsi="Arial" w:cs="Arial"/>
          <w:color w:val="000000" w:themeColor="text1"/>
          <w:szCs w:val="32"/>
        </w:rPr>
        <w:t>决算情况</w:t>
      </w:r>
      <w:r w:rsidRPr="00922D9F">
        <w:rPr>
          <w:rFonts w:ascii="Times New Roman" w:eastAsia="楷体_GB2312" w:hAnsi="Times New Roman" w:cs="Arial"/>
          <w:color w:val="000000" w:themeColor="text1"/>
          <w:szCs w:val="32"/>
        </w:rPr>
        <w:br/>
      </w:r>
      <w:r w:rsidRPr="00922D9F">
        <w:rPr>
          <w:rFonts w:ascii="Times New Roman" w:hAnsi="Arial" w:cs="Arial"/>
          <w:color w:val="000000" w:themeColor="text1"/>
          <w:szCs w:val="32"/>
        </w:rPr>
        <w:t xml:space="preserve">　</w:t>
      </w:r>
      <w:r w:rsidRPr="00922D9F">
        <w:rPr>
          <w:rFonts w:ascii="Times New Roman" w:hAnsi="Times New Roman" w:cs="Arial"/>
          <w:color w:val="000000" w:themeColor="text1"/>
          <w:szCs w:val="32"/>
        </w:rPr>
        <w:t xml:space="preserve">  </w:t>
      </w:r>
      <w:r w:rsidRPr="00922D9F">
        <w:rPr>
          <w:rFonts w:ascii="Times New Roman" w:hAnsi="Arial" w:cs="Arial"/>
          <w:color w:val="000000" w:themeColor="text1"/>
          <w:szCs w:val="32"/>
        </w:rPr>
        <w:t>国有资本经营预算收入完成</w:t>
      </w:r>
      <w:r w:rsidRPr="00922D9F">
        <w:rPr>
          <w:rFonts w:ascii="Times New Roman" w:hAnsi="Times New Roman" w:cs="Arial"/>
          <w:color w:val="000000" w:themeColor="text1"/>
          <w:szCs w:val="32"/>
        </w:rPr>
        <w:t>1500</w:t>
      </w:r>
      <w:r w:rsidRPr="00922D9F">
        <w:rPr>
          <w:rFonts w:ascii="Times New Roman" w:hAnsi="Arial" w:cs="Arial"/>
          <w:color w:val="000000" w:themeColor="text1"/>
          <w:szCs w:val="32"/>
        </w:rPr>
        <w:t>万元，为预算的</w:t>
      </w:r>
      <w:r w:rsidRPr="00922D9F">
        <w:rPr>
          <w:rFonts w:ascii="Times New Roman" w:hAnsi="Times New Roman" w:cs="Arial"/>
          <w:color w:val="000000" w:themeColor="text1"/>
          <w:szCs w:val="32"/>
        </w:rPr>
        <w:t>100%</w:t>
      </w:r>
      <w:r w:rsidRPr="00922D9F">
        <w:rPr>
          <w:rFonts w:ascii="Times New Roman" w:hAnsi="Arial" w:cs="Arial"/>
          <w:color w:val="000000" w:themeColor="text1"/>
          <w:szCs w:val="32"/>
        </w:rPr>
        <w:t>，均为股利股息收入；国有资本经营预算支出</w:t>
      </w:r>
      <w:r w:rsidRPr="00922D9F">
        <w:rPr>
          <w:rFonts w:ascii="Times New Roman" w:hAnsi="Times New Roman" w:cs="Arial"/>
          <w:color w:val="000000" w:themeColor="text1"/>
          <w:szCs w:val="32"/>
        </w:rPr>
        <w:t>1500</w:t>
      </w:r>
      <w:r w:rsidRPr="00922D9F">
        <w:rPr>
          <w:rFonts w:ascii="Times New Roman" w:hAnsi="Arial" w:cs="Arial"/>
          <w:color w:val="000000" w:themeColor="text1"/>
          <w:szCs w:val="32"/>
        </w:rPr>
        <w:t>万元，为预算的</w:t>
      </w:r>
      <w:r w:rsidRPr="00922D9F">
        <w:rPr>
          <w:rFonts w:ascii="Times New Roman" w:hAnsi="Times New Roman" w:cs="Arial"/>
          <w:color w:val="000000" w:themeColor="text1"/>
          <w:szCs w:val="32"/>
        </w:rPr>
        <w:t>100%</w:t>
      </w:r>
      <w:r w:rsidRPr="00922D9F">
        <w:rPr>
          <w:rFonts w:ascii="Times New Roman" w:hAnsi="Arial" w:cs="Arial"/>
          <w:color w:val="000000" w:themeColor="text1"/>
          <w:szCs w:val="32"/>
        </w:rPr>
        <w:t xml:space="preserve">，主要是国有资本金注入。全年收支平衡。　　</w:t>
      </w:r>
      <w:r w:rsidRPr="00922D9F">
        <w:rPr>
          <w:rFonts w:ascii="Times New Roman" w:hAnsi="Times New Roman" w:cs="Arial"/>
          <w:color w:val="000000" w:themeColor="text1"/>
          <w:szCs w:val="32"/>
        </w:rPr>
        <w:t xml:space="preserve">     </w:t>
      </w:r>
    </w:p>
    <w:p w:rsidR="00EE3D99" w:rsidRPr="00922D9F" w:rsidRDefault="001F3453">
      <w:pPr>
        <w:pStyle w:val="2"/>
        <w:ind w:firstLine="640"/>
        <w:rPr>
          <w:rFonts w:ascii="Times New Roman" w:hAnsi="Times New Roman" w:cs="Arial"/>
          <w:color w:val="000000" w:themeColor="text1"/>
          <w:szCs w:val="32"/>
        </w:rPr>
      </w:pPr>
      <w:r w:rsidRPr="00922D9F">
        <w:rPr>
          <w:rFonts w:ascii="Times New Roman" w:eastAsia="楷体_GB2312" w:hAnsi="Arial" w:cs="Arial"/>
          <w:color w:val="000000" w:themeColor="text1"/>
          <w:szCs w:val="32"/>
        </w:rPr>
        <w:lastRenderedPageBreak/>
        <w:t>（四）社会保险基金预算</w:t>
      </w:r>
      <w:r w:rsidR="00145D03" w:rsidRPr="00922D9F">
        <w:rPr>
          <w:rFonts w:ascii="Times New Roman" w:eastAsia="楷体_GB2312" w:hAnsi="Arial" w:cs="Arial" w:hint="eastAsia"/>
          <w:color w:val="000000" w:themeColor="text1"/>
          <w:szCs w:val="32"/>
        </w:rPr>
        <w:t>收支</w:t>
      </w:r>
      <w:r w:rsidRPr="00922D9F">
        <w:rPr>
          <w:rFonts w:ascii="Times New Roman" w:eastAsia="楷体_GB2312" w:hAnsi="Arial" w:cs="Arial"/>
          <w:color w:val="000000" w:themeColor="text1"/>
          <w:szCs w:val="32"/>
        </w:rPr>
        <w:t>决算情况</w:t>
      </w:r>
      <w:r w:rsidRPr="00922D9F">
        <w:rPr>
          <w:rFonts w:ascii="Times New Roman" w:eastAsia="楷体_GB2312" w:hAnsi="Times New Roman" w:cs="Arial"/>
          <w:color w:val="000000" w:themeColor="text1"/>
          <w:szCs w:val="32"/>
        </w:rPr>
        <w:br/>
      </w:r>
      <w:r w:rsidRPr="00922D9F">
        <w:rPr>
          <w:rFonts w:ascii="Times New Roman" w:hAnsi="Arial" w:cs="Arial"/>
          <w:color w:val="000000" w:themeColor="text1"/>
          <w:szCs w:val="32"/>
        </w:rPr>
        <w:t xml:space="preserve">　</w:t>
      </w:r>
      <w:r w:rsidR="00524C79" w:rsidRPr="00922D9F">
        <w:rPr>
          <w:rFonts w:ascii="Times New Roman" w:hAnsi="Times New Roman" w:cs="Arial"/>
          <w:color w:val="000000" w:themeColor="text1"/>
          <w:szCs w:val="32"/>
        </w:rPr>
        <w:t xml:space="preserve">  </w:t>
      </w:r>
      <w:r w:rsidR="007A53BA" w:rsidRPr="00922D9F">
        <w:rPr>
          <w:rFonts w:ascii="Times New Roman" w:hAnsi="Arial" w:cs="Arial"/>
          <w:szCs w:val="32"/>
        </w:rPr>
        <w:t>社会保险基金收入</w:t>
      </w:r>
      <w:r w:rsidRPr="00922D9F">
        <w:rPr>
          <w:rFonts w:ascii="Times New Roman" w:hAnsi="Times New Roman" w:cs="Arial"/>
          <w:color w:val="000000" w:themeColor="text1"/>
          <w:szCs w:val="32"/>
        </w:rPr>
        <w:t>8798</w:t>
      </w:r>
      <w:r w:rsidRPr="00922D9F">
        <w:rPr>
          <w:rFonts w:ascii="Times New Roman" w:hAnsi="Arial" w:cs="Arial"/>
          <w:color w:val="000000" w:themeColor="text1"/>
          <w:szCs w:val="32"/>
        </w:rPr>
        <w:t>万元</w:t>
      </w:r>
      <w:r w:rsidR="00BA2772" w:rsidRPr="00922D9F">
        <w:rPr>
          <w:rFonts w:ascii="Times New Roman" w:hAnsi="Arial" w:cs="Arial"/>
          <w:color w:val="000000" w:themeColor="text1"/>
          <w:szCs w:val="32"/>
        </w:rPr>
        <w:t>（均为机关事业单位基本养老保险基金，城乡居民基本养老保险基金</w:t>
      </w:r>
      <w:r w:rsidR="006960B8" w:rsidRPr="00922D9F">
        <w:rPr>
          <w:rFonts w:ascii="Times New Roman" w:hAnsi="Arial" w:cs="Arial"/>
          <w:color w:val="000000" w:themeColor="text1"/>
          <w:szCs w:val="32"/>
        </w:rPr>
        <w:t>收支</w:t>
      </w:r>
      <w:r w:rsidR="00BA2772" w:rsidRPr="00922D9F">
        <w:rPr>
          <w:rFonts w:ascii="Times New Roman" w:hAnsi="Arial" w:cs="Arial"/>
          <w:color w:val="000000" w:themeColor="text1"/>
          <w:szCs w:val="32"/>
        </w:rPr>
        <w:t>由市级统筹）</w:t>
      </w:r>
      <w:r w:rsidR="00524C79" w:rsidRPr="00922D9F">
        <w:rPr>
          <w:rFonts w:ascii="Times New Roman" w:hAnsi="Arial" w:cs="Arial"/>
          <w:color w:val="000000" w:themeColor="text1"/>
          <w:szCs w:val="32"/>
        </w:rPr>
        <w:t>，</w:t>
      </w:r>
      <w:r w:rsidRPr="00922D9F">
        <w:rPr>
          <w:rFonts w:ascii="Times New Roman" w:hAnsi="Arial" w:cs="Arial"/>
          <w:color w:val="000000" w:themeColor="text1"/>
          <w:szCs w:val="32"/>
        </w:rPr>
        <w:t>支出</w:t>
      </w:r>
      <w:r w:rsidRPr="00922D9F">
        <w:rPr>
          <w:rFonts w:ascii="Times New Roman" w:hAnsi="Times New Roman" w:cs="Arial"/>
          <w:color w:val="000000" w:themeColor="text1"/>
          <w:szCs w:val="32"/>
        </w:rPr>
        <w:t>5736</w:t>
      </w:r>
      <w:r w:rsidRPr="00922D9F">
        <w:rPr>
          <w:rFonts w:ascii="Times New Roman" w:hAnsi="Arial" w:cs="Arial"/>
          <w:color w:val="000000" w:themeColor="text1"/>
          <w:szCs w:val="32"/>
        </w:rPr>
        <w:t>万元</w:t>
      </w:r>
      <w:r w:rsidRPr="00922D9F">
        <w:rPr>
          <w:rFonts w:ascii="Times New Roman" w:hAnsi="Times New Roman" w:cs="Arial"/>
          <w:color w:val="000000" w:themeColor="text1"/>
          <w:szCs w:val="32"/>
        </w:rPr>
        <w:t>,</w:t>
      </w:r>
      <w:r w:rsidR="007A53BA" w:rsidRPr="00922D9F">
        <w:rPr>
          <w:rFonts w:ascii="Times New Roman" w:hAnsi="Times New Roman" w:cs="Arial"/>
          <w:color w:val="000000" w:themeColor="text1"/>
          <w:szCs w:val="32"/>
        </w:rPr>
        <w:t xml:space="preserve"> </w:t>
      </w:r>
      <w:r w:rsidR="007A53BA" w:rsidRPr="00922D9F">
        <w:rPr>
          <w:rFonts w:ascii="Times New Roman" w:hAnsi="Arial" w:cs="Arial"/>
          <w:color w:val="000000" w:themeColor="text1"/>
          <w:szCs w:val="32"/>
        </w:rPr>
        <w:t>上年结余</w:t>
      </w:r>
      <w:r w:rsidR="007A53BA" w:rsidRPr="00922D9F">
        <w:rPr>
          <w:rFonts w:ascii="Times New Roman" w:hAnsi="Times New Roman" w:cs="Arial"/>
          <w:color w:val="000000" w:themeColor="text1"/>
          <w:szCs w:val="32"/>
        </w:rPr>
        <w:t>15933</w:t>
      </w:r>
      <w:r w:rsidR="007A53BA" w:rsidRPr="00922D9F">
        <w:rPr>
          <w:rFonts w:ascii="Times New Roman" w:hAnsi="Arial" w:cs="Arial"/>
          <w:color w:val="000000" w:themeColor="text1"/>
          <w:szCs w:val="32"/>
        </w:rPr>
        <w:t>万元，</w:t>
      </w:r>
      <w:r w:rsidRPr="00922D9F">
        <w:rPr>
          <w:rFonts w:ascii="Times New Roman" w:hAnsi="Arial" w:cs="Arial"/>
          <w:color w:val="000000" w:themeColor="text1"/>
          <w:szCs w:val="32"/>
        </w:rPr>
        <w:t>滚存结余</w:t>
      </w:r>
      <w:r w:rsidRPr="00922D9F">
        <w:rPr>
          <w:rFonts w:ascii="Times New Roman" w:hAnsi="Times New Roman" w:cs="Arial"/>
          <w:color w:val="000000" w:themeColor="text1"/>
          <w:szCs w:val="32"/>
        </w:rPr>
        <w:t>18995</w:t>
      </w:r>
      <w:r w:rsidRPr="00922D9F">
        <w:rPr>
          <w:rFonts w:ascii="Times New Roman" w:hAnsi="Arial" w:cs="Arial"/>
          <w:color w:val="000000" w:themeColor="text1"/>
          <w:szCs w:val="32"/>
        </w:rPr>
        <w:t>万元。</w:t>
      </w:r>
    </w:p>
    <w:p w:rsidR="00EE3D99" w:rsidRPr="00922D9F" w:rsidRDefault="001F3453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楷体_GB2312" w:hAnsi="Arial" w:cs="Arial"/>
          <w:color w:val="000000" w:themeColor="text1"/>
          <w:sz w:val="32"/>
          <w:szCs w:val="32"/>
        </w:rPr>
        <w:t>（五）上级财政转移支付决算情况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 xml:space="preserve">　　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2020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年收到上级财政转移支付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503492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万元，具体如下：</w:t>
      </w:r>
    </w:p>
    <w:p w:rsidR="00EE3D99" w:rsidRPr="00922D9F" w:rsidRDefault="001F3453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1.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税收返还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73656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万元。</w:t>
      </w:r>
    </w:p>
    <w:p w:rsidR="00EE3D99" w:rsidRPr="00922D9F" w:rsidRDefault="001F3453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2.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一般转移支付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122696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万元，其中主要为：均衡性转移支付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13905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万元、县级基本财力保障</w:t>
      </w:r>
      <w:proofErr w:type="gramStart"/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机制奖补</w:t>
      </w:r>
      <w:proofErr w:type="gramEnd"/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资金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20875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万元、结算补助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72785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万元、民族地区转移支付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3806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万元、固定数额补助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-6713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万元、其他一般性转移支付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4571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万元等。</w:t>
      </w:r>
    </w:p>
    <w:p w:rsidR="00EE3D99" w:rsidRPr="00922D9F" w:rsidRDefault="001F3453">
      <w:pPr>
        <w:spacing w:line="560" w:lineRule="exact"/>
        <w:ind w:firstLineChars="200" w:firstLine="640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</w:t>
      </w:r>
      <w:r w:rsidR="00524C79"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.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专项转移支付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307140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万元，其中：一般公共预算专项转移支付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84269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万元；政府性基金专项转移支付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222871</w:t>
      </w:r>
      <w:r w:rsidRPr="00922D9F">
        <w:rPr>
          <w:rFonts w:ascii="Times New Roman" w:eastAsia="仿宋_GB2312" w:hAnsi="Arial" w:cs="Arial"/>
          <w:color w:val="000000" w:themeColor="text1"/>
          <w:sz w:val="32"/>
          <w:szCs w:val="32"/>
        </w:rPr>
        <w:t>万元。</w:t>
      </w:r>
    </w:p>
    <w:p w:rsidR="00EE3D99" w:rsidRPr="00922D9F" w:rsidRDefault="001F3453">
      <w:pPr>
        <w:spacing w:line="560" w:lineRule="exact"/>
        <w:ind w:firstLineChars="200" w:firstLine="640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t>（六）政府债务情况</w:t>
      </w: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经省人民政府批准，省财政厅核定下达我区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2020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年政府债务限额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2449899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万元，其中：一般债务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254698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万元、专项债务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2195201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万元。截至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2020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年末，我区政府债务余额为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0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，政府债券余额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2440498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万元，其中：一般债券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251398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万元、专项债券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2189101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万元。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2020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年我区获得政府债券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638911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万元，其中：再融资债券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543326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万元，新增专项债券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95585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万元。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2020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年还本支出数为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543326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万元，其中一般债券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23994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万元，专项债券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519332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万元；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2020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年付息支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lastRenderedPageBreak/>
        <w:t>出数为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87937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万元，其中：一般债券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9842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万元，专项债券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t>78095</w:t>
      </w:r>
      <w:r w:rsidR="00547224" w:rsidRPr="00922D9F">
        <w:rPr>
          <w:rFonts w:ascii="Times New Roman" w:eastAsia="仿宋_GB2312" w:hAnsi="Arial" w:cs="Arial"/>
          <w:sz w:val="32"/>
          <w:szCs w:val="32"/>
        </w:rPr>
        <w:t>万元。</w:t>
      </w:r>
      <w:r w:rsidR="00547224" w:rsidRPr="00922D9F">
        <w:rPr>
          <w:rFonts w:ascii="Times New Roman" w:eastAsia="仿宋_GB2312" w:hAnsi="Times New Roman" w:cs="Arial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</w:t>
      </w: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t>（七）预算周转金规模和使用情况</w:t>
      </w: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观山湖区本级预算周转金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2020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年初余额为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3515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万元，年度执行中未动用，年末仍然为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3515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</w:t>
      </w: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t>（八）预备费使用情况</w:t>
      </w: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年初安排的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7200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万元的预备费，已调整至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卫生健康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”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等科目使用。</w:t>
      </w:r>
    </w:p>
    <w:p w:rsidR="00EE3D99" w:rsidRPr="00922D9F" w:rsidRDefault="001F3453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黑体" w:hAnsi="Times New Roman" w:cs="Arial"/>
          <w:color w:val="000000" w:themeColor="text1"/>
          <w:sz w:val="32"/>
          <w:szCs w:val="32"/>
        </w:rPr>
        <w:t>三、</w:t>
      </w:r>
      <w:r w:rsidRPr="00922D9F">
        <w:rPr>
          <w:rFonts w:ascii="Times New Roman" w:eastAsia="黑体" w:hAnsi="Times New Roman" w:cs="Arial"/>
          <w:color w:val="000000" w:themeColor="text1"/>
          <w:sz w:val="32"/>
          <w:szCs w:val="32"/>
        </w:rPr>
        <w:t>2020</w:t>
      </w:r>
      <w:r w:rsidRPr="00922D9F">
        <w:rPr>
          <w:rFonts w:ascii="Times New Roman" w:eastAsia="黑体" w:hAnsi="Times New Roman" w:cs="Arial"/>
          <w:color w:val="000000" w:themeColor="text1"/>
          <w:sz w:val="32"/>
          <w:szCs w:val="32"/>
        </w:rPr>
        <w:t>年开展的主要工作</w:t>
      </w:r>
      <w:r w:rsidRPr="00922D9F">
        <w:rPr>
          <w:rFonts w:ascii="Times New Roman" w:eastAsia="黑体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2020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年是全面建成小康社会和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十三五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”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规划收官之年，是脱贫攻坚决战决胜之年，是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十四五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”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发展和实现第二个百年奋斗目标打好基础的拼搏之年，我们集中财力全力支持做好疫情防控和支持企业复工复产，</w:t>
      </w:r>
      <w:proofErr w:type="gramStart"/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兜实兜</w:t>
      </w:r>
      <w:proofErr w:type="gramEnd"/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牢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三保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”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底线，着力保障和改善民生，确保各项工作有序推进。</w:t>
      </w:r>
    </w:p>
    <w:p w:rsidR="00EE3D99" w:rsidRPr="00922D9F" w:rsidRDefault="001F3453"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Chars="200" w:firstLine="640"/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t>加强财源培植，全力打造高质量财政</w:t>
      </w: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一是抓好收入征管。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不断强化部门职责，加强财政经济运行态势</w:t>
      </w:r>
      <w:proofErr w:type="gramStart"/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研</w:t>
      </w:r>
      <w:proofErr w:type="gramEnd"/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判，充分运用信息化手段，强化收入征管，切实提高收入质量。一般公共预算收入总量连续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年稳居全市第一。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二是抓好税源培育。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落实积极的财政政策，促进财政收入提质增效，围绕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新型工业化、新型城镇化、农业现代化、旅游产业化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”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四化建设加大资金投入，大力支持优化产业布局，培育壮大市场主体，着力培育经济增长点，助推财源建设。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</w:t>
      </w: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t>（二）持续深化改革，有力推进财政统筹</w:t>
      </w: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一是全面推行国库集中支付电子化改革。将全区所有预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lastRenderedPageBreak/>
        <w:t>算单位全部</w:t>
      </w:r>
      <w:r w:rsidR="009221FE" w:rsidRPr="00922D9F">
        <w:rPr>
          <w:rFonts w:ascii="Times New Roman" w:eastAsia="仿宋_GB2312" w:hAnsi="Times New Roman" w:cs="Arial" w:hint="eastAsia"/>
          <w:color w:val="000000" w:themeColor="text1"/>
          <w:sz w:val="32"/>
          <w:szCs w:val="32"/>
        </w:rPr>
        <w:t>纳入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国库集中支付电子化管理，实现财政资金安全、规范、顺畅、高效运行。二是强化街道办事处财政保障。结合我区实际，印发了《观山湖区街道办事处财政保障办法》，进一步增强办事处服务辖区企业的能力。三是绩效管理工作迈向新台阶。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出台了《观山湖区全面实施预算绩效管理工作方案》，完成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2020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年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绩效自评工作，</w:t>
      </w:r>
      <w:r w:rsidRPr="00922D9F">
        <w:rPr>
          <w:rFonts w:ascii="Times New Roman" w:eastAsia="仿宋_GB2312" w:hAnsi="Times New Roman" w:cs="Arial"/>
          <w:color w:val="000000" w:themeColor="text1"/>
          <w:kern w:val="0"/>
          <w:sz w:val="32"/>
          <w:szCs w:val="32"/>
        </w:rPr>
        <w:t>对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Fonts w:ascii="Times New Roman" w:eastAsia="仿宋_GB2312" w:hAnsi="Times New Roman" w:cs="Arial"/>
          <w:color w:val="000000" w:themeColor="text1"/>
          <w:kern w:val="0"/>
          <w:sz w:val="32"/>
          <w:szCs w:val="32"/>
        </w:rPr>
        <w:t>城农低保</w:t>
      </w:r>
      <w:r w:rsidRPr="00922D9F">
        <w:rPr>
          <w:rFonts w:ascii="Times New Roman" w:eastAsia="仿宋_GB2312" w:hAnsi="Times New Roman" w:cs="Arial"/>
          <w:color w:val="000000" w:themeColor="text1"/>
          <w:kern w:val="0"/>
          <w:sz w:val="32"/>
          <w:szCs w:val="32"/>
        </w:rPr>
        <w:t>”</w:t>
      </w:r>
      <w:r w:rsidRPr="00922D9F">
        <w:rPr>
          <w:rFonts w:ascii="Times New Roman" w:eastAsia="仿宋_GB2312" w:hAnsi="Times New Roman" w:cs="Arial"/>
          <w:color w:val="000000" w:themeColor="text1"/>
          <w:kern w:val="0"/>
          <w:sz w:val="32"/>
          <w:szCs w:val="32"/>
        </w:rPr>
        <w:t>项目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、</w:t>
      </w:r>
      <w:r w:rsidRPr="00922D9F">
        <w:rPr>
          <w:rFonts w:ascii="Times New Roman" w:eastAsia="仿宋_GB2312" w:hAnsi="Times New Roman" w:cs="Arial"/>
          <w:color w:val="000000" w:themeColor="text1"/>
          <w:kern w:val="0"/>
          <w:sz w:val="32"/>
          <w:szCs w:val="32"/>
        </w:rPr>
        <w:t>科技研发资金</w:t>
      </w:r>
      <w:proofErr w:type="gramStart"/>
      <w:r w:rsidRPr="00922D9F">
        <w:rPr>
          <w:rFonts w:ascii="Times New Roman" w:eastAsia="仿宋_GB2312" w:hAnsi="Times New Roman" w:cs="Arial"/>
          <w:color w:val="000000" w:themeColor="text1"/>
          <w:kern w:val="0"/>
          <w:sz w:val="32"/>
          <w:szCs w:val="32"/>
        </w:rPr>
        <w:t>”</w:t>
      </w:r>
      <w:proofErr w:type="gramEnd"/>
      <w:r w:rsidRPr="00922D9F">
        <w:rPr>
          <w:rFonts w:ascii="Times New Roman" w:eastAsia="仿宋_GB2312" w:hAnsi="Times New Roman" w:cs="Arial"/>
          <w:color w:val="000000" w:themeColor="text1"/>
          <w:kern w:val="0"/>
          <w:sz w:val="32"/>
          <w:szCs w:val="32"/>
        </w:rPr>
        <w:t>项目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等重点项目支出和观山湖区民政局、观山湖区科技局部</w:t>
      </w:r>
      <w:proofErr w:type="gramStart"/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门整体</w:t>
      </w:r>
      <w:proofErr w:type="gramEnd"/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支出进行了绩效再评价工作。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2020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年，我区财政管理绩效综合评价工作在全省城区方阵中排名第一。四是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加强政府采购工作管理，规范政府采购行为。全区政府采购计划金额</w:t>
      </w:r>
      <w:r w:rsidR="002B0980" w:rsidRPr="00922D9F">
        <w:rPr>
          <w:rFonts w:ascii="Times New Roman" w:eastAsia="仿宋_GB2312" w:hAnsi="Times New Roman" w:cs="Arial" w:hint="eastAsia"/>
          <w:color w:val="000000" w:themeColor="text1"/>
          <w:sz w:val="32"/>
          <w:szCs w:val="32"/>
        </w:rPr>
        <w:t>约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7.79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亿元，实际采购规模约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6.93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亿元，节约资金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0.86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亿元，节约率为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11.07%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。五是积极完成评审工作。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全年共收件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588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个项目，送审金额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188.14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亿元，共完成项目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348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个，完成项目送审金额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98.77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亿元，审定金额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86.09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亿元，审减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12.68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亿元，审减率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12.84%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六是盘活财政资金，推进财政资金整合。认真落实财政部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建立定期清理机制，压缩结转结余规模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”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的要求，大力盘活财政存量资金，按规定及时收回长期沉淀资金，提高财政资金配置效率和使用效益。</w:t>
      </w:r>
    </w:p>
    <w:p w:rsidR="00EE3D99" w:rsidRPr="00922D9F" w:rsidRDefault="001F3453">
      <w:pPr>
        <w:widowControl/>
        <w:shd w:val="clear" w:color="auto" w:fill="FFFFFF"/>
        <w:spacing w:line="560" w:lineRule="exact"/>
        <w:ind w:firstLineChars="200" w:firstLine="640"/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t>（三）</w:t>
      </w:r>
      <w:r w:rsidRPr="00922D9F">
        <w:rPr>
          <w:rStyle w:val="NormalCharacter"/>
          <w:rFonts w:ascii="Times New Roman" w:eastAsia="楷体_GB2312" w:hAnsi="Times New Roman" w:cs="Arial"/>
          <w:color w:val="000000" w:themeColor="text1"/>
          <w:sz w:val="32"/>
          <w:szCs w:val="32"/>
        </w:rPr>
        <w:t>优化财政支出结构</w:t>
      </w:r>
      <w:r w:rsidRPr="00922D9F">
        <w:rPr>
          <w:rStyle w:val="NormalCharacter"/>
          <w:rFonts w:ascii="Times New Roman" w:eastAsia="楷体_GB2312" w:hAnsi="Times New Roman" w:cs="Arial"/>
          <w:color w:val="000000" w:themeColor="text1"/>
          <w:sz w:val="32"/>
          <w:szCs w:val="32"/>
        </w:rPr>
        <w:t>,</w:t>
      </w:r>
      <w:r w:rsidRPr="00922D9F">
        <w:rPr>
          <w:rStyle w:val="NormalCharacter"/>
          <w:rFonts w:ascii="Times New Roman" w:eastAsia="楷体_GB2312" w:hAnsi="Times New Roman" w:cs="Arial"/>
          <w:color w:val="000000" w:themeColor="text1"/>
          <w:sz w:val="32"/>
          <w:szCs w:val="32"/>
        </w:rPr>
        <w:t>做好重点领域资金保障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坚持政府过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紧日子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”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思想，</w:t>
      </w:r>
      <w:r w:rsidR="00D05EFE" w:rsidRPr="00922D9F">
        <w:rPr>
          <w:rStyle w:val="NormalCharacter"/>
          <w:rFonts w:ascii="Times New Roman" w:eastAsia="仿宋_GB2312" w:hAnsi="Times New Roman" w:cs="Arial" w:hint="eastAsia"/>
          <w:color w:val="000000" w:themeColor="text1"/>
          <w:sz w:val="32"/>
          <w:szCs w:val="32"/>
        </w:rPr>
        <w:t>扎实做好“六稳”工作，全面落实“六保”任务，</w:t>
      </w:r>
      <w:r w:rsidR="00D05EFE"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切实做好民生资金及重点领域资金保障</w:t>
      </w:r>
      <w:r w:rsidR="00D05EFE" w:rsidRPr="00922D9F">
        <w:rPr>
          <w:rStyle w:val="NormalCharacter"/>
          <w:rFonts w:ascii="Times New Roman" w:eastAsia="仿宋_GB2312" w:hAnsi="Times New Roman" w:cs="Arial" w:hint="eastAsia"/>
          <w:color w:val="000000" w:themeColor="text1"/>
          <w:sz w:val="32"/>
          <w:szCs w:val="32"/>
        </w:rPr>
        <w:t>，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把保障和改善民生作为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头号工程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”</w:t>
      </w:r>
      <w:r w:rsidR="00D05EFE" w:rsidRPr="00922D9F">
        <w:rPr>
          <w:rStyle w:val="NormalCharacter"/>
          <w:rFonts w:ascii="Times New Roman" w:eastAsia="仿宋_GB2312" w:hAnsi="Times New Roman" w:cs="Arial" w:hint="eastAsia"/>
          <w:color w:val="000000" w:themeColor="text1"/>
          <w:sz w:val="32"/>
          <w:szCs w:val="32"/>
        </w:rPr>
        <w:t>，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从严从紧控制支出，节约资金用于保障基本民生，支持扶贫、教育、生态环保等重点领域，切实兜住民生底线，做到应保尽保。特别是针对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lastRenderedPageBreak/>
        <w:t>疫情，统筹财政资金，全力保障疫情防控需要。安排应对新冠病毒肺炎疫情支持企业稳定发展补助资金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8000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余万元，安排财政资金</w:t>
      </w:r>
      <w:r w:rsidR="009221FE" w:rsidRPr="00922D9F">
        <w:rPr>
          <w:rStyle w:val="NormalCharacter"/>
          <w:rFonts w:ascii="Times New Roman" w:eastAsia="仿宋_GB2312" w:hAnsi="Times New Roman" w:cs="Arial" w:hint="eastAsia"/>
          <w:color w:val="000000" w:themeColor="text1"/>
          <w:sz w:val="32"/>
          <w:szCs w:val="32"/>
        </w:rPr>
        <w:t>2000</w:t>
      </w:r>
      <w:r w:rsidR="009221FE" w:rsidRPr="00922D9F">
        <w:rPr>
          <w:rStyle w:val="NormalCharacter"/>
          <w:rFonts w:ascii="Times New Roman" w:eastAsia="仿宋_GB2312" w:hAnsi="Arial" w:cs="Arial" w:hint="eastAsia"/>
          <w:color w:val="000000" w:themeColor="text1"/>
          <w:sz w:val="32"/>
          <w:szCs w:val="32"/>
        </w:rPr>
        <w:t>余万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元，设立观山湖区产业贷款风险补偿资金池等。</w:t>
      </w:r>
    </w:p>
    <w:p w:rsidR="00EE3D99" w:rsidRPr="00922D9F" w:rsidRDefault="001F3453">
      <w:pPr>
        <w:widowControl/>
        <w:shd w:val="clear" w:color="auto" w:fill="FFFFFF"/>
        <w:spacing w:line="560" w:lineRule="exact"/>
        <w:ind w:firstLineChars="200" w:firstLine="640"/>
        <w:rPr>
          <w:rStyle w:val="NormalCharacter"/>
          <w:rFonts w:ascii="Times New Roman" w:eastAsia="楷体_GB2312" w:hAnsi="Times New Roman" w:cs="Arial"/>
          <w:color w:val="000000" w:themeColor="text1"/>
          <w:sz w:val="32"/>
          <w:szCs w:val="32"/>
        </w:rPr>
      </w:pPr>
      <w:r w:rsidRPr="00922D9F">
        <w:rPr>
          <w:rStyle w:val="NormalCharacter"/>
          <w:rFonts w:ascii="Times New Roman" w:eastAsia="楷体_GB2312" w:hAnsi="Times New Roman" w:cs="Arial"/>
          <w:color w:val="000000" w:themeColor="text1"/>
          <w:sz w:val="32"/>
          <w:szCs w:val="32"/>
        </w:rPr>
        <w:t>(</w:t>
      </w:r>
      <w:r w:rsidRPr="00922D9F">
        <w:rPr>
          <w:rStyle w:val="NormalCharacter"/>
          <w:rFonts w:ascii="Times New Roman" w:eastAsia="楷体_GB2312" w:hAnsi="Times New Roman" w:cs="Arial"/>
          <w:color w:val="000000" w:themeColor="text1"/>
          <w:sz w:val="32"/>
          <w:szCs w:val="32"/>
        </w:rPr>
        <w:t>四</w:t>
      </w:r>
      <w:r w:rsidRPr="00922D9F">
        <w:rPr>
          <w:rStyle w:val="NormalCharacter"/>
          <w:rFonts w:ascii="Times New Roman" w:eastAsia="楷体_GB2312" w:hAnsi="Times New Roman" w:cs="Arial"/>
          <w:color w:val="000000" w:themeColor="text1"/>
          <w:sz w:val="32"/>
          <w:szCs w:val="32"/>
        </w:rPr>
        <w:t xml:space="preserve">) </w:t>
      </w:r>
      <w:r w:rsidRPr="00922D9F">
        <w:rPr>
          <w:rStyle w:val="NormalCharacter"/>
          <w:rFonts w:ascii="Times New Roman" w:eastAsia="楷体_GB2312" w:hAnsi="Times New Roman" w:cs="Arial"/>
          <w:color w:val="000000" w:themeColor="text1"/>
          <w:sz w:val="32"/>
          <w:szCs w:val="32"/>
        </w:rPr>
        <w:t>坚决履责</w:t>
      </w:r>
      <w:r w:rsidRPr="00922D9F">
        <w:rPr>
          <w:rStyle w:val="NormalCharacter"/>
          <w:rFonts w:ascii="Times New Roman" w:eastAsia="楷体_GB2312" w:hAnsi="Times New Roman" w:cs="Arial"/>
          <w:color w:val="000000" w:themeColor="text1"/>
          <w:sz w:val="32"/>
          <w:szCs w:val="32"/>
        </w:rPr>
        <w:t xml:space="preserve">, </w:t>
      </w:r>
      <w:r w:rsidRPr="00922D9F">
        <w:rPr>
          <w:rStyle w:val="NormalCharacter"/>
          <w:rFonts w:ascii="Times New Roman" w:eastAsia="楷体_GB2312" w:hAnsi="Times New Roman" w:cs="Arial"/>
          <w:color w:val="000000" w:themeColor="text1"/>
          <w:sz w:val="32"/>
          <w:szCs w:val="32"/>
        </w:rPr>
        <w:t>确保如期打赢脱贫攻坚战</w:t>
      </w:r>
    </w:p>
    <w:p w:rsidR="00EE3D99" w:rsidRPr="00922D9F" w:rsidRDefault="001F3453">
      <w:pPr>
        <w:spacing w:line="560" w:lineRule="exact"/>
        <w:ind w:firstLineChars="200" w:firstLine="640"/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深入贯彻习近平总书记扶贫开发重要战略思想，认真落实党中央、国务院关于打赢脱贫攻坚战的决策部署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,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坚决履行脱贫攻坚政治责任，确保如期打赢脱贫攻坚战。一是积极筹措资金，确保脱贫攻坚工作顺利推进。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加大</w:t>
      </w:r>
      <w:r w:rsidR="00A07625" w:rsidRPr="00922D9F">
        <w:rPr>
          <w:rFonts w:ascii="Times New Roman" w:eastAsia="仿宋_GB2312" w:hAnsi="Times New Roman" w:cs="Arial" w:hint="eastAsia"/>
          <w:color w:val="000000" w:themeColor="text1"/>
          <w:sz w:val="32"/>
          <w:szCs w:val="32"/>
        </w:rPr>
        <w:t>财政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专项扶贫资金投入。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2020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年安排区级财政专项扶贫资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360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万元，与上年相比增长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7.86%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，确保财政专项扶贫资金投入逐年增长。继续安排对外帮扶资金。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2020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年继续安排对外帮扶资金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350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万元用于对口帮扶地巩固脱贫攻坚成果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。二是对全区财政专项扶贫资金管理使用进行专项检查，有效地防范了扶贫资金管理使用的各种风险。三是积极推进扶贫资金动态监控系统工作，将其作为扶贫资金日常监控一种重要手段，保证扶贫资金规范、高效运行。四是扎实推进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一卡通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”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集中统发工作。确保了国家强农惠农富农政策有效落实，维护了农民群众的切身利益。</w:t>
      </w:r>
    </w:p>
    <w:p w:rsidR="00EE3D99" w:rsidRPr="00922D9F" w:rsidRDefault="001F3453">
      <w:pPr>
        <w:numPr>
          <w:ilvl w:val="0"/>
          <w:numId w:val="3"/>
        </w:numPr>
        <w:spacing w:line="560" w:lineRule="exact"/>
        <w:ind w:firstLineChars="200" w:firstLine="640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t>加强债务管控</w:t>
      </w:r>
      <w:r w:rsidRPr="00922D9F">
        <w:rPr>
          <w:rStyle w:val="NormalCharacter"/>
          <w:rFonts w:ascii="Times New Roman" w:eastAsia="楷体_GB2312" w:hAnsi="Times New Roman" w:cs="Arial"/>
          <w:color w:val="000000" w:themeColor="text1"/>
          <w:sz w:val="32"/>
          <w:szCs w:val="32"/>
        </w:rPr>
        <w:t>，切实做好债务风险防范化解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br/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 xml:space="preserve">　　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一是加大力度化解债务。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严格落实地方政府债务限额管理和预算管理要求，保障到期债券利息支付。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继续推进隐性债务以新还旧置换工作，进一步缓释隐性债务风险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。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二是强化风险预警作用。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通过健全债务滚动六个月风险预警监测制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lastRenderedPageBreak/>
        <w:t>度和建立台账助力预警机制，切实做到早发现、早报告、早处置，进一步加强政府性债务管理。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三是守好风险防范底线。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严格执行政府性债务管理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七严禁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”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相关规定，</w:t>
      </w:r>
      <w:r w:rsidRPr="00922D9F">
        <w:rPr>
          <w:rStyle w:val="NormalCharacter"/>
          <w:rFonts w:ascii="Times New Roman" w:eastAsia="仿宋_GB2312" w:hAnsi="Times New Roman" w:cs="Arial"/>
          <w:color w:val="000000" w:themeColor="text1"/>
          <w:sz w:val="32"/>
          <w:szCs w:val="32"/>
        </w:rPr>
        <w:t>积极筹措资金，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积极稳妥防范和化解地方债务风险，坚决守住不发生区域性系统性风险的底线。</w:t>
      </w:r>
    </w:p>
    <w:p w:rsidR="00EE3D99" w:rsidRPr="00922D9F" w:rsidRDefault="001F3453">
      <w:pPr>
        <w:spacing w:line="560" w:lineRule="exact"/>
        <w:ind w:firstLineChars="200" w:firstLine="640"/>
        <w:rPr>
          <w:rFonts w:ascii="Times New Roman" w:eastAsia="楷体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t xml:space="preserve">（六）认真履行财政监督职能，确保财政资金安全运行　　</w:t>
      </w:r>
      <w:r w:rsidRPr="00922D9F">
        <w:rPr>
          <w:rFonts w:ascii="Times New Roman" w:eastAsia="楷体_GB2312" w:hAnsi="Times New Roman" w:cs="Arial"/>
          <w:color w:val="000000" w:themeColor="text1"/>
          <w:sz w:val="32"/>
          <w:szCs w:val="32"/>
        </w:rPr>
        <w:t xml:space="preserve">  </w:t>
      </w:r>
    </w:p>
    <w:p w:rsidR="00EE3D99" w:rsidRPr="00922D9F" w:rsidRDefault="001F3453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一是开展了专项资金监督检查、会计信息质量检查等监督检查工作，确保财政资金规范使用。二是严格按照依法行政的要求规范财政工作行为，进一步完善内部控制制度，提高财政资金的使用效益及财政政策和财政信息的透明度，不断提高财政依法管理水平。</w:t>
      </w:r>
      <w:r w:rsidRPr="00922D9F">
        <w:rPr>
          <w:rFonts w:ascii="Times New Roman" w:eastAsia="仿宋_GB2312" w:hAnsi="Times New Roman" w:cs="Arial"/>
          <w:bCs/>
          <w:color w:val="000000" w:themeColor="text1"/>
          <w:sz w:val="32"/>
          <w:szCs w:val="32"/>
        </w:rPr>
        <w:t>三是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强化国库集中支付资金动态监控，初步建成覆盖各预算单位的预算执行动态监控体系，强化财政管理和监督。</w:t>
      </w:r>
    </w:p>
    <w:p w:rsidR="00EE3D99" w:rsidRPr="00922D9F" w:rsidRDefault="001F3453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各位代表，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2021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年是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十四五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”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时期的开局之年，是开启全面建设社会主义现代化国家新征程、向第二个百年奋斗目标进军的第一年，我们将更加紧密地团结在以习近平同志为核心的党中央周围，在区委的坚强领导下，自觉接受区人大的监督，虚心听取区政协的意见和建议，不忘初心、牢记使命，扎实做好财政各项工作，努力保持经济运行在合理区间，确保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“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十四五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”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开好局，以优异成绩庆祝建党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100</w:t>
      </w:r>
      <w:r w:rsidRPr="00922D9F">
        <w:rPr>
          <w:rFonts w:ascii="Times New Roman" w:eastAsia="仿宋_GB2312" w:hAnsi="Times New Roman" w:cs="Arial"/>
          <w:color w:val="000000" w:themeColor="text1"/>
          <w:sz w:val="32"/>
          <w:szCs w:val="32"/>
        </w:rPr>
        <w:t>周年。</w:t>
      </w:r>
    </w:p>
    <w:p w:rsidR="00EE3D99" w:rsidRPr="00922D9F" w:rsidRDefault="00EE3D99">
      <w:pPr>
        <w:spacing w:line="560" w:lineRule="exact"/>
        <w:ind w:firstLineChars="200" w:firstLine="640"/>
        <w:rPr>
          <w:rFonts w:ascii="Times New Roman" w:eastAsia="仿宋_GB2312" w:hAnsi="Times New Roman" w:cs="Arial"/>
          <w:color w:val="000000" w:themeColor="text1"/>
          <w:sz w:val="32"/>
          <w:szCs w:val="32"/>
        </w:rPr>
      </w:pPr>
    </w:p>
    <w:sectPr w:rsidR="00EE3D99" w:rsidRPr="00922D9F" w:rsidSect="00EE3D9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8F5" w:rsidRDefault="000B08F5" w:rsidP="00EE3D99">
      <w:r>
        <w:separator/>
      </w:r>
    </w:p>
  </w:endnote>
  <w:endnote w:type="continuationSeparator" w:id="1">
    <w:p w:rsidR="000B08F5" w:rsidRDefault="000B08F5" w:rsidP="00EE3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99" w:rsidRDefault="004911F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60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EE3D99" w:rsidRDefault="004911FD">
                <w:pPr>
                  <w:pStyle w:val="a3"/>
                  <w:rPr>
                    <w:rFonts w:ascii="Times New Roman" w:hAnsi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/>
                    <w:sz w:val="32"/>
                    <w:szCs w:val="32"/>
                  </w:rPr>
                  <w:fldChar w:fldCharType="begin"/>
                </w:r>
                <w:r w:rsidR="001F3453">
                  <w:rPr>
                    <w:rFonts w:ascii="Times New Roman" w:hAnsi="Times New Roman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32"/>
                    <w:szCs w:val="32"/>
                  </w:rPr>
                  <w:fldChar w:fldCharType="separate"/>
                </w:r>
                <w:r w:rsidR="004972F5">
                  <w:rPr>
                    <w:rFonts w:ascii="Times New Roman" w:hAnsi="Times New Roman"/>
                    <w:noProof/>
                    <w:sz w:val="32"/>
                    <w:szCs w:val="32"/>
                  </w:rPr>
                  <w:t>- 10 -</w:t>
                </w:r>
                <w:r>
                  <w:rPr>
                    <w:rFonts w:ascii="Times New Roman" w:hAnsi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8F5" w:rsidRDefault="000B08F5" w:rsidP="00EE3D99">
      <w:r>
        <w:separator/>
      </w:r>
    </w:p>
  </w:footnote>
  <w:footnote w:type="continuationSeparator" w:id="1">
    <w:p w:rsidR="000B08F5" w:rsidRDefault="000B08F5" w:rsidP="00EE3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99" w:rsidRDefault="00EE3D9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825F30"/>
    <w:multiLevelType w:val="singleLevel"/>
    <w:tmpl w:val="C1825F30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7052B1F"/>
    <w:multiLevelType w:val="singleLevel"/>
    <w:tmpl w:val="D7052B1F"/>
    <w:lvl w:ilvl="0">
      <w:start w:val="1"/>
      <w:numFmt w:val="decimal"/>
      <w:suff w:val="space"/>
      <w:lvlText w:val="%1."/>
      <w:lvlJc w:val="left"/>
    </w:lvl>
  </w:abstractNum>
  <w:abstractNum w:abstractNumId="2">
    <w:nsid w:val="E9FCF942"/>
    <w:multiLevelType w:val="singleLevel"/>
    <w:tmpl w:val="E9FCF94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8FE"/>
    <w:rsid w:val="00043AD6"/>
    <w:rsid w:val="000505DE"/>
    <w:rsid w:val="000B08F5"/>
    <w:rsid w:val="000B2FA6"/>
    <w:rsid w:val="000E6316"/>
    <w:rsid w:val="00116E9E"/>
    <w:rsid w:val="00145D03"/>
    <w:rsid w:val="001F3453"/>
    <w:rsid w:val="00231002"/>
    <w:rsid w:val="002B0980"/>
    <w:rsid w:val="003232F3"/>
    <w:rsid w:val="003B078E"/>
    <w:rsid w:val="003B18FE"/>
    <w:rsid w:val="003E03B1"/>
    <w:rsid w:val="00402595"/>
    <w:rsid w:val="00442C09"/>
    <w:rsid w:val="004510F2"/>
    <w:rsid w:val="00487BC0"/>
    <w:rsid w:val="004911FD"/>
    <w:rsid w:val="004972F5"/>
    <w:rsid w:val="005202E3"/>
    <w:rsid w:val="00524C79"/>
    <w:rsid w:val="0054310B"/>
    <w:rsid w:val="00547224"/>
    <w:rsid w:val="005D492E"/>
    <w:rsid w:val="005E68E0"/>
    <w:rsid w:val="005F7B4A"/>
    <w:rsid w:val="006960B8"/>
    <w:rsid w:val="00735B86"/>
    <w:rsid w:val="00754D4F"/>
    <w:rsid w:val="007A53BA"/>
    <w:rsid w:val="007D50AC"/>
    <w:rsid w:val="007F4EAA"/>
    <w:rsid w:val="0083400A"/>
    <w:rsid w:val="0089571F"/>
    <w:rsid w:val="009221FE"/>
    <w:rsid w:val="00922D9F"/>
    <w:rsid w:val="009674B9"/>
    <w:rsid w:val="009C1605"/>
    <w:rsid w:val="009F38BD"/>
    <w:rsid w:val="00A07625"/>
    <w:rsid w:val="00B01B29"/>
    <w:rsid w:val="00B34038"/>
    <w:rsid w:val="00B4394E"/>
    <w:rsid w:val="00B46654"/>
    <w:rsid w:val="00B54D14"/>
    <w:rsid w:val="00B94588"/>
    <w:rsid w:val="00BA2772"/>
    <w:rsid w:val="00BB501D"/>
    <w:rsid w:val="00BC0433"/>
    <w:rsid w:val="00BC348C"/>
    <w:rsid w:val="00C2642D"/>
    <w:rsid w:val="00C5038C"/>
    <w:rsid w:val="00C745CB"/>
    <w:rsid w:val="00C91F86"/>
    <w:rsid w:val="00CB56F9"/>
    <w:rsid w:val="00D05EFE"/>
    <w:rsid w:val="00D32E92"/>
    <w:rsid w:val="00D521B9"/>
    <w:rsid w:val="00D84186"/>
    <w:rsid w:val="00DC0618"/>
    <w:rsid w:val="00E20D62"/>
    <w:rsid w:val="00E51D5B"/>
    <w:rsid w:val="00E773DA"/>
    <w:rsid w:val="00EE3D99"/>
    <w:rsid w:val="00EF2B97"/>
    <w:rsid w:val="00F12154"/>
    <w:rsid w:val="00F646F4"/>
    <w:rsid w:val="00F909AF"/>
    <w:rsid w:val="00FA1AF2"/>
    <w:rsid w:val="00FB4EEF"/>
    <w:rsid w:val="00FF5121"/>
    <w:rsid w:val="1DF4022F"/>
    <w:rsid w:val="24B67693"/>
    <w:rsid w:val="71CB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9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E3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EE3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EE3D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EE3D99"/>
    <w:rPr>
      <w:rFonts w:ascii="Calibri" w:eastAsia="宋体" w:hAnsi="Calibri" w:cs="Times New Roman"/>
      <w:sz w:val="18"/>
      <w:szCs w:val="18"/>
    </w:rPr>
  </w:style>
  <w:style w:type="paragraph" w:customStyle="1" w:styleId="2">
    <w:name w:val="正文2"/>
    <w:basedOn w:val="a"/>
    <w:next w:val="a"/>
    <w:uiPriority w:val="99"/>
    <w:qFormat/>
    <w:rsid w:val="00EE3D99"/>
    <w:pPr>
      <w:spacing w:line="560" w:lineRule="exact"/>
      <w:ind w:firstLineChars="200" w:firstLine="200"/>
    </w:pPr>
    <w:rPr>
      <w:rFonts w:eastAsia="仿宋_GB2312"/>
      <w:sz w:val="32"/>
      <w:szCs w:val="24"/>
    </w:rPr>
  </w:style>
  <w:style w:type="character" w:customStyle="1" w:styleId="NormalCharacter">
    <w:name w:val="NormalCharacter"/>
    <w:uiPriority w:val="99"/>
    <w:semiHidden/>
    <w:qFormat/>
    <w:rsid w:val="00EE3D99"/>
  </w:style>
  <w:style w:type="character" w:customStyle="1" w:styleId="Char">
    <w:name w:val="页脚 Char"/>
    <w:basedOn w:val="a0"/>
    <w:link w:val="a3"/>
    <w:uiPriority w:val="99"/>
    <w:semiHidden/>
    <w:qFormat/>
    <w:rsid w:val="00EE3D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864</Words>
  <Characters>4929</Characters>
  <Application>Microsoft Office Word</Application>
  <DocSecurity>0</DocSecurity>
  <Lines>41</Lines>
  <Paragraphs>11</Paragraphs>
  <ScaleCrop>false</ScaleCrop>
  <Company>microsoft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鄢燕妮办</dc:creator>
  <cp:lastModifiedBy>肖点</cp:lastModifiedBy>
  <cp:revision>4</cp:revision>
  <cp:lastPrinted>2021-08-13T03:36:00Z</cp:lastPrinted>
  <dcterms:created xsi:type="dcterms:W3CDTF">2021-08-13T07:07:00Z</dcterms:created>
  <dcterms:modified xsi:type="dcterms:W3CDTF">2021-08-13T09:02:00Z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