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观山湖区2021年财政预算执行情况</w:t>
      </w:r>
    </w:p>
    <w:p>
      <w:pPr>
        <w:adjustRightInd w:val="0"/>
        <w:snapToGrid w:val="0"/>
        <w:spacing w:line="560" w:lineRule="exact"/>
        <w:jc w:val="center"/>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和2022年财政预算（草案）报告</w:t>
      </w:r>
    </w:p>
    <w:p>
      <w:pPr>
        <w:adjustRightInd w:val="0"/>
        <w:snapToGrid w:val="0"/>
        <w:spacing w:line="560" w:lineRule="exact"/>
        <w:jc w:val="center"/>
        <w:rPr>
          <w:rFonts w:ascii="Times New Roman" w:hAnsi="Times New Roman" w:eastAsia="楷体_GB2312"/>
          <w:spacing w:val="-20"/>
          <w:szCs w:val="32"/>
          <w:highlight w:val="none"/>
        </w:rPr>
      </w:pPr>
      <w:r>
        <w:rPr>
          <w:rFonts w:ascii="Times New Roman" w:hAnsi="Times New Roman" w:eastAsia="楷体_GB2312"/>
          <w:spacing w:val="-20"/>
          <w:szCs w:val="32"/>
          <w:highlight w:val="none"/>
        </w:rPr>
        <w:t>（2022年</w:t>
      </w:r>
      <w:r>
        <w:rPr>
          <w:rFonts w:hint="eastAsia" w:ascii="Times New Roman" w:hAnsi="Times New Roman" w:eastAsia="楷体_GB2312"/>
          <w:spacing w:val="-20"/>
          <w:szCs w:val="32"/>
          <w:highlight w:val="none"/>
        </w:rPr>
        <w:t>1</w:t>
      </w:r>
      <w:r>
        <w:rPr>
          <w:rFonts w:ascii="Times New Roman" w:hAnsi="Times New Roman" w:eastAsia="楷体_GB2312"/>
          <w:spacing w:val="-20"/>
          <w:szCs w:val="32"/>
          <w:highlight w:val="none"/>
        </w:rPr>
        <w:t>月</w:t>
      </w:r>
      <w:r>
        <w:rPr>
          <w:rFonts w:hint="eastAsia" w:ascii="Times New Roman" w:hAnsi="Times New Roman" w:eastAsia="楷体_GB2312"/>
          <w:spacing w:val="-20"/>
          <w:szCs w:val="32"/>
          <w:highlight w:val="none"/>
        </w:rPr>
        <w:t>7</w:t>
      </w:r>
      <w:r>
        <w:rPr>
          <w:rFonts w:ascii="Times New Roman" w:hAnsi="Times New Roman" w:eastAsia="楷体_GB2312"/>
          <w:spacing w:val="-20"/>
          <w:szCs w:val="32"/>
          <w:highlight w:val="none"/>
        </w:rPr>
        <w:t>日在观山湖区第</w:t>
      </w:r>
      <w:r>
        <w:rPr>
          <w:rFonts w:hint="eastAsia" w:ascii="Times New Roman" w:hAnsi="Times New Roman" w:eastAsia="楷体_GB2312"/>
          <w:spacing w:val="-20"/>
          <w:szCs w:val="32"/>
          <w:highlight w:val="none"/>
        </w:rPr>
        <w:t>三</w:t>
      </w:r>
      <w:r>
        <w:rPr>
          <w:rFonts w:ascii="Times New Roman" w:hAnsi="Times New Roman" w:eastAsia="楷体_GB2312"/>
          <w:spacing w:val="-20"/>
          <w:szCs w:val="32"/>
          <w:highlight w:val="none"/>
        </w:rPr>
        <w:t>届人民代表大会第</w:t>
      </w:r>
      <w:r>
        <w:rPr>
          <w:rFonts w:hint="eastAsia" w:ascii="Times New Roman" w:hAnsi="Times New Roman" w:eastAsia="楷体_GB2312"/>
          <w:spacing w:val="-20"/>
          <w:szCs w:val="32"/>
          <w:highlight w:val="none"/>
        </w:rPr>
        <w:t>一</w:t>
      </w:r>
      <w:r>
        <w:rPr>
          <w:rFonts w:ascii="Times New Roman" w:hAnsi="Times New Roman" w:eastAsia="楷体_GB2312"/>
          <w:spacing w:val="-20"/>
          <w:szCs w:val="32"/>
          <w:highlight w:val="none"/>
        </w:rPr>
        <w:t>次会议上）</w:t>
      </w:r>
    </w:p>
    <w:p>
      <w:pPr>
        <w:pStyle w:val="9"/>
        <w:widowControl/>
        <w:tabs>
          <w:tab w:val="left" w:pos="6732"/>
        </w:tabs>
        <w:spacing w:beforeAutospacing="0" w:afterAutospacing="0" w:line="560" w:lineRule="exact"/>
        <w:jc w:val="center"/>
        <w:rPr>
          <w:rFonts w:ascii="Times New Roman" w:hAnsi="Times New Roman" w:eastAsia="楷体_GB2312"/>
          <w:color w:val="000000"/>
          <w:sz w:val="32"/>
          <w:szCs w:val="32"/>
          <w:highlight w:val="none"/>
        </w:rPr>
      </w:pPr>
      <w:r>
        <w:rPr>
          <w:rFonts w:hint="eastAsia" w:ascii="Times New Roman" w:hAnsi="Times New Roman" w:eastAsia="楷体_GB2312"/>
          <w:color w:val="000000"/>
          <w:sz w:val="32"/>
          <w:szCs w:val="32"/>
          <w:highlight w:val="none"/>
        </w:rPr>
        <w:t>观山湖区财政局</w:t>
      </w:r>
    </w:p>
    <w:p>
      <w:pPr>
        <w:pStyle w:val="9"/>
        <w:widowControl/>
        <w:tabs>
          <w:tab w:val="left" w:pos="6732"/>
        </w:tabs>
        <w:spacing w:beforeAutospacing="0" w:afterAutospacing="0" w:line="560" w:lineRule="exact"/>
        <w:jc w:val="both"/>
        <w:rPr>
          <w:rFonts w:ascii="Times New Roman" w:hAnsi="Times New Roman"/>
          <w:color w:val="000000"/>
          <w:sz w:val="32"/>
          <w:szCs w:val="32"/>
          <w:highlight w:val="none"/>
        </w:rPr>
      </w:pPr>
    </w:p>
    <w:p>
      <w:pPr>
        <w:adjustRightInd w:val="0"/>
        <w:snapToGrid w:val="0"/>
        <w:spacing w:line="560" w:lineRule="exact"/>
        <w:rPr>
          <w:rFonts w:ascii="Times New Roman" w:hAnsi="Times New Roman"/>
          <w:szCs w:val="32"/>
          <w:highlight w:val="none"/>
        </w:rPr>
      </w:pPr>
      <w:r>
        <w:rPr>
          <w:rFonts w:ascii="Times New Roman" w:hAnsi="Times New Roman"/>
          <w:szCs w:val="32"/>
          <w:highlight w:val="none"/>
        </w:rPr>
        <w:t>各位代表:</w:t>
      </w:r>
    </w:p>
    <w:p>
      <w:pPr>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受区人民政府委托，向大会报告2021年财政预算执行情况和2022年财政预算（草案），请予审议，并请各位政协委员和其他列席人员提出宝贵意见。</w:t>
      </w:r>
    </w:p>
    <w:p>
      <w:pPr>
        <w:tabs>
          <w:tab w:val="left" w:pos="4284"/>
        </w:tabs>
        <w:adjustRightInd w:val="0"/>
        <w:snapToGrid w:val="0"/>
        <w:spacing w:line="560" w:lineRule="exact"/>
        <w:ind w:firstLine="640" w:firstLineChars="200"/>
        <w:rPr>
          <w:rFonts w:ascii="Times New Roman" w:hAnsi="Times New Roman" w:eastAsia="黑体"/>
          <w:szCs w:val="32"/>
          <w:highlight w:val="none"/>
        </w:rPr>
      </w:pPr>
      <w:r>
        <w:rPr>
          <w:rFonts w:ascii="Times New Roman" w:hAnsi="Times New Roman" w:eastAsia="黑体"/>
          <w:szCs w:val="32"/>
          <w:highlight w:val="none"/>
        </w:rPr>
        <w:t>一、五年来财政工作回顾</w:t>
      </w:r>
    </w:p>
    <w:p>
      <w:pPr>
        <w:widowControl/>
        <w:spacing w:line="560" w:lineRule="exact"/>
        <w:ind w:firstLine="630"/>
        <w:rPr>
          <w:rFonts w:ascii="Times New Roman" w:hAnsi="Times New Roman"/>
          <w:color w:val="333333"/>
          <w:spacing w:val="5"/>
          <w:szCs w:val="32"/>
          <w:highlight w:val="none"/>
          <w:shd w:val="clear" w:color="auto" w:fill="FFFFFF"/>
        </w:rPr>
      </w:pPr>
      <w:r>
        <w:rPr>
          <w:rFonts w:ascii="Times New Roman" w:hAnsi="Times New Roman"/>
          <w:szCs w:val="32"/>
          <w:highlight w:val="none"/>
        </w:rPr>
        <w:t>过去五年，在区委的坚强领导下，在区人大、区政协的监督指导下，</w:t>
      </w:r>
      <w:r>
        <w:rPr>
          <w:rFonts w:ascii="Times New Roman" w:hAnsi="Times New Roman"/>
          <w:color w:val="000000"/>
          <w:szCs w:val="32"/>
          <w:highlight w:val="none"/>
        </w:rPr>
        <w:t>坚持以习近平新时代中国特色社会主义思想为指导，</w:t>
      </w:r>
      <w:r>
        <w:rPr>
          <w:rFonts w:ascii="Times New Roman" w:hAnsi="Times New Roman"/>
          <w:szCs w:val="32"/>
          <w:highlight w:val="none"/>
        </w:rPr>
        <w:t>深入学习贯彻落实习近平总书记视察贵州重要讲话精神，</w:t>
      </w:r>
      <w:r>
        <w:rPr>
          <w:rFonts w:ascii="Times New Roman" w:hAnsi="Times New Roman"/>
          <w:color w:val="000000"/>
          <w:szCs w:val="32"/>
          <w:highlight w:val="none"/>
        </w:rPr>
        <w:t>围绕“稳增长、促改革、调结构、惠民生、防风险”重点工作，</w:t>
      </w:r>
      <w:r>
        <w:rPr>
          <w:rFonts w:ascii="Times New Roman" w:hAnsi="Times New Roman"/>
          <w:szCs w:val="32"/>
          <w:highlight w:val="none"/>
        </w:rPr>
        <w:t>坚决扛起省会城市核心区的使命担当，不断</w:t>
      </w:r>
      <w:r>
        <w:rPr>
          <w:rFonts w:ascii="Times New Roman" w:hAnsi="Times New Roman"/>
          <w:color w:val="000000"/>
          <w:szCs w:val="32"/>
          <w:highlight w:val="none"/>
        </w:rPr>
        <w:t>深化财政改革，加大财源培植，加强收入征管，防范债务风险，优化支出结构，</w:t>
      </w:r>
      <w:r>
        <w:rPr>
          <w:rFonts w:ascii="Times New Roman" w:hAnsi="Times New Roman"/>
          <w:color w:val="333333"/>
          <w:spacing w:val="5"/>
          <w:szCs w:val="32"/>
          <w:highlight w:val="none"/>
          <w:shd w:val="clear" w:color="auto" w:fill="FFFFFF"/>
        </w:rPr>
        <w:t>保障</w:t>
      </w:r>
      <w:r>
        <w:rPr>
          <w:rFonts w:hint="eastAsia" w:ascii="Times New Roman" w:hAnsi="Times New Roman"/>
          <w:color w:val="333333"/>
          <w:spacing w:val="5"/>
          <w:szCs w:val="32"/>
          <w:highlight w:val="none"/>
          <w:shd w:val="clear" w:color="auto" w:fill="FFFFFF"/>
        </w:rPr>
        <w:t>了</w:t>
      </w:r>
      <w:r>
        <w:rPr>
          <w:rFonts w:ascii="Times New Roman" w:hAnsi="Times New Roman"/>
          <w:color w:val="333333"/>
          <w:spacing w:val="5"/>
          <w:szCs w:val="32"/>
          <w:highlight w:val="none"/>
          <w:shd w:val="clear" w:color="auto" w:fill="FFFFFF"/>
        </w:rPr>
        <w:t>全区</w:t>
      </w:r>
      <w:r>
        <w:rPr>
          <w:rFonts w:ascii="Times New Roman" w:hAnsi="Times New Roman"/>
          <w:szCs w:val="32"/>
          <w:highlight w:val="none"/>
        </w:rPr>
        <w:t>经济持续平稳向好，各项财政工作打开新局面，财政改革取得新突破，财政事业迈上新台阶！</w:t>
      </w:r>
    </w:p>
    <w:p>
      <w:pPr>
        <w:adjustRightInd w:val="0"/>
        <w:snapToGrid w:val="0"/>
        <w:spacing w:line="560" w:lineRule="exact"/>
        <w:ind w:firstLine="643" w:firstLineChars="200"/>
        <w:rPr>
          <w:rFonts w:ascii="Times New Roman" w:hAnsi="Times New Roman"/>
          <w:szCs w:val="32"/>
          <w:highlight w:val="none"/>
        </w:rPr>
      </w:pPr>
      <w:r>
        <w:rPr>
          <w:rFonts w:ascii="Times New Roman" w:hAnsi="Times New Roman" w:eastAsia="楷体_GB2312"/>
          <w:b/>
          <w:szCs w:val="32"/>
          <w:highlight w:val="none"/>
        </w:rPr>
        <w:t>——综合实力</w:t>
      </w:r>
      <w:r>
        <w:rPr>
          <w:rFonts w:hint="eastAsia" w:ascii="Times New Roman" w:hAnsi="Times New Roman" w:eastAsia="楷体_GB2312"/>
          <w:b/>
          <w:szCs w:val="32"/>
          <w:highlight w:val="none"/>
        </w:rPr>
        <w:t>显著增</w:t>
      </w:r>
      <w:r>
        <w:rPr>
          <w:rFonts w:ascii="Times New Roman" w:hAnsi="Times New Roman" w:eastAsia="楷体_GB2312"/>
          <w:b/>
          <w:szCs w:val="32"/>
          <w:highlight w:val="none"/>
        </w:rPr>
        <w:t>强。</w:t>
      </w:r>
      <w:r>
        <w:rPr>
          <w:rFonts w:ascii="Times New Roman" w:hAnsi="Times New Roman"/>
          <w:szCs w:val="32"/>
          <w:highlight w:val="none"/>
        </w:rPr>
        <w:t>五年来，我们</w:t>
      </w:r>
      <w:r>
        <w:rPr>
          <w:rFonts w:ascii="Times New Roman" w:hAnsi="Times New Roman"/>
          <w:color w:val="333333"/>
          <w:szCs w:val="32"/>
          <w:highlight w:val="none"/>
        </w:rPr>
        <w:t>积极应对经济下行压力，严格落实减税降费政策，</w:t>
      </w:r>
      <w:r>
        <w:rPr>
          <w:rFonts w:ascii="Times New Roman" w:hAnsi="Times New Roman"/>
          <w:szCs w:val="32"/>
          <w:highlight w:val="none"/>
        </w:rPr>
        <w:t>巩固和拓展减税降费成效，让企业持续享受政策红利。</w:t>
      </w:r>
      <w:r>
        <w:rPr>
          <w:rFonts w:ascii="Times New Roman" w:hAnsi="Times New Roman"/>
          <w:color w:val="333333"/>
          <w:szCs w:val="32"/>
          <w:highlight w:val="none"/>
        </w:rPr>
        <w:t>坚持依法依规组织收入，</w:t>
      </w:r>
      <w:r>
        <w:rPr>
          <w:rFonts w:hint="eastAsia" w:ascii="Times New Roman" w:hAnsi="Times New Roman"/>
          <w:color w:val="333333"/>
          <w:szCs w:val="32"/>
          <w:highlight w:val="none"/>
        </w:rPr>
        <w:t>综合运用大数据管理手段，</w:t>
      </w:r>
      <w:r>
        <w:rPr>
          <w:rFonts w:ascii="Times New Roman" w:hAnsi="Times New Roman"/>
          <w:szCs w:val="32"/>
          <w:highlight w:val="none"/>
        </w:rPr>
        <w:t>做到应收尽收，“颗粒归仓”。</w:t>
      </w:r>
      <w:r>
        <w:rPr>
          <w:rFonts w:hint="eastAsia" w:ascii="Times New Roman" w:hAnsi="Times New Roman"/>
          <w:szCs w:val="32"/>
          <w:highlight w:val="none"/>
        </w:rPr>
        <w:t>积极涵养培植税源，不断优化产业结构，财政收入多点支撑逐渐形成，财政综合实力不断增强，</w:t>
      </w:r>
      <w:r>
        <w:rPr>
          <w:rFonts w:ascii="Times New Roman" w:hAnsi="Times New Roman"/>
          <w:szCs w:val="32"/>
          <w:highlight w:val="none"/>
        </w:rPr>
        <w:t>经济总量持续增长，一般公共预算收入从2016年的42.85亿元增加至</w:t>
      </w:r>
      <w:r>
        <w:rPr>
          <w:rFonts w:hint="eastAsia" w:ascii="Times New Roman" w:hAnsi="Times New Roman"/>
          <w:szCs w:val="32"/>
          <w:highlight w:val="none"/>
        </w:rPr>
        <w:t>58</w:t>
      </w:r>
      <w:r>
        <w:rPr>
          <w:rFonts w:ascii="Times New Roman" w:hAnsi="Times New Roman"/>
          <w:szCs w:val="32"/>
          <w:highlight w:val="none"/>
        </w:rPr>
        <w:t>亿元</w:t>
      </w:r>
      <w:r>
        <w:rPr>
          <w:rFonts w:hint="eastAsia" w:ascii="Times New Roman" w:hAnsi="Times New Roman"/>
          <w:szCs w:val="32"/>
          <w:highlight w:val="none"/>
        </w:rPr>
        <w:t>，五年间</w:t>
      </w:r>
      <w:r>
        <w:rPr>
          <w:rFonts w:ascii="Times New Roman" w:hAnsi="Times New Roman"/>
          <w:szCs w:val="32"/>
          <w:highlight w:val="none"/>
        </w:rPr>
        <w:t>收入总量</w:t>
      </w:r>
      <w:r>
        <w:rPr>
          <w:rFonts w:hint="eastAsia" w:ascii="Times New Roman" w:hAnsi="Times New Roman"/>
          <w:szCs w:val="32"/>
          <w:highlight w:val="none"/>
        </w:rPr>
        <w:t>达到258.66</w:t>
      </w:r>
      <w:r>
        <w:rPr>
          <w:rFonts w:ascii="Times New Roman" w:hAnsi="Times New Roman"/>
          <w:szCs w:val="32"/>
          <w:highlight w:val="none"/>
        </w:rPr>
        <w:t>亿元，较上个五年增加了</w:t>
      </w:r>
      <w:r>
        <w:rPr>
          <w:rFonts w:hint="eastAsia" w:ascii="Times New Roman" w:hAnsi="Times New Roman"/>
          <w:szCs w:val="32"/>
          <w:highlight w:val="none"/>
        </w:rPr>
        <w:t>75.97</w:t>
      </w:r>
      <w:r>
        <w:rPr>
          <w:rFonts w:ascii="Times New Roman" w:hAnsi="Times New Roman"/>
          <w:szCs w:val="32"/>
          <w:highlight w:val="none"/>
        </w:rPr>
        <w:t>亿元。</w:t>
      </w:r>
      <w:r>
        <w:rPr>
          <w:rFonts w:hint="eastAsia" w:ascii="Times New Roman" w:hAnsi="Times New Roman"/>
          <w:szCs w:val="32"/>
          <w:highlight w:val="none"/>
        </w:rPr>
        <w:t>一般公共预算收入总量连续七年稳居全市第一。</w:t>
      </w:r>
    </w:p>
    <w:p>
      <w:pPr>
        <w:adjustRightInd w:val="0"/>
        <w:snapToGrid w:val="0"/>
        <w:spacing w:line="560" w:lineRule="exact"/>
        <w:ind w:firstLine="643" w:firstLineChars="200"/>
        <w:rPr>
          <w:rFonts w:ascii="Times New Roman" w:hAnsi="Times New Roman"/>
          <w:szCs w:val="32"/>
          <w:highlight w:val="none"/>
        </w:rPr>
      </w:pPr>
      <w:r>
        <w:rPr>
          <w:rFonts w:ascii="Times New Roman" w:hAnsi="Times New Roman" w:eastAsia="楷体_GB2312"/>
          <w:b/>
          <w:szCs w:val="32"/>
          <w:highlight w:val="none"/>
        </w:rPr>
        <w:t>——民生福祉</w:t>
      </w:r>
      <w:r>
        <w:rPr>
          <w:rFonts w:hint="eastAsia" w:ascii="Times New Roman" w:hAnsi="Times New Roman" w:eastAsia="楷体_GB2312"/>
          <w:b/>
          <w:szCs w:val="32"/>
          <w:highlight w:val="none"/>
        </w:rPr>
        <w:t>持续</w:t>
      </w:r>
      <w:r>
        <w:rPr>
          <w:rFonts w:ascii="Times New Roman" w:hAnsi="Times New Roman" w:eastAsia="楷体_GB2312"/>
          <w:b/>
          <w:szCs w:val="32"/>
          <w:highlight w:val="none"/>
        </w:rPr>
        <w:t>改善。</w:t>
      </w:r>
      <w:r>
        <w:rPr>
          <w:rFonts w:ascii="Times New Roman" w:hAnsi="Times New Roman"/>
          <w:szCs w:val="32"/>
          <w:highlight w:val="none"/>
        </w:rPr>
        <w:t>严格落实过“紧日子”要求，从严从紧控制预算支出，</w:t>
      </w:r>
      <w:r>
        <w:rPr>
          <w:rFonts w:hint="eastAsia" w:ascii="Times New Roman" w:hAnsi="Times New Roman"/>
          <w:szCs w:val="32"/>
          <w:highlight w:val="none"/>
        </w:rPr>
        <w:t>按20%压减公用经费及非刚性、非重点支出，压减资金主要用于保障疫情防控、脱贫攻坚等重点民生领域。</w:t>
      </w:r>
      <w:r>
        <w:rPr>
          <w:rFonts w:ascii="Times New Roman" w:hAnsi="Times New Roman"/>
          <w:szCs w:val="32"/>
          <w:highlight w:val="none"/>
        </w:rPr>
        <w:t>切实兜住民生底线，做到应保尽保。始终坚持以人民为中心，加快补齐民生事业发展短板。五年来，全区九大民生支出近300亿元，其中民生类基础设施建设资金120亿余元、教育投入60亿余元、社会保障投入近18亿元、医疗卫生投入近15亿元</w:t>
      </w:r>
      <w:r>
        <w:rPr>
          <w:rFonts w:hint="eastAsia" w:ascii="Times New Roman" w:hAnsi="Times New Roman"/>
          <w:szCs w:val="32"/>
          <w:highlight w:val="none"/>
        </w:rPr>
        <w:t>，城市宜居品质不断提高、教育发展质量全面提升、社会保障体系日益健全、医疗卫生服务持续完善、群众幸福感不断增强。</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rPr>
      </w:pPr>
      <w:r>
        <w:rPr>
          <w:rFonts w:ascii="Times New Roman" w:hAnsi="Times New Roman" w:eastAsia="楷体_GB2312"/>
          <w:b/>
          <w:szCs w:val="32"/>
          <w:highlight w:val="none"/>
        </w:rPr>
        <w:t>——脱贫攻坚全面胜利。</w:t>
      </w:r>
      <w:r>
        <w:rPr>
          <w:rFonts w:ascii="Times New Roman" w:hAnsi="Times New Roman"/>
          <w:szCs w:val="32"/>
          <w:highlight w:val="none"/>
        </w:rPr>
        <w:t>五年来，</w:t>
      </w:r>
      <w:r>
        <w:rPr>
          <w:rFonts w:ascii="Times New Roman" w:hAnsi="Times New Roman"/>
          <w:highlight w:val="none"/>
        </w:rPr>
        <w:t>在财力有限的情况下，</w:t>
      </w:r>
      <w:r>
        <w:rPr>
          <w:rFonts w:ascii="Times New Roman" w:hAnsi="Times New Roman"/>
          <w:bCs/>
          <w:szCs w:val="32"/>
          <w:highlight w:val="none"/>
        </w:rPr>
        <w:t>累计安排农业农村相关资金2</w:t>
      </w:r>
      <w:r>
        <w:rPr>
          <w:rFonts w:hint="eastAsia" w:ascii="Times New Roman" w:hAnsi="Times New Roman"/>
          <w:bCs/>
          <w:szCs w:val="32"/>
          <w:highlight w:val="none"/>
        </w:rPr>
        <w:t>6</w:t>
      </w:r>
      <w:r>
        <w:rPr>
          <w:rFonts w:ascii="Times New Roman" w:hAnsi="Times New Roman"/>
          <w:bCs/>
          <w:szCs w:val="32"/>
          <w:highlight w:val="none"/>
        </w:rPr>
        <w:t>亿元，</w:t>
      </w:r>
      <w:r>
        <w:rPr>
          <w:rFonts w:hint="eastAsia" w:ascii="Times New Roman" w:hAnsi="Times New Roman"/>
          <w:bCs/>
          <w:szCs w:val="32"/>
          <w:highlight w:val="none"/>
        </w:rPr>
        <w:t>“两不愁三保障”和农村饮水安全全面实现，</w:t>
      </w:r>
      <w:r>
        <w:rPr>
          <w:rFonts w:ascii="Times New Roman" w:hAnsi="Times New Roman"/>
          <w:highlight w:val="none"/>
        </w:rPr>
        <w:t>农</w:t>
      </w:r>
      <w:r>
        <w:rPr>
          <w:rFonts w:hint="eastAsia" w:ascii="Times New Roman" w:hAnsi="Times New Roman"/>
          <w:highlight w:val="none"/>
        </w:rPr>
        <w:t>业</w:t>
      </w:r>
      <w:r>
        <w:rPr>
          <w:rFonts w:ascii="Times New Roman" w:hAnsi="Times New Roman"/>
          <w:highlight w:val="none"/>
        </w:rPr>
        <w:t>产业结构</w:t>
      </w:r>
      <w:r>
        <w:rPr>
          <w:rFonts w:hint="eastAsia" w:ascii="Times New Roman" w:hAnsi="Times New Roman"/>
          <w:highlight w:val="none"/>
        </w:rPr>
        <w:t>不断优化，</w:t>
      </w:r>
      <w:r>
        <w:rPr>
          <w:rFonts w:ascii="Times New Roman" w:hAnsi="Times New Roman"/>
          <w:highlight w:val="none"/>
        </w:rPr>
        <w:t>农村</w:t>
      </w:r>
      <w:r>
        <w:rPr>
          <w:rFonts w:hint="eastAsia" w:ascii="Times New Roman" w:hAnsi="Times New Roman"/>
          <w:highlight w:val="none"/>
        </w:rPr>
        <w:t>基础设施不断完善，农村人居环境大为改善。持续</w:t>
      </w:r>
      <w:r>
        <w:rPr>
          <w:rFonts w:ascii="Times New Roman" w:hAnsi="Times New Roman"/>
          <w:bCs/>
          <w:szCs w:val="32"/>
          <w:highlight w:val="none"/>
        </w:rPr>
        <w:t>巩固提升脱贫攻坚成果，</w:t>
      </w:r>
      <w:r>
        <w:rPr>
          <w:rFonts w:ascii="Times New Roman" w:hAnsi="Times New Roman"/>
          <w:szCs w:val="32"/>
          <w:highlight w:val="none"/>
        </w:rPr>
        <w:t>财政投入</w:t>
      </w:r>
      <w:r>
        <w:rPr>
          <w:rFonts w:hint="eastAsia" w:ascii="Times New Roman" w:hAnsi="Times New Roman"/>
          <w:szCs w:val="32"/>
          <w:highlight w:val="none"/>
        </w:rPr>
        <w:t>扶贫资金及</w:t>
      </w:r>
      <w:r>
        <w:rPr>
          <w:rFonts w:ascii="Times New Roman" w:hAnsi="Times New Roman"/>
          <w:szCs w:val="32"/>
          <w:highlight w:val="none"/>
        </w:rPr>
        <w:t>乡村振兴衔接资金保持逐年增长，健全防止返贫帮扶机制，切实做好防贫预警应急救助资金保障，切实守住</w:t>
      </w:r>
      <w:r>
        <w:rPr>
          <w:rFonts w:hint="eastAsia" w:ascii="Times New Roman" w:hAnsi="Times New Roman"/>
          <w:szCs w:val="32"/>
          <w:highlight w:val="none"/>
        </w:rPr>
        <w:t>不</w:t>
      </w:r>
      <w:r>
        <w:rPr>
          <w:rFonts w:ascii="Times New Roman" w:hAnsi="Times New Roman"/>
          <w:szCs w:val="32"/>
          <w:highlight w:val="none"/>
        </w:rPr>
        <w:t>发生规模性返贫底线。深化区域协作，积极开展对口帮扶工作，助力剑河县等对口帮扶地区全部脱贫摘帽，为全省脱贫事业作出了积极的贡献。</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rPr>
      </w:pPr>
      <w:r>
        <w:rPr>
          <w:rFonts w:ascii="Times New Roman" w:hAnsi="Times New Roman" w:eastAsia="楷体_GB2312"/>
          <w:b/>
          <w:szCs w:val="32"/>
          <w:highlight w:val="none"/>
        </w:rPr>
        <w:t>——风险</w:t>
      </w:r>
      <w:r>
        <w:rPr>
          <w:rFonts w:hint="eastAsia" w:ascii="Times New Roman" w:hAnsi="Times New Roman" w:eastAsia="楷体_GB2312"/>
          <w:b/>
          <w:szCs w:val="32"/>
          <w:highlight w:val="none"/>
        </w:rPr>
        <w:t>防控取得成效</w:t>
      </w:r>
      <w:r>
        <w:rPr>
          <w:rFonts w:ascii="Times New Roman" w:hAnsi="Times New Roman" w:eastAsia="楷体_GB2312"/>
          <w:b/>
          <w:szCs w:val="32"/>
          <w:highlight w:val="none"/>
        </w:rPr>
        <w:t>。</w:t>
      </w:r>
      <w:r>
        <w:rPr>
          <w:rFonts w:hint="eastAsia" w:ascii="Times New Roman" w:hAnsi="Times New Roman"/>
          <w:szCs w:val="32"/>
          <w:highlight w:val="none"/>
        </w:rPr>
        <w:t>依法规范政府举债方式，严格实行地方政府债务限额管理和预算管理。不断完善债务管理制度，制定加强债务管理的规定，建立常态化债务风险管控机制。建立债务化解滚动监测报告机制，压紧压实债务单位责任，精准制定债务化解实施方案，依法依规化解存量债务。综合运用化债应急资金池、到期债务展期重组等措施，多渠道筹集化债资金，及时、足额偿还到期债务，牢牢守住了不发生区域性、系统性债务风险底线。</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shd w:val="clear" w:color="auto" w:fill="FFFFFF"/>
        </w:rPr>
      </w:pPr>
      <w:r>
        <w:rPr>
          <w:rFonts w:ascii="Times New Roman" w:hAnsi="Times New Roman" w:eastAsia="楷体_GB2312"/>
          <w:b/>
          <w:szCs w:val="32"/>
          <w:highlight w:val="none"/>
        </w:rPr>
        <w:t>——财政管理水平</w:t>
      </w:r>
      <w:r>
        <w:rPr>
          <w:rFonts w:hint="eastAsia" w:ascii="Times New Roman" w:hAnsi="Times New Roman" w:eastAsia="楷体_GB2312"/>
          <w:b/>
          <w:szCs w:val="32"/>
          <w:highlight w:val="none"/>
        </w:rPr>
        <w:t>提质增效</w:t>
      </w:r>
      <w:r>
        <w:rPr>
          <w:rFonts w:ascii="Times New Roman" w:hAnsi="Times New Roman" w:eastAsia="楷体_GB2312"/>
          <w:b/>
          <w:szCs w:val="32"/>
          <w:highlight w:val="none"/>
        </w:rPr>
        <w:t>。</w:t>
      </w:r>
      <w:r>
        <w:rPr>
          <w:rFonts w:ascii="Times New Roman" w:hAnsi="Times New Roman"/>
          <w:szCs w:val="32"/>
          <w:highlight w:val="none"/>
          <w:shd w:val="clear" w:color="auto" w:fill="FFFFFF"/>
        </w:rPr>
        <w:t>国库集中</w:t>
      </w:r>
      <w:r>
        <w:rPr>
          <w:rFonts w:hint="eastAsia" w:ascii="Times New Roman" w:hAnsi="Times New Roman"/>
          <w:szCs w:val="32"/>
          <w:highlight w:val="none"/>
          <w:shd w:val="clear" w:color="auto" w:fill="FFFFFF"/>
        </w:rPr>
        <w:t>支付</w:t>
      </w:r>
      <w:r>
        <w:rPr>
          <w:rFonts w:ascii="Times New Roman" w:hAnsi="Times New Roman"/>
          <w:szCs w:val="32"/>
          <w:highlight w:val="none"/>
          <w:shd w:val="clear" w:color="auto" w:fill="FFFFFF"/>
        </w:rPr>
        <w:t>改革持续深化，实现国库集中支付改革全覆盖和全面完成国库集中支付电子化</w:t>
      </w:r>
      <w:r>
        <w:rPr>
          <w:rFonts w:hint="eastAsia" w:ascii="Times New Roman" w:hAnsi="Times New Roman"/>
          <w:szCs w:val="32"/>
          <w:highlight w:val="none"/>
          <w:shd w:val="clear" w:color="auto" w:fill="FFFFFF"/>
        </w:rPr>
        <w:t>，</w:t>
      </w:r>
      <w:r>
        <w:rPr>
          <w:rFonts w:ascii="Times New Roman" w:hAnsi="Times New Roman" w:eastAsia="仿宋" w:cs="Arial"/>
          <w:highlight w:val="none"/>
        </w:rPr>
        <w:t>强化国库集中支付资金动态监控，</w:t>
      </w:r>
      <w:r>
        <w:rPr>
          <w:rFonts w:hint="eastAsia" w:ascii="Times New Roman" w:hAnsi="Times New Roman" w:eastAsia="仿宋" w:cs="Arial"/>
          <w:highlight w:val="none"/>
        </w:rPr>
        <w:t>促进财政资金规范使用</w:t>
      </w:r>
      <w:r>
        <w:rPr>
          <w:rFonts w:ascii="Times New Roman" w:hAnsi="Times New Roman"/>
          <w:szCs w:val="32"/>
          <w:highlight w:val="none"/>
          <w:shd w:val="clear" w:color="auto" w:fill="FFFFFF"/>
        </w:rPr>
        <w:t>。</w:t>
      </w:r>
      <w:r>
        <w:rPr>
          <w:rFonts w:ascii="Times New Roman" w:hAnsi="Times New Roman"/>
          <w:color w:val="000000"/>
          <w:szCs w:val="32"/>
          <w:highlight w:val="none"/>
        </w:rPr>
        <w:t>全面推动预算绩效管理，不断扩大绩效目标管理范围，实现绩效评价结果的约束和激励作用，形成“花钱必问效、无效必问责”的良性机制。</w:t>
      </w:r>
      <w:r>
        <w:rPr>
          <w:rFonts w:ascii="Times New Roman" w:hAnsi="Times New Roman"/>
          <w:color w:val="000000"/>
          <w:szCs w:val="32"/>
          <w:highlight w:val="none"/>
          <w:lang w:val="zh-CN"/>
        </w:rPr>
        <w:t>积极推进</w:t>
      </w:r>
      <w:r>
        <w:rPr>
          <w:rFonts w:ascii="Times New Roman" w:hAnsi="Times New Roman"/>
          <w:color w:val="000000"/>
          <w:szCs w:val="32"/>
          <w:highlight w:val="none"/>
        </w:rPr>
        <w:t>“</w:t>
      </w:r>
      <w:r>
        <w:rPr>
          <w:rFonts w:ascii="Times New Roman" w:hAnsi="Times New Roman"/>
          <w:color w:val="000000"/>
          <w:szCs w:val="32"/>
          <w:highlight w:val="none"/>
          <w:lang w:val="zh-CN"/>
        </w:rPr>
        <w:t>阳光预决算</w:t>
      </w:r>
      <w:r>
        <w:rPr>
          <w:rFonts w:ascii="Times New Roman" w:hAnsi="Times New Roman"/>
          <w:color w:val="000000"/>
          <w:szCs w:val="32"/>
          <w:highlight w:val="none"/>
        </w:rPr>
        <w:t>”，将</w:t>
      </w:r>
      <w:r>
        <w:rPr>
          <w:rFonts w:ascii="Times New Roman" w:hAnsi="Times New Roman"/>
          <w:color w:val="000000"/>
          <w:szCs w:val="32"/>
          <w:highlight w:val="none"/>
          <w:lang w:val="zh-CN"/>
        </w:rPr>
        <w:t>财政预决算、</w:t>
      </w:r>
      <w:r>
        <w:rPr>
          <w:rFonts w:ascii="Times New Roman" w:hAnsi="Times New Roman"/>
          <w:color w:val="000000"/>
          <w:szCs w:val="32"/>
          <w:highlight w:val="none"/>
        </w:rPr>
        <w:t>“</w:t>
      </w:r>
      <w:r>
        <w:rPr>
          <w:rFonts w:ascii="Times New Roman" w:hAnsi="Times New Roman"/>
          <w:color w:val="000000"/>
          <w:szCs w:val="32"/>
          <w:highlight w:val="none"/>
          <w:lang w:val="zh-CN"/>
        </w:rPr>
        <w:t>三公</w:t>
      </w:r>
      <w:r>
        <w:rPr>
          <w:rFonts w:ascii="Times New Roman" w:hAnsi="Times New Roman"/>
          <w:color w:val="000000"/>
          <w:szCs w:val="32"/>
          <w:highlight w:val="none"/>
        </w:rPr>
        <w:t>”</w:t>
      </w:r>
      <w:r>
        <w:rPr>
          <w:rFonts w:ascii="Times New Roman" w:hAnsi="Times New Roman"/>
          <w:color w:val="000000"/>
          <w:szCs w:val="32"/>
          <w:highlight w:val="none"/>
          <w:lang w:val="zh-CN"/>
        </w:rPr>
        <w:t>经费预决算、部门预决算</w:t>
      </w:r>
      <w:r>
        <w:rPr>
          <w:rFonts w:ascii="Times New Roman" w:hAnsi="Times New Roman"/>
          <w:color w:val="000000"/>
          <w:szCs w:val="32"/>
          <w:highlight w:val="none"/>
        </w:rPr>
        <w:t>等</w:t>
      </w:r>
      <w:r>
        <w:rPr>
          <w:rFonts w:ascii="Times New Roman" w:hAnsi="Times New Roman"/>
          <w:color w:val="000000"/>
          <w:szCs w:val="32"/>
          <w:highlight w:val="none"/>
          <w:lang w:val="zh-CN"/>
        </w:rPr>
        <w:t>依法公开，</w:t>
      </w:r>
      <w:r>
        <w:rPr>
          <w:rFonts w:hint="eastAsia" w:ascii="Times New Roman" w:hAnsi="Times New Roman"/>
          <w:color w:val="000000"/>
          <w:szCs w:val="32"/>
          <w:highlight w:val="none"/>
          <w:lang w:val="zh-CN"/>
        </w:rPr>
        <w:t>财政管理规范化、科学化、精细化水平得到有效提升</w:t>
      </w:r>
      <w:r>
        <w:rPr>
          <w:rFonts w:ascii="Times New Roman" w:hAnsi="Times New Roman"/>
          <w:color w:val="000000"/>
          <w:szCs w:val="32"/>
          <w:highlight w:val="none"/>
          <w:lang w:val="zh-CN"/>
        </w:rPr>
        <w:t>。</w:t>
      </w:r>
      <w:r>
        <w:rPr>
          <w:rFonts w:hint="eastAsia" w:ascii="Times New Roman" w:hAnsi="Times New Roman"/>
          <w:color w:val="000000"/>
          <w:szCs w:val="32"/>
          <w:highlight w:val="none"/>
          <w:lang w:val="zh-CN"/>
        </w:rPr>
        <w:t>深入推进零基预算改革，严格预算项目审核，优化财政资金投入，增强财政资金有效供给。完成区预算单位人大联网监督系统建设，监督范围覆盖财政所有预算收支，推动人大日常监督与财政日常管理有机衔接。</w:t>
      </w:r>
      <w:r>
        <w:rPr>
          <w:rFonts w:ascii="Times New Roman" w:hAnsi="Times New Roman"/>
          <w:color w:val="000000"/>
          <w:szCs w:val="32"/>
          <w:highlight w:val="none"/>
        </w:rPr>
        <w:t>财政投资评审</w:t>
      </w:r>
      <w:r>
        <w:rPr>
          <w:rFonts w:hint="eastAsia" w:ascii="Times New Roman" w:hAnsi="Times New Roman"/>
          <w:color w:val="000000"/>
          <w:szCs w:val="32"/>
          <w:highlight w:val="none"/>
        </w:rPr>
        <w:t>持续发力</w:t>
      </w:r>
      <w:r>
        <w:rPr>
          <w:rFonts w:ascii="Times New Roman" w:hAnsi="Times New Roman"/>
          <w:color w:val="000000"/>
          <w:szCs w:val="32"/>
          <w:highlight w:val="none"/>
        </w:rPr>
        <w:t>，五年来</w:t>
      </w:r>
      <w:r>
        <w:rPr>
          <w:rFonts w:ascii="Times New Roman" w:hAnsi="Times New Roman"/>
          <w:bCs/>
          <w:szCs w:val="32"/>
          <w:highlight w:val="none"/>
        </w:rPr>
        <w:t>完成项目送审金额393.35亿元，审定金额354.2亿元，审减金额39.15亿元，综合审减率9.95%</w:t>
      </w:r>
      <w:r>
        <w:rPr>
          <w:rFonts w:ascii="Times New Roman" w:hAnsi="Times New Roman"/>
          <w:szCs w:val="32"/>
          <w:highlight w:val="none"/>
          <w:shd w:val="clear" w:color="auto" w:fill="FFFFFF"/>
        </w:rPr>
        <w:t>。</w:t>
      </w:r>
      <w:r>
        <w:rPr>
          <w:rFonts w:hint="eastAsia" w:ascii="Times New Roman" w:hAnsi="Times New Roman"/>
          <w:szCs w:val="32"/>
          <w:highlight w:val="none"/>
          <w:shd w:val="clear" w:color="auto" w:fill="FFFFFF"/>
        </w:rPr>
        <w:t>政府采购进一步</w:t>
      </w:r>
      <w:r>
        <w:rPr>
          <w:rFonts w:hint="eastAsia" w:ascii="Times New Roman" w:hAnsi="Times New Roman" w:eastAsia="仿宋" w:cs="Arial"/>
          <w:highlight w:val="none"/>
        </w:rPr>
        <w:t>规范</w:t>
      </w:r>
      <w:r>
        <w:rPr>
          <w:rFonts w:ascii="Times New Roman" w:hAnsi="Times New Roman" w:eastAsia="仿宋" w:cs="Arial"/>
          <w:highlight w:val="none"/>
        </w:rPr>
        <w:t>，</w:t>
      </w:r>
      <w:r>
        <w:rPr>
          <w:rFonts w:hint="eastAsia" w:ascii="Times New Roman" w:hAnsi="Times New Roman"/>
          <w:szCs w:val="32"/>
          <w:highlight w:val="none"/>
          <w:shd w:val="clear" w:color="auto" w:fill="FFFFFF"/>
        </w:rPr>
        <w:t>五年来</w:t>
      </w:r>
      <w:r>
        <w:rPr>
          <w:rFonts w:ascii="Times New Roman" w:hAnsi="Times New Roman"/>
          <w:szCs w:val="32"/>
          <w:highlight w:val="none"/>
          <w:shd w:val="clear" w:color="auto" w:fill="FFFFFF"/>
        </w:rPr>
        <w:t>政府采购计划金额约</w:t>
      </w:r>
      <w:r>
        <w:rPr>
          <w:rFonts w:hint="eastAsia" w:ascii="Times New Roman" w:hAnsi="Times New Roman"/>
          <w:szCs w:val="32"/>
          <w:highlight w:val="none"/>
          <w:shd w:val="clear" w:color="auto" w:fill="FFFFFF"/>
        </w:rPr>
        <w:t>150.96</w:t>
      </w:r>
      <w:r>
        <w:rPr>
          <w:rFonts w:ascii="Times New Roman" w:hAnsi="Times New Roman"/>
          <w:szCs w:val="32"/>
          <w:highlight w:val="none"/>
          <w:shd w:val="clear" w:color="auto" w:fill="FFFFFF"/>
        </w:rPr>
        <w:t>亿元，实际采购规模约</w:t>
      </w:r>
      <w:r>
        <w:rPr>
          <w:rFonts w:hint="eastAsia" w:ascii="Times New Roman" w:hAnsi="Times New Roman"/>
          <w:szCs w:val="32"/>
          <w:highlight w:val="none"/>
          <w:shd w:val="clear" w:color="auto" w:fill="FFFFFF"/>
        </w:rPr>
        <w:t>144.04</w:t>
      </w:r>
      <w:r>
        <w:rPr>
          <w:rFonts w:ascii="Times New Roman" w:hAnsi="Times New Roman"/>
          <w:szCs w:val="32"/>
          <w:highlight w:val="none"/>
          <w:shd w:val="clear" w:color="auto" w:fill="FFFFFF"/>
        </w:rPr>
        <w:t>亿元，节约资金</w:t>
      </w:r>
      <w:r>
        <w:rPr>
          <w:rFonts w:hint="eastAsia" w:ascii="Times New Roman" w:hAnsi="Times New Roman"/>
          <w:szCs w:val="32"/>
          <w:highlight w:val="none"/>
          <w:shd w:val="clear" w:color="auto" w:fill="FFFFFF"/>
        </w:rPr>
        <w:t>6.92</w:t>
      </w:r>
      <w:r>
        <w:rPr>
          <w:rFonts w:ascii="Times New Roman" w:hAnsi="Times New Roman"/>
          <w:szCs w:val="32"/>
          <w:highlight w:val="none"/>
          <w:shd w:val="clear" w:color="auto" w:fill="FFFFFF"/>
        </w:rPr>
        <w:t>亿元。</w:t>
      </w:r>
    </w:p>
    <w:p>
      <w:pPr>
        <w:pBdr>
          <w:bottom w:val="single" w:color="FFFFFF" w:sz="4" w:space="31"/>
        </w:pBdr>
        <w:tabs>
          <w:tab w:val="left" w:pos="1440"/>
        </w:tabs>
        <w:adjustRightInd w:val="0"/>
        <w:snapToGrid w:val="0"/>
        <w:spacing w:line="560" w:lineRule="exact"/>
        <w:ind w:firstLine="643" w:firstLineChars="200"/>
        <w:rPr>
          <w:rFonts w:ascii="Times New Roman" w:hAnsi="Times New Roman" w:cs="仿宋_GB2312"/>
          <w:color w:val="000000"/>
          <w:szCs w:val="32"/>
          <w:highlight w:val="none"/>
          <w:lang w:val="zh-CN"/>
        </w:rPr>
      </w:pPr>
      <w:r>
        <w:rPr>
          <w:rFonts w:ascii="Times New Roman" w:hAnsi="Times New Roman" w:eastAsia="楷体_GB2312"/>
          <w:b/>
          <w:szCs w:val="32"/>
          <w:highlight w:val="none"/>
        </w:rPr>
        <w:t>——</w:t>
      </w:r>
      <w:r>
        <w:rPr>
          <w:rFonts w:hint="eastAsia" w:ascii="楷体_GB2312" w:eastAsia="楷体_GB2312" w:cs="楷体_GB2312"/>
          <w:b/>
          <w:bCs/>
          <w:color w:val="000000"/>
          <w:kern w:val="0"/>
          <w:szCs w:val="32"/>
          <w:highlight w:val="none"/>
          <w:lang w:val="zh-CN"/>
        </w:rPr>
        <w:t>财政效能建设持续强化。</w:t>
      </w:r>
      <w:r>
        <w:rPr>
          <w:rFonts w:ascii="Times New Roman" w:hAnsi="Times New Roman"/>
          <w:szCs w:val="32"/>
          <w:highlight w:val="none"/>
          <w:shd w:val="clear" w:color="auto" w:fill="FFFFFF"/>
        </w:rPr>
        <w:t>深化党风廉政建设，抓好反腐倡廉宣传教育工作。</w:t>
      </w:r>
      <w:r>
        <w:rPr>
          <w:rFonts w:ascii="Times New Roman" w:hAnsi="Times New Roman"/>
          <w:color w:val="000000"/>
          <w:szCs w:val="32"/>
          <w:highlight w:val="none"/>
          <w:lang w:bidi="zh-CN"/>
        </w:rPr>
        <w:t>持续推进作风整肃工作，推动财政系统干部职工作风大转变、效能大提升、环境大优化、事业大发展。</w:t>
      </w:r>
      <w:r>
        <w:rPr>
          <w:rFonts w:ascii="Times New Roman" w:hAnsi="Times New Roman"/>
          <w:szCs w:val="32"/>
          <w:highlight w:val="none"/>
          <w:shd w:val="clear" w:color="auto" w:fill="FFFFFF"/>
        </w:rPr>
        <w:t>深入推进党史学习教育，</w:t>
      </w:r>
      <w:r>
        <w:rPr>
          <w:rFonts w:ascii="Times New Roman" w:hAnsi="Times New Roman"/>
          <w:szCs w:val="32"/>
          <w:highlight w:val="none"/>
        </w:rPr>
        <w:t>加强理论武装，提升理论修养，强化政治自觉</w:t>
      </w:r>
      <w:r>
        <w:rPr>
          <w:rFonts w:hint="eastAsia" w:ascii="Times New Roman" w:hAnsi="Times New Roman"/>
          <w:szCs w:val="32"/>
          <w:highlight w:val="none"/>
        </w:rPr>
        <w:t>，</w:t>
      </w:r>
      <w:r>
        <w:rPr>
          <w:rFonts w:ascii="Times New Roman" w:hAnsi="Times New Roman"/>
          <w:szCs w:val="32"/>
          <w:highlight w:val="none"/>
        </w:rPr>
        <w:t>锤炼过硬本领</w:t>
      </w:r>
      <w:r>
        <w:rPr>
          <w:rFonts w:hint="eastAsia" w:ascii="Times New Roman" w:hAnsi="Times New Roman"/>
          <w:szCs w:val="32"/>
          <w:highlight w:val="none"/>
        </w:rPr>
        <w:t>，</w:t>
      </w:r>
      <w:r>
        <w:rPr>
          <w:rFonts w:ascii="Times New Roman" w:hAnsi="Times New Roman"/>
          <w:szCs w:val="32"/>
          <w:highlight w:val="none"/>
        </w:rPr>
        <w:t>勇担时代使命。</w:t>
      </w:r>
      <w:r>
        <w:rPr>
          <w:rFonts w:hint="eastAsia" w:ascii="Times New Roman" w:hAnsi="Times New Roman" w:cs="仿宋_GB2312"/>
          <w:color w:val="000000"/>
          <w:szCs w:val="32"/>
          <w:highlight w:val="none"/>
        </w:rPr>
        <w:t>抓好法治思想建设，</w:t>
      </w:r>
      <w:r>
        <w:rPr>
          <w:rFonts w:hint="eastAsia" w:ascii="Times New Roman" w:hAnsi="Times New Roman" w:cs="仿宋_GB2312"/>
          <w:color w:val="000000"/>
          <w:szCs w:val="32"/>
          <w:highlight w:val="none"/>
          <w:lang w:val="zh-CN"/>
        </w:rPr>
        <w:t>坚持依法行政、依法理财，财政法治建设水平有力提升。</w:t>
      </w:r>
    </w:p>
    <w:p>
      <w:pPr>
        <w:pBdr>
          <w:bottom w:val="single" w:color="FFFFFF" w:sz="4" w:space="31"/>
        </w:pBdr>
        <w:tabs>
          <w:tab w:val="left" w:pos="1440"/>
        </w:tabs>
        <w:adjustRightInd w:val="0"/>
        <w:snapToGrid w:val="0"/>
        <w:spacing w:line="560" w:lineRule="exact"/>
        <w:ind w:firstLine="640" w:firstLineChars="200"/>
        <w:rPr>
          <w:rFonts w:ascii="Times New Roman" w:hAnsi="Times New Roman"/>
          <w:color w:val="000000"/>
          <w:szCs w:val="32"/>
          <w:highlight w:val="none"/>
        </w:rPr>
      </w:pPr>
      <w:r>
        <w:rPr>
          <w:rFonts w:ascii="Times New Roman" w:hAnsi="Times New Roman"/>
          <w:szCs w:val="32"/>
          <w:highlight w:val="none"/>
        </w:rPr>
        <w:t>回顾这五年，是极不平凡的五年，是历尽千辛、硕果累累的五年。五年来，面对国内外风险挑战、宏观经济下行等严峻形</w:t>
      </w:r>
      <w:r>
        <w:rPr>
          <w:rFonts w:hint="eastAsia" w:ascii="Times New Roman" w:hAnsi="Times New Roman"/>
          <w:szCs w:val="32"/>
          <w:highlight w:val="none"/>
        </w:rPr>
        <w:t>势</w:t>
      </w:r>
      <w:r>
        <w:rPr>
          <w:rFonts w:ascii="Times New Roman" w:hAnsi="Times New Roman"/>
          <w:szCs w:val="32"/>
          <w:highlight w:val="none"/>
        </w:rPr>
        <w:t>，我们攻坚克难，砥砺前行；五年来，面对突发新冠肺炎疫情，我们强化责任担当，迎难而上；五年来，我们实施了更积极的财政政策，全力做好“三保”工作，推进各项重点项目建设，齐心协力共建“美美观山湖”。</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在肯定成绩的同时，我们也清醒地认识到存在许多问题和不足，还面临许多困难和挑战，主要是随着财政收入增速放缓</w:t>
      </w:r>
      <w:r>
        <w:rPr>
          <w:rFonts w:hint="eastAsia" w:ascii="Times New Roman" w:hAnsi="Times New Roman"/>
          <w:szCs w:val="32"/>
          <w:highlight w:val="none"/>
        </w:rPr>
        <w:t>而</w:t>
      </w:r>
      <w:r>
        <w:rPr>
          <w:rFonts w:ascii="Times New Roman" w:hAnsi="Times New Roman"/>
          <w:szCs w:val="32"/>
          <w:highlight w:val="none"/>
        </w:rPr>
        <w:t>支出</w:t>
      </w:r>
      <w:r>
        <w:rPr>
          <w:rFonts w:hint="eastAsia" w:ascii="Times New Roman" w:hAnsi="Times New Roman"/>
          <w:szCs w:val="32"/>
          <w:highlight w:val="none"/>
        </w:rPr>
        <w:t>需求加大</w:t>
      </w:r>
      <w:r>
        <w:rPr>
          <w:rFonts w:ascii="Times New Roman" w:hAnsi="Times New Roman"/>
          <w:szCs w:val="32"/>
          <w:highlight w:val="none"/>
        </w:rPr>
        <w:t>，财政收支平衡压力越来越大，</w:t>
      </w:r>
      <w:r>
        <w:rPr>
          <w:rFonts w:ascii="Times New Roman" w:hAnsi="Times New Roman"/>
          <w:color w:val="000000"/>
          <w:szCs w:val="32"/>
          <w:highlight w:val="none"/>
          <w:lang w:val="zh-CN"/>
        </w:rPr>
        <w:t>财政运行将持续处于“紧平衡”状态</w:t>
      </w:r>
      <w:r>
        <w:rPr>
          <w:rFonts w:hint="eastAsia" w:ascii="Times New Roman" w:hAnsi="Times New Roman"/>
          <w:color w:val="000000"/>
          <w:szCs w:val="32"/>
          <w:highlight w:val="none"/>
          <w:lang w:val="zh-CN"/>
        </w:rPr>
        <w:t>；</w:t>
      </w:r>
      <w:r>
        <w:rPr>
          <w:rFonts w:ascii="Times New Roman" w:hAnsi="Times New Roman"/>
          <w:szCs w:val="32"/>
          <w:highlight w:val="none"/>
        </w:rPr>
        <w:t>产业结构不尽合理，经济发展水平仍需提高;债务偿还压力较大，防范债务风险的任务非常艰巨</w:t>
      </w:r>
      <w:r>
        <w:rPr>
          <w:rFonts w:hint="eastAsia" w:ascii="Times New Roman" w:hAnsi="Times New Roman"/>
          <w:color w:val="000000"/>
          <w:szCs w:val="32"/>
          <w:highlight w:val="none"/>
          <w:lang w:val="zh-CN"/>
        </w:rPr>
        <w:t>。</w:t>
      </w:r>
      <w:r>
        <w:rPr>
          <w:rFonts w:ascii="Times New Roman" w:hAnsi="Times New Roman"/>
          <w:szCs w:val="32"/>
          <w:highlight w:val="none"/>
        </w:rPr>
        <w:t>对此，我们必须时刻保持清醒头脑，以问题为导向，以创新为抓手，破解发展难题，</w:t>
      </w:r>
      <w:r>
        <w:rPr>
          <w:rFonts w:hint="eastAsia" w:ascii="Times New Roman" w:hAnsi="Times New Roman"/>
          <w:szCs w:val="32"/>
          <w:highlight w:val="none"/>
        </w:rPr>
        <w:t>勇当“强省会”排头兵</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黑体"/>
          <w:bCs/>
          <w:szCs w:val="32"/>
          <w:highlight w:val="none"/>
        </w:rPr>
      </w:pPr>
      <w:r>
        <w:rPr>
          <w:rFonts w:ascii="Times New Roman" w:hAnsi="黑体" w:eastAsia="黑体"/>
          <w:bCs/>
          <w:szCs w:val="32"/>
          <w:highlight w:val="none"/>
        </w:rPr>
        <w:t>二、</w:t>
      </w:r>
      <w:r>
        <w:rPr>
          <w:rFonts w:ascii="Times New Roman" w:hAnsi="Times New Roman" w:eastAsia="黑体"/>
          <w:szCs w:val="32"/>
          <w:highlight w:val="none"/>
        </w:rPr>
        <w:t>2021</w:t>
      </w:r>
      <w:r>
        <w:rPr>
          <w:rFonts w:ascii="Times New Roman" w:hAnsi="黑体" w:eastAsia="黑体"/>
          <w:szCs w:val="32"/>
          <w:highlight w:val="none"/>
        </w:rPr>
        <w:t>年财政预算执行情况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目前，由于2021年</w:t>
      </w:r>
      <w:r>
        <w:rPr>
          <w:rFonts w:hint="eastAsia" w:ascii="Times New Roman" w:hAnsi="Times New Roman"/>
          <w:szCs w:val="32"/>
          <w:highlight w:val="none"/>
        </w:rPr>
        <w:t>财政收支事项、</w:t>
      </w:r>
      <w:r>
        <w:rPr>
          <w:rFonts w:ascii="Times New Roman" w:hAnsi="Times New Roman"/>
          <w:szCs w:val="32"/>
          <w:highlight w:val="none"/>
        </w:rPr>
        <w:t>上下级财政间结算事项</w:t>
      </w:r>
      <w:r>
        <w:rPr>
          <w:rFonts w:hint="eastAsia" w:ascii="Times New Roman" w:hAnsi="Times New Roman"/>
          <w:szCs w:val="32"/>
          <w:highlight w:val="none"/>
        </w:rPr>
        <w:t>均</w:t>
      </w:r>
      <w:r>
        <w:rPr>
          <w:rFonts w:ascii="Times New Roman" w:hAnsi="Times New Roman"/>
          <w:szCs w:val="32"/>
          <w:highlight w:val="none"/>
        </w:rPr>
        <w:t>未最终确定，为此，以下报告的2021年预算执行情况均为常态预计数。</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bCs/>
          <w:szCs w:val="32"/>
          <w:highlight w:val="none"/>
        </w:rPr>
      </w:pPr>
      <w:r>
        <w:rPr>
          <w:rFonts w:ascii="Times New Roman" w:hAnsi="Times New Roman" w:eastAsia="楷体_GB2312"/>
          <w:b/>
          <w:szCs w:val="32"/>
          <w:highlight w:val="none"/>
        </w:rPr>
        <w:t>（一）一般公共预算执行情况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全区财政总收入完成</w:t>
      </w:r>
      <w:r>
        <w:rPr>
          <w:rFonts w:hint="eastAsia" w:ascii="Times New Roman" w:hAnsi="Times New Roman"/>
          <w:szCs w:val="32"/>
          <w:highlight w:val="none"/>
        </w:rPr>
        <w:t>1770000</w:t>
      </w:r>
      <w:r>
        <w:rPr>
          <w:rFonts w:ascii="Times New Roman" w:hAnsi="Times New Roman"/>
          <w:szCs w:val="32"/>
          <w:highlight w:val="none"/>
        </w:rPr>
        <w:t>万元，同比增长</w:t>
      </w:r>
      <w:r>
        <w:rPr>
          <w:rFonts w:hint="eastAsia" w:ascii="Times New Roman" w:hAnsi="Times New Roman"/>
          <w:szCs w:val="32"/>
          <w:highlight w:val="none"/>
        </w:rPr>
        <w:t>13.32</w:t>
      </w:r>
      <w:r>
        <w:rPr>
          <w:rFonts w:ascii="Times New Roman" w:hAnsi="Times New Roman"/>
          <w:szCs w:val="32"/>
          <w:highlight w:val="none"/>
        </w:rPr>
        <w:t>%。全区一般公共预算收入完成</w:t>
      </w:r>
      <w:r>
        <w:rPr>
          <w:rFonts w:hint="eastAsia" w:ascii="Times New Roman" w:hAnsi="Times New Roman"/>
          <w:szCs w:val="32"/>
          <w:highlight w:val="none"/>
        </w:rPr>
        <w:t>580000</w:t>
      </w:r>
      <w:r>
        <w:rPr>
          <w:rFonts w:ascii="Times New Roman" w:hAnsi="Times New Roman"/>
          <w:szCs w:val="32"/>
          <w:highlight w:val="none"/>
        </w:rPr>
        <w:t>万元，同比增长</w:t>
      </w:r>
      <w:r>
        <w:rPr>
          <w:rFonts w:hint="eastAsia" w:ascii="Times New Roman" w:hAnsi="Times New Roman"/>
          <w:szCs w:val="32"/>
          <w:highlight w:val="none"/>
        </w:rPr>
        <w:t>7.58</w:t>
      </w:r>
      <w:r>
        <w:rPr>
          <w:rFonts w:ascii="Times New Roman" w:hAnsi="Times New Roman"/>
          <w:szCs w:val="32"/>
          <w:highlight w:val="none"/>
        </w:rPr>
        <w:t>%，其中：税收收入完成</w:t>
      </w:r>
      <w:r>
        <w:rPr>
          <w:rFonts w:hint="eastAsia" w:ascii="Times New Roman" w:hAnsi="Times New Roman"/>
          <w:szCs w:val="32"/>
          <w:highlight w:val="none"/>
        </w:rPr>
        <w:t>482970</w:t>
      </w:r>
      <w:r>
        <w:rPr>
          <w:rFonts w:ascii="Times New Roman" w:hAnsi="Times New Roman"/>
          <w:szCs w:val="32"/>
          <w:highlight w:val="none"/>
        </w:rPr>
        <w:t>万元，同比增长</w:t>
      </w:r>
      <w:r>
        <w:rPr>
          <w:rFonts w:hint="eastAsia" w:ascii="Times New Roman" w:hAnsi="Times New Roman"/>
          <w:szCs w:val="32"/>
          <w:highlight w:val="none"/>
        </w:rPr>
        <w:t>8.08</w:t>
      </w:r>
      <w:r>
        <w:rPr>
          <w:rFonts w:ascii="Times New Roman" w:hAnsi="Times New Roman"/>
          <w:szCs w:val="32"/>
          <w:highlight w:val="none"/>
        </w:rPr>
        <w:t>%；非税收入完成</w:t>
      </w:r>
      <w:r>
        <w:rPr>
          <w:rFonts w:hint="eastAsia" w:ascii="Times New Roman" w:hAnsi="Times New Roman"/>
          <w:szCs w:val="32"/>
          <w:highlight w:val="none"/>
        </w:rPr>
        <w:t>97030</w:t>
      </w:r>
      <w:r>
        <w:rPr>
          <w:rFonts w:ascii="Times New Roman" w:hAnsi="Times New Roman"/>
          <w:szCs w:val="32"/>
          <w:highlight w:val="none"/>
        </w:rPr>
        <w:t>万元，同比增长</w:t>
      </w:r>
      <w:r>
        <w:rPr>
          <w:rFonts w:hint="eastAsia" w:ascii="Times New Roman" w:hAnsi="Times New Roman"/>
          <w:szCs w:val="32"/>
          <w:highlight w:val="none"/>
        </w:rPr>
        <w:t>5.15</w:t>
      </w:r>
      <w:r>
        <w:rPr>
          <w:rFonts w:ascii="Times New Roman" w:hAnsi="Times New Roman"/>
          <w:szCs w:val="32"/>
          <w:highlight w:val="none"/>
        </w:rPr>
        <w:t>%</w:t>
      </w:r>
      <w:r>
        <w:rPr>
          <w:rFonts w:hint="eastAsia" w:ascii="Times New Roman" w:hAnsi="Times New Roman"/>
          <w:szCs w:val="32"/>
          <w:highlight w:val="none"/>
        </w:rPr>
        <w:t>。</w:t>
      </w:r>
      <w:r>
        <w:rPr>
          <w:rFonts w:ascii="Times New Roman" w:hAnsi="Times New Roman"/>
          <w:szCs w:val="32"/>
          <w:highlight w:val="none"/>
        </w:rPr>
        <w:t>全区一般公共预算支出完成762475万元，同比增长1.72%。</w:t>
      </w:r>
    </w:p>
    <w:p>
      <w:pPr>
        <w:pBdr>
          <w:bottom w:val="single" w:color="FFFFFF" w:sz="4" w:space="31"/>
        </w:pBdr>
        <w:tabs>
          <w:tab w:val="left" w:pos="1440"/>
        </w:tabs>
        <w:adjustRightInd w:val="0"/>
        <w:snapToGrid w:val="0"/>
        <w:spacing w:line="560" w:lineRule="exact"/>
        <w:ind w:firstLine="640" w:firstLineChars="200"/>
        <w:rPr>
          <w:rFonts w:ascii="Times New Roman" w:hAnsi="Times New Roman"/>
          <w:kern w:val="0"/>
          <w:szCs w:val="32"/>
          <w:highlight w:val="none"/>
        </w:rPr>
      </w:pPr>
      <w:r>
        <w:rPr>
          <w:rFonts w:ascii="Times New Roman" w:hAnsi="Times New Roman"/>
          <w:kern w:val="0"/>
          <w:szCs w:val="32"/>
          <w:highlight w:val="none"/>
        </w:rPr>
        <w:t>区本级一般公共预算收入完成</w:t>
      </w:r>
      <w:r>
        <w:rPr>
          <w:rFonts w:hint="eastAsia" w:ascii="Times New Roman" w:hAnsi="Times New Roman"/>
          <w:kern w:val="0"/>
          <w:szCs w:val="32"/>
          <w:highlight w:val="none"/>
        </w:rPr>
        <w:t>554000</w:t>
      </w:r>
      <w:r>
        <w:rPr>
          <w:rFonts w:ascii="Times New Roman" w:hAnsi="Times New Roman"/>
          <w:kern w:val="0"/>
          <w:szCs w:val="32"/>
          <w:highlight w:val="none"/>
        </w:rPr>
        <w:t>万元，为预算（经区人大通过的调整预算，下同）的</w:t>
      </w:r>
      <w:r>
        <w:rPr>
          <w:rFonts w:hint="eastAsia" w:ascii="Times New Roman" w:hAnsi="Times New Roman"/>
          <w:kern w:val="0"/>
          <w:szCs w:val="32"/>
          <w:highlight w:val="none"/>
        </w:rPr>
        <w:t>102.41</w:t>
      </w:r>
      <w:r>
        <w:rPr>
          <w:rFonts w:ascii="Times New Roman" w:hAnsi="Times New Roman"/>
          <w:kern w:val="0"/>
          <w:szCs w:val="32"/>
          <w:highlight w:val="none"/>
        </w:rPr>
        <w:t>%，同比增长</w:t>
      </w:r>
      <w:r>
        <w:rPr>
          <w:rFonts w:hint="eastAsia" w:ascii="Times New Roman" w:hAnsi="Times New Roman"/>
          <w:kern w:val="0"/>
          <w:szCs w:val="32"/>
          <w:highlight w:val="none"/>
        </w:rPr>
        <w:t>7.38</w:t>
      </w:r>
      <w:r>
        <w:rPr>
          <w:rFonts w:ascii="Times New Roman" w:hAnsi="Times New Roman"/>
          <w:kern w:val="0"/>
          <w:szCs w:val="32"/>
          <w:highlight w:val="none"/>
        </w:rPr>
        <w:t>%。加上级补助收入</w:t>
      </w:r>
      <w:r>
        <w:rPr>
          <w:rFonts w:hint="eastAsia" w:ascii="Times New Roman" w:hAnsi="Times New Roman"/>
          <w:kern w:val="0"/>
          <w:szCs w:val="32"/>
          <w:highlight w:val="none"/>
        </w:rPr>
        <w:t>239577</w:t>
      </w:r>
      <w:r>
        <w:rPr>
          <w:rFonts w:ascii="Times New Roman" w:hAnsi="Times New Roman"/>
          <w:kern w:val="0"/>
          <w:szCs w:val="32"/>
          <w:highlight w:val="none"/>
        </w:rPr>
        <w:t>万元，上年结转9826万元，调入预算稳定调节基金65468万元，调入资金6402万元，下级上解10100万元，新增一般债券7505万元，地方政府一般债务转贷收入11080万元，收入合计</w:t>
      </w:r>
      <w:r>
        <w:rPr>
          <w:rFonts w:hint="eastAsia" w:ascii="Times New Roman" w:hAnsi="Times New Roman"/>
          <w:kern w:val="0"/>
          <w:szCs w:val="32"/>
          <w:highlight w:val="none"/>
        </w:rPr>
        <w:t>903958</w:t>
      </w:r>
      <w:r>
        <w:rPr>
          <w:rFonts w:ascii="Times New Roman" w:hAnsi="Times New Roman"/>
          <w:kern w:val="0"/>
          <w:szCs w:val="32"/>
          <w:highlight w:val="none"/>
        </w:rPr>
        <w:t>元。一般公共预算支出完成735710万元，上解支出</w:t>
      </w:r>
      <w:r>
        <w:rPr>
          <w:rFonts w:hint="eastAsia" w:ascii="Times New Roman" w:hAnsi="Times New Roman"/>
          <w:kern w:val="0"/>
          <w:szCs w:val="32"/>
          <w:highlight w:val="none"/>
        </w:rPr>
        <w:t>69236</w:t>
      </w:r>
      <w:r>
        <w:rPr>
          <w:rFonts w:ascii="Times New Roman" w:hAnsi="Times New Roman"/>
          <w:kern w:val="0"/>
          <w:szCs w:val="32"/>
          <w:highlight w:val="none"/>
        </w:rPr>
        <w:t>万元，补助下级支出9127万元，补充预算稳定调节基金</w:t>
      </w:r>
      <w:r>
        <w:rPr>
          <w:rFonts w:hint="eastAsia" w:ascii="Times New Roman" w:hAnsi="Times New Roman"/>
          <w:kern w:val="0"/>
          <w:szCs w:val="32"/>
          <w:highlight w:val="none"/>
        </w:rPr>
        <w:t>53435</w:t>
      </w:r>
      <w:r>
        <w:rPr>
          <w:rFonts w:ascii="Times New Roman" w:hAnsi="Times New Roman"/>
          <w:kern w:val="0"/>
          <w:szCs w:val="32"/>
          <w:highlight w:val="none"/>
        </w:rPr>
        <w:t>万元，地方政府一般债务还本支出11080万元，年终滚存结余</w:t>
      </w:r>
      <w:r>
        <w:rPr>
          <w:rFonts w:hint="eastAsia" w:ascii="Times New Roman" w:hAnsi="Times New Roman"/>
          <w:kern w:val="0"/>
          <w:szCs w:val="32"/>
          <w:highlight w:val="none"/>
        </w:rPr>
        <w:t>25370</w:t>
      </w:r>
      <w:r>
        <w:rPr>
          <w:rFonts w:ascii="Times New Roman" w:hAnsi="Times New Roman"/>
          <w:kern w:val="0"/>
          <w:szCs w:val="32"/>
          <w:highlight w:val="none"/>
        </w:rPr>
        <w:t>万元（全部为结转下年上级专款），全年财政收支平衡。</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1.收入方面：</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税收收入完成45</w:t>
      </w:r>
      <w:r>
        <w:rPr>
          <w:rFonts w:hint="eastAsia" w:ascii="Times New Roman" w:hAnsi="Times New Roman"/>
          <w:szCs w:val="32"/>
          <w:highlight w:val="none"/>
        </w:rPr>
        <w:t>6970</w:t>
      </w:r>
      <w:r>
        <w:rPr>
          <w:rFonts w:ascii="Times New Roman" w:hAnsi="Times New Roman"/>
          <w:szCs w:val="32"/>
          <w:highlight w:val="none"/>
        </w:rPr>
        <w:t>万元，为预算的</w:t>
      </w:r>
      <w:r>
        <w:rPr>
          <w:rFonts w:hint="eastAsia" w:ascii="Times New Roman" w:hAnsi="Times New Roman"/>
          <w:szCs w:val="32"/>
          <w:highlight w:val="none"/>
        </w:rPr>
        <w:t>102.21</w:t>
      </w:r>
      <w:r>
        <w:rPr>
          <w:rFonts w:ascii="Times New Roman" w:hAnsi="Times New Roman"/>
          <w:szCs w:val="32"/>
          <w:highlight w:val="none"/>
        </w:rPr>
        <w:t>%，同比增长</w:t>
      </w:r>
      <w:r>
        <w:rPr>
          <w:rFonts w:hint="eastAsia" w:ascii="Times New Roman" w:hAnsi="Times New Roman"/>
          <w:szCs w:val="32"/>
          <w:highlight w:val="none"/>
        </w:rPr>
        <w:t>7.78</w:t>
      </w:r>
      <w:r>
        <w:rPr>
          <w:rFonts w:ascii="Times New Roman" w:hAnsi="Times New Roman"/>
          <w:szCs w:val="32"/>
          <w:highlight w:val="none"/>
        </w:rPr>
        <w:t>%；非税收入完成</w:t>
      </w:r>
      <w:r>
        <w:rPr>
          <w:rFonts w:hint="eastAsia" w:ascii="Times New Roman" w:hAnsi="Times New Roman"/>
          <w:szCs w:val="32"/>
          <w:highlight w:val="none"/>
        </w:rPr>
        <w:t>97030</w:t>
      </w:r>
      <w:r>
        <w:rPr>
          <w:rFonts w:ascii="Times New Roman" w:hAnsi="Times New Roman"/>
          <w:szCs w:val="32"/>
          <w:highlight w:val="none"/>
        </w:rPr>
        <w:t>万元，为预算的</w:t>
      </w:r>
      <w:r>
        <w:rPr>
          <w:rFonts w:hint="eastAsia" w:ascii="Times New Roman" w:hAnsi="Times New Roman"/>
          <w:szCs w:val="32"/>
          <w:highlight w:val="none"/>
        </w:rPr>
        <w:t>103.37</w:t>
      </w:r>
      <w:r>
        <w:rPr>
          <w:rFonts w:ascii="Times New Roman" w:hAnsi="Times New Roman"/>
          <w:szCs w:val="32"/>
          <w:highlight w:val="none"/>
        </w:rPr>
        <w:t>%，同比增长</w:t>
      </w:r>
      <w:r>
        <w:rPr>
          <w:rFonts w:hint="eastAsia" w:ascii="Times New Roman" w:hAnsi="Times New Roman"/>
          <w:szCs w:val="32"/>
          <w:highlight w:val="none"/>
        </w:rPr>
        <w:t>5.54</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2.支出方面：</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一般公共预算支出完成735710万元，减上级专款106943万元，加下达镇专款513万元，实际完成629280万元，为预算的96.3%，同比增长2.81%。按功能科目分类完成情况如下：</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（1）一般公共服务支出92196万元，减上级专款338万元，实际完成91858万元，为预算的94.48%，同比下降5.43%。</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（2）国防支出890万元，为预算的98.34%，同比增长7.1%。</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（3）公共安全支出27714万元，减上级专款1019万元，实际完成26695万元，为预算的93.64%，同比下降9.78%。</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（4）教育支出99471万元，减上级专款17752万元，实际完成81719万元，为预算的95.34%，同比增长14.74%。主要是加大教育资金投入，推动教育优质均衡发展。</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（5）科学技术支出73608万元，减上级专款38115万元，实际完成35493万元，为预算的99.63%，同比增长6.38%。</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（6）文化旅游体育与传媒支出8899万元，减上级专款572万元，实际完成8327万元，为预算的98.44%，与去年基本持平。</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（7）社会保障和就业支出37872万元，减上级专款7108万元，实际完成30764万元，为预算的96.09%，同比增长14.76%。主要是加大街道办事处保障力度。</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（8）卫生健康支出29264万元，减上级专款4196万元，实际完成25068万元，为预算的96.16%，同比下降1.94%。</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（9）节能环保支出9992万元，减上级专款4124万元，实际完成5868万元，为预算的91.43%，同比增长4.01%。</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（10）城乡社区支出221670万元，减上级专款1848万元，加转下镇113万元，实际完成219935万元，为预算的97.27%，同比下降2.65%。</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（11）农林水支出23599万元，减上级专款9254万元，加下达镇400万元，实际完成14745万元，为预算的96.86%，加上级专款后与上年持平。</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（12）交通运输支出4919万元，为预算的90.74%，同比下降3.26%。</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（13）资源勘探工业信息等支出29561万元，减上级专款6169万元，实际完成23392万元，为预算的95.06%，同比下降1.32%。</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（14）商业服务业等支出2103万元，减上级专款100万元，实际完成2003万元，为预算的82.5%。</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（15）自然资源海洋气象等支出2143万元，为预算的92.89%，同比增长46.78%。</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（16）住房保障支出45350万元，减上级专款5450万元，实际完成39900万元，为预算的98.79%，同比增长65.58%。主要是增加棚户区改造资金。</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（17）粮油物资储备支出755万元，为预算的92.87%，同比增长37.77%。主要是增加按期轮换的粮食储备量。</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（18）灾害防治及应急管理支出5316万元，减上级专款52万元，实际完成5264万元，为预算的92.37%，同比增长16.54%。主要是加大了灾害防治和应急经费投入。</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（19）其他支出10846万元，全为上级专款。</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（20）债务付息支出9522万元</w:t>
      </w:r>
      <w:r>
        <w:rPr>
          <w:rFonts w:hint="eastAsia" w:ascii="Times New Roman" w:hAnsi="Times New Roman"/>
          <w:szCs w:val="32"/>
          <w:highlight w:val="none"/>
        </w:rPr>
        <w:t>，</w:t>
      </w:r>
      <w:r>
        <w:rPr>
          <w:rFonts w:ascii="Times New Roman" w:hAnsi="Times New Roman"/>
          <w:szCs w:val="32"/>
          <w:highlight w:val="none"/>
        </w:rPr>
        <w:t>为预算的100%。</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（21）债务发行费用支出20万元</w:t>
      </w:r>
      <w:r>
        <w:rPr>
          <w:rFonts w:hint="eastAsia" w:ascii="Times New Roman" w:hAnsi="Times New Roman"/>
          <w:szCs w:val="32"/>
          <w:highlight w:val="none"/>
        </w:rPr>
        <w:t>，</w:t>
      </w:r>
      <w:r>
        <w:rPr>
          <w:rFonts w:ascii="Times New Roman" w:hAnsi="Times New Roman"/>
          <w:szCs w:val="32"/>
          <w:highlight w:val="none"/>
        </w:rPr>
        <w:t>为预算的86.96%。</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bCs/>
          <w:szCs w:val="32"/>
          <w:highlight w:val="none"/>
        </w:rPr>
      </w:pPr>
      <w:r>
        <w:rPr>
          <w:rFonts w:ascii="Times New Roman" w:hAnsi="Times New Roman" w:eastAsia="楷体_GB2312"/>
          <w:b/>
          <w:szCs w:val="32"/>
          <w:highlight w:val="none"/>
        </w:rPr>
        <w:t>（二）政府性基金预算执行情况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全区政府性基金收入完成109762万元，同比增长84.31%。政府性基金支出完成389</w:t>
      </w:r>
      <w:r>
        <w:rPr>
          <w:rFonts w:hint="eastAsia" w:ascii="Times New Roman" w:hAnsi="Times New Roman"/>
          <w:szCs w:val="32"/>
          <w:highlight w:val="none"/>
        </w:rPr>
        <w:t>771</w:t>
      </w:r>
      <w:r>
        <w:rPr>
          <w:rFonts w:ascii="Times New Roman" w:hAnsi="Times New Roman"/>
          <w:szCs w:val="32"/>
          <w:highlight w:val="none"/>
        </w:rPr>
        <w:t>万元，同比增长14.</w:t>
      </w:r>
      <w:r>
        <w:rPr>
          <w:rFonts w:hint="eastAsia" w:ascii="Times New Roman" w:hAnsi="Times New Roman"/>
          <w:szCs w:val="32"/>
          <w:highlight w:val="none"/>
        </w:rPr>
        <w:t>5</w:t>
      </w:r>
      <w:r>
        <w:rPr>
          <w:rFonts w:ascii="Times New Roman" w:hAnsi="Times New Roman"/>
          <w:szCs w:val="32"/>
          <w:highlight w:val="none"/>
        </w:rPr>
        <w:t>8%。</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区本级政府性基金收入完成109762万元，加上级专款232114万元，新增专项债券43611万元，上年结余20386万元，地方政府专项债务转贷收入302676万元，</w:t>
      </w:r>
      <w:r>
        <w:rPr>
          <w:rFonts w:ascii="Times New Roman" w:hAnsi="Times New Roman"/>
          <w:kern w:val="0"/>
          <w:szCs w:val="32"/>
          <w:highlight w:val="none"/>
        </w:rPr>
        <w:t>收入合计708549万元。</w:t>
      </w:r>
      <w:r>
        <w:rPr>
          <w:rFonts w:ascii="Times New Roman" w:hAnsi="Times New Roman"/>
          <w:szCs w:val="32"/>
          <w:highlight w:val="none"/>
        </w:rPr>
        <w:t>政府性基金支出完成389759万元，上解上级支出113</w:t>
      </w:r>
      <w:r>
        <w:rPr>
          <w:rFonts w:hint="eastAsia" w:ascii="Times New Roman" w:hAnsi="Times New Roman"/>
          <w:szCs w:val="32"/>
          <w:highlight w:val="none"/>
        </w:rPr>
        <w:t>0</w:t>
      </w:r>
      <w:r>
        <w:rPr>
          <w:rFonts w:ascii="Times New Roman" w:hAnsi="Times New Roman"/>
          <w:szCs w:val="32"/>
          <w:highlight w:val="none"/>
        </w:rPr>
        <w:t>万元，调出资金6402万元，地方政府专项债务还本支出302676万元，政府性基金结余85</w:t>
      </w:r>
      <w:r>
        <w:rPr>
          <w:rFonts w:hint="eastAsia" w:ascii="Times New Roman" w:hAnsi="Times New Roman"/>
          <w:szCs w:val="32"/>
          <w:highlight w:val="none"/>
        </w:rPr>
        <w:t>82</w:t>
      </w:r>
      <w:r>
        <w:rPr>
          <w:rFonts w:ascii="Times New Roman" w:hAnsi="Times New Roman"/>
          <w:szCs w:val="32"/>
          <w:highlight w:val="none"/>
        </w:rPr>
        <w:t>万元。具体如下：</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政府性基金收入完成109762万元，为预算的40.62%，同比增长84.31%。其中：国有土地使用权出让收入92684万元，国有土地收益基金收入920万元，农业土地开发资金收入389万元，城市基础设施配套费收入12269万元，污水处理费收入2万元等。</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（2）政府性基金支出完成389759万元，减上级专款290867万元，实际完成98892万元。其中：国有土地使用权出让收入安排的支出91417万元，城市基础设施配套费支出4581万元，其他各项基金支出2894万元。</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（三）国有资本经营预算执行情况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国有资本经营预算收入完成2000万元，加上级补助收入123万元，收入总计2123万元；国有资本经营预算支出2000万元，结转下年123万元，全年收支平衡。</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（四）社会保险基金预算执行情况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szCs w:val="32"/>
          <w:highlight w:val="none"/>
        </w:rPr>
        <w:t>社会保险基金收入预计9128万元（均为机关事业单位基本养老保险基金收入</w:t>
      </w:r>
      <w:r>
        <w:rPr>
          <w:rFonts w:hint="eastAsia" w:ascii="Times New Roman" w:hAnsi="Times New Roman"/>
          <w:szCs w:val="32"/>
          <w:highlight w:val="none"/>
        </w:rPr>
        <w:t>，其他社会保险基金预算执行情况由市级统筹</w:t>
      </w:r>
      <w:r>
        <w:rPr>
          <w:rFonts w:ascii="Times New Roman" w:hAnsi="Times New Roman"/>
          <w:szCs w:val="32"/>
          <w:highlight w:val="none"/>
        </w:rPr>
        <w:t>），上年结余18995万元，支出6268万元，滚存结余21855万元。</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（五）政府债务情况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截止2021年末，我区政府债务余额为2491614万元，政府债券余额2491614万元，其中：一般债券258902万元、专项债券2232712万元。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bCs/>
          <w:szCs w:val="32"/>
          <w:highlight w:val="none"/>
        </w:rPr>
      </w:pPr>
      <w:r>
        <w:rPr>
          <w:rFonts w:ascii="Times New Roman" w:hAnsi="Times New Roman"/>
          <w:highlight w:val="none"/>
        </w:rPr>
        <w:t>我区共获得新增政府债券额度51116万元，其中：一般债券7505万元，安排用于小湾河环境综合整治工程PPP项目；专项债券43611万元，安排用于观山湖区干井棚户区改造项目。</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黑体"/>
          <w:bCs/>
          <w:szCs w:val="32"/>
          <w:highlight w:val="none"/>
        </w:rPr>
      </w:pPr>
      <w:r>
        <w:rPr>
          <w:rFonts w:ascii="Times New Roman" w:hAnsi="Times New Roman" w:eastAsia="黑体"/>
          <w:szCs w:val="32"/>
          <w:highlight w:val="none"/>
        </w:rPr>
        <w:t>三、2021年财政工作完成情况</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（一）聚焦高质量发展，多措并举聚财力</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rPr>
      </w:pPr>
      <w:r>
        <w:rPr>
          <w:rFonts w:ascii="Times New Roman" w:hAnsi="Times New Roman"/>
          <w:b/>
          <w:bCs/>
          <w:color w:val="333333"/>
          <w:szCs w:val="32"/>
          <w:highlight w:val="none"/>
        </w:rPr>
        <w:t>一是</w:t>
      </w:r>
      <w:r>
        <w:rPr>
          <w:rFonts w:ascii="Times New Roman" w:hAnsi="Times New Roman"/>
          <w:szCs w:val="32"/>
          <w:highlight w:val="none"/>
        </w:rPr>
        <w:t>提高财政收入质量，夯实财政可持续发展基础</w:t>
      </w:r>
      <w:r>
        <w:rPr>
          <w:rFonts w:hint="eastAsia" w:ascii="Times New Roman" w:hAnsi="Times New Roman"/>
          <w:szCs w:val="32"/>
          <w:highlight w:val="none"/>
        </w:rPr>
        <w:t>。不折不扣落实减税降费政策，加大对各类涉企收费的清理工作，坚决做到“涉企收费进清单、清单之外无收费”，确保财政政策全面提质增效，助力实体经济发展。</w:t>
      </w:r>
      <w:r>
        <w:rPr>
          <w:rFonts w:hint="eastAsia" w:ascii="Times New Roman" w:hAnsi="Times New Roman"/>
          <w:b/>
          <w:szCs w:val="32"/>
          <w:highlight w:val="none"/>
        </w:rPr>
        <w:t>二是</w:t>
      </w:r>
      <w:r>
        <w:rPr>
          <w:rFonts w:hint="eastAsia" w:ascii="Times New Roman" w:hAnsi="Times New Roman"/>
          <w:szCs w:val="32"/>
          <w:highlight w:val="none"/>
        </w:rPr>
        <w:t>紧抓政策机遇，加大力度争取中央、省、市资金支持，争取到中央专项债券资金4.36亿元，加大了我区建设资金保障力度。</w:t>
      </w:r>
      <w:r>
        <w:rPr>
          <w:rFonts w:hint="eastAsia" w:ascii="Times New Roman" w:hAnsi="Times New Roman"/>
          <w:b/>
          <w:szCs w:val="32"/>
          <w:highlight w:val="none"/>
        </w:rPr>
        <w:t>三是</w:t>
      </w:r>
      <w:r>
        <w:rPr>
          <w:rFonts w:hint="eastAsia" w:ascii="Times New Roman" w:hAnsi="Times New Roman"/>
          <w:szCs w:val="32"/>
          <w:highlight w:val="none"/>
        </w:rPr>
        <w:t>加强财政资金动态监控，建立“定期清理、限期使用、超期收回”长效机制，清理回收的资金主要用于为民办实事和重点项目建设，进一步弥补公共预算财力缺口，不断增强财政保障能力。</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（二）聚焦“三保”任务，精打细算保民生</w:t>
      </w:r>
    </w:p>
    <w:p>
      <w:pPr>
        <w:pBdr>
          <w:bottom w:val="single" w:color="FFFFFF" w:sz="4" w:space="31"/>
        </w:pBdr>
        <w:tabs>
          <w:tab w:val="left" w:pos="1440"/>
        </w:tabs>
        <w:adjustRightInd w:val="0"/>
        <w:snapToGrid w:val="0"/>
        <w:spacing w:line="560" w:lineRule="exact"/>
        <w:ind w:firstLine="643" w:firstLineChars="200"/>
        <w:rPr>
          <w:rFonts w:ascii="仿宋_GB2312" w:hAnsi="仿宋" w:cs="仿宋_GB2312"/>
          <w:color w:val="000000"/>
          <w:szCs w:val="32"/>
          <w:highlight w:val="none"/>
        </w:rPr>
      </w:pPr>
      <w:r>
        <w:rPr>
          <w:rFonts w:hint="eastAsia" w:ascii="仿宋_GB2312" w:hAnsi="仿宋" w:cs="仿宋_GB2312"/>
          <w:b/>
          <w:bCs/>
          <w:color w:val="000000"/>
          <w:szCs w:val="32"/>
          <w:highlight w:val="none"/>
        </w:rPr>
        <w:t>一是</w:t>
      </w:r>
      <w:r>
        <w:rPr>
          <w:rFonts w:hint="eastAsia" w:ascii="仿宋_GB2312" w:hAnsi="仿宋" w:cs="仿宋_GB2312"/>
          <w:color w:val="000000"/>
          <w:szCs w:val="32"/>
          <w:highlight w:val="none"/>
        </w:rPr>
        <w:t>坚持保重点、控一般、促统筹、提绩效，树牢过“紧日子”思想，大力压减一般性支出，从严从紧控制“三公”经费</w:t>
      </w:r>
      <w:r>
        <w:rPr>
          <w:rFonts w:hint="eastAsia" w:ascii="Times New Roman" w:hAnsi="Times New Roman"/>
          <w:szCs w:val="32"/>
          <w:highlight w:val="none"/>
        </w:rPr>
        <w:t>。</w:t>
      </w:r>
      <w:r>
        <w:rPr>
          <w:rFonts w:hint="eastAsia" w:ascii="Times New Roman" w:hAnsi="Times New Roman"/>
          <w:b/>
          <w:szCs w:val="32"/>
          <w:highlight w:val="none"/>
        </w:rPr>
        <w:t>二</w:t>
      </w:r>
      <w:r>
        <w:rPr>
          <w:rFonts w:ascii="Times New Roman" w:hAnsi="Times New Roman"/>
          <w:b/>
          <w:szCs w:val="32"/>
          <w:highlight w:val="none"/>
        </w:rPr>
        <w:t>是</w:t>
      </w:r>
      <w:r>
        <w:rPr>
          <w:rFonts w:hint="eastAsia" w:ascii="Times New Roman" w:hAnsi="Times New Roman"/>
          <w:bCs/>
          <w:color w:val="333333"/>
          <w:highlight w:val="none"/>
        </w:rPr>
        <w:t>突出保基本、兜底线、重民生，</w:t>
      </w:r>
      <w:r>
        <w:rPr>
          <w:rFonts w:hint="eastAsia" w:ascii="仿宋_GB2312" w:hAnsi="仿宋" w:cs="仿宋_GB2312"/>
          <w:color w:val="000000"/>
          <w:szCs w:val="32"/>
          <w:highlight w:val="none"/>
        </w:rPr>
        <w:t>切实兜牢“三保”底线。把教育摆在突出位置，全年教育投入14亿元。支持医疗卫生事业优质发展，全年医疗卫生投入近3亿元。支持稳就业、促发展，有序推进社会保障事业高质量可持续发展，全年社会保障投入近4亿元。积极开展“三感社区”创建，推动养老事业和养老产业协同发展。目前已完成“三感社区”创建三个点的市级验收。</w:t>
      </w:r>
      <w:r>
        <w:rPr>
          <w:rFonts w:hint="eastAsia" w:ascii="仿宋_GB2312" w:hAnsi="仿宋" w:cs="仿宋_GB2312"/>
          <w:b/>
          <w:bCs/>
          <w:color w:val="000000"/>
          <w:szCs w:val="32"/>
          <w:highlight w:val="none"/>
        </w:rPr>
        <w:t>三是</w:t>
      </w:r>
      <w:r>
        <w:rPr>
          <w:rFonts w:hint="eastAsia" w:ascii="仿宋_GB2312" w:hAnsi="仿宋" w:cs="仿宋_GB2312"/>
          <w:color w:val="000000"/>
          <w:szCs w:val="32"/>
          <w:highlight w:val="none"/>
        </w:rPr>
        <w:t>采取“线上监测、线下督导”有机结合方式，推动直达资金使用一竿子插到底、一个系统管到底，实现资金运行过程可记录、风险可预警、责任可追溯。</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（三）聚焦乡村振兴，提升巩固见成效</w:t>
      </w:r>
    </w:p>
    <w:p>
      <w:pPr>
        <w:pBdr>
          <w:bottom w:val="single" w:color="FFFFFF" w:sz="4" w:space="31"/>
        </w:pBdr>
        <w:tabs>
          <w:tab w:val="left" w:pos="1440"/>
        </w:tabs>
        <w:adjustRightInd w:val="0"/>
        <w:snapToGrid w:val="0"/>
        <w:spacing w:line="560" w:lineRule="exact"/>
        <w:ind w:firstLine="643" w:firstLineChars="200"/>
        <w:rPr>
          <w:rFonts w:ascii="Times New Roman" w:hAnsi="Times New Roman"/>
          <w:color w:val="000000"/>
          <w:highlight w:val="none"/>
        </w:rPr>
      </w:pPr>
      <w:r>
        <w:rPr>
          <w:rFonts w:ascii="Times New Roman" w:hAnsi="Times New Roman"/>
          <w:b/>
          <w:bCs/>
          <w:color w:val="000000"/>
          <w:szCs w:val="32"/>
          <w:highlight w:val="none"/>
        </w:rPr>
        <w:t>一是</w:t>
      </w:r>
      <w:r>
        <w:rPr>
          <w:rFonts w:hint="eastAsia" w:ascii="仿宋_GB2312" w:hAnsi="宋体" w:cs="宋体"/>
          <w:szCs w:val="32"/>
          <w:highlight w:val="none"/>
        </w:rPr>
        <w:t>持续加大农业农村资金投入。巩固脱贫攻坚成果与乡村振兴有效衔接，投入农业农村资金5亿余元，稳步推进乡村振兴建设。</w:t>
      </w:r>
      <w:r>
        <w:rPr>
          <w:rFonts w:hint="eastAsia" w:ascii="仿宋_GB2312" w:hAnsi="宋体" w:cs="宋体"/>
          <w:b/>
          <w:bCs/>
          <w:szCs w:val="32"/>
          <w:highlight w:val="none"/>
        </w:rPr>
        <w:t>二是</w:t>
      </w:r>
      <w:r>
        <w:rPr>
          <w:rFonts w:hint="eastAsia" w:ascii="仿宋_GB2312" w:hAnsi="宋体" w:cs="宋体"/>
          <w:szCs w:val="32"/>
          <w:highlight w:val="none"/>
        </w:rPr>
        <w:t>出台政策助力乡村振兴。出台了《观山湖区支持乡村振兴发展的十条扶持措施》，聚焦产业、特色业态、人才、村集体四方面给予资金支持，有力</w:t>
      </w:r>
      <w:r>
        <w:rPr>
          <w:rFonts w:ascii="Times New Roman" w:hAnsi="Times New Roman" w:eastAsia="仿宋" w:cs="Arial"/>
          <w:szCs w:val="32"/>
          <w:highlight w:val="none"/>
        </w:rPr>
        <w:t>推动农村一二三产业融合发展</w:t>
      </w:r>
      <w:r>
        <w:rPr>
          <w:rFonts w:hint="eastAsia" w:ascii="仿宋_GB2312" w:hAnsi="宋体" w:cs="宋体"/>
          <w:szCs w:val="32"/>
          <w:highlight w:val="none"/>
        </w:rPr>
        <w:t>。</w:t>
      </w:r>
      <w:r>
        <w:rPr>
          <w:rFonts w:ascii="Times New Roman" w:hAnsi="Times New Roman"/>
          <w:b/>
          <w:bCs/>
          <w:color w:val="000000"/>
          <w:szCs w:val="32"/>
          <w:highlight w:val="none"/>
        </w:rPr>
        <w:t>三是</w:t>
      </w:r>
      <w:r>
        <w:rPr>
          <w:rFonts w:hint="eastAsia" w:ascii="仿宋_GB2312" w:hAnsi="宋体" w:cs="宋体"/>
          <w:szCs w:val="32"/>
          <w:highlight w:val="none"/>
        </w:rPr>
        <w:t>加大生态环境资金投入，促进乡村振兴协同发展。2021年投入生态环保资金近1亿元，重点支持农村生活污水治理、环卫购买服务经费等，</w:t>
      </w:r>
      <w:r>
        <w:rPr>
          <w:rFonts w:ascii="Times New Roman" w:hAnsi="Times New Roman"/>
          <w:color w:val="000000"/>
          <w:highlight w:val="none"/>
        </w:rPr>
        <w:t>有效提升</w:t>
      </w:r>
      <w:r>
        <w:rPr>
          <w:rFonts w:hint="eastAsia" w:ascii="Times New Roman" w:hAnsi="Times New Roman"/>
          <w:color w:val="000000"/>
          <w:highlight w:val="none"/>
        </w:rPr>
        <w:t>农村人居环境质量，</w:t>
      </w:r>
      <w:r>
        <w:rPr>
          <w:rFonts w:hint="eastAsia" w:ascii="仿宋_GB2312" w:hAnsi="宋体" w:cs="宋体"/>
          <w:szCs w:val="32"/>
          <w:highlight w:val="none"/>
        </w:rPr>
        <w:t>促进乡村振兴协同发展</w:t>
      </w:r>
      <w:r>
        <w:rPr>
          <w:rFonts w:ascii="Times New Roman" w:hAnsi="Times New Roman"/>
          <w:color w:val="000000"/>
          <w:highlight w:val="none"/>
        </w:rPr>
        <w:t>。</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（四）聚焦营商环境，惠企护企优服务</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rPr>
      </w:pPr>
      <w:r>
        <w:rPr>
          <w:rFonts w:ascii="Times New Roman" w:hAnsi="Times New Roman"/>
          <w:b/>
          <w:bCs/>
          <w:color w:val="000000"/>
          <w:szCs w:val="32"/>
          <w:highlight w:val="none"/>
        </w:rPr>
        <w:t>一是</w:t>
      </w:r>
      <w:r>
        <w:rPr>
          <w:rFonts w:ascii="Times New Roman" w:hAnsi="Times New Roman"/>
          <w:color w:val="000000"/>
          <w:szCs w:val="32"/>
          <w:highlight w:val="none"/>
        </w:rPr>
        <w:t>积极落实国家相关政策，支持企业发展。严格执行减税降费政策，减轻企业负担，助力企业发展；加大企业扶持力度，及时兑现奖励扶持资金，促进中小微企业做大做强。</w:t>
      </w:r>
      <w:r>
        <w:rPr>
          <w:rFonts w:ascii="Times New Roman" w:hAnsi="Times New Roman"/>
          <w:b/>
          <w:bCs/>
          <w:color w:val="000000"/>
          <w:szCs w:val="32"/>
          <w:highlight w:val="none"/>
        </w:rPr>
        <w:t>二是</w:t>
      </w:r>
      <w:r>
        <w:rPr>
          <w:rFonts w:ascii="Times New Roman" w:hAnsi="Times New Roman"/>
          <w:color w:val="000000"/>
          <w:szCs w:val="32"/>
          <w:highlight w:val="none"/>
        </w:rPr>
        <w:t>将提升服务市场主体水平作为政府采购领域“放管服”改革的出发点和落脚点</w:t>
      </w:r>
      <w:r>
        <w:rPr>
          <w:rFonts w:hint="eastAsia" w:ascii="Times New Roman" w:hAnsi="Times New Roman"/>
          <w:color w:val="000000"/>
          <w:szCs w:val="32"/>
          <w:highlight w:val="none"/>
        </w:rPr>
        <w:t>，</w:t>
      </w:r>
      <w:r>
        <w:rPr>
          <w:rFonts w:ascii="Times New Roman" w:hAnsi="Times New Roman"/>
          <w:color w:val="000000"/>
          <w:szCs w:val="32"/>
          <w:highlight w:val="none"/>
        </w:rPr>
        <w:t>采取多项措施依法保障各类市场主体平等参与政府采购活动的权利，全面清理政府采购领域防碍公平竞争的规定和做法，着力构建统一开放、竞争有序的政府采购市场体系，持续优化服务，提升营商环境。</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（五）聚焦风险防控，防范化解守底线</w:t>
      </w:r>
    </w:p>
    <w:p>
      <w:pPr>
        <w:pBdr>
          <w:bottom w:val="single" w:color="FFFFFF" w:sz="4" w:space="31"/>
        </w:pBdr>
        <w:tabs>
          <w:tab w:val="left" w:pos="1440"/>
        </w:tabs>
        <w:adjustRightInd w:val="0"/>
        <w:snapToGrid w:val="0"/>
        <w:spacing w:line="560" w:lineRule="exact"/>
        <w:ind w:firstLine="643" w:firstLineChars="200"/>
        <w:rPr>
          <w:rFonts w:ascii="Times New Roman" w:hAnsi="Times New Roman"/>
          <w:color w:val="000000"/>
          <w:szCs w:val="32"/>
          <w:highlight w:val="none"/>
        </w:rPr>
      </w:pPr>
      <w:r>
        <w:rPr>
          <w:rFonts w:hint="eastAsia" w:ascii="Times New Roman" w:hAnsi="Times New Roman"/>
          <w:b/>
          <w:bCs/>
          <w:color w:val="000000"/>
          <w:szCs w:val="32"/>
          <w:highlight w:val="none"/>
        </w:rPr>
        <w:t>一是</w:t>
      </w:r>
      <w:r>
        <w:rPr>
          <w:rFonts w:hint="eastAsia" w:ascii="Times New Roman" w:hAnsi="Times New Roman"/>
          <w:color w:val="000000"/>
          <w:szCs w:val="32"/>
          <w:highlight w:val="none"/>
        </w:rPr>
        <w:t>坚决打好防范化解地方政府债务风险攻坚战，加强政府债务管理，确保政府债务风险可控。将政府债务（政府债券)利息全额纳入预算保障，积极争取再融资债券偿还到期的政府债券本金，有效缓解了我区的偿债压力。</w:t>
      </w:r>
      <w:r>
        <w:rPr>
          <w:rFonts w:hint="eastAsia" w:ascii="Times New Roman" w:hAnsi="Times New Roman"/>
          <w:b/>
          <w:bCs/>
          <w:color w:val="000000"/>
          <w:szCs w:val="32"/>
          <w:highlight w:val="none"/>
        </w:rPr>
        <w:t>二是</w:t>
      </w:r>
      <w:r>
        <w:rPr>
          <w:rFonts w:hint="eastAsia" w:ascii="Times New Roman" w:hAnsi="Times New Roman"/>
          <w:color w:val="000000"/>
          <w:szCs w:val="32"/>
          <w:highlight w:val="none"/>
        </w:rPr>
        <w:t>强化专项债券资金监管，建立健全管理机制，督促部门及时使用专项债券资金，提高专项债券使用效益。</w:t>
      </w:r>
      <w:r>
        <w:rPr>
          <w:rFonts w:hint="eastAsia" w:ascii="Times New Roman" w:hAnsi="Times New Roman"/>
          <w:b/>
          <w:bCs/>
          <w:color w:val="000000"/>
          <w:szCs w:val="32"/>
          <w:highlight w:val="none"/>
        </w:rPr>
        <w:t>三是</w:t>
      </w:r>
      <w:r>
        <w:rPr>
          <w:rFonts w:hint="eastAsia" w:ascii="Times New Roman" w:hAnsi="Times New Roman"/>
          <w:color w:val="000000"/>
          <w:szCs w:val="32"/>
          <w:highlight w:val="none"/>
        </w:rPr>
        <w:t>坚持债务滚动六个月风险预警监测机制，细化偿债方案，切实履行偿还责任，强化与债权单位和相关金融机构的对接，采取切实有效措施，科学规范做好风险缓释和防范工作，坚决遏制隐性债务增量，多渠道筹集资金，积极稳妥化解债务存量。</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（六）聚焦财政改革，融会贯通强内功</w:t>
      </w:r>
    </w:p>
    <w:p>
      <w:pPr>
        <w:pBdr>
          <w:bottom w:val="single" w:color="FFFFFF" w:sz="4" w:space="31"/>
        </w:pBdr>
        <w:tabs>
          <w:tab w:val="left" w:pos="1440"/>
        </w:tabs>
        <w:adjustRightInd w:val="0"/>
        <w:snapToGrid w:val="0"/>
        <w:spacing w:line="560" w:lineRule="exact"/>
        <w:ind w:firstLine="643" w:firstLineChars="200"/>
        <w:rPr>
          <w:rFonts w:ascii="Times New Roman" w:hAnsi="Times New Roman"/>
          <w:szCs w:val="32"/>
          <w:highlight w:val="none"/>
        </w:rPr>
      </w:pPr>
      <w:r>
        <w:rPr>
          <w:rFonts w:ascii="Times New Roman" w:hAnsi="Times New Roman"/>
          <w:b/>
          <w:bCs/>
          <w:szCs w:val="32"/>
          <w:highlight w:val="none"/>
          <w:shd w:val="clear" w:color="auto" w:fill="FFFFFF"/>
        </w:rPr>
        <w:t>一是</w:t>
      </w:r>
      <w:r>
        <w:rPr>
          <w:rFonts w:ascii="Times New Roman" w:hAnsi="Times New Roman"/>
          <w:szCs w:val="32"/>
          <w:highlight w:val="none"/>
        </w:rPr>
        <w:t>巩固</w:t>
      </w:r>
      <w:r>
        <w:rPr>
          <w:rStyle w:val="18"/>
          <w:rFonts w:ascii="Times New Roman" w:hAnsi="Times New Roman"/>
          <w:color w:val="000000"/>
          <w:kern w:val="0"/>
          <w:szCs w:val="32"/>
          <w:highlight w:val="none"/>
        </w:rPr>
        <w:t>全面实施预算绩效管理成果，充分利用绩效评价结果指导财政工作，完善绩效管理政策体</w:t>
      </w:r>
      <w:r>
        <w:rPr>
          <w:rStyle w:val="18"/>
          <w:rFonts w:ascii="Times New Roman" w:hAnsi="Times New Roman"/>
          <w:kern w:val="0"/>
          <w:szCs w:val="32"/>
          <w:highlight w:val="none"/>
        </w:rPr>
        <w:t>系，</w:t>
      </w:r>
      <w:r>
        <w:rPr>
          <w:rStyle w:val="18"/>
          <w:rFonts w:hint="eastAsia" w:ascii="Times New Roman" w:hAnsi="Times New Roman"/>
          <w:kern w:val="0"/>
          <w:szCs w:val="32"/>
          <w:highlight w:val="none"/>
        </w:rPr>
        <w:t>制定了《观山湖区区级预算部门（单位）整体绩效管理办法（试行）》，</w:t>
      </w:r>
      <w:r>
        <w:rPr>
          <w:rStyle w:val="18"/>
          <w:rFonts w:ascii="Times New Roman" w:hAnsi="Times New Roman"/>
          <w:kern w:val="0"/>
          <w:szCs w:val="32"/>
          <w:highlight w:val="none"/>
        </w:rPr>
        <w:t>推动预算绩效管理提</w:t>
      </w:r>
      <w:r>
        <w:rPr>
          <w:rStyle w:val="18"/>
          <w:rFonts w:ascii="Times New Roman" w:hAnsi="Times New Roman"/>
          <w:color w:val="000000"/>
          <w:kern w:val="0"/>
          <w:szCs w:val="32"/>
          <w:highlight w:val="none"/>
        </w:rPr>
        <w:t>质增效。</w:t>
      </w:r>
      <w:r>
        <w:rPr>
          <w:rFonts w:ascii="Times New Roman" w:hAnsi="Times New Roman"/>
          <w:b/>
          <w:szCs w:val="32"/>
          <w:highlight w:val="none"/>
        </w:rPr>
        <w:t>二是</w:t>
      </w:r>
      <w:r>
        <w:rPr>
          <w:rFonts w:ascii="Times New Roman" w:hAnsi="Times New Roman"/>
          <w:szCs w:val="32"/>
          <w:highlight w:val="none"/>
        </w:rPr>
        <w:t>规范预算编制，规范预算项目库管理。将预算项目库建设纳入预算工作重点，</w:t>
      </w:r>
      <w:r>
        <w:rPr>
          <w:rFonts w:hint="eastAsia" w:ascii="Times New Roman" w:hAnsi="Times New Roman"/>
          <w:szCs w:val="32"/>
          <w:highlight w:val="none"/>
        </w:rPr>
        <w:t>实行</w:t>
      </w:r>
      <w:r>
        <w:rPr>
          <w:rFonts w:ascii="Times New Roman" w:hAnsi="Times New Roman"/>
          <w:szCs w:val="32"/>
          <w:highlight w:val="none"/>
        </w:rPr>
        <w:t>“常年开放、滚动循环、动态维护、择优选用”的项目库动态管理机制。</w:t>
      </w:r>
      <w:r>
        <w:rPr>
          <w:rFonts w:ascii="Times New Roman" w:hAnsi="Times New Roman"/>
          <w:b/>
          <w:bCs/>
          <w:szCs w:val="32"/>
          <w:highlight w:val="none"/>
        </w:rPr>
        <w:t>三是</w:t>
      </w:r>
      <w:r>
        <w:rPr>
          <w:rFonts w:ascii="Times New Roman" w:hAnsi="Times New Roman"/>
          <w:szCs w:val="32"/>
          <w:highlight w:val="none"/>
        </w:rPr>
        <w:t>强力推进预算一体化系统建设。进一步深化预算管理制度改革，推进实施预算管理一体化，实现财政业务规范和技术标准的全覆盖。</w:t>
      </w:r>
      <w:r>
        <w:rPr>
          <w:rFonts w:ascii="Times New Roman" w:hAnsi="Times New Roman"/>
          <w:b/>
          <w:szCs w:val="32"/>
          <w:highlight w:val="none"/>
        </w:rPr>
        <w:t>四是</w:t>
      </w:r>
      <w:r>
        <w:rPr>
          <w:rFonts w:ascii="Times New Roman" w:hAnsi="Times New Roman"/>
          <w:highlight w:val="none"/>
        </w:rPr>
        <w:t>强化财政监督约束力度。对</w:t>
      </w:r>
      <w:r>
        <w:rPr>
          <w:rFonts w:hint="eastAsia" w:ascii="Times New Roman" w:hAnsi="Times New Roman"/>
          <w:highlight w:val="none"/>
        </w:rPr>
        <w:t>部门</w:t>
      </w:r>
      <w:r>
        <w:rPr>
          <w:rFonts w:ascii="Times New Roman" w:hAnsi="Times New Roman"/>
          <w:highlight w:val="none"/>
        </w:rPr>
        <w:t>开展财政监督检查工作，对镇及街道办事处开展财政监管专项整治工作，</w:t>
      </w:r>
      <w:r>
        <w:rPr>
          <w:rFonts w:hint="eastAsia" w:ascii="Times New Roman" w:hAnsi="Times New Roman"/>
          <w:highlight w:val="none"/>
        </w:rPr>
        <w:t>有效</w:t>
      </w:r>
      <w:r>
        <w:rPr>
          <w:rFonts w:ascii="Times New Roman" w:hAnsi="Times New Roman"/>
          <w:szCs w:val="32"/>
          <w:highlight w:val="none"/>
          <w:shd w:val="clear" w:color="auto" w:fill="FFFFFF"/>
        </w:rPr>
        <w:t>规范财政管理</w:t>
      </w:r>
      <w:r>
        <w:rPr>
          <w:rFonts w:ascii="Times New Roman" w:hAnsi="Times New Roman"/>
          <w:highlight w:val="none"/>
        </w:rPr>
        <w:t>。</w:t>
      </w:r>
      <w:r>
        <w:rPr>
          <w:rFonts w:hint="eastAsia" w:ascii="Times New Roman" w:hAnsi="Times New Roman"/>
          <w:b/>
          <w:bCs/>
          <w:highlight w:val="none"/>
        </w:rPr>
        <w:t>五是</w:t>
      </w:r>
      <w:r>
        <w:rPr>
          <w:rFonts w:hint="eastAsia" w:ascii="Times New Roman" w:hAnsi="Times New Roman"/>
          <w:highlight w:val="none"/>
        </w:rPr>
        <w:t>严格落实国有资产报告制度，对全区国有资产进行清理，积极推进国有资产管理常态化，全方位接受人大监督。</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黑体"/>
          <w:szCs w:val="32"/>
          <w:highlight w:val="none"/>
        </w:rPr>
      </w:pPr>
      <w:r>
        <w:rPr>
          <w:rFonts w:ascii="Times New Roman" w:hAnsi="Times New Roman" w:eastAsia="黑体"/>
          <w:szCs w:val="32"/>
          <w:highlight w:val="none"/>
        </w:rPr>
        <w:t>四、2022年财政预算草案</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根据中央和省经济工作会议精神，结合我区工作实际，</w:t>
      </w:r>
      <w:r>
        <w:rPr>
          <w:rFonts w:ascii="黑体" w:hAnsi="黑体" w:eastAsia="黑体"/>
          <w:szCs w:val="32"/>
          <w:highlight w:val="none"/>
        </w:rPr>
        <w:t>明确我区2022年财政工作的指导思想是：</w:t>
      </w:r>
      <w:r>
        <w:rPr>
          <w:rFonts w:ascii="Times New Roman" w:hAnsi="Times New Roman"/>
          <w:szCs w:val="32"/>
          <w:highlight w:val="none"/>
        </w:rPr>
        <w:t>坚持以习近平新时代中国特色社会主义思想为指导，切实贯彻党的十九大和十九届</w:t>
      </w:r>
      <w:r>
        <w:rPr>
          <w:rFonts w:hint="eastAsia" w:ascii="Times New Roman" w:hAnsi="Times New Roman"/>
          <w:szCs w:val="32"/>
          <w:highlight w:val="none"/>
        </w:rPr>
        <w:t>历次</w:t>
      </w:r>
      <w:r>
        <w:rPr>
          <w:rFonts w:ascii="Times New Roman" w:hAnsi="Times New Roman"/>
          <w:szCs w:val="32"/>
          <w:highlight w:val="none"/>
        </w:rPr>
        <w:t>全会精神，坚持稳字当头、稳中求进工作总基调，</w:t>
      </w:r>
      <w:r>
        <w:rPr>
          <w:rFonts w:hint="eastAsia" w:ascii="Times New Roman" w:hAnsi="Times New Roman"/>
          <w:szCs w:val="32"/>
          <w:highlight w:val="none"/>
        </w:rPr>
        <w:t>把握新发展阶段、贯彻</w:t>
      </w:r>
      <w:r>
        <w:rPr>
          <w:rFonts w:ascii="Times New Roman" w:hAnsi="Times New Roman"/>
          <w:szCs w:val="32"/>
          <w:highlight w:val="none"/>
        </w:rPr>
        <w:t>新发展理念</w:t>
      </w:r>
      <w:r>
        <w:rPr>
          <w:rFonts w:hint="eastAsia" w:ascii="Times New Roman" w:hAnsi="Times New Roman"/>
          <w:szCs w:val="32"/>
          <w:highlight w:val="none"/>
        </w:rPr>
        <w:t>、融入</w:t>
      </w:r>
      <w:r>
        <w:rPr>
          <w:rFonts w:ascii="Times New Roman" w:hAnsi="Times New Roman"/>
          <w:szCs w:val="32"/>
          <w:highlight w:val="none"/>
        </w:rPr>
        <w:t>新发展格局，</w:t>
      </w:r>
      <w:r>
        <w:rPr>
          <w:rFonts w:hint="eastAsia" w:ascii="仿宋_GB2312" w:hAnsi="仿宋_GB2312" w:cs="仿宋_GB2312"/>
          <w:color w:val="000000"/>
          <w:szCs w:val="32"/>
          <w:highlight w:val="none"/>
        </w:rPr>
        <w:t>把党政机关过“紧日子”作为长期方针政策，</w:t>
      </w:r>
      <w:r>
        <w:rPr>
          <w:rFonts w:ascii="Times New Roman" w:hAnsi="Times New Roman"/>
          <w:szCs w:val="32"/>
          <w:highlight w:val="none"/>
        </w:rPr>
        <w:t>继续做好“六稳”、“六保”工作，</w:t>
      </w:r>
      <w:r>
        <w:rPr>
          <w:rFonts w:hint="eastAsia" w:ascii="Times New Roman" w:hAnsi="Times New Roman"/>
          <w:szCs w:val="32"/>
          <w:highlight w:val="none"/>
        </w:rPr>
        <w:t>围绕“四新”主攻“四化”，</w:t>
      </w:r>
      <w:r>
        <w:rPr>
          <w:rFonts w:ascii="Times New Roman" w:hAnsi="Times New Roman"/>
          <w:szCs w:val="32"/>
          <w:highlight w:val="none"/>
        </w:rPr>
        <w:t>着力稳定宏观经济大盘，更加注重发挥积极的财政政策大力提质增效作用和可持续发展，保持经济运行在合理区间，坚持深化财税金融体制改革，加快建立现代财政制度，</w:t>
      </w:r>
      <w:r>
        <w:rPr>
          <w:rFonts w:hint="eastAsia" w:ascii="Times New Roman" w:hAnsi="Times New Roman"/>
          <w:szCs w:val="32"/>
          <w:highlight w:val="none"/>
        </w:rPr>
        <w:t>以推动高质量发展为主题，以“强省会”行动为主抓手，以新型工业化为主攻点，以数字经济、绿色经济为主路径，奋力书写“黔中会客厅</w:t>
      </w:r>
      <w:r>
        <w:rPr>
          <w:rFonts w:ascii="Times New Roman" w:hAnsi="Times New Roman"/>
          <w:szCs w:val="32"/>
          <w:highlight w:val="none"/>
        </w:rPr>
        <w:t>·</w:t>
      </w:r>
      <w:r>
        <w:rPr>
          <w:rFonts w:hint="eastAsia" w:ascii="Times New Roman" w:hAnsi="Times New Roman"/>
          <w:szCs w:val="32"/>
          <w:highlight w:val="none"/>
        </w:rPr>
        <w:t>美美观山湖”新篇章</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（一）一般公共预算安排情况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全区一般公共预算收入预计完成</w:t>
      </w:r>
      <w:r>
        <w:rPr>
          <w:rFonts w:hint="eastAsia" w:ascii="Times New Roman" w:hAnsi="Times New Roman"/>
          <w:szCs w:val="32"/>
          <w:highlight w:val="none"/>
        </w:rPr>
        <w:t>660000</w:t>
      </w:r>
      <w:r>
        <w:rPr>
          <w:rFonts w:ascii="Times New Roman" w:hAnsi="Times New Roman"/>
          <w:szCs w:val="32"/>
          <w:highlight w:val="none"/>
        </w:rPr>
        <w:t>万元，增长</w:t>
      </w:r>
      <w:r>
        <w:rPr>
          <w:rFonts w:hint="eastAsia" w:ascii="Times New Roman" w:hAnsi="Times New Roman"/>
          <w:szCs w:val="32"/>
          <w:highlight w:val="none"/>
        </w:rPr>
        <w:t>13.79</w:t>
      </w:r>
      <w:r>
        <w:rPr>
          <w:rFonts w:ascii="Times New Roman" w:hAnsi="Times New Roman"/>
          <w:szCs w:val="32"/>
          <w:highlight w:val="none"/>
        </w:rPr>
        <w:t>%。根据一般公共预算收入预期目标，结合上级转移支付收入预计情况，按照收支平衡的原则，相应安排一般公共预算支出。</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区本级一般公共预算收入</w:t>
      </w:r>
      <w:r>
        <w:rPr>
          <w:rFonts w:hint="eastAsia" w:ascii="Times New Roman" w:hAnsi="Times New Roman"/>
          <w:szCs w:val="32"/>
          <w:highlight w:val="none"/>
        </w:rPr>
        <w:t>预计630490</w:t>
      </w:r>
      <w:r>
        <w:rPr>
          <w:rFonts w:ascii="Times New Roman" w:hAnsi="Times New Roman"/>
          <w:szCs w:val="32"/>
          <w:highlight w:val="none"/>
        </w:rPr>
        <w:t>万元，加预计上级转移支付及下级上解收入</w:t>
      </w:r>
      <w:r>
        <w:rPr>
          <w:rFonts w:hint="eastAsia" w:ascii="Times New Roman" w:hAnsi="Times New Roman"/>
          <w:szCs w:val="32"/>
          <w:highlight w:val="none"/>
        </w:rPr>
        <w:t>121251</w:t>
      </w:r>
      <w:r>
        <w:rPr>
          <w:rFonts w:ascii="Times New Roman" w:hAnsi="Times New Roman"/>
          <w:szCs w:val="32"/>
          <w:highlight w:val="none"/>
        </w:rPr>
        <w:t>万元，动用上年结转</w:t>
      </w:r>
      <w:r>
        <w:rPr>
          <w:rFonts w:hint="eastAsia" w:ascii="Times New Roman" w:hAnsi="Times New Roman"/>
          <w:szCs w:val="32"/>
          <w:highlight w:val="none"/>
        </w:rPr>
        <w:t>25370</w:t>
      </w:r>
      <w:r>
        <w:rPr>
          <w:rFonts w:ascii="Times New Roman" w:hAnsi="Times New Roman"/>
          <w:szCs w:val="32"/>
          <w:highlight w:val="none"/>
        </w:rPr>
        <w:t>万元，调入预算稳定调节基金</w:t>
      </w:r>
      <w:r>
        <w:rPr>
          <w:rFonts w:hint="eastAsia" w:ascii="Times New Roman" w:hAnsi="Times New Roman"/>
          <w:szCs w:val="32"/>
          <w:highlight w:val="none"/>
        </w:rPr>
        <w:t>53435</w:t>
      </w:r>
      <w:r>
        <w:rPr>
          <w:rFonts w:ascii="Times New Roman" w:hAnsi="Times New Roman"/>
          <w:szCs w:val="32"/>
          <w:highlight w:val="none"/>
        </w:rPr>
        <w:t>万元，减上解上级支出及补助下级支出</w:t>
      </w:r>
      <w:r>
        <w:rPr>
          <w:rFonts w:hint="eastAsia" w:ascii="Times New Roman" w:hAnsi="Times New Roman"/>
          <w:szCs w:val="32"/>
          <w:highlight w:val="none"/>
        </w:rPr>
        <w:t>107546</w:t>
      </w:r>
      <w:r>
        <w:rPr>
          <w:rFonts w:ascii="Times New Roman" w:hAnsi="Times New Roman"/>
          <w:szCs w:val="32"/>
          <w:highlight w:val="none"/>
        </w:rPr>
        <w:t>万元，预计2022年可用财力</w:t>
      </w:r>
      <w:r>
        <w:rPr>
          <w:rFonts w:hint="eastAsia" w:ascii="Times New Roman" w:hAnsi="Times New Roman"/>
          <w:szCs w:val="32"/>
          <w:highlight w:val="none"/>
        </w:rPr>
        <w:t>723000</w:t>
      </w:r>
      <w:r>
        <w:rPr>
          <w:rFonts w:ascii="Times New Roman" w:hAnsi="Times New Roman"/>
          <w:szCs w:val="32"/>
          <w:highlight w:val="none"/>
        </w:rPr>
        <w:t>万元，全部安排支出，同比增长</w:t>
      </w:r>
      <w:r>
        <w:rPr>
          <w:rFonts w:hint="eastAsia" w:ascii="Times New Roman" w:hAnsi="Times New Roman"/>
          <w:szCs w:val="32"/>
          <w:highlight w:val="none"/>
        </w:rPr>
        <w:t>14.89</w:t>
      </w:r>
      <w:r>
        <w:rPr>
          <w:rFonts w:ascii="Times New Roman" w:hAnsi="Times New Roman"/>
          <w:szCs w:val="32"/>
          <w:highlight w:val="none"/>
        </w:rPr>
        <w:t>%，全年财政收支平衡。</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1.收入方面：税收收入532</w:t>
      </w:r>
      <w:r>
        <w:rPr>
          <w:rFonts w:hint="eastAsia" w:ascii="Times New Roman" w:hAnsi="Times New Roman"/>
          <w:szCs w:val="32"/>
          <w:highlight w:val="none"/>
        </w:rPr>
        <w:t>578</w:t>
      </w:r>
      <w:r>
        <w:rPr>
          <w:rFonts w:ascii="Times New Roman" w:hAnsi="Times New Roman"/>
          <w:szCs w:val="32"/>
          <w:highlight w:val="none"/>
        </w:rPr>
        <w:t>万元，同比增长</w:t>
      </w:r>
      <w:r>
        <w:rPr>
          <w:rFonts w:hint="eastAsia" w:ascii="Times New Roman" w:hAnsi="Times New Roman"/>
          <w:szCs w:val="32"/>
          <w:highlight w:val="none"/>
        </w:rPr>
        <w:t>16.55</w:t>
      </w:r>
      <w:r>
        <w:rPr>
          <w:rFonts w:ascii="Times New Roman" w:hAnsi="Times New Roman"/>
          <w:szCs w:val="32"/>
          <w:highlight w:val="none"/>
        </w:rPr>
        <w:t>%；非税收入</w:t>
      </w:r>
      <w:r>
        <w:rPr>
          <w:rFonts w:hint="eastAsia" w:ascii="Times New Roman" w:hAnsi="Times New Roman"/>
          <w:szCs w:val="32"/>
          <w:highlight w:val="none"/>
        </w:rPr>
        <w:t>97912</w:t>
      </w:r>
      <w:r>
        <w:rPr>
          <w:rFonts w:ascii="Times New Roman" w:hAnsi="Times New Roman"/>
          <w:szCs w:val="32"/>
          <w:highlight w:val="none"/>
        </w:rPr>
        <w:t>万元，</w:t>
      </w:r>
      <w:r>
        <w:rPr>
          <w:rFonts w:hint="eastAsia" w:ascii="Times New Roman" w:hAnsi="Times New Roman"/>
          <w:szCs w:val="32"/>
          <w:highlight w:val="none"/>
        </w:rPr>
        <w:t>与去年基本持平</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2.支出方面：</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（1）一般公共服务支出</w:t>
      </w:r>
      <w:r>
        <w:rPr>
          <w:rFonts w:hint="eastAsia" w:ascii="Times New Roman" w:hAnsi="Times New Roman"/>
          <w:szCs w:val="32"/>
          <w:highlight w:val="none"/>
        </w:rPr>
        <w:t>87919</w:t>
      </w:r>
      <w:r>
        <w:rPr>
          <w:rFonts w:ascii="Times New Roman" w:hAnsi="Times New Roman"/>
          <w:szCs w:val="32"/>
          <w:highlight w:val="none"/>
        </w:rPr>
        <w:t>万元，同比下降</w:t>
      </w:r>
      <w:r>
        <w:rPr>
          <w:rFonts w:hint="eastAsia" w:ascii="Times New Roman" w:hAnsi="Times New Roman"/>
          <w:szCs w:val="32"/>
          <w:highlight w:val="none"/>
        </w:rPr>
        <w:t>4.29</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（2）国防支出834万元，同比下降6.29%。</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（3）公共安全支出</w:t>
      </w:r>
      <w:r>
        <w:rPr>
          <w:rFonts w:hint="eastAsia" w:ascii="Times New Roman" w:hAnsi="Times New Roman"/>
          <w:szCs w:val="32"/>
          <w:highlight w:val="none"/>
        </w:rPr>
        <w:t>34239</w:t>
      </w:r>
      <w:r>
        <w:rPr>
          <w:rFonts w:ascii="Times New Roman" w:hAnsi="Times New Roman"/>
          <w:szCs w:val="32"/>
          <w:highlight w:val="none"/>
        </w:rPr>
        <w:t>万元，同比增长</w:t>
      </w:r>
      <w:r>
        <w:rPr>
          <w:rFonts w:hint="eastAsia" w:ascii="Times New Roman" w:hAnsi="Times New Roman"/>
          <w:szCs w:val="32"/>
          <w:highlight w:val="none"/>
        </w:rPr>
        <w:t>28.26</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（4）教育支出</w:t>
      </w:r>
      <w:r>
        <w:rPr>
          <w:rFonts w:hint="eastAsia" w:ascii="Times New Roman" w:hAnsi="Times New Roman"/>
          <w:szCs w:val="32"/>
          <w:highlight w:val="none"/>
        </w:rPr>
        <w:t>88885</w:t>
      </w:r>
      <w:r>
        <w:rPr>
          <w:rFonts w:ascii="Times New Roman" w:hAnsi="Times New Roman"/>
          <w:szCs w:val="32"/>
          <w:highlight w:val="none"/>
        </w:rPr>
        <w:t>万元，同比增长</w:t>
      </w:r>
      <w:r>
        <w:rPr>
          <w:rFonts w:hint="eastAsia" w:ascii="Times New Roman" w:hAnsi="Times New Roman"/>
          <w:szCs w:val="32"/>
          <w:highlight w:val="none"/>
        </w:rPr>
        <w:t>8.77</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（5）科学技术支出</w:t>
      </w:r>
      <w:r>
        <w:rPr>
          <w:rFonts w:hint="eastAsia" w:ascii="Times New Roman" w:hAnsi="Times New Roman"/>
          <w:szCs w:val="32"/>
          <w:highlight w:val="none"/>
        </w:rPr>
        <w:t>36882</w:t>
      </w:r>
      <w:r>
        <w:rPr>
          <w:rFonts w:ascii="Times New Roman" w:hAnsi="Times New Roman"/>
          <w:szCs w:val="32"/>
          <w:highlight w:val="none"/>
        </w:rPr>
        <w:t>万元，同比增长</w:t>
      </w:r>
      <w:r>
        <w:rPr>
          <w:rFonts w:hint="eastAsia" w:ascii="Times New Roman" w:hAnsi="Times New Roman"/>
          <w:szCs w:val="32"/>
          <w:highlight w:val="none"/>
        </w:rPr>
        <w:t>3.91</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（6）文化旅游体育与传媒支出</w:t>
      </w:r>
      <w:r>
        <w:rPr>
          <w:rFonts w:hint="eastAsia" w:ascii="Times New Roman" w:hAnsi="Times New Roman"/>
          <w:szCs w:val="32"/>
          <w:highlight w:val="none"/>
        </w:rPr>
        <w:t>8962</w:t>
      </w:r>
      <w:r>
        <w:rPr>
          <w:rFonts w:ascii="Times New Roman" w:hAnsi="Times New Roman"/>
          <w:szCs w:val="32"/>
          <w:highlight w:val="none"/>
        </w:rPr>
        <w:t>万元，</w:t>
      </w:r>
      <w:r>
        <w:rPr>
          <w:rFonts w:hint="eastAsia" w:ascii="Times New Roman" w:hAnsi="Times New Roman"/>
          <w:szCs w:val="32"/>
          <w:highlight w:val="none"/>
        </w:rPr>
        <w:t>同比增长7.63%</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（7）社会保障和就业支出</w:t>
      </w:r>
      <w:r>
        <w:rPr>
          <w:rFonts w:hint="eastAsia" w:ascii="Times New Roman" w:hAnsi="Times New Roman"/>
          <w:szCs w:val="32"/>
          <w:highlight w:val="none"/>
        </w:rPr>
        <w:t>38124</w:t>
      </w:r>
      <w:r>
        <w:rPr>
          <w:rFonts w:ascii="Times New Roman" w:hAnsi="Times New Roman"/>
          <w:szCs w:val="32"/>
          <w:highlight w:val="none"/>
        </w:rPr>
        <w:t>万元，同比增长</w:t>
      </w:r>
      <w:r>
        <w:rPr>
          <w:rFonts w:hint="eastAsia" w:ascii="Times New Roman" w:hAnsi="Times New Roman"/>
          <w:szCs w:val="32"/>
          <w:highlight w:val="none"/>
        </w:rPr>
        <w:t>23.92</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（8）卫生健康支出</w:t>
      </w:r>
      <w:r>
        <w:rPr>
          <w:rFonts w:hint="eastAsia" w:ascii="Times New Roman" w:hAnsi="Times New Roman"/>
          <w:szCs w:val="32"/>
          <w:highlight w:val="none"/>
        </w:rPr>
        <w:t>28384</w:t>
      </w:r>
      <w:r>
        <w:rPr>
          <w:rFonts w:ascii="Times New Roman" w:hAnsi="Times New Roman"/>
          <w:szCs w:val="32"/>
          <w:highlight w:val="none"/>
        </w:rPr>
        <w:t>万元，同比增长</w:t>
      </w:r>
      <w:r>
        <w:rPr>
          <w:rFonts w:hint="eastAsia" w:ascii="Times New Roman" w:hAnsi="Times New Roman"/>
          <w:szCs w:val="32"/>
          <w:highlight w:val="none"/>
        </w:rPr>
        <w:t>13.23</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（9）节能环保支出</w:t>
      </w:r>
      <w:r>
        <w:rPr>
          <w:rFonts w:hint="eastAsia" w:ascii="Times New Roman" w:hAnsi="Times New Roman"/>
          <w:szCs w:val="32"/>
          <w:highlight w:val="none"/>
        </w:rPr>
        <w:t>6406</w:t>
      </w:r>
      <w:r>
        <w:rPr>
          <w:rFonts w:ascii="Times New Roman" w:hAnsi="Times New Roman"/>
          <w:szCs w:val="32"/>
          <w:highlight w:val="none"/>
        </w:rPr>
        <w:t>万元，同比增长</w:t>
      </w:r>
      <w:r>
        <w:rPr>
          <w:rFonts w:hint="eastAsia" w:ascii="Times New Roman" w:hAnsi="Times New Roman"/>
          <w:szCs w:val="32"/>
          <w:highlight w:val="none"/>
        </w:rPr>
        <w:t>9.17</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（10）城乡社区支出</w:t>
      </w:r>
      <w:r>
        <w:rPr>
          <w:rFonts w:hint="eastAsia" w:ascii="Times New Roman" w:hAnsi="Times New Roman"/>
          <w:szCs w:val="32"/>
          <w:highlight w:val="none"/>
        </w:rPr>
        <w:t>258686</w:t>
      </w:r>
      <w:r>
        <w:rPr>
          <w:rFonts w:ascii="Times New Roman" w:hAnsi="Times New Roman"/>
          <w:szCs w:val="32"/>
          <w:highlight w:val="none"/>
        </w:rPr>
        <w:t>万元，同比增长</w:t>
      </w:r>
      <w:r>
        <w:rPr>
          <w:rFonts w:hint="eastAsia" w:ascii="Times New Roman" w:hAnsi="Times New Roman"/>
          <w:szCs w:val="32"/>
          <w:highlight w:val="none"/>
        </w:rPr>
        <w:t>17.62</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（11）农林水支出</w:t>
      </w:r>
      <w:r>
        <w:rPr>
          <w:rFonts w:hint="eastAsia" w:ascii="Times New Roman" w:hAnsi="Times New Roman"/>
          <w:szCs w:val="32"/>
          <w:highlight w:val="none"/>
        </w:rPr>
        <w:t>23404</w:t>
      </w:r>
      <w:r>
        <w:rPr>
          <w:rFonts w:ascii="Times New Roman" w:hAnsi="Times New Roman"/>
          <w:szCs w:val="32"/>
          <w:highlight w:val="none"/>
        </w:rPr>
        <w:t>万元，同比增长</w:t>
      </w:r>
      <w:r>
        <w:rPr>
          <w:rFonts w:hint="eastAsia" w:ascii="Times New Roman" w:hAnsi="Times New Roman"/>
          <w:szCs w:val="32"/>
          <w:highlight w:val="none"/>
        </w:rPr>
        <w:t>58.72</w:t>
      </w:r>
      <w:r>
        <w:rPr>
          <w:rFonts w:ascii="Times New Roman" w:hAnsi="Times New Roman"/>
          <w:szCs w:val="32"/>
          <w:highlight w:val="none"/>
        </w:rPr>
        <w:t>%，剔除上年获得新增一般债券因素后略有增长。</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（12）交通运输支出</w:t>
      </w:r>
      <w:r>
        <w:rPr>
          <w:rFonts w:hint="eastAsia" w:ascii="Times New Roman" w:hAnsi="Times New Roman"/>
          <w:szCs w:val="32"/>
          <w:highlight w:val="none"/>
        </w:rPr>
        <w:t>5685</w:t>
      </w:r>
      <w:r>
        <w:rPr>
          <w:rFonts w:ascii="Times New Roman" w:hAnsi="Times New Roman"/>
          <w:szCs w:val="32"/>
          <w:highlight w:val="none"/>
        </w:rPr>
        <w:t>万元，同比增长</w:t>
      </w:r>
      <w:r>
        <w:rPr>
          <w:rFonts w:hint="eastAsia" w:ascii="Times New Roman" w:hAnsi="Times New Roman"/>
          <w:szCs w:val="32"/>
          <w:highlight w:val="none"/>
        </w:rPr>
        <w:t>15.57</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（13）资源勘探工业信息等支出</w:t>
      </w:r>
      <w:r>
        <w:rPr>
          <w:rFonts w:hint="eastAsia" w:ascii="Times New Roman" w:hAnsi="Times New Roman"/>
          <w:szCs w:val="32"/>
          <w:highlight w:val="none"/>
        </w:rPr>
        <w:t>26361</w:t>
      </w:r>
      <w:r>
        <w:rPr>
          <w:rFonts w:ascii="Times New Roman" w:hAnsi="Times New Roman"/>
          <w:szCs w:val="32"/>
          <w:highlight w:val="none"/>
        </w:rPr>
        <w:t>万元，同比增长</w:t>
      </w:r>
      <w:r>
        <w:rPr>
          <w:rFonts w:hint="eastAsia" w:ascii="Times New Roman" w:hAnsi="Times New Roman"/>
          <w:szCs w:val="32"/>
          <w:highlight w:val="none"/>
        </w:rPr>
        <w:t>12.69</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（14）商业服务业等支出</w:t>
      </w:r>
      <w:r>
        <w:rPr>
          <w:rFonts w:hint="eastAsia" w:ascii="Times New Roman" w:hAnsi="Times New Roman"/>
          <w:szCs w:val="32"/>
          <w:highlight w:val="none"/>
        </w:rPr>
        <w:t>718</w:t>
      </w:r>
      <w:r>
        <w:rPr>
          <w:rFonts w:ascii="Times New Roman" w:hAnsi="Times New Roman"/>
          <w:szCs w:val="32"/>
          <w:highlight w:val="none"/>
        </w:rPr>
        <w:t>万元，同比下降较多主要是上年结转上级下达的现代服务业专项资金</w:t>
      </w:r>
      <w:r>
        <w:rPr>
          <w:rFonts w:hint="eastAsia" w:ascii="Times New Roman" w:hAnsi="Times New Roman"/>
          <w:szCs w:val="32"/>
          <w:highlight w:val="none"/>
        </w:rPr>
        <w:t>等</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（15）自然资源海洋气象等支出3234万元，同比增长50.91%。</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（16）住房保障支出</w:t>
      </w:r>
      <w:r>
        <w:rPr>
          <w:rFonts w:hint="eastAsia" w:ascii="Times New Roman" w:hAnsi="Times New Roman"/>
          <w:szCs w:val="32"/>
          <w:highlight w:val="none"/>
        </w:rPr>
        <w:t>49251</w:t>
      </w:r>
      <w:r>
        <w:rPr>
          <w:rFonts w:ascii="Times New Roman" w:hAnsi="Times New Roman"/>
          <w:szCs w:val="32"/>
          <w:highlight w:val="none"/>
        </w:rPr>
        <w:t>万元，同比增长</w:t>
      </w:r>
      <w:r>
        <w:rPr>
          <w:rFonts w:hint="eastAsia" w:ascii="Times New Roman" w:hAnsi="Times New Roman"/>
          <w:szCs w:val="32"/>
          <w:highlight w:val="none"/>
        </w:rPr>
        <w:t>23.44</w:t>
      </w:r>
      <w:r>
        <w:rPr>
          <w:rFonts w:ascii="Times New Roman" w:hAnsi="Times New Roman"/>
          <w:szCs w:val="32"/>
          <w:highlight w:val="none"/>
        </w:rPr>
        <w:t>%。</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（17）粮油物资储备支出331万元，同比下降56.16%。主要是按期轮换的粮食储备量较上年减少。</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（18）灾害防治及应急管理支出</w:t>
      </w:r>
      <w:r>
        <w:rPr>
          <w:rFonts w:hint="eastAsia" w:ascii="Times New Roman" w:hAnsi="Times New Roman"/>
          <w:szCs w:val="32"/>
          <w:highlight w:val="none"/>
        </w:rPr>
        <w:t>5300</w:t>
      </w:r>
      <w:r>
        <w:rPr>
          <w:rFonts w:ascii="Times New Roman" w:hAnsi="Times New Roman"/>
          <w:szCs w:val="32"/>
          <w:highlight w:val="none"/>
        </w:rPr>
        <w:t>万元，与上年基本持平。</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（19）其他支出230万元，主要是上年结转上级专款。</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（20）债务付息支出10688万元。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（21）债务发行费用支出77万元。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（22）预备费</w:t>
      </w:r>
      <w:r>
        <w:rPr>
          <w:rFonts w:hint="eastAsia" w:ascii="Times New Roman" w:hAnsi="Times New Roman"/>
          <w:szCs w:val="32"/>
          <w:highlight w:val="none"/>
        </w:rPr>
        <w:t>8400</w:t>
      </w:r>
      <w:r>
        <w:rPr>
          <w:rFonts w:ascii="Times New Roman" w:hAnsi="Times New Roman"/>
          <w:szCs w:val="32"/>
          <w:highlight w:val="none"/>
        </w:rPr>
        <w:t>万元，占一般公共预算支出的1.1</w:t>
      </w:r>
      <w:r>
        <w:rPr>
          <w:rFonts w:hint="eastAsia" w:ascii="Times New Roman" w:hAnsi="Times New Roman"/>
          <w:szCs w:val="32"/>
          <w:highlight w:val="none"/>
        </w:rPr>
        <w:t>5</w:t>
      </w:r>
      <w:r>
        <w:rPr>
          <w:rFonts w:ascii="Times New Roman" w:hAnsi="Times New Roman"/>
          <w:szCs w:val="32"/>
          <w:highlight w:val="none"/>
        </w:rPr>
        <w:t>%，符合《预算法》规定。</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（二）政府性基金预算安排情况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全区政府性基金预算收入预计完成285135万元，上年结余85</w:t>
      </w:r>
      <w:r>
        <w:rPr>
          <w:rFonts w:hint="eastAsia" w:ascii="Times New Roman" w:hAnsi="Times New Roman"/>
          <w:szCs w:val="32"/>
          <w:highlight w:val="none"/>
        </w:rPr>
        <w:t>82</w:t>
      </w:r>
      <w:r>
        <w:rPr>
          <w:rFonts w:ascii="Times New Roman" w:hAnsi="Times New Roman"/>
          <w:szCs w:val="32"/>
          <w:highlight w:val="none"/>
        </w:rPr>
        <w:t>万元，预计收到上级专款86499万元,上解上级支出800万元后全部安排支出37941</w:t>
      </w:r>
      <w:r>
        <w:rPr>
          <w:rFonts w:hint="eastAsia" w:ascii="Times New Roman" w:hAnsi="Times New Roman"/>
          <w:szCs w:val="32"/>
          <w:highlight w:val="none"/>
        </w:rPr>
        <w:t>6</w:t>
      </w:r>
      <w:r>
        <w:rPr>
          <w:rFonts w:ascii="Times New Roman" w:hAnsi="Times New Roman"/>
          <w:szCs w:val="32"/>
          <w:highlight w:val="none"/>
        </w:rPr>
        <w:t>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区本级政府性基金预算收入预计完成285135万元，上年结余85</w:t>
      </w:r>
      <w:r>
        <w:rPr>
          <w:rFonts w:hint="eastAsia" w:ascii="Times New Roman" w:hAnsi="Times New Roman"/>
          <w:szCs w:val="32"/>
          <w:highlight w:val="none"/>
        </w:rPr>
        <w:t>82</w:t>
      </w:r>
      <w:r>
        <w:rPr>
          <w:rFonts w:ascii="Times New Roman" w:hAnsi="Times New Roman"/>
          <w:szCs w:val="32"/>
          <w:highlight w:val="none"/>
        </w:rPr>
        <w:t>万元，上解上级支出800万元后全部安排支出29291</w:t>
      </w:r>
      <w:r>
        <w:rPr>
          <w:rFonts w:hint="eastAsia" w:ascii="Times New Roman" w:hAnsi="Times New Roman"/>
          <w:szCs w:val="32"/>
          <w:highlight w:val="none"/>
        </w:rPr>
        <w:t>7</w:t>
      </w:r>
      <w:r>
        <w:rPr>
          <w:rFonts w:ascii="Times New Roman" w:hAnsi="Times New Roman"/>
          <w:szCs w:val="32"/>
          <w:highlight w:val="none"/>
        </w:rPr>
        <w:t>万元。预计收到上级专款86499万元一并安排，支出37941</w:t>
      </w:r>
      <w:r>
        <w:rPr>
          <w:rFonts w:hint="eastAsia" w:ascii="Times New Roman" w:hAnsi="Times New Roman"/>
          <w:szCs w:val="32"/>
          <w:highlight w:val="none"/>
        </w:rPr>
        <w:t>6</w:t>
      </w:r>
      <w:r>
        <w:rPr>
          <w:rFonts w:ascii="Times New Roman" w:hAnsi="Times New Roman"/>
          <w:szCs w:val="32"/>
          <w:highlight w:val="none"/>
        </w:rPr>
        <w:t>万元，具体如下：</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国有土地使用权出让收入270000万元，加上年结余519</w:t>
      </w:r>
      <w:r>
        <w:rPr>
          <w:rFonts w:hint="eastAsia" w:ascii="Times New Roman" w:hAnsi="Times New Roman"/>
          <w:szCs w:val="32"/>
          <w:highlight w:val="none"/>
        </w:rPr>
        <w:t>5</w:t>
      </w:r>
      <w:r>
        <w:rPr>
          <w:rFonts w:ascii="Times New Roman" w:hAnsi="Times New Roman"/>
          <w:szCs w:val="32"/>
          <w:highlight w:val="none"/>
        </w:rPr>
        <w:t>万元，上解上级支出800万元后安排支出27439</w:t>
      </w:r>
      <w:r>
        <w:rPr>
          <w:rFonts w:hint="eastAsia" w:ascii="Times New Roman" w:hAnsi="Times New Roman"/>
          <w:szCs w:val="32"/>
          <w:highlight w:val="none"/>
        </w:rPr>
        <w:t>5</w:t>
      </w:r>
      <w:r>
        <w:rPr>
          <w:rFonts w:ascii="Times New Roman" w:hAnsi="Times New Roman"/>
          <w:szCs w:val="32"/>
          <w:highlight w:val="none"/>
        </w:rPr>
        <w:t>万元。预计收到上级专款86499万元一并安排</w:t>
      </w:r>
      <w:r>
        <w:rPr>
          <w:rFonts w:hint="eastAsia" w:ascii="Times New Roman" w:hAnsi="Times New Roman"/>
          <w:szCs w:val="32"/>
          <w:highlight w:val="none"/>
        </w:rPr>
        <w:t>，</w:t>
      </w:r>
      <w:r>
        <w:rPr>
          <w:rFonts w:ascii="Times New Roman" w:hAnsi="Times New Roman"/>
          <w:szCs w:val="32"/>
          <w:highlight w:val="none"/>
        </w:rPr>
        <w:t>支出共计36089</w:t>
      </w:r>
      <w:r>
        <w:rPr>
          <w:rFonts w:hint="eastAsia" w:ascii="Times New Roman" w:hAnsi="Times New Roman"/>
          <w:szCs w:val="32"/>
          <w:highlight w:val="none"/>
        </w:rPr>
        <w:t>4</w:t>
      </w:r>
      <w:r>
        <w:rPr>
          <w:rFonts w:ascii="Times New Roman" w:hAnsi="Times New Roman"/>
          <w:szCs w:val="32"/>
          <w:highlight w:val="none"/>
        </w:rPr>
        <w:t>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国有土地收益基金收入1000万元，上年结余70万元，安排支出1070万元。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城市基础设施配套费收入5000万元，加上年结余1908万元，安排支出6908万元。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其他各项政府性基金安排支出10544万元。</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（三）国有资本经营预算安排情况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hint="eastAsia" w:ascii="Times New Roman" w:hAnsi="Times New Roman"/>
          <w:szCs w:val="32"/>
          <w:highlight w:val="none"/>
        </w:rPr>
        <w:t>全区国有资本经营预算收入2000万元，加上年结转123万元，收入总计2123万元；国有资本经营预算支出2123万元，全年收支平衡。</w:t>
      </w:r>
    </w:p>
    <w:p>
      <w:pPr>
        <w:pBdr>
          <w:bottom w:val="single" w:color="FFFFFF" w:sz="4" w:space="31"/>
        </w:pBdr>
        <w:tabs>
          <w:tab w:val="left" w:pos="1440"/>
        </w:tabs>
        <w:adjustRightInd w:val="0"/>
        <w:snapToGrid w:val="0"/>
        <w:spacing w:line="560" w:lineRule="exact"/>
        <w:ind w:firstLine="643" w:firstLineChars="200"/>
        <w:rPr>
          <w:rFonts w:ascii="Times New Roman" w:hAnsi="Times New Roman" w:eastAsia="楷体_GB2312"/>
          <w:b/>
          <w:szCs w:val="32"/>
          <w:highlight w:val="none"/>
        </w:rPr>
      </w:pPr>
      <w:r>
        <w:rPr>
          <w:rFonts w:ascii="Times New Roman" w:hAnsi="Times New Roman" w:eastAsia="楷体_GB2312"/>
          <w:b/>
          <w:szCs w:val="32"/>
          <w:highlight w:val="none"/>
        </w:rPr>
        <w:t>（四）社会保险基金预算安排情况</w:t>
      </w:r>
    </w:p>
    <w:p>
      <w:pPr>
        <w:pBdr>
          <w:bottom w:val="single" w:color="FFFFFF" w:sz="4" w:space="31"/>
        </w:pBdr>
        <w:tabs>
          <w:tab w:val="left" w:pos="1440"/>
        </w:tabs>
        <w:adjustRightInd w:val="0"/>
        <w:snapToGrid w:val="0"/>
        <w:spacing w:line="560" w:lineRule="exact"/>
        <w:ind w:firstLine="640" w:firstLineChars="200"/>
        <w:rPr>
          <w:rFonts w:ascii="Times New Roman" w:hAnsi="Times New Roman"/>
          <w:szCs w:val="32"/>
          <w:highlight w:val="none"/>
        </w:rPr>
      </w:pPr>
      <w:r>
        <w:rPr>
          <w:rFonts w:ascii="Times New Roman" w:hAnsi="Times New Roman"/>
          <w:szCs w:val="32"/>
          <w:highlight w:val="none"/>
        </w:rPr>
        <w:t>全区社会保险基金收入9698万元（均为机关事业单位基本养老保险基金收入</w:t>
      </w:r>
      <w:r>
        <w:rPr>
          <w:rFonts w:hint="eastAsia" w:ascii="Times New Roman" w:hAnsi="Times New Roman"/>
          <w:szCs w:val="32"/>
          <w:highlight w:val="none"/>
        </w:rPr>
        <w:t>，其他社会保险基金预算安排情况由市级统筹</w:t>
      </w:r>
      <w:r>
        <w:rPr>
          <w:rFonts w:ascii="Times New Roman" w:hAnsi="Times New Roman"/>
          <w:szCs w:val="32"/>
          <w:highlight w:val="none"/>
        </w:rPr>
        <w:t>），上年结余21855万元，支出6977万元，滚存结余24576万元。</w:t>
      </w:r>
    </w:p>
    <w:p>
      <w:pPr>
        <w:pBdr>
          <w:bottom w:val="single" w:color="FFFFFF" w:sz="4" w:space="31"/>
        </w:pBdr>
        <w:tabs>
          <w:tab w:val="left" w:pos="1440"/>
        </w:tabs>
        <w:adjustRightInd w:val="0"/>
        <w:snapToGrid w:val="0"/>
        <w:spacing w:line="560" w:lineRule="exact"/>
        <w:ind w:firstLine="640" w:firstLineChars="200"/>
        <w:rPr>
          <w:rFonts w:ascii="Times New Roman" w:hAnsi="Times New Roman"/>
          <w:color w:val="0000FF"/>
          <w:szCs w:val="32"/>
          <w:highlight w:val="none"/>
        </w:rPr>
      </w:pPr>
      <w:r>
        <w:rPr>
          <w:rFonts w:ascii="Times New Roman" w:hAnsi="Times New Roman"/>
          <w:szCs w:val="32"/>
          <w:highlight w:val="none"/>
        </w:rPr>
        <w:t>以上预算是在综合考虑了我区面临的各种机遇和挑战的前提下进行编制的，任务相当艰巨，需要全区人民群策群力、奋力赶超才能够如期完成。</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黑体"/>
          <w:color w:val="0000FF"/>
          <w:szCs w:val="32"/>
          <w:highlight w:val="none"/>
        </w:rPr>
      </w:pPr>
      <w:r>
        <w:rPr>
          <w:rFonts w:ascii="Times New Roman" w:hAnsi="Times New Roman" w:eastAsia="黑体"/>
          <w:szCs w:val="32"/>
          <w:highlight w:val="none"/>
        </w:rPr>
        <w:t>五、2022年财政工作重点</w:t>
      </w:r>
    </w:p>
    <w:p>
      <w:pPr>
        <w:pBdr>
          <w:bottom w:val="single" w:color="FFFFFF" w:sz="4" w:space="31"/>
        </w:pBdr>
        <w:tabs>
          <w:tab w:val="left" w:pos="1440"/>
        </w:tabs>
        <w:adjustRightInd w:val="0"/>
        <w:snapToGrid w:val="0"/>
        <w:spacing w:line="560" w:lineRule="exact"/>
        <w:ind w:firstLine="640" w:firstLineChars="200"/>
        <w:rPr>
          <w:rFonts w:ascii="仿宋_GB2312" w:hAnsi="Times New Roman"/>
          <w:b/>
          <w:szCs w:val="32"/>
          <w:highlight w:val="none"/>
        </w:rPr>
      </w:pPr>
      <w:r>
        <w:rPr>
          <w:rFonts w:hint="eastAsia" w:ascii="Times New Roman" w:hAnsi="Times New Roman" w:eastAsia="黑体"/>
          <w:szCs w:val="32"/>
          <w:highlight w:val="none"/>
        </w:rPr>
        <w:t>（一）</w:t>
      </w:r>
      <w:r>
        <w:rPr>
          <w:rFonts w:hint="eastAsia" w:ascii="仿宋_GB2312" w:hAnsi="Times New Roman"/>
          <w:b/>
          <w:szCs w:val="32"/>
          <w:highlight w:val="none"/>
        </w:rPr>
        <w:t>做好收入文章，提高财政保障能力</w:t>
      </w:r>
    </w:p>
    <w:p>
      <w:pPr>
        <w:pBdr>
          <w:bottom w:val="single" w:color="FFFFFF" w:sz="4" w:space="31"/>
        </w:pBdr>
        <w:tabs>
          <w:tab w:val="left" w:pos="1440"/>
        </w:tabs>
        <w:adjustRightInd w:val="0"/>
        <w:snapToGrid w:val="0"/>
        <w:spacing w:line="560" w:lineRule="exact"/>
        <w:ind w:firstLine="640" w:firstLineChars="200"/>
        <w:rPr>
          <w:rFonts w:ascii="Times New Roman" w:hAnsi="Times New Roman" w:eastAsia="黑体"/>
          <w:color w:val="0000FF"/>
          <w:szCs w:val="32"/>
          <w:highlight w:val="none"/>
        </w:rPr>
      </w:pPr>
      <w:r>
        <w:rPr>
          <w:rFonts w:hint="eastAsia" w:ascii="仿宋_GB2312" w:hAnsiTheme="minorEastAsia"/>
          <w:color w:val="000000"/>
          <w:szCs w:val="32"/>
          <w:highlight w:val="none"/>
        </w:rPr>
        <w:t>在抓好税收常量征管的同时，着重做好“三篇文章”。</w:t>
      </w:r>
      <w:r>
        <w:rPr>
          <w:rFonts w:hint="eastAsia" w:ascii="仿宋_GB2312" w:hAnsiTheme="minorEastAsia"/>
          <w:b/>
          <w:color w:val="000000"/>
          <w:szCs w:val="32"/>
          <w:highlight w:val="none"/>
        </w:rPr>
        <w:t>一是</w:t>
      </w:r>
      <w:r>
        <w:rPr>
          <w:rFonts w:hint="eastAsia" w:ascii="仿宋_GB2312" w:hAnsiTheme="minorEastAsia"/>
          <w:color w:val="000000"/>
          <w:szCs w:val="32"/>
          <w:highlight w:val="none"/>
        </w:rPr>
        <w:t>做好土地“文章”。在土地收储和出让方面，要强化部门配合、区域联动，做到应收尽收。</w:t>
      </w:r>
      <w:r>
        <w:rPr>
          <w:rFonts w:hint="eastAsia" w:ascii="仿宋_GB2312" w:hAnsiTheme="minorEastAsia"/>
          <w:b/>
          <w:color w:val="000000"/>
          <w:szCs w:val="32"/>
          <w:highlight w:val="none"/>
        </w:rPr>
        <w:t>二是</w:t>
      </w:r>
      <w:r>
        <w:rPr>
          <w:rFonts w:hint="eastAsia" w:ascii="仿宋_GB2312" w:hAnsiTheme="minorEastAsia"/>
          <w:color w:val="000000"/>
          <w:szCs w:val="32"/>
          <w:highlight w:val="none"/>
        </w:rPr>
        <w:t>做好资产“文章”。开展国有资产清理工作，加快推进国有资产出租出售工作，使“资产”变“资本”。</w:t>
      </w:r>
      <w:r>
        <w:rPr>
          <w:rFonts w:hint="eastAsia" w:ascii="仿宋_GB2312" w:hAnsiTheme="minorEastAsia"/>
          <w:b/>
          <w:color w:val="000000"/>
          <w:szCs w:val="32"/>
          <w:highlight w:val="none"/>
        </w:rPr>
        <w:t>三是</w:t>
      </w:r>
      <w:r>
        <w:rPr>
          <w:rFonts w:hint="eastAsia" w:ascii="仿宋_GB2312" w:hAnsiTheme="minorEastAsia"/>
          <w:color w:val="000000"/>
          <w:szCs w:val="32"/>
          <w:highlight w:val="none"/>
        </w:rPr>
        <w:t>做好项目“文章”。推进重点项目建设，努力夯实新的税源增长点。</w:t>
      </w:r>
    </w:p>
    <w:p>
      <w:pPr>
        <w:pBdr>
          <w:bottom w:val="single" w:color="FFFFFF" w:sz="4" w:space="31"/>
        </w:pBdr>
        <w:tabs>
          <w:tab w:val="left" w:pos="1440"/>
        </w:tabs>
        <w:adjustRightInd w:val="0"/>
        <w:snapToGrid w:val="0"/>
        <w:spacing w:line="560" w:lineRule="exact"/>
        <w:ind w:firstLine="640" w:firstLineChars="200"/>
        <w:rPr>
          <w:rFonts w:ascii="楷体_GB2312" w:hAnsi="黑体" w:eastAsia="楷体_GB2312"/>
          <w:szCs w:val="32"/>
          <w:highlight w:val="none"/>
        </w:rPr>
      </w:pPr>
      <w:r>
        <w:rPr>
          <w:rFonts w:hint="eastAsia" w:ascii="楷体_GB2312" w:hAnsi="黑体" w:eastAsia="楷体_GB2312"/>
          <w:szCs w:val="32"/>
          <w:highlight w:val="none"/>
        </w:rPr>
        <w:t>（二）</w:t>
      </w:r>
      <w:r>
        <w:rPr>
          <w:rFonts w:hint="eastAsia" w:ascii="楷体_GB2312" w:hAnsi="黑体" w:eastAsia="楷体_GB2312"/>
          <w:b/>
          <w:szCs w:val="32"/>
          <w:highlight w:val="none"/>
        </w:rPr>
        <w:t>强化财政资金撬动，提升财政资金活力</w:t>
      </w:r>
    </w:p>
    <w:p>
      <w:pPr>
        <w:pBdr>
          <w:bottom w:val="single" w:color="FFFFFF" w:sz="4" w:space="31"/>
        </w:pBdr>
        <w:tabs>
          <w:tab w:val="left" w:pos="1440"/>
        </w:tabs>
        <w:adjustRightInd w:val="0"/>
        <w:snapToGrid w:val="0"/>
        <w:spacing w:line="560" w:lineRule="exact"/>
        <w:ind w:firstLine="643" w:firstLineChars="200"/>
        <w:rPr>
          <w:rFonts w:ascii="仿宋_GB2312" w:hAnsi="Times New Roman"/>
          <w:szCs w:val="32"/>
          <w:highlight w:val="none"/>
        </w:rPr>
      </w:pPr>
      <w:r>
        <w:rPr>
          <w:rFonts w:hint="eastAsia" w:ascii="仿宋_GB2312" w:hAnsi="Times New Roman"/>
          <w:b/>
          <w:bCs/>
          <w:szCs w:val="32"/>
          <w:highlight w:val="none"/>
        </w:rPr>
        <w:t>一是</w:t>
      </w:r>
      <w:r>
        <w:rPr>
          <w:rFonts w:hint="eastAsia" w:ascii="仿宋_GB2312" w:hAnsi="Times New Roman"/>
          <w:color w:val="000000"/>
          <w:szCs w:val="32"/>
          <w:highlight w:val="none"/>
        </w:rPr>
        <w:t>坚持加强财政资源统筹。增强财政资源配置的完整性，加强公共资源综合管理，增强财政支撑保障能力。重点围绕“四新”主攻“四化”，统筹好各类资金，持续增强重点支出保障能力。</w:t>
      </w:r>
      <w:r>
        <w:rPr>
          <w:rFonts w:hint="eastAsia" w:ascii="仿宋_GB2312" w:hAnsi="Times New Roman"/>
          <w:b/>
          <w:bCs/>
          <w:szCs w:val="32"/>
          <w:highlight w:val="none"/>
        </w:rPr>
        <w:t>二是</w:t>
      </w:r>
      <w:r>
        <w:rPr>
          <w:rFonts w:hint="eastAsia" w:ascii="仿宋_GB2312" w:hAnsi="Times New Roman"/>
          <w:bCs/>
          <w:szCs w:val="32"/>
          <w:highlight w:val="none"/>
        </w:rPr>
        <w:t>鼓励各单位紧密跟踪、研判、吃透国家资金政策投向，找准切入点和着力点，争取上级部门在资金分配、政策支持等方面给予更多倾斜。</w:t>
      </w:r>
      <w:r>
        <w:rPr>
          <w:rFonts w:hint="eastAsia" w:ascii="仿宋_GB2312" w:hAnsi="Times New Roman"/>
          <w:b/>
          <w:bCs/>
          <w:szCs w:val="32"/>
          <w:highlight w:val="none"/>
        </w:rPr>
        <w:t>三是</w:t>
      </w:r>
      <w:r>
        <w:rPr>
          <w:rFonts w:hint="eastAsia" w:ascii="仿宋_GB2312" w:hAnsi="Times New Roman"/>
          <w:bCs/>
          <w:szCs w:val="32"/>
          <w:highlight w:val="none"/>
        </w:rPr>
        <w:t>发挥财政资金杠杆作用，聚焦产业，科学配置财政资源，引导和撬动金融资金、社会资本参与我区社会事业建设。</w:t>
      </w:r>
      <w:r>
        <w:rPr>
          <w:rFonts w:hint="eastAsia" w:ascii="仿宋_GB2312" w:hAnsi="Times New Roman"/>
          <w:b/>
          <w:szCs w:val="32"/>
          <w:highlight w:val="none"/>
        </w:rPr>
        <w:t>四是</w:t>
      </w:r>
      <w:r>
        <w:rPr>
          <w:rFonts w:hint="eastAsia" w:ascii="仿宋_GB2312" w:hAnsi="Times New Roman"/>
          <w:szCs w:val="32"/>
          <w:highlight w:val="none"/>
        </w:rPr>
        <w:t>逐步建立孵化成长机制。加大财政资金扶持力度，大力培育和壮大市场主体，积极挖掘培植税源，增强财政可持续发展。</w:t>
      </w:r>
    </w:p>
    <w:p>
      <w:pPr>
        <w:pBdr>
          <w:bottom w:val="single" w:color="FFFFFF" w:sz="4" w:space="31"/>
        </w:pBdr>
        <w:tabs>
          <w:tab w:val="left" w:pos="1440"/>
        </w:tabs>
        <w:adjustRightInd w:val="0"/>
        <w:snapToGrid w:val="0"/>
        <w:spacing w:line="560" w:lineRule="exact"/>
        <w:ind w:firstLine="643" w:firstLineChars="200"/>
        <w:rPr>
          <w:rFonts w:ascii="楷体_GB2312" w:hAnsi="Times New Roman" w:eastAsia="楷体_GB2312"/>
          <w:b/>
          <w:color w:val="000000"/>
          <w:szCs w:val="32"/>
          <w:highlight w:val="none"/>
        </w:rPr>
      </w:pPr>
      <w:r>
        <w:rPr>
          <w:rFonts w:hint="eastAsia" w:ascii="楷体_GB2312" w:hAnsi="Times New Roman" w:eastAsia="楷体_GB2312"/>
          <w:b/>
          <w:color w:val="000000"/>
          <w:szCs w:val="32"/>
          <w:highlight w:val="none"/>
        </w:rPr>
        <w:t>（三）不断优化支出结构，持续改善民生</w:t>
      </w:r>
    </w:p>
    <w:p>
      <w:pPr>
        <w:pBdr>
          <w:bottom w:val="single" w:color="FFFFFF" w:sz="4" w:space="31"/>
        </w:pBdr>
        <w:tabs>
          <w:tab w:val="left" w:pos="1440"/>
        </w:tabs>
        <w:adjustRightInd w:val="0"/>
        <w:snapToGrid w:val="0"/>
        <w:spacing w:line="560" w:lineRule="exact"/>
        <w:ind w:firstLine="643" w:firstLineChars="200"/>
        <w:rPr>
          <w:rFonts w:ascii="仿宋_GB2312" w:hAnsi="Times New Roman"/>
          <w:szCs w:val="32"/>
          <w:highlight w:val="none"/>
        </w:rPr>
      </w:pPr>
      <w:r>
        <w:rPr>
          <w:rFonts w:hint="eastAsia" w:ascii="仿宋_GB2312" w:hAnsi="Times New Roman"/>
          <w:b/>
          <w:szCs w:val="32"/>
          <w:highlight w:val="none"/>
        </w:rPr>
        <w:t>一是</w:t>
      </w:r>
      <w:r>
        <w:rPr>
          <w:rFonts w:hint="eastAsia" w:ascii="仿宋_GB2312" w:hAnsi="Times New Roman"/>
          <w:szCs w:val="32"/>
          <w:highlight w:val="none"/>
        </w:rPr>
        <w:t>继续</w:t>
      </w:r>
      <w:r>
        <w:rPr>
          <w:rFonts w:hint="eastAsia" w:ascii="仿宋_GB2312" w:hAnsi="仿宋" w:cs="Calibri"/>
          <w:color w:val="333333"/>
          <w:szCs w:val="32"/>
          <w:highlight w:val="none"/>
        </w:rPr>
        <w:t>落实“政府过紧日子”要求，</w:t>
      </w:r>
      <w:r>
        <w:rPr>
          <w:rFonts w:hint="eastAsia" w:ascii="仿宋_GB2312" w:hAnsi="Times New Roman"/>
          <w:szCs w:val="32"/>
          <w:highlight w:val="none"/>
        </w:rPr>
        <w:t>坚持量入为出、精打细算、节用裕民。</w:t>
      </w:r>
      <w:r>
        <w:rPr>
          <w:rFonts w:hint="eastAsia" w:ascii="仿宋_GB2312" w:hAnsi="仿宋" w:cs="Calibri"/>
          <w:color w:val="333333"/>
          <w:szCs w:val="32"/>
          <w:highlight w:val="none"/>
        </w:rPr>
        <w:t>严把预算支出关口，进一步压减非重点、非刚性、进度慢、绩效低的资金，</w:t>
      </w:r>
      <w:r>
        <w:rPr>
          <w:rFonts w:hint="eastAsia" w:ascii="仿宋_GB2312" w:hAnsi="Times New Roman"/>
          <w:szCs w:val="32"/>
          <w:highlight w:val="none"/>
        </w:rPr>
        <w:t>加大财政存量资金的盘活力度，全部资金优先用于保障“六稳”“六保”等重点支出。</w:t>
      </w:r>
      <w:r>
        <w:rPr>
          <w:rFonts w:hint="eastAsia" w:ascii="仿宋_GB2312" w:hAnsi="Times New Roman"/>
          <w:b/>
          <w:szCs w:val="32"/>
          <w:highlight w:val="none"/>
        </w:rPr>
        <w:t>二是</w:t>
      </w:r>
      <w:r>
        <w:rPr>
          <w:rFonts w:hint="eastAsia" w:ascii="仿宋_GB2312" w:hAnsi="宋体"/>
          <w:color w:val="333333"/>
          <w:szCs w:val="32"/>
          <w:highlight w:val="none"/>
        </w:rPr>
        <w:t>切实保障和改善民生，用心用情用力解决群众关心的教育、医疗、养老等实际问题，一件一件抓落实，一年接着一年干，努力让群众看到变化、得到实惠，不断满足人民日益增长的美好生活需要。</w:t>
      </w:r>
      <w:r>
        <w:rPr>
          <w:rFonts w:hint="eastAsia" w:ascii="仿宋_GB2312" w:hAnsi="宋体"/>
          <w:b/>
          <w:szCs w:val="32"/>
          <w:highlight w:val="none"/>
        </w:rPr>
        <w:t>三</w:t>
      </w:r>
      <w:r>
        <w:rPr>
          <w:rFonts w:hint="eastAsia" w:ascii="仿宋_GB2312" w:hAnsi="Times New Roman"/>
          <w:b/>
          <w:szCs w:val="32"/>
          <w:highlight w:val="none"/>
        </w:rPr>
        <w:t>是</w:t>
      </w:r>
      <w:r>
        <w:rPr>
          <w:rFonts w:hint="eastAsia" w:ascii="仿宋_GB2312" w:hAnsi="Times New Roman"/>
          <w:szCs w:val="32"/>
          <w:highlight w:val="none"/>
        </w:rPr>
        <w:t>推动基本公共服务均等化，持续优化完善城市功能设施，牢牢守好发展和生态两条底线，增进人民群众在共建共享发展中的获得感、幸福感、安全感。</w:t>
      </w:r>
      <w:r>
        <w:rPr>
          <w:rFonts w:hint="eastAsia" w:ascii="仿宋_GB2312" w:hAnsi="Times New Roman"/>
          <w:b/>
          <w:szCs w:val="32"/>
          <w:highlight w:val="none"/>
        </w:rPr>
        <w:t>四是</w:t>
      </w:r>
      <w:r>
        <w:rPr>
          <w:rFonts w:hint="eastAsia" w:ascii="仿宋_GB2312" w:hAnsi="Times New Roman"/>
          <w:szCs w:val="32"/>
          <w:highlight w:val="none"/>
        </w:rPr>
        <w:t>积极推进脱贫攻坚与乡村振兴有效衔接，以农村人居环境整治提升为抓手，重点加强普惠性、基础性、兜底性民生建设，加快城乡融合发展，落实巩固脱贫攻坚成果与推进乡村振兴相适应的投入保障机制要求。</w:t>
      </w:r>
    </w:p>
    <w:p>
      <w:pPr>
        <w:pBdr>
          <w:bottom w:val="single" w:color="FFFFFF" w:sz="4" w:space="31"/>
        </w:pBdr>
        <w:tabs>
          <w:tab w:val="left" w:pos="1440"/>
        </w:tabs>
        <w:adjustRightInd w:val="0"/>
        <w:snapToGrid w:val="0"/>
        <w:spacing w:line="560" w:lineRule="exact"/>
        <w:ind w:firstLine="643" w:firstLineChars="200"/>
        <w:rPr>
          <w:rFonts w:ascii="楷体_GB2312" w:hAnsi="Times New Roman" w:eastAsia="楷体_GB2312"/>
          <w:b/>
          <w:szCs w:val="32"/>
          <w:highlight w:val="none"/>
        </w:rPr>
      </w:pPr>
      <w:r>
        <w:rPr>
          <w:rFonts w:hint="eastAsia" w:ascii="楷体_GB2312" w:hAnsi="Times New Roman" w:eastAsia="楷体_GB2312"/>
          <w:b/>
          <w:szCs w:val="32"/>
          <w:highlight w:val="none"/>
        </w:rPr>
        <w:t>（四）坚持底线思维，防范化解财政风险</w:t>
      </w:r>
    </w:p>
    <w:p>
      <w:pPr>
        <w:pBdr>
          <w:bottom w:val="single" w:color="FFFFFF" w:sz="4" w:space="31"/>
        </w:pBdr>
        <w:tabs>
          <w:tab w:val="left" w:pos="1440"/>
        </w:tabs>
        <w:adjustRightInd w:val="0"/>
        <w:snapToGrid w:val="0"/>
        <w:spacing w:line="560" w:lineRule="exact"/>
        <w:ind w:firstLine="643" w:firstLineChars="200"/>
        <w:rPr>
          <w:rFonts w:ascii="仿宋_GB2312" w:hAnsi="Times New Roman"/>
          <w:szCs w:val="32"/>
          <w:highlight w:val="none"/>
        </w:rPr>
      </w:pPr>
      <w:r>
        <w:rPr>
          <w:rFonts w:hint="eastAsia" w:ascii="仿宋_GB2312" w:hAnsi="Times New Roman"/>
          <w:b/>
          <w:szCs w:val="32"/>
          <w:highlight w:val="none"/>
        </w:rPr>
        <w:t>一是</w:t>
      </w:r>
      <w:r>
        <w:rPr>
          <w:rFonts w:hint="eastAsia" w:ascii="仿宋_GB2312" w:hAnsi="Times New Roman"/>
          <w:szCs w:val="32"/>
          <w:highlight w:val="none"/>
        </w:rPr>
        <w:t>提升防风险、保稳定和促进经济社会高质量发展保障能力，提高风险评估预警和处置能力。</w:t>
      </w:r>
      <w:r>
        <w:rPr>
          <w:rFonts w:hint="eastAsia" w:ascii="仿宋_GB2312" w:hAnsi="Times New Roman"/>
          <w:b/>
          <w:szCs w:val="32"/>
          <w:highlight w:val="none"/>
        </w:rPr>
        <w:t>二是</w:t>
      </w:r>
      <w:r>
        <w:rPr>
          <w:rFonts w:hint="eastAsia" w:ascii="仿宋_GB2312" w:hAnsi="Times New Roman"/>
          <w:szCs w:val="32"/>
          <w:highlight w:val="none"/>
        </w:rPr>
        <w:t>全面实行“借、用、管、还、控”全过程管理，严格地方政府债务限额管理和预算管理，坚决制止违规举债及担保行为。</w:t>
      </w:r>
      <w:r>
        <w:rPr>
          <w:rFonts w:hint="eastAsia" w:ascii="仿宋_GB2312" w:hAnsi="Times New Roman"/>
          <w:b/>
          <w:bCs/>
          <w:szCs w:val="32"/>
          <w:highlight w:val="none"/>
        </w:rPr>
        <w:t>三是</w:t>
      </w:r>
      <w:r>
        <w:rPr>
          <w:rFonts w:hint="eastAsia" w:ascii="仿宋_GB2312" w:hAnsi="Times New Roman"/>
          <w:szCs w:val="32"/>
          <w:highlight w:val="none"/>
        </w:rPr>
        <w:t>遵循举债与财力相匹配的原则，严格执行国家关于政府债务管理的有关规定及贵州省“七严禁”规定，规范政府举债行为，科学制定还本付息计划，确保偿债资金来源稳定，严守债务风险底线。积极争取国家债务风险防范化解政策支持，进一步降低债务风险水平。</w:t>
      </w:r>
    </w:p>
    <w:p>
      <w:pPr>
        <w:pBdr>
          <w:bottom w:val="single" w:color="FFFFFF" w:sz="4" w:space="31"/>
        </w:pBdr>
        <w:tabs>
          <w:tab w:val="left" w:pos="1440"/>
        </w:tabs>
        <w:adjustRightInd w:val="0"/>
        <w:snapToGrid w:val="0"/>
        <w:spacing w:line="560" w:lineRule="exact"/>
        <w:ind w:firstLine="643" w:firstLineChars="200"/>
        <w:rPr>
          <w:rFonts w:ascii="楷体_GB2312" w:hAnsi="Times New Roman" w:eastAsia="楷体_GB2312"/>
          <w:b/>
          <w:szCs w:val="32"/>
          <w:highlight w:val="none"/>
        </w:rPr>
      </w:pPr>
      <w:r>
        <w:rPr>
          <w:rFonts w:hint="eastAsia" w:ascii="楷体_GB2312" w:hAnsi="Times New Roman" w:eastAsia="楷体_GB2312"/>
          <w:b/>
          <w:szCs w:val="32"/>
          <w:highlight w:val="none"/>
        </w:rPr>
        <w:t>（五）深化财政改革，拓展依法理财水平</w:t>
      </w:r>
    </w:p>
    <w:p>
      <w:pPr>
        <w:pBdr>
          <w:bottom w:val="single" w:color="FFFFFF" w:sz="4" w:space="31"/>
        </w:pBdr>
        <w:tabs>
          <w:tab w:val="left" w:pos="1440"/>
        </w:tabs>
        <w:adjustRightInd w:val="0"/>
        <w:snapToGrid w:val="0"/>
        <w:spacing w:line="560" w:lineRule="exact"/>
        <w:ind w:firstLine="643" w:firstLineChars="200"/>
        <w:rPr>
          <w:rFonts w:ascii="仿宋_GB2312" w:hAnsi="Times New Roman"/>
          <w:b/>
          <w:szCs w:val="32"/>
          <w:highlight w:val="none"/>
        </w:rPr>
      </w:pPr>
      <w:r>
        <w:rPr>
          <w:rFonts w:hint="eastAsia" w:ascii="仿宋_GB2312" w:hAnsi="Times New Roman"/>
          <w:b/>
          <w:szCs w:val="32"/>
          <w:highlight w:val="none"/>
        </w:rPr>
        <w:t>一是</w:t>
      </w:r>
      <w:r>
        <w:rPr>
          <w:rFonts w:hint="eastAsia" w:ascii="仿宋_GB2312" w:hAnsi="Times New Roman"/>
          <w:szCs w:val="32"/>
          <w:highlight w:val="none"/>
        </w:rPr>
        <w:t>以预算一体化改革为契机，进一步提高部门预算编制的科学化、精细化水平，推进预算编制与人员编制、财务管理、资产管理的紧密结合，使资金配置科学合理</w:t>
      </w:r>
      <w:r>
        <w:rPr>
          <w:rFonts w:hint="eastAsia" w:ascii="仿宋_GB2312" w:hAnsi="Times New Roman"/>
          <w:b/>
          <w:szCs w:val="32"/>
          <w:highlight w:val="none"/>
        </w:rPr>
        <w:t>。二是</w:t>
      </w:r>
      <w:r>
        <w:rPr>
          <w:rFonts w:hint="eastAsia" w:ascii="仿宋_GB2312" w:hAnsi="Times New Roman"/>
          <w:szCs w:val="32"/>
          <w:highlight w:val="none"/>
        </w:rPr>
        <w:t>持续深化零基预算改革。推进预算安排同项目要素完整性、预算执行进度、审计支出问题及整改情况、绩效评价结果、项目评审情况“五挂钩”，持续优化财政资金投向。</w:t>
      </w:r>
      <w:r>
        <w:rPr>
          <w:rFonts w:hint="eastAsia" w:ascii="仿宋_GB2312" w:hAnsi="Times New Roman"/>
          <w:b/>
          <w:szCs w:val="32"/>
          <w:highlight w:val="none"/>
        </w:rPr>
        <w:t>三是</w:t>
      </w:r>
      <w:r>
        <w:rPr>
          <w:rFonts w:hint="eastAsia" w:ascii="仿宋_GB2312" w:hAnsi="Times New Roman"/>
          <w:szCs w:val="32"/>
          <w:highlight w:val="none"/>
        </w:rPr>
        <w:t>运用信息化系统建立财政运行监督机制，实现全流程实时监管；强化内控制度建设，完善与人大预算执行监督、审计部门的财务审计协同监督机制；创新财政监督管理方式，加大监督检查力度，保障财政资金安全有效。</w:t>
      </w:r>
      <w:r>
        <w:rPr>
          <w:rFonts w:hint="eastAsia" w:ascii="仿宋_GB2312" w:hAnsi="Times New Roman"/>
          <w:b/>
          <w:szCs w:val="32"/>
          <w:highlight w:val="none"/>
        </w:rPr>
        <w:t>四是</w:t>
      </w:r>
      <w:r>
        <w:rPr>
          <w:rFonts w:hint="eastAsia" w:ascii="仿宋_GB2312" w:hAnsi="Times New Roman"/>
          <w:szCs w:val="32"/>
          <w:highlight w:val="none"/>
        </w:rPr>
        <w:t>推动预算绩效管理提质增效。健全以绩效为导向的预算分配体系，强化绩效评价结果和预算安排、政策调整的有效衔接，提高资金使用效率。</w:t>
      </w:r>
      <w:r>
        <w:rPr>
          <w:rFonts w:hint="eastAsia" w:ascii="仿宋_GB2312" w:hAnsi="Times New Roman"/>
          <w:b/>
          <w:szCs w:val="32"/>
          <w:highlight w:val="none"/>
        </w:rPr>
        <w:t>五是</w:t>
      </w:r>
      <w:r>
        <w:rPr>
          <w:rFonts w:hint="eastAsia" w:ascii="仿宋_GB2312" w:hAnsi="Times New Roman"/>
          <w:szCs w:val="32"/>
          <w:highlight w:val="none"/>
        </w:rPr>
        <w:t>提升干部队伍的政治素养、业务能力和服务能力，加强业务培训，</w:t>
      </w:r>
      <w:r>
        <w:rPr>
          <w:rFonts w:hint="eastAsia" w:ascii="仿宋_GB2312" w:hAnsi="Times New Roman"/>
          <w:color w:val="000000"/>
          <w:szCs w:val="32"/>
          <w:highlight w:val="none"/>
        </w:rPr>
        <w:t>扎实练好自身基本功，带头转变观念、转变思路，</w:t>
      </w:r>
      <w:r>
        <w:rPr>
          <w:rFonts w:hint="eastAsia" w:ascii="仿宋_GB2312" w:hAnsi="Times New Roman"/>
          <w:szCs w:val="32"/>
          <w:highlight w:val="none"/>
        </w:rPr>
        <w:t>在全区财政系统形成一种想干事、能干事、干成事的工作氛围，</w:t>
      </w:r>
      <w:r>
        <w:rPr>
          <w:rFonts w:hint="eastAsia" w:ascii="仿宋_GB2312" w:hAnsi="Times New Roman"/>
          <w:color w:val="000000"/>
          <w:szCs w:val="32"/>
          <w:highlight w:val="none"/>
        </w:rPr>
        <w:t>努力发挥财政在实现我区经济高质量发展中的积极作用。</w:t>
      </w:r>
    </w:p>
    <w:p>
      <w:pPr>
        <w:pBdr>
          <w:bottom w:val="single" w:color="FFFFFF" w:sz="4" w:space="31"/>
        </w:pBdr>
        <w:tabs>
          <w:tab w:val="left" w:pos="1440"/>
        </w:tabs>
        <w:adjustRightInd w:val="0"/>
        <w:snapToGrid w:val="0"/>
        <w:spacing w:line="560" w:lineRule="exact"/>
        <w:ind w:firstLine="640" w:firstLineChars="200"/>
        <w:rPr>
          <w:rFonts w:ascii="仿宋_GB2312" w:hAnsi="Times New Roman"/>
          <w:szCs w:val="32"/>
          <w:highlight w:val="none"/>
        </w:rPr>
      </w:pPr>
      <w:r>
        <w:rPr>
          <w:rFonts w:hint="eastAsia" w:ascii="仿宋_GB2312" w:hAnsi="Times New Roman"/>
          <w:szCs w:val="32"/>
          <w:highlight w:val="none"/>
        </w:rPr>
        <w:t>各位代表！风雨多经志弥坚，关山初度路尤长。全面完成2022年预算任务艰巨、责任重大，我们将在区委的坚强领导下，自觉接受区人大的监督指导，虚心听取区政协的意见和建议，立足新起点、把握新要求、担当新使命，奋力推动观山湖区在新征程中再创辉煌！</w:t>
      </w:r>
    </w:p>
    <w:p>
      <w:pPr>
        <w:shd w:val="clear" w:color="auto" w:fill="FFFFFF"/>
        <w:adjustRightInd w:val="0"/>
        <w:snapToGrid w:val="0"/>
        <w:spacing w:line="560" w:lineRule="exact"/>
        <w:rPr>
          <w:rFonts w:ascii="Times New Roman" w:hAnsi="Times New Roman"/>
          <w:b/>
          <w:bCs/>
          <w:color w:val="333333"/>
          <w:kern w:val="0"/>
          <w:sz w:val="44"/>
          <w:szCs w:val="44"/>
          <w:highlight w:val="none"/>
        </w:rPr>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docGrid w:type="lines" w:linePitch="435" w:charSpace="0"/>
        </w:sectPr>
      </w:pPr>
    </w:p>
    <w:p>
      <w:pPr>
        <w:widowControl/>
        <w:shd w:val="clear" w:color="auto" w:fill="FFFFFF"/>
        <w:spacing w:line="560" w:lineRule="exact"/>
        <w:jc w:val="center"/>
        <w:rPr>
          <w:rFonts w:ascii="Times New Roman" w:hAnsi="Times New Roman" w:eastAsia="方正小标宋简体"/>
          <w:bCs/>
          <w:kern w:val="0"/>
          <w:sz w:val="44"/>
          <w:szCs w:val="44"/>
          <w:highlight w:val="none"/>
        </w:rPr>
      </w:pPr>
      <w:r>
        <w:rPr>
          <w:rFonts w:ascii="Times New Roman" w:hAnsi="Times New Roman" w:eastAsia="方正小标宋简体"/>
          <w:bCs/>
          <w:kern w:val="0"/>
          <w:sz w:val="44"/>
          <w:szCs w:val="44"/>
          <w:highlight w:val="none"/>
        </w:rPr>
        <w:t>名词解释</w:t>
      </w:r>
    </w:p>
    <w:p>
      <w:pPr>
        <w:widowControl/>
        <w:shd w:val="clear" w:color="auto" w:fill="FFFFFF"/>
        <w:spacing w:line="560" w:lineRule="exact"/>
        <w:rPr>
          <w:rFonts w:ascii="Times New Roman" w:hAnsi="Times New Roman"/>
          <w:b/>
          <w:bCs/>
          <w:kern w:val="0"/>
          <w:sz w:val="44"/>
          <w:szCs w:val="44"/>
          <w:highlight w:val="none"/>
        </w:rPr>
      </w:pP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一般公共预算：指对以税收为主体的财政收入，安排用于保障和改善民生、推动经济社会发展、维护国家安全、维持机构正常运转等方面的收支预算。</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税收收入：指国家按照预定标准，向经济组织和居民无偿地征收实物或货币取得的财政收入。是政府取得财政收入的主要形式。</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非税收入：指税收以外，由各级国家机关、事业单位、代行政府职能的社会团体及其他组织依法利用国家权力、政府信誉、国有资源（资产）所有者权益等取得的各项收入。</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转移支付：指上级政府通过预算安排的对下级政府无偿的资金补助。</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专项转移支付：指下级政府因承担上级政府委托事务或政府间共同事务等，享受的上级政府补助资金，又称有条件补助或专项拨款，是为了实现上级的特定政策目标，必须专款专用。</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预算稳定调节基金：是指各级一般公共预算按照国家法律法规规定通过超收收入和支出预算结余安排的具有储备性质的基金。视预算平衡情况，在安排下年度预算时调入并安排使用，或用于弥补短收年份预算执行的收支缺口。</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政府性基金预算：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国有土地使用权出让收入（以下简称土地出让收入）：指政府以出让等方式配置国有土地使用权取得的全部土地价款，包括受让人支付的征地和拆迁补偿费用、土地前期开发费用和土地出让收益等。土地价款的具体范围包括：以招标、拍卖、挂牌和协议方式出让国有土地使用权所取得的总成交价款；转让</w:t>
      </w:r>
      <w:r>
        <w:rPr>
          <w:rFonts w:hint="eastAsia" w:ascii="Times New Roman" w:hAnsi="Times New Roman"/>
          <w:highlight w:val="none"/>
          <w:lang w:val="en-US" w:eastAsia="zh-CN"/>
        </w:rPr>
        <w:t>划拨</w:t>
      </w:r>
      <w:r>
        <w:rPr>
          <w:rFonts w:ascii="Times New Roman" w:hAnsi="Times New Roman"/>
          <w:highlight w:val="none"/>
        </w:rPr>
        <w:t>国有土地使用权或依法利用原</w:t>
      </w:r>
      <w:r>
        <w:rPr>
          <w:rFonts w:hint="eastAsia" w:ascii="Times New Roman" w:hAnsi="Times New Roman"/>
          <w:highlight w:val="none"/>
          <w:lang w:val="en-US" w:eastAsia="zh-CN"/>
        </w:rPr>
        <w:t>划拨</w:t>
      </w:r>
      <w:r>
        <w:rPr>
          <w:rFonts w:ascii="Times New Roman" w:hAnsi="Times New Roman"/>
          <w:highlight w:val="none"/>
        </w:rPr>
        <w:t>土地进行经营性建设应当补缴的土地价款；转让房改房、经济适用住房按照规定应当补缴的土地价款；改变出让国有土地使用权的土地用途、容积率等土地使用条件应当补缴的土地价款以及其他和国有土地使用权出让或变更有关的收入等。按照土地出让合同规定</w:t>
      </w:r>
      <w:bookmarkStart w:id="0" w:name="_GoBack"/>
      <w:bookmarkEnd w:id="0"/>
      <w:r>
        <w:rPr>
          <w:rFonts w:ascii="Times New Roman" w:hAnsi="Times New Roman"/>
          <w:highlight w:val="none"/>
        </w:rPr>
        <w:t>依法向受让方收取的定金、保证金和预付款，在土地出让合同生效后可以抵作土地价款。</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国有资本经营预算：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社会保险基金预算：指对社会保险缴款、一般公共预算安排和其他方式筹集的资金，专项用于社会保险的收支预算。社会保险基金预算应当按照统筹层次和社会保险项目分别编制，做到收支平衡。</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地方政府债务：指地方政府负有偿还责任，需由地方政府财政资金偿还的债务，分为一般债务和专项债务两类。</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一般债务：指政府为没有收益的公益性事业发展举借的，以一般公共预算收入作为偿债资金来源的债务。</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专项债务：指政府为有一定收益的公益性事业发展举借的，以对应的政府性基金或专项收入作为偿债资金来源的债务。</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地方政府债券：分为一般债券和专项债券。其中，一般债券指省一级政府为没有收益的公益性项目发行的，约定一定期限内以一般公共预算收入还本付息的政府债券；专项债券指省一级政府为有一定收益的公益性项目发行的，约定一定期限内以公益性项目对应的政府性基金或专项收入还本付息的政府债券。</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政府债务限额：指政府债务的规模上限，地方政府举债不得突破批准的限额。其中全国地方政府总限额由国务院根据国家宏观经济形势等因素确定，并报全国人民代表大会批准。各省、自治区、直辖市政府债务限额，由财政部在全国人大或其常委会批准的总限额内，根据债务风险、财力状况等因素确定后报国务院批准下达各级财政部门。</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国库集中支付：按照财政国库管理制度的基本发展要求，建立国库单一账户体系，所有财政性资金都纳入国库单一账户体系管理，政府支出通过国库单一账户体系支付到商品和劳务供应者或用款单位。按照不同的支付主体，对不同类型的支出，分别实行财政直接支付和财政授权支付。</w:t>
      </w:r>
    </w:p>
    <w:p>
      <w:pPr>
        <w:adjustRightInd w:val="0"/>
        <w:snapToGrid w:val="0"/>
        <w:spacing w:line="560" w:lineRule="exact"/>
        <w:ind w:firstLine="640" w:firstLineChars="200"/>
        <w:rPr>
          <w:rFonts w:ascii="Times New Roman" w:hAnsi="Times New Roman"/>
          <w:highlight w:val="none"/>
        </w:rPr>
      </w:pPr>
      <w:r>
        <w:rPr>
          <w:rFonts w:ascii="Times New Roman" w:hAnsi="Times New Roman"/>
          <w:highlight w:val="none"/>
        </w:rPr>
        <w:t>预算绩效管理：指以结果为导向，将绩效理念和方法深度融入预算编制、执行、监督全过程，以预算收入和支出为对象，在一定时期内所达到的产出和效果，本质上反映各级政府、各部门的工作绩效，着重解决财政资源配置和使用中的低效无效问题，推动政府效能提升，以促进政府透明、责任、高效履职为目的所开展的绩效管理活动。</w:t>
      </w:r>
    </w:p>
    <w:p>
      <w:pPr>
        <w:shd w:val="clear" w:color="auto" w:fill="FFFFFF"/>
        <w:adjustRightInd w:val="0"/>
        <w:snapToGrid w:val="0"/>
        <w:spacing w:line="560" w:lineRule="exact"/>
        <w:ind w:firstLine="640" w:firstLineChars="200"/>
        <w:rPr>
          <w:rFonts w:ascii="Times New Roman" w:hAnsi="Times New Roman"/>
          <w:highlight w:val="none"/>
        </w:rPr>
      </w:pPr>
    </w:p>
    <w:sectPr>
      <w:headerReference r:id="rId7" w:type="even"/>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49837"/>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pPr>
      <w:pStyle w:val="7"/>
      <w:ind w:right="360" w:firstLine="360"/>
      <w:jc w:val="right"/>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4983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71B4"/>
    <w:rsid w:val="0000779F"/>
    <w:rsid w:val="00007AA4"/>
    <w:rsid w:val="00015B69"/>
    <w:rsid w:val="000217D3"/>
    <w:rsid w:val="00033954"/>
    <w:rsid w:val="00040D25"/>
    <w:rsid w:val="00042FEC"/>
    <w:rsid w:val="000455D1"/>
    <w:rsid w:val="000517B4"/>
    <w:rsid w:val="000571B4"/>
    <w:rsid w:val="00060E43"/>
    <w:rsid w:val="000617EE"/>
    <w:rsid w:val="00061A6D"/>
    <w:rsid w:val="000646DA"/>
    <w:rsid w:val="00066246"/>
    <w:rsid w:val="00081F67"/>
    <w:rsid w:val="00086C93"/>
    <w:rsid w:val="000A2DCB"/>
    <w:rsid w:val="000A4F69"/>
    <w:rsid w:val="000A5009"/>
    <w:rsid w:val="000A6F0A"/>
    <w:rsid w:val="000A7832"/>
    <w:rsid w:val="000C4462"/>
    <w:rsid w:val="000E0A28"/>
    <w:rsid w:val="000E2720"/>
    <w:rsid w:val="000E5FB2"/>
    <w:rsid w:val="000E6157"/>
    <w:rsid w:val="000F1EBB"/>
    <w:rsid w:val="00102133"/>
    <w:rsid w:val="00120A0F"/>
    <w:rsid w:val="00120ECF"/>
    <w:rsid w:val="00122AFD"/>
    <w:rsid w:val="00122D6E"/>
    <w:rsid w:val="00127DC6"/>
    <w:rsid w:val="00130878"/>
    <w:rsid w:val="00131E96"/>
    <w:rsid w:val="001350D9"/>
    <w:rsid w:val="00136DF2"/>
    <w:rsid w:val="00137AFE"/>
    <w:rsid w:val="00150D4B"/>
    <w:rsid w:val="00163413"/>
    <w:rsid w:val="0016364D"/>
    <w:rsid w:val="0017174E"/>
    <w:rsid w:val="00171CC3"/>
    <w:rsid w:val="0017605A"/>
    <w:rsid w:val="001779C7"/>
    <w:rsid w:val="001828B5"/>
    <w:rsid w:val="001850BA"/>
    <w:rsid w:val="00190992"/>
    <w:rsid w:val="001A7B28"/>
    <w:rsid w:val="001B0373"/>
    <w:rsid w:val="001B06F9"/>
    <w:rsid w:val="001C65BD"/>
    <w:rsid w:val="001D43D7"/>
    <w:rsid w:val="001E0B96"/>
    <w:rsid w:val="001E1FF9"/>
    <w:rsid w:val="001E55CD"/>
    <w:rsid w:val="00207C4F"/>
    <w:rsid w:val="002154E4"/>
    <w:rsid w:val="00242104"/>
    <w:rsid w:val="00242B14"/>
    <w:rsid w:val="00250DB2"/>
    <w:rsid w:val="00263A7A"/>
    <w:rsid w:val="00270339"/>
    <w:rsid w:val="00270931"/>
    <w:rsid w:val="00275480"/>
    <w:rsid w:val="00282D55"/>
    <w:rsid w:val="002871C9"/>
    <w:rsid w:val="002954BE"/>
    <w:rsid w:val="002957A9"/>
    <w:rsid w:val="002A133F"/>
    <w:rsid w:val="002A4BE5"/>
    <w:rsid w:val="002A64CA"/>
    <w:rsid w:val="002A64DA"/>
    <w:rsid w:val="002C2095"/>
    <w:rsid w:val="002D0641"/>
    <w:rsid w:val="002D1511"/>
    <w:rsid w:val="002D7E0B"/>
    <w:rsid w:val="002E1785"/>
    <w:rsid w:val="002F4082"/>
    <w:rsid w:val="0030307E"/>
    <w:rsid w:val="00306EF1"/>
    <w:rsid w:val="0031009E"/>
    <w:rsid w:val="00320081"/>
    <w:rsid w:val="00320B45"/>
    <w:rsid w:val="00325BEB"/>
    <w:rsid w:val="00326990"/>
    <w:rsid w:val="00327CFA"/>
    <w:rsid w:val="00351052"/>
    <w:rsid w:val="00360CD2"/>
    <w:rsid w:val="00363631"/>
    <w:rsid w:val="00370ACD"/>
    <w:rsid w:val="00377301"/>
    <w:rsid w:val="00381C88"/>
    <w:rsid w:val="003856B1"/>
    <w:rsid w:val="003867FE"/>
    <w:rsid w:val="00393447"/>
    <w:rsid w:val="00395372"/>
    <w:rsid w:val="0039714D"/>
    <w:rsid w:val="003A200A"/>
    <w:rsid w:val="003A25EB"/>
    <w:rsid w:val="003A32DA"/>
    <w:rsid w:val="003A6343"/>
    <w:rsid w:val="003A7885"/>
    <w:rsid w:val="003B0714"/>
    <w:rsid w:val="003B43C8"/>
    <w:rsid w:val="003B51CC"/>
    <w:rsid w:val="003B5B85"/>
    <w:rsid w:val="003B63C8"/>
    <w:rsid w:val="003D382D"/>
    <w:rsid w:val="003D55F7"/>
    <w:rsid w:val="003F133E"/>
    <w:rsid w:val="003F33A7"/>
    <w:rsid w:val="004004F8"/>
    <w:rsid w:val="00405A55"/>
    <w:rsid w:val="00414925"/>
    <w:rsid w:val="0043012A"/>
    <w:rsid w:val="00436592"/>
    <w:rsid w:val="004409DD"/>
    <w:rsid w:val="00440BD5"/>
    <w:rsid w:val="004448F4"/>
    <w:rsid w:val="0045354F"/>
    <w:rsid w:val="004556F8"/>
    <w:rsid w:val="004571F2"/>
    <w:rsid w:val="004578AB"/>
    <w:rsid w:val="004649B1"/>
    <w:rsid w:val="00466B31"/>
    <w:rsid w:val="0047328D"/>
    <w:rsid w:val="004768C2"/>
    <w:rsid w:val="004828C9"/>
    <w:rsid w:val="004850A2"/>
    <w:rsid w:val="00493354"/>
    <w:rsid w:val="0049341A"/>
    <w:rsid w:val="004A4F7B"/>
    <w:rsid w:val="004A7D33"/>
    <w:rsid w:val="004C1A30"/>
    <w:rsid w:val="004C2796"/>
    <w:rsid w:val="004D136B"/>
    <w:rsid w:val="004E36E8"/>
    <w:rsid w:val="004F4FF8"/>
    <w:rsid w:val="004F5C62"/>
    <w:rsid w:val="00507394"/>
    <w:rsid w:val="00511158"/>
    <w:rsid w:val="00511468"/>
    <w:rsid w:val="00522B45"/>
    <w:rsid w:val="005256E2"/>
    <w:rsid w:val="00530680"/>
    <w:rsid w:val="00530E6B"/>
    <w:rsid w:val="00550C95"/>
    <w:rsid w:val="0055122E"/>
    <w:rsid w:val="00552507"/>
    <w:rsid w:val="005565F1"/>
    <w:rsid w:val="00570A8B"/>
    <w:rsid w:val="005717AB"/>
    <w:rsid w:val="0059014D"/>
    <w:rsid w:val="005A0D79"/>
    <w:rsid w:val="005A2362"/>
    <w:rsid w:val="005B1422"/>
    <w:rsid w:val="005B1A16"/>
    <w:rsid w:val="005B31FB"/>
    <w:rsid w:val="005B42A0"/>
    <w:rsid w:val="005C78B3"/>
    <w:rsid w:val="005D22AB"/>
    <w:rsid w:val="005D4079"/>
    <w:rsid w:val="005D4F0F"/>
    <w:rsid w:val="005E3A6C"/>
    <w:rsid w:val="005E7D49"/>
    <w:rsid w:val="005E7F3E"/>
    <w:rsid w:val="005F4479"/>
    <w:rsid w:val="005F451D"/>
    <w:rsid w:val="006128C6"/>
    <w:rsid w:val="006152A5"/>
    <w:rsid w:val="006437D5"/>
    <w:rsid w:val="00645BC5"/>
    <w:rsid w:val="00646A47"/>
    <w:rsid w:val="006532F5"/>
    <w:rsid w:val="00662788"/>
    <w:rsid w:val="006745B0"/>
    <w:rsid w:val="00675DCC"/>
    <w:rsid w:val="00697E2A"/>
    <w:rsid w:val="006A0029"/>
    <w:rsid w:val="006A2CA3"/>
    <w:rsid w:val="006A49E5"/>
    <w:rsid w:val="006A742A"/>
    <w:rsid w:val="006B0E51"/>
    <w:rsid w:val="006B2E17"/>
    <w:rsid w:val="006B3590"/>
    <w:rsid w:val="006B7934"/>
    <w:rsid w:val="006C338E"/>
    <w:rsid w:val="006C52EF"/>
    <w:rsid w:val="006D012F"/>
    <w:rsid w:val="006D6D46"/>
    <w:rsid w:val="006E183C"/>
    <w:rsid w:val="006E252C"/>
    <w:rsid w:val="006E3011"/>
    <w:rsid w:val="006E491E"/>
    <w:rsid w:val="006E7DE5"/>
    <w:rsid w:val="00707F4E"/>
    <w:rsid w:val="00712418"/>
    <w:rsid w:val="00716EAF"/>
    <w:rsid w:val="007372C0"/>
    <w:rsid w:val="00737C08"/>
    <w:rsid w:val="00740139"/>
    <w:rsid w:val="00740939"/>
    <w:rsid w:val="007509B1"/>
    <w:rsid w:val="0077145C"/>
    <w:rsid w:val="00771C56"/>
    <w:rsid w:val="0077369D"/>
    <w:rsid w:val="0078409C"/>
    <w:rsid w:val="00790B92"/>
    <w:rsid w:val="00792C06"/>
    <w:rsid w:val="0079368C"/>
    <w:rsid w:val="00795190"/>
    <w:rsid w:val="007967A0"/>
    <w:rsid w:val="007B2B8F"/>
    <w:rsid w:val="007C44D7"/>
    <w:rsid w:val="007C63AF"/>
    <w:rsid w:val="007C68A5"/>
    <w:rsid w:val="007D2DD7"/>
    <w:rsid w:val="007E328D"/>
    <w:rsid w:val="007E3A4D"/>
    <w:rsid w:val="007F5805"/>
    <w:rsid w:val="007F6DD1"/>
    <w:rsid w:val="008072EE"/>
    <w:rsid w:val="0082025A"/>
    <w:rsid w:val="008267B2"/>
    <w:rsid w:val="0083032F"/>
    <w:rsid w:val="0084452F"/>
    <w:rsid w:val="008466D4"/>
    <w:rsid w:val="008510B7"/>
    <w:rsid w:val="0085199F"/>
    <w:rsid w:val="00854668"/>
    <w:rsid w:val="008655C8"/>
    <w:rsid w:val="00872F22"/>
    <w:rsid w:val="00874C87"/>
    <w:rsid w:val="008752D0"/>
    <w:rsid w:val="008942CC"/>
    <w:rsid w:val="008976E3"/>
    <w:rsid w:val="008A1614"/>
    <w:rsid w:val="008B0D57"/>
    <w:rsid w:val="008B33FC"/>
    <w:rsid w:val="008C42C0"/>
    <w:rsid w:val="008D2B05"/>
    <w:rsid w:val="008E627B"/>
    <w:rsid w:val="008F1E4D"/>
    <w:rsid w:val="008F201C"/>
    <w:rsid w:val="008F283B"/>
    <w:rsid w:val="00905740"/>
    <w:rsid w:val="00910089"/>
    <w:rsid w:val="009111A9"/>
    <w:rsid w:val="009260CB"/>
    <w:rsid w:val="00932D2D"/>
    <w:rsid w:val="00943502"/>
    <w:rsid w:val="00951DF8"/>
    <w:rsid w:val="00957B7E"/>
    <w:rsid w:val="0096060F"/>
    <w:rsid w:val="00962C26"/>
    <w:rsid w:val="00967185"/>
    <w:rsid w:val="00967A35"/>
    <w:rsid w:val="00976994"/>
    <w:rsid w:val="00981EDC"/>
    <w:rsid w:val="009A5300"/>
    <w:rsid w:val="009A7700"/>
    <w:rsid w:val="009C1A96"/>
    <w:rsid w:val="009C58F1"/>
    <w:rsid w:val="009D1E29"/>
    <w:rsid w:val="009E3405"/>
    <w:rsid w:val="009E34B5"/>
    <w:rsid w:val="009E3A14"/>
    <w:rsid w:val="009F1EE7"/>
    <w:rsid w:val="009F2663"/>
    <w:rsid w:val="009F6DD8"/>
    <w:rsid w:val="009F72F8"/>
    <w:rsid w:val="00A027C6"/>
    <w:rsid w:val="00A0299E"/>
    <w:rsid w:val="00A11115"/>
    <w:rsid w:val="00A12487"/>
    <w:rsid w:val="00A15377"/>
    <w:rsid w:val="00A30A28"/>
    <w:rsid w:val="00A3581D"/>
    <w:rsid w:val="00A44604"/>
    <w:rsid w:val="00A56E8C"/>
    <w:rsid w:val="00A57C84"/>
    <w:rsid w:val="00A62B1D"/>
    <w:rsid w:val="00A64EBA"/>
    <w:rsid w:val="00A732B9"/>
    <w:rsid w:val="00A771B1"/>
    <w:rsid w:val="00A80102"/>
    <w:rsid w:val="00A855F2"/>
    <w:rsid w:val="00A8700D"/>
    <w:rsid w:val="00A8734A"/>
    <w:rsid w:val="00A91612"/>
    <w:rsid w:val="00AA32A7"/>
    <w:rsid w:val="00AA3433"/>
    <w:rsid w:val="00AB1245"/>
    <w:rsid w:val="00AB2ACA"/>
    <w:rsid w:val="00AB5D48"/>
    <w:rsid w:val="00AB781E"/>
    <w:rsid w:val="00AC6E88"/>
    <w:rsid w:val="00AC7077"/>
    <w:rsid w:val="00AD3CB4"/>
    <w:rsid w:val="00AF01B1"/>
    <w:rsid w:val="00AF3920"/>
    <w:rsid w:val="00AF7799"/>
    <w:rsid w:val="00AF7BDC"/>
    <w:rsid w:val="00B02039"/>
    <w:rsid w:val="00B054AC"/>
    <w:rsid w:val="00B12365"/>
    <w:rsid w:val="00B128B4"/>
    <w:rsid w:val="00B13CFB"/>
    <w:rsid w:val="00B34396"/>
    <w:rsid w:val="00B3639A"/>
    <w:rsid w:val="00B40DF6"/>
    <w:rsid w:val="00B435DA"/>
    <w:rsid w:val="00B60A21"/>
    <w:rsid w:val="00B6172E"/>
    <w:rsid w:val="00B61EB5"/>
    <w:rsid w:val="00B63E13"/>
    <w:rsid w:val="00B64EC6"/>
    <w:rsid w:val="00B74F60"/>
    <w:rsid w:val="00B84933"/>
    <w:rsid w:val="00B858D0"/>
    <w:rsid w:val="00B87002"/>
    <w:rsid w:val="00B923F5"/>
    <w:rsid w:val="00BA5F5D"/>
    <w:rsid w:val="00BB3A6A"/>
    <w:rsid w:val="00BB63E0"/>
    <w:rsid w:val="00BC00F6"/>
    <w:rsid w:val="00BC14E9"/>
    <w:rsid w:val="00BC344F"/>
    <w:rsid w:val="00BC6722"/>
    <w:rsid w:val="00BD155E"/>
    <w:rsid w:val="00BD7807"/>
    <w:rsid w:val="00BE0A3B"/>
    <w:rsid w:val="00BE65DD"/>
    <w:rsid w:val="00BF06C1"/>
    <w:rsid w:val="00BF1CFA"/>
    <w:rsid w:val="00BF57F6"/>
    <w:rsid w:val="00C0032F"/>
    <w:rsid w:val="00C02BCA"/>
    <w:rsid w:val="00C217EA"/>
    <w:rsid w:val="00C2208F"/>
    <w:rsid w:val="00C23E79"/>
    <w:rsid w:val="00C24B1B"/>
    <w:rsid w:val="00C31568"/>
    <w:rsid w:val="00C36651"/>
    <w:rsid w:val="00C3692A"/>
    <w:rsid w:val="00C46179"/>
    <w:rsid w:val="00C46680"/>
    <w:rsid w:val="00C50409"/>
    <w:rsid w:val="00C5170A"/>
    <w:rsid w:val="00C51A22"/>
    <w:rsid w:val="00C5263E"/>
    <w:rsid w:val="00C53116"/>
    <w:rsid w:val="00C57366"/>
    <w:rsid w:val="00C578A1"/>
    <w:rsid w:val="00C57F93"/>
    <w:rsid w:val="00C62E0A"/>
    <w:rsid w:val="00C65DE8"/>
    <w:rsid w:val="00C677AF"/>
    <w:rsid w:val="00C7093A"/>
    <w:rsid w:val="00C723F6"/>
    <w:rsid w:val="00C80E1A"/>
    <w:rsid w:val="00C929C6"/>
    <w:rsid w:val="00CA7F0B"/>
    <w:rsid w:val="00CB2C7B"/>
    <w:rsid w:val="00CB702C"/>
    <w:rsid w:val="00CC01BA"/>
    <w:rsid w:val="00CC2675"/>
    <w:rsid w:val="00CC3421"/>
    <w:rsid w:val="00CD0B3A"/>
    <w:rsid w:val="00CD2300"/>
    <w:rsid w:val="00CD38B9"/>
    <w:rsid w:val="00CD4778"/>
    <w:rsid w:val="00CE3A2A"/>
    <w:rsid w:val="00CE59F7"/>
    <w:rsid w:val="00D01CFC"/>
    <w:rsid w:val="00D05440"/>
    <w:rsid w:val="00D07D80"/>
    <w:rsid w:val="00D243B6"/>
    <w:rsid w:val="00D26E9B"/>
    <w:rsid w:val="00D304EF"/>
    <w:rsid w:val="00D35130"/>
    <w:rsid w:val="00D355AB"/>
    <w:rsid w:val="00D46D5D"/>
    <w:rsid w:val="00D50C44"/>
    <w:rsid w:val="00D536CE"/>
    <w:rsid w:val="00D57210"/>
    <w:rsid w:val="00D601CA"/>
    <w:rsid w:val="00D70C84"/>
    <w:rsid w:val="00D8152F"/>
    <w:rsid w:val="00D84841"/>
    <w:rsid w:val="00D8578B"/>
    <w:rsid w:val="00D94B31"/>
    <w:rsid w:val="00D9668D"/>
    <w:rsid w:val="00DA30DA"/>
    <w:rsid w:val="00DA468F"/>
    <w:rsid w:val="00DA69B9"/>
    <w:rsid w:val="00DC0399"/>
    <w:rsid w:val="00DC6FEC"/>
    <w:rsid w:val="00DD05CE"/>
    <w:rsid w:val="00DD775D"/>
    <w:rsid w:val="00DE5CF5"/>
    <w:rsid w:val="00DF235C"/>
    <w:rsid w:val="00DF2406"/>
    <w:rsid w:val="00DF2E12"/>
    <w:rsid w:val="00E036AA"/>
    <w:rsid w:val="00E0458E"/>
    <w:rsid w:val="00E04FBF"/>
    <w:rsid w:val="00E0546A"/>
    <w:rsid w:val="00E2231A"/>
    <w:rsid w:val="00E246F5"/>
    <w:rsid w:val="00E24A9E"/>
    <w:rsid w:val="00E253C4"/>
    <w:rsid w:val="00E26C8E"/>
    <w:rsid w:val="00E27DCD"/>
    <w:rsid w:val="00E31DAF"/>
    <w:rsid w:val="00E32571"/>
    <w:rsid w:val="00E341B5"/>
    <w:rsid w:val="00E427E7"/>
    <w:rsid w:val="00E53C15"/>
    <w:rsid w:val="00E5597A"/>
    <w:rsid w:val="00E65F99"/>
    <w:rsid w:val="00E805E6"/>
    <w:rsid w:val="00E807FD"/>
    <w:rsid w:val="00E837D8"/>
    <w:rsid w:val="00EA2D4F"/>
    <w:rsid w:val="00EA4E68"/>
    <w:rsid w:val="00EA5A27"/>
    <w:rsid w:val="00EB46DB"/>
    <w:rsid w:val="00EB4F23"/>
    <w:rsid w:val="00EB5A80"/>
    <w:rsid w:val="00EC1213"/>
    <w:rsid w:val="00EC1EA1"/>
    <w:rsid w:val="00EC4CF9"/>
    <w:rsid w:val="00ED206D"/>
    <w:rsid w:val="00EE29DE"/>
    <w:rsid w:val="00EE7259"/>
    <w:rsid w:val="00EE73C9"/>
    <w:rsid w:val="00EF0067"/>
    <w:rsid w:val="00F05ECA"/>
    <w:rsid w:val="00F071FF"/>
    <w:rsid w:val="00F15D0B"/>
    <w:rsid w:val="00F17583"/>
    <w:rsid w:val="00F2789C"/>
    <w:rsid w:val="00F41762"/>
    <w:rsid w:val="00F51EC8"/>
    <w:rsid w:val="00F6172F"/>
    <w:rsid w:val="00F62094"/>
    <w:rsid w:val="00F6540E"/>
    <w:rsid w:val="00F656DD"/>
    <w:rsid w:val="00F720B8"/>
    <w:rsid w:val="00F72249"/>
    <w:rsid w:val="00F84B8D"/>
    <w:rsid w:val="00F87445"/>
    <w:rsid w:val="00F90B5C"/>
    <w:rsid w:val="00FA0974"/>
    <w:rsid w:val="00FA5EF9"/>
    <w:rsid w:val="00FB45C0"/>
    <w:rsid w:val="00FB612D"/>
    <w:rsid w:val="00FB73D0"/>
    <w:rsid w:val="00FD71FA"/>
    <w:rsid w:val="00FF2800"/>
    <w:rsid w:val="012926F8"/>
    <w:rsid w:val="01B6239B"/>
    <w:rsid w:val="02247F2A"/>
    <w:rsid w:val="02BE2CE9"/>
    <w:rsid w:val="02D873BC"/>
    <w:rsid w:val="034E60CA"/>
    <w:rsid w:val="04D4548E"/>
    <w:rsid w:val="05346193"/>
    <w:rsid w:val="056620FD"/>
    <w:rsid w:val="06ED2330"/>
    <w:rsid w:val="074C049C"/>
    <w:rsid w:val="07DD5BA2"/>
    <w:rsid w:val="096A216E"/>
    <w:rsid w:val="0A78096B"/>
    <w:rsid w:val="0A912365"/>
    <w:rsid w:val="0BF7302D"/>
    <w:rsid w:val="0C023101"/>
    <w:rsid w:val="0CB5323F"/>
    <w:rsid w:val="0D95297E"/>
    <w:rsid w:val="0E34218C"/>
    <w:rsid w:val="0E4C3790"/>
    <w:rsid w:val="0E9F507D"/>
    <w:rsid w:val="0EE167C7"/>
    <w:rsid w:val="0F282FC0"/>
    <w:rsid w:val="0F2F7409"/>
    <w:rsid w:val="0FD33817"/>
    <w:rsid w:val="109F08AB"/>
    <w:rsid w:val="10DD4562"/>
    <w:rsid w:val="11532FA7"/>
    <w:rsid w:val="11653413"/>
    <w:rsid w:val="11E52749"/>
    <w:rsid w:val="12B65794"/>
    <w:rsid w:val="12D37103"/>
    <w:rsid w:val="13777AE7"/>
    <w:rsid w:val="142C73E7"/>
    <w:rsid w:val="14D00DF4"/>
    <w:rsid w:val="155B42FA"/>
    <w:rsid w:val="160F6E35"/>
    <w:rsid w:val="162716E7"/>
    <w:rsid w:val="16441F46"/>
    <w:rsid w:val="165C3ED8"/>
    <w:rsid w:val="175B0BCA"/>
    <w:rsid w:val="17875360"/>
    <w:rsid w:val="17A64281"/>
    <w:rsid w:val="17FF74D4"/>
    <w:rsid w:val="182302C9"/>
    <w:rsid w:val="18AC5DF4"/>
    <w:rsid w:val="1953646A"/>
    <w:rsid w:val="19B24D24"/>
    <w:rsid w:val="19DB2F8A"/>
    <w:rsid w:val="1B55314B"/>
    <w:rsid w:val="1BAE6F57"/>
    <w:rsid w:val="1C0A00B2"/>
    <w:rsid w:val="1D282170"/>
    <w:rsid w:val="1DBC38BE"/>
    <w:rsid w:val="1ECD7650"/>
    <w:rsid w:val="1EEE084B"/>
    <w:rsid w:val="1F732C02"/>
    <w:rsid w:val="20911353"/>
    <w:rsid w:val="20C343BF"/>
    <w:rsid w:val="227447E1"/>
    <w:rsid w:val="23601CDC"/>
    <w:rsid w:val="23BF6C57"/>
    <w:rsid w:val="24287AD3"/>
    <w:rsid w:val="25BB59F6"/>
    <w:rsid w:val="26224696"/>
    <w:rsid w:val="2665542D"/>
    <w:rsid w:val="26685F11"/>
    <w:rsid w:val="26A269A6"/>
    <w:rsid w:val="27BC1712"/>
    <w:rsid w:val="29757A3F"/>
    <w:rsid w:val="2A005FEE"/>
    <w:rsid w:val="2A5E322D"/>
    <w:rsid w:val="2B4E3E18"/>
    <w:rsid w:val="2DC03A8C"/>
    <w:rsid w:val="2DE85D89"/>
    <w:rsid w:val="2E3A0657"/>
    <w:rsid w:val="2E59015E"/>
    <w:rsid w:val="2F9F323E"/>
    <w:rsid w:val="2FBD01D5"/>
    <w:rsid w:val="2FE16AC4"/>
    <w:rsid w:val="301F1782"/>
    <w:rsid w:val="305A3C76"/>
    <w:rsid w:val="30B82F1C"/>
    <w:rsid w:val="31687D65"/>
    <w:rsid w:val="31AC4C4A"/>
    <w:rsid w:val="31D32F72"/>
    <w:rsid w:val="34282FAE"/>
    <w:rsid w:val="34BD6850"/>
    <w:rsid w:val="350F1AB6"/>
    <w:rsid w:val="36015C56"/>
    <w:rsid w:val="3A713AA2"/>
    <w:rsid w:val="3B667E97"/>
    <w:rsid w:val="3B98117E"/>
    <w:rsid w:val="3BEE22AF"/>
    <w:rsid w:val="3D141535"/>
    <w:rsid w:val="3D533C87"/>
    <w:rsid w:val="3DEB2C81"/>
    <w:rsid w:val="3E1623A1"/>
    <w:rsid w:val="3EB10861"/>
    <w:rsid w:val="3F833DB1"/>
    <w:rsid w:val="40084389"/>
    <w:rsid w:val="40397C74"/>
    <w:rsid w:val="404B788D"/>
    <w:rsid w:val="40A536DD"/>
    <w:rsid w:val="40AC29ED"/>
    <w:rsid w:val="41430123"/>
    <w:rsid w:val="42AA55F7"/>
    <w:rsid w:val="435A3EC5"/>
    <w:rsid w:val="43902CB5"/>
    <w:rsid w:val="44B21CE6"/>
    <w:rsid w:val="452957BD"/>
    <w:rsid w:val="453D79A0"/>
    <w:rsid w:val="45F17716"/>
    <w:rsid w:val="462A2CC3"/>
    <w:rsid w:val="484865D2"/>
    <w:rsid w:val="48A741D7"/>
    <w:rsid w:val="48B337FF"/>
    <w:rsid w:val="48B92DDD"/>
    <w:rsid w:val="493E044C"/>
    <w:rsid w:val="49D1292A"/>
    <w:rsid w:val="49D42997"/>
    <w:rsid w:val="4BB716F6"/>
    <w:rsid w:val="4D5C421F"/>
    <w:rsid w:val="4D841FE0"/>
    <w:rsid w:val="4E172BAA"/>
    <w:rsid w:val="4EA86BB6"/>
    <w:rsid w:val="4FB11FDC"/>
    <w:rsid w:val="50571849"/>
    <w:rsid w:val="5094524F"/>
    <w:rsid w:val="51E14FDF"/>
    <w:rsid w:val="522777B1"/>
    <w:rsid w:val="526D250D"/>
    <w:rsid w:val="52F13025"/>
    <w:rsid w:val="53513281"/>
    <w:rsid w:val="57AA3F39"/>
    <w:rsid w:val="58472DF0"/>
    <w:rsid w:val="587838E9"/>
    <w:rsid w:val="587A0B5B"/>
    <w:rsid w:val="587F51E0"/>
    <w:rsid w:val="59532471"/>
    <w:rsid w:val="59BC73E4"/>
    <w:rsid w:val="5B477014"/>
    <w:rsid w:val="5B555553"/>
    <w:rsid w:val="5C165E5F"/>
    <w:rsid w:val="5C536546"/>
    <w:rsid w:val="5CF46E86"/>
    <w:rsid w:val="5EDA41C7"/>
    <w:rsid w:val="5F766D30"/>
    <w:rsid w:val="5FD37631"/>
    <w:rsid w:val="600B1C4F"/>
    <w:rsid w:val="619306EF"/>
    <w:rsid w:val="626D341F"/>
    <w:rsid w:val="62FC2732"/>
    <w:rsid w:val="6356034D"/>
    <w:rsid w:val="63AE0E03"/>
    <w:rsid w:val="640F7394"/>
    <w:rsid w:val="644B416B"/>
    <w:rsid w:val="64A64644"/>
    <w:rsid w:val="65A21190"/>
    <w:rsid w:val="65C36F73"/>
    <w:rsid w:val="65E9231B"/>
    <w:rsid w:val="66DD3E21"/>
    <w:rsid w:val="674743C8"/>
    <w:rsid w:val="67C43171"/>
    <w:rsid w:val="67D34CF0"/>
    <w:rsid w:val="68102D96"/>
    <w:rsid w:val="691A5167"/>
    <w:rsid w:val="694C1134"/>
    <w:rsid w:val="69BE61FA"/>
    <w:rsid w:val="6A873EEA"/>
    <w:rsid w:val="6ABF66F7"/>
    <w:rsid w:val="6B8424B0"/>
    <w:rsid w:val="6B936668"/>
    <w:rsid w:val="6C3917BF"/>
    <w:rsid w:val="6C4971E2"/>
    <w:rsid w:val="6CE34991"/>
    <w:rsid w:val="6D07604C"/>
    <w:rsid w:val="6D215FBB"/>
    <w:rsid w:val="6D250EF2"/>
    <w:rsid w:val="6D3A1B2E"/>
    <w:rsid w:val="6D3F7265"/>
    <w:rsid w:val="6DBB1C1E"/>
    <w:rsid w:val="6DC54653"/>
    <w:rsid w:val="6FAA6A3E"/>
    <w:rsid w:val="704875E6"/>
    <w:rsid w:val="71786C59"/>
    <w:rsid w:val="72350013"/>
    <w:rsid w:val="726C4F2B"/>
    <w:rsid w:val="727A01F4"/>
    <w:rsid w:val="73802CE6"/>
    <w:rsid w:val="74244766"/>
    <w:rsid w:val="748143EA"/>
    <w:rsid w:val="74B93C25"/>
    <w:rsid w:val="74CB7A5F"/>
    <w:rsid w:val="75026140"/>
    <w:rsid w:val="77764004"/>
    <w:rsid w:val="777709E9"/>
    <w:rsid w:val="78D02DFD"/>
    <w:rsid w:val="78EF3AD8"/>
    <w:rsid w:val="794C6431"/>
    <w:rsid w:val="7A265D71"/>
    <w:rsid w:val="7A615C4A"/>
    <w:rsid w:val="7A893D75"/>
    <w:rsid w:val="7A9F007B"/>
    <w:rsid w:val="7BFC766A"/>
    <w:rsid w:val="7C330037"/>
    <w:rsid w:val="7D202DCA"/>
    <w:rsid w:val="7D746B63"/>
    <w:rsid w:val="7E2734B3"/>
    <w:rsid w:val="7EF16EDB"/>
    <w:rsid w:val="7F820AC5"/>
    <w:rsid w:val="CFED6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4"/>
    <w:basedOn w:val="1"/>
    <w:next w:val="1"/>
    <w:link w:val="24"/>
    <w:qFormat/>
    <w:uiPriority w:val="0"/>
    <w:pPr>
      <w:keepNext/>
      <w:keepLines/>
      <w:spacing w:line="374" w:lineRule="auto"/>
      <w:outlineLvl w:val="3"/>
    </w:pPr>
    <w:rPr>
      <w:rFonts w:ascii="Arial" w:hAnsi="Arial" w:eastAsia="黑体"/>
      <w:b/>
      <w:bCs/>
      <w:kern w:val="0"/>
      <w:sz w:val="28"/>
      <w:szCs w:val="28"/>
      <w:lang w:val="zh-CN"/>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Times New Roman" w:hAnsi="Times New Roman" w:eastAsia="宋体"/>
    </w:rPr>
  </w:style>
  <w:style w:type="paragraph" w:styleId="4">
    <w:name w:val="Body Text"/>
    <w:basedOn w:val="1"/>
    <w:link w:val="27"/>
    <w:semiHidden/>
    <w:unhideWhenUsed/>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Balloon Text"/>
    <w:basedOn w:val="1"/>
    <w:link w:val="20"/>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4"/>
    <w:link w:val="28"/>
    <w:qFormat/>
    <w:uiPriority w:val="0"/>
    <w:pPr>
      <w:ind w:firstLine="420" w:firstLineChars="100"/>
    </w:pPr>
    <w:rPr>
      <w:rFonts w:eastAsia="宋体"/>
      <w:sz w:val="21"/>
    </w:rPr>
  </w:style>
  <w:style w:type="paragraph" w:styleId="11">
    <w:name w:val="Body Text First Indent 2"/>
    <w:basedOn w:val="5"/>
    <w:next w:val="1"/>
    <w:link w:val="23"/>
    <w:qFormat/>
    <w:uiPriority w:val="0"/>
    <w:pPr>
      <w:spacing w:after="0"/>
      <w:ind w:left="0" w:leftChars="0" w:firstLine="200" w:firstLineChars="200"/>
    </w:pPr>
    <w:rPr>
      <w:rFonts w:ascii="仿宋_GB2312" w:cs="仿宋_GB2312"/>
      <w:szCs w:val="32"/>
    </w:rPr>
  </w:style>
  <w:style w:type="character" w:styleId="14">
    <w:name w:val="Strong"/>
    <w:basedOn w:val="13"/>
    <w:qFormat/>
    <w:uiPriority w:val="0"/>
    <w:rPr>
      <w:b/>
    </w:rPr>
  </w:style>
  <w:style w:type="character" w:styleId="15">
    <w:name w:val="page number"/>
    <w:qFormat/>
    <w:uiPriority w:val="0"/>
    <w:rPr>
      <w:rFonts w:cs="Times New Roman"/>
    </w:rPr>
  </w:style>
  <w:style w:type="character" w:customStyle="1" w:styleId="16">
    <w:name w:val="页脚 Char"/>
    <w:basedOn w:val="13"/>
    <w:link w:val="7"/>
    <w:qFormat/>
    <w:uiPriority w:val="99"/>
    <w:rPr>
      <w:rFonts w:ascii="Calibri" w:hAnsi="Calibri" w:eastAsia="仿宋_GB2312" w:cs="Times New Roman"/>
      <w:sz w:val="18"/>
      <w:szCs w:val="18"/>
    </w:rPr>
  </w:style>
  <w:style w:type="paragraph" w:customStyle="1" w:styleId="17">
    <w:name w:val="正文2"/>
    <w:basedOn w:val="1"/>
    <w:next w:val="1"/>
    <w:qFormat/>
    <w:uiPriority w:val="0"/>
    <w:pPr>
      <w:spacing w:line="560" w:lineRule="exact"/>
      <w:ind w:firstLine="200" w:firstLineChars="200"/>
    </w:pPr>
  </w:style>
  <w:style w:type="character" w:customStyle="1" w:styleId="18">
    <w:name w:val="NormalCharacter"/>
    <w:semiHidden/>
    <w:qFormat/>
    <w:uiPriority w:val="0"/>
  </w:style>
  <w:style w:type="character" w:customStyle="1" w:styleId="19">
    <w:name w:val="页眉 Char"/>
    <w:basedOn w:val="13"/>
    <w:link w:val="8"/>
    <w:semiHidden/>
    <w:qFormat/>
    <w:uiPriority w:val="99"/>
    <w:rPr>
      <w:rFonts w:ascii="Calibri" w:hAnsi="Calibri" w:eastAsia="仿宋_GB2312" w:cs="Times New Roman"/>
      <w:sz w:val="18"/>
      <w:szCs w:val="18"/>
    </w:rPr>
  </w:style>
  <w:style w:type="character" w:customStyle="1" w:styleId="20">
    <w:name w:val="批注框文本 Char"/>
    <w:basedOn w:val="13"/>
    <w:link w:val="6"/>
    <w:semiHidden/>
    <w:qFormat/>
    <w:uiPriority w:val="99"/>
    <w:rPr>
      <w:rFonts w:ascii="Calibri" w:hAnsi="Calibri" w:eastAsia="仿宋_GB2312" w:cs="Times New Roman"/>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缩进 Char"/>
    <w:basedOn w:val="13"/>
    <w:link w:val="5"/>
    <w:semiHidden/>
    <w:qFormat/>
    <w:uiPriority w:val="99"/>
    <w:rPr>
      <w:rFonts w:ascii="Calibri" w:hAnsi="Calibri" w:eastAsia="仿宋_GB2312" w:cs="Times New Roman"/>
      <w:kern w:val="2"/>
      <w:sz w:val="32"/>
      <w:szCs w:val="24"/>
    </w:rPr>
  </w:style>
  <w:style w:type="character" w:customStyle="1" w:styleId="23">
    <w:name w:val="正文首行缩进 2 Char"/>
    <w:basedOn w:val="22"/>
    <w:link w:val="11"/>
    <w:qFormat/>
    <w:uiPriority w:val="0"/>
    <w:rPr>
      <w:rFonts w:ascii="仿宋_GB2312" w:hAnsi="Calibri" w:eastAsia="仿宋_GB2312" w:cs="仿宋_GB2312"/>
      <w:kern w:val="2"/>
      <w:sz w:val="32"/>
      <w:szCs w:val="32"/>
    </w:rPr>
  </w:style>
  <w:style w:type="character" w:customStyle="1" w:styleId="24">
    <w:name w:val="标题 4 Char"/>
    <w:basedOn w:val="13"/>
    <w:link w:val="3"/>
    <w:qFormat/>
    <w:uiPriority w:val="0"/>
    <w:rPr>
      <w:rFonts w:ascii="Arial" w:hAnsi="Arial" w:eastAsia="黑体" w:cs="Times New Roman"/>
      <w:b/>
      <w:bCs/>
      <w:sz w:val="28"/>
      <w:szCs w:val="28"/>
      <w:lang w:val="zh-CN"/>
    </w:rPr>
  </w:style>
  <w:style w:type="paragraph" w:customStyle="1" w:styleId="25">
    <w:name w:val="UserStyle_0"/>
    <w:basedOn w:val="1"/>
    <w:qFormat/>
    <w:uiPriority w:val="0"/>
    <w:pPr>
      <w:spacing w:line="240" w:lineRule="atLeast"/>
      <w:textAlignment w:val="baseline"/>
    </w:pPr>
    <w:rPr>
      <w:rFonts w:ascii="Times New Roman" w:hAnsi="Times New Roman" w:eastAsia="宋体"/>
      <w:sz w:val="21"/>
      <w:szCs w:val="22"/>
    </w:rPr>
  </w:style>
  <w:style w:type="paragraph" w:customStyle="1" w:styleId="26">
    <w:name w:val="p0"/>
    <w:basedOn w:val="1"/>
    <w:qFormat/>
    <w:uiPriority w:val="0"/>
    <w:pPr>
      <w:widowControl/>
    </w:pPr>
    <w:rPr>
      <w:rFonts w:eastAsia="宋体" w:cs="宋体"/>
      <w:kern w:val="0"/>
      <w:sz w:val="21"/>
      <w:szCs w:val="21"/>
    </w:rPr>
  </w:style>
  <w:style w:type="character" w:customStyle="1" w:styleId="27">
    <w:name w:val="正文文本 Char"/>
    <w:basedOn w:val="13"/>
    <w:link w:val="4"/>
    <w:semiHidden/>
    <w:uiPriority w:val="99"/>
    <w:rPr>
      <w:rFonts w:ascii="Calibri" w:hAnsi="Calibri" w:eastAsia="仿宋_GB2312" w:cs="Times New Roman"/>
      <w:kern w:val="2"/>
      <w:sz w:val="32"/>
      <w:szCs w:val="24"/>
    </w:rPr>
  </w:style>
  <w:style w:type="character" w:customStyle="1" w:styleId="28">
    <w:name w:val="正文首行缩进 Char"/>
    <w:basedOn w:val="27"/>
    <w:link w:val="10"/>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F385E-B867-45DD-BF58-43A4B968C1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1800</Words>
  <Characters>10266</Characters>
  <Lines>85</Lines>
  <Paragraphs>24</Paragraphs>
  <TotalTime>10</TotalTime>
  <ScaleCrop>false</ScaleCrop>
  <LinksUpToDate>false</LinksUpToDate>
  <CharactersWithSpaces>12042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2022-01-14T01:21:00Z</dcterms:created>
  <dc:creator>张静</dc:creator>
  <cp:lastModifiedBy>张劲松</cp:lastModifiedBy>
  <cp:lastPrinted>2022-01-27T04:20:00Z</cp:lastPrinted>
  <dcterms:modified xsi:type="dcterms:W3CDTF">2022-03-14T03:43:12Z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E3C4FA7119B3473D8CDDDBBF4D1C6EEE</vt:lpwstr>
  </property>
</Properties>
</file>