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B8" w:rsidRDefault="00325EC5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乌当区</w:t>
      </w:r>
      <w:r w:rsidR="00095374"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2024年</w:t>
      </w: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转移支付安排情况说明</w:t>
      </w:r>
    </w:p>
    <w:p w:rsidR="009175B8" w:rsidRDefault="009175B8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9175B8" w:rsidRDefault="00325EC5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一般公共预算转移支付安排</w:t>
      </w:r>
    </w:p>
    <w:p w:rsidR="00452834" w:rsidRDefault="0045283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返还性收入为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175B8" w:rsidRDefault="00180BB0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一般性</w:t>
      </w:r>
      <w:r w:rsidR="00325EC5">
        <w:rPr>
          <w:rFonts w:ascii="仿宋" w:eastAsia="仿宋" w:hAnsi="仿宋" w:cs="仿宋" w:hint="eastAsia"/>
          <w:sz w:val="32"/>
          <w:szCs w:val="32"/>
        </w:rPr>
        <w:t>转移支付为</w:t>
      </w:r>
      <w:r w:rsidR="0040649A" w:rsidRPr="008840EC">
        <w:rPr>
          <w:rFonts w:ascii="Times New Roman" w:eastAsia="仿宋" w:hAnsi="Times New Roman" w:cs="仿宋" w:hint="eastAsia"/>
          <w:sz w:val="32"/>
          <w:szCs w:val="32"/>
        </w:rPr>
        <w:t>19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416</w:t>
      </w:r>
      <w:r w:rsidR="00325EC5">
        <w:rPr>
          <w:rFonts w:ascii="仿宋" w:eastAsia="仿宋" w:hAnsi="仿宋" w:cs="仿宋" w:hint="eastAsia"/>
          <w:sz w:val="32"/>
          <w:szCs w:val="32"/>
        </w:rPr>
        <w:t>万元，其中：东风镇</w:t>
      </w:r>
      <w:r w:rsidR="0040649A" w:rsidRPr="008840EC">
        <w:rPr>
          <w:rFonts w:ascii="Times New Roman" w:eastAsia="仿宋" w:hAnsi="Times New Roman" w:cs="仿宋" w:hint="eastAsia"/>
          <w:sz w:val="32"/>
          <w:szCs w:val="32"/>
        </w:rPr>
        <w:t>4657</w:t>
      </w:r>
      <w:r w:rsidR="00325EC5">
        <w:rPr>
          <w:rFonts w:ascii="仿宋" w:eastAsia="仿宋" w:hAnsi="仿宋" w:cs="仿宋" w:hint="eastAsia"/>
          <w:sz w:val="32"/>
          <w:szCs w:val="32"/>
        </w:rPr>
        <w:t>万元，水田镇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27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21</w:t>
      </w:r>
      <w:r w:rsidR="00325EC5">
        <w:rPr>
          <w:rFonts w:ascii="仿宋" w:eastAsia="仿宋" w:hAnsi="仿宋" w:cs="仿宋" w:hint="eastAsia"/>
          <w:sz w:val="32"/>
          <w:szCs w:val="32"/>
        </w:rPr>
        <w:t>万元，下坝镇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2093</w:t>
      </w:r>
      <w:r w:rsidR="00325EC5">
        <w:rPr>
          <w:rFonts w:ascii="仿宋" w:eastAsia="仿宋" w:hAnsi="仿宋" w:cs="仿宋" w:hint="eastAsia"/>
          <w:sz w:val="32"/>
          <w:szCs w:val="32"/>
        </w:rPr>
        <w:t>万元，百宜镇</w:t>
      </w:r>
      <w:r w:rsidR="0040649A" w:rsidRPr="008840EC">
        <w:rPr>
          <w:rFonts w:ascii="Times New Roman" w:eastAsia="仿宋" w:hAnsi="Times New Roman" w:cs="仿宋" w:hint="eastAsia"/>
          <w:sz w:val="32"/>
          <w:szCs w:val="32"/>
        </w:rPr>
        <w:t>2124</w:t>
      </w:r>
      <w:r w:rsidR="00325EC5">
        <w:rPr>
          <w:rFonts w:ascii="仿宋" w:eastAsia="仿宋" w:hAnsi="仿宋" w:cs="仿宋" w:hint="eastAsia"/>
          <w:sz w:val="32"/>
          <w:szCs w:val="32"/>
        </w:rPr>
        <w:t>万元，羊昌镇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2187</w:t>
      </w:r>
      <w:r w:rsidR="00325EC5">
        <w:rPr>
          <w:rFonts w:ascii="仿宋" w:eastAsia="仿宋" w:hAnsi="仿宋" w:cs="仿宋" w:hint="eastAsia"/>
          <w:sz w:val="32"/>
          <w:szCs w:val="32"/>
        </w:rPr>
        <w:t>万元，新堡乡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2088</w:t>
      </w:r>
      <w:r w:rsidR="00325EC5">
        <w:rPr>
          <w:rFonts w:ascii="仿宋" w:eastAsia="仿宋" w:hAnsi="仿宋" w:cs="仿宋" w:hint="eastAsia"/>
          <w:sz w:val="32"/>
          <w:szCs w:val="32"/>
        </w:rPr>
        <w:t>万元，新场镇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2398</w:t>
      </w:r>
      <w:r w:rsidR="00325EC5">
        <w:rPr>
          <w:rFonts w:ascii="仿宋" w:eastAsia="仿宋" w:hAnsi="仿宋" w:cs="仿宋" w:hint="eastAsia"/>
          <w:sz w:val="32"/>
          <w:szCs w:val="32"/>
        </w:rPr>
        <w:t>万元，偏坡乡</w:t>
      </w:r>
      <w:r w:rsidR="0040649A" w:rsidRPr="008840EC">
        <w:rPr>
          <w:rFonts w:ascii="Times New Roman" w:eastAsia="仿宋" w:hAnsi="Times New Roman" w:cs="仿宋" w:hint="eastAsia"/>
          <w:sz w:val="32"/>
          <w:szCs w:val="32"/>
        </w:rPr>
        <w:t>1148</w:t>
      </w:r>
      <w:r w:rsidR="00325EC5">
        <w:rPr>
          <w:rFonts w:ascii="仿宋" w:eastAsia="仿宋" w:hAnsi="仿宋" w:cs="仿宋" w:hint="eastAsia"/>
          <w:sz w:val="32"/>
          <w:szCs w:val="32"/>
        </w:rPr>
        <w:t>万元。</w:t>
      </w:r>
    </w:p>
    <w:p w:rsidR="00452834" w:rsidRDefault="00452834" w:rsidP="00452834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专项转移支付为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1213</w:t>
      </w:r>
      <w:r>
        <w:rPr>
          <w:rFonts w:ascii="仿宋" w:eastAsia="仿宋" w:hAnsi="仿宋" w:cs="仿宋" w:hint="eastAsia"/>
          <w:sz w:val="32"/>
          <w:szCs w:val="32"/>
        </w:rPr>
        <w:t>万元，其中：东风镇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万元，水田镇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332</w:t>
      </w:r>
      <w:r>
        <w:rPr>
          <w:rFonts w:ascii="仿宋" w:eastAsia="仿宋" w:hAnsi="仿宋" w:cs="仿宋" w:hint="eastAsia"/>
          <w:sz w:val="32"/>
          <w:szCs w:val="32"/>
        </w:rPr>
        <w:t>万元，下坝镇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124</w:t>
      </w:r>
      <w:r>
        <w:rPr>
          <w:rFonts w:ascii="仿宋" w:eastAsia="仿宋" w:hAnsi="仿宋" w:cs="仿宋" w:hint="eastAsia"/>
          <w:sz w:val="32"/>
          <w:szCs w:val="32"/>
        </w:rPr>
        <w:t>万元，百宜镇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92</w:t>
      </w:r>
      <w:r>
        <w:rPr>
          <w:rFonts w:ascii="仿宋" w:eastAsia="仿宋" w:hAnsi="仿宋" w:cs="仿宋" w:hint="eastAsia"/>
          <w:sz w:val="32"/>
          <w:szCs w:val="32"/>
        </w:rPr>
        <w:t>万元，羊昌镇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102</w:t>
      </w:r>
      <w:r>
        <w:rPr>
          <w:rFonts w:ascii="仿宋" w:eastAsia="仿宋" w:hAnsi="仿宋" w:cs="仿宋" w:hint="eastAsia"/>
          <w:sz w:val="32"/>
          <w:szCs w:val="32"/>
        </w:rPr>
        <w:t>万元，新堡乡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225</w:t>
      </w:r>
      <w:r>
        <w:rPr>
          <w:rFonts w:ascii="仿宋" w:eastAsia="仿宋" w:hAnsi="仿宋" w:cs="仿宋" w:hint="eastAsia"/>
          <w:sz w:val="32"/>
          <w:szCs w:val="32"/>
        </w:rPr>
        <w:t>万元，新场镇</w:t>
      </w:r>
      <w:r w:rsidR="00C87016">
        <w:rPr>
          <w:rFonts w:ascii="Times New Roman" w:eastAsia="仿宋" w:hAnsi="Times New Roman" w:cs="仿宋" w:hint="eastAsia"/>
          <w:sz w:val="32"/>
          <w:szCs w:val="32"/>
        </w:rPr>
        <w:t>282</w:t>
      </w:r>
      <w:r>
        <w:rPr>
          <w:rFonts w:ascii="仿宋" w:eastAsia="仿宋" w:hAnsi="仿宋" w:cs="仿宋" w:hint="eastAsia"/>
          <w:sz w:val="32"/>
          <w:szCs w:val="32"/>
        </w:rPr>
        <w:t>万元，偏坡乡</w:t>
      </w:r>
      <w:r w:rsidRPr="008840EC">
        <w:rPr>
          <w:rFonts w:ascii="Times New Roman" w:eastAsia="仿宋" w:hAnsi="Times New Roman" w:cs="仿宋" w:hint="eastAsia"/>
          <w:sz w:val="32"/>
          <w:szCs w:val="32"/>
        </w:rPr>
        <w:t>38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175B8" w:rsidRDefault="00325EC5" w:rsidP="00452834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二、政府性基金预算转移支付安排</w:t>
      </w:r>
    </w:p>
    <w:p w:rsidR="00452834" w:rsidRDefault="00EE5C2D" w:rsidP="00452834">
      <w:pPr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政府性基金预算</w:t>
      </w:r>
      <w:r w:rsidR="00452834">
        <w:rPr>
          <w:rFonts w:ascii="仿宋" w:eastAsia="仿宋" w:hAnsi="仿宋" w:cs="仿宋" w:hint="eastAsia"/>
          <w:sz w:val="32"/>
          <w:szCs w:val="32"/>
        </w:rPr>
        <w:t>转移支付为</w:t>
      </w:r>
      <w:r>
        <w:rPr>
          <w:rFonts w:ascii="Times New Roman" w:eastAsia="仿宋" w:hAnsi="Times New Roman" w:cs="仿宋" w:hint="eastAsia"/>
          <w:sz w:val="32"/>
          <w:szCs w:val="32"/>
        </w:rPr>
        <w:t>0</w:t>
      </w:r>
      <w:r w:rsidR="00452834">
        <w:rPr>
          <w:rFonts w:ascii="仿宋" w:eastAsia="仿宋" w:hAnsi="仿宋" w:cs="仿宋" w:hint="eastAsia"/>
          <w:sz w:val="32"/>
          <w:szCs w:val="32"/>
        </w:rPr>
        <w:t>万元。</w:t>
      </w:r>
    </w:p>
    <w:p w:rsidR="009175B8" w:rsidRPr="00452834" w:rsidRDefault="009175B8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p w:rsidR="00095374" w:rsidRDefault="00095374">
      <w:pPr>
        <w:widowControl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br w:type="page"/>
      </w:r>
    </w:p>
    <w:p w:rsidR="00095374" w:rsidRDefault="00095374" w:rsidP="00095374">
      <w:pPr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lastRenderedPageBreak/>
        <w:t>乌当区2024年一般公共预算区对下转移支付补助分地区分项目预算表</w:t>
      </w:r>
    </w:p>
    <w:tbl>
      <w:tblPr>
        <w:tblW w:w="13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 w:rsidR="00095374" w:rsidTr="00556784">
        <w:trPr>
          <w:trHeight w:val="286"/>
        </w:trPr>
        <w:tc>
          <w:tcPr>
            <w:tcW w:w="2567" w:type="dxa"/>
            <w:shd w:val="clear" w:color="auto" w:fill="auto"/>
            <w:vAlign w:val="bottom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95374" w:rsidRDefault="00095374" w:rsidP="0055678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单位：万元</w:t>
            </w:r>
          </w:p>
        </w:tc>
      </w:tr>
      <w:tr w:rsidR="00095374" w:rsidTr="00556784">
        <w:trPr>
          <w:trHeight w:val="58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374" w:rsidRDefault="00095374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 w:rsidR="005B2F65" w:rsidTr="00556784">
        <w:trPr>
          <w:trHeight w:val="45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 w:rsidP="0055678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Style w:val="font61"/>
                <w:rFonts w:asciiTheme="minorEastAsia" w:eastAsiaTheme="minorEastAsia" w:hAnsiTheme="minorEastAsia" w:hint="default"/>
                <w:sz w:val="28"/>
                <w:szCs w:val="28"/>
              </w:rPr>
              <w:t>合　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1186</w:t>
            </w:r>
          </w:p>
        </w:tc>
      </w:tr>
      <w:tr w:rsidR="005B2F65" w:rsidTr="00556784">
        <w:trPr>
          <w:trHeight w:val="3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 w:rsidP="0055678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返还性收入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C8701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－</w:t>
            </w:r>
          </w:p>
        </w:tc>
      </w:tr>
      <w:tr w:rsidR="005B2F65" w:rsidTr="00556784">
        <w:trPr>
          <w:trHeight w:val="3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 w:rsidP="0055678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一般性转移支付收入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1148</w:t>
            </w:r>
          </w:p>
        </w:tc>
      </w:tr>
      <w:tr w:rsidR="005B2F65" w:rsidTr="00556784">
        <w:trPr>
          <w:trHeight w:val="30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 w:rsidP="0055678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F65" w:rsidRDefault="005B2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</w:tbl>
    <w:p w:rsidR="009175B8" w:rsidRDefault="009175B8">
      <w:pPr>
        <w:tabs>
          <w:tab w:val="left" w:pos="1660"/>
        </w:tabs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9175B8" w:rsidRDefault="00325EC5">
      <w:pPr>
        <w:jc w:val="center"/>
      </w:pPr>
      <w:r>
        <w:rPr>
          <w:rFonts w:ascii="黑体" w:eastAsia="黑体" w:hAnsi="黑体" w:cs="黑体"/>
          <w:sz w:val="44"/>
          <w:szCs w:val="44"/>
        </w:rPr>
        <w:br w:type="page"/>
      </w:r>
    </w:p>
    <w:p w:rsidR="00866601" w:rsidRDefault="00866601" w:rsidP="00866601">
      <w:pPr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lastRenderedPageBreak/>
        <w:t>乌当区2024年政府性基金预算区对下转移支付补助分地区预算表</w:t>
      </w:r>
    </w:p>
    <w:tbl>
      <w:tblPr>
        <w:tblW w:w="13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 w:rsidR="00866601" w:rsidTr="00C019BB">
        <w:trPr>
          <w:trHeight w:val="286"/>
        </w:trPr>
        <w:tc>
          <w:tcPr>
            <w:tcW w:w="2567" w:type="dxa"/>
            <w:shd w:val="clear" w:color="auto" w:fill="auto"/>
            <w:vAlign w:val="bottom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66601" w:rsidRDefault="00866601" w:rsidP="00C019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单位：万元</w:t>
            </w:r>
          </w:p>
        </w:tc>
      </w:tr>
      <w:tr w:rsidR="00866601" w:rsidTr="00C019BB">
        <w:trPr>
          <w:trHeight w:val="58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601" w:rsidRDefault="00866601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 w:rsidR="00054CD9" w:rsidTr="00C019BB">
        <w:trPr>
          <w:trHeight w:val="45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054CD9" w:rsidP="00C019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  <w:r>
              <w:rPr>
                <w:rStyle w:val="font61"/>
                <w:rFonts w:asciiTheme="minorEastAsia" w:eastAsiaTheme="minorEastAsia" w:hAnsiTheme="minorEastAsia" w:hint="default"/>
                <w:sz w:val="28"/>
                <w:szCs w:val="28"/>
              </w:rPr>
              <w:t>合　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E05DCD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</w:tr>
      <w:tr w:rsidR="00054CD9" w:rsidTr="00C019BB">
        <w:trPr>
          <w:trHeight w:val="301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054CD9" w:rsidP="00C019B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CD9" w:rsidRDefault="00E05DCD" w:rsidP="00C019BB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8"/>
                <w:szCs w:val="28"/>
              </w:rPr>
              <w:t>－</w:t>
            </w:r>
          </w:p>
        </w:tc>
      </w:tr>
    </w:tbl>
    <w:p w:rsidR="00EE5C2D" w:rsidRDefault="00EE5C2D" w:rsidP="00EE5C2D">
      <w:pPr>
        <w:pStyle w:val="20"/>
        <w:ind w:leftChars="0" w:left="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注：由于政府性基金预算区级对下无转移支付，因此该表无数据。</w:t>
      </w:r>
    </w:p>
    <w:p w:rsidR="00866601" w:rsidRPr="00EE5C2D" w:rsidRDefault="00866601">
      <w:pPr>
        <w:widowControl/>
        <w:jc w:val="left"/>
        <w:rPr>
          <w:rFonts w:ascii="方正小标宋简体" w:eastAsia="方正小标宋简体" w:hAnsi="黑体" w:cs="黑体"/>
          <w:color w:val="000000" w:themeColor="text1"/>
          <w:sz w:val="44"/>
          <w:szCs w:val="44"/>
        </w:rPr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866601" w:rsidRDefault="00866601" w:rsidP="00866601">
      <w:pPr>
        <w:pStyle w:val="a0"/>
      </w:pPr>
    </w:p>
    <w:p w:rsidR="00452834" w:rsidRDefault="00452834" w:rsidP="00866601">
      <w:pPr>
        <w:pStyle w:val="a0"/>
      </w:pPr>
    </w:p>
    <w:p w:rsidR="00452834" w:rsidRDefault="00452834" w:rsidP="00866601">
      <w:pPr>
        <w:pStyle w:val="a0"/>
      </w:pPr>
    </w:p>
    <w:p w:rsidR="00452834" w:rsidRDefault="00452834" w:rsidP="00866601">
      <w:pPr>
        <w:pStyle w:val="a0"/>
      </w:pPr>
    </w:p>
    <w:p w:rsidR="00452834" w:rsidRPr="00866601" w:rsidRDefault="00452834" w:rsidP="00866601">
      <w:pPr>
        <w:pStyle w:val="a0"/>
      </w:pPr>
    </w:p>
    <w:p w:rsidR="009175B8" w:rsidRDefault="00095374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乌当区</w:t>
      </w:r>
      <w:r w:rsidR="009706E4"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区本级</w:t>
      </w:r>
      <w:r w:rsidR="00325EC5"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4</w:t>
      </w:r>
      <w:r w:rsidR="00325EC5"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</w:rPr>
        <w:t>年一般公共预算“三公”经费预算安排情况说明</w:t>
      </w:r>
    </w:p>
    <w:p w:rsidR="009175B8" w:rsidRDefault="009175B8">
      <w:pPr>
        <w:pStyle w:val="a7"/>
        <w:autoSpaceDE w:val="0"/>
        <w:spacing w:before="0" w:beforeAutospacing="0" w:after="0" w:afterAutospacing="0" w:line="560" w:lineRule="exact"/>
        <w:ind w:leftChars="7" w:left="15"/>
        <w:jc w:val="both"/>
        <w:rPr>
          <w:rFonts w:ascii="仿宋_GB2312" w:eastAsia="仿宋_GB2312" w:hAnsi="楷体"/>
          <w:color w:val="3D3D3D"/>
          <w:sz w:val="28"/>
          <w:szCs w:val="28"/>
        </w:rPr>
      </w:pPr>
    </w:p>
    <w:p w:rsidR="009175B8" w:rsidRDefault="00325EC5" w:rsidP="002A73CE">
      <w:pPr>
        <w:pStyle w:val="a7"/>
        <w:autoSpaceDE w:val="0"/>
        <w:spacing w:before="0" w:beforeAutospacing="0" w:after="0" w:afterAutospacing="0" w:line="560" w:lineRule="exact"/>
        <w:ind w:leftChars="7" w:left="15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3D3D3D"/>
          <w:sz w:val="32"/>
          <w:szCs w:val="32"/>
        </w:rPr>
        <w:t>区本级</w:t>
      </w:r>
      <w:r w:rsidR="00D14793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73</w:t>
      </w:r>
      <w:r>
        <w:rPr>
          <w:rFonts w:ascii="Times New Roman" w:eastAsia="仿宋_GB2312" w:hAnsi="Times New Roman" w:cs="仿宋_GB2312" w:hint="eastAsia"/>
          <w:color w:val="3D3D3D"/>
          <w:sz w:val="32"/>
          <w:szCs w:val="32"/>
        </w:rPr>
        <w:t>家部门</w:t>
      </w:r>
      <w:r>
        <w:rPr>
          <w:rFonts w:ascii="Times New Roman" w:eastAsia="仿宋_GB2312" w:hAnsi="Times New Roman" w:cs="Times New Roman"/>
          <w:color w:val="3D3D3D"/>
          <w:sz w:val="32"/>
          <w:szCs w:val="32"/>
        </w:rPr>
        <w:t>202</w:t>
      </w:r>
      <w:r w:rsidR="00095374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年年初一般公共预算安排的“三公”经费预算共计</w:t>
      </w:r>
      <w:r w:rsidR="007502DF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449.51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万元，比上年预算</w:t>
      </w:r>
      <w:r w:rsidR="00095374">
        <w:rPr>
          <w:rFonts w:ascii="Times New Roman" w:eastAsia="仿宋_GB2312" w:hAnsi="Times New Roman" w:cs="Times New Roman"/>
          <w:color w:val="3D3D3D"/>
          <w:sz w:val="32"/>
          <w:szCs w:val="32"/>
        </w:rPr>
        <w:t>671.4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万元下降</w:t>
      </w:r>
      <w:r w:rsidR="007502DF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33.05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%，减少</w:t>
      </w:r>
      <w:r w:rsidR="007502DF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221.89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万元。其中：因公出国（境）经费部门无预算（原因是我区公务出国（境）都是上级主管部门临时安排，年初无法预计，如有公务出国（境）经费发生，从财政年初预留经费调整使用）；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 w:rsidR="007502DF">
        <w:rPr>
          <w:rFonts w:ascii="Times New Roman" w:eastAsia="仿宋_GB2312" w:hAnsi="Times New Roman" w:cs="Times New Roman" w:hint="eastAsia"/>
          <w:sz w:val="32"/>
          <w:szCs w:val="32"/>
        </w:rPr>
        <w:t>19.41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比上年预算</w:t>
      </w:r>
      <w:r w:rsidR="00095374">
        <w:rPr>
          <w:rFonts w:ascii="Times New Roman" w:eastAsia="仿宋_GB2312" w:hAnsi="Times New Roman" w:cs="Times New Roman"/>
          <w:sz w:val="32"/>
          <w:szCs w:val="32"/>
        </w:rPr>
        <w:t>11.66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</w:t>
      </w:r>
      <w:r w:rsidR="00004EA9"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增长</w:t>
      </w:r>
      <w:r w:rsidR="00004EA9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66.47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%，</w:t>
      </w:r>
      <w:r w:rsidR="00004EA9"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增长</w:t>
      </w:r>
      <w:r w:rsidR="00004EA9">
        <w:rPr>
          <w:rFonts w:ascii="Times New Roman" w:eastAsia="仿宋_GB2312" w:hAnsi="Times New Roman" w:cs="Times New Roman" w:hint="eastAsia"/>
          <w:color w:val="3D3D3D"/>
          <w:sz w:val="32"/>
          <w:szCs w:val="32"/>
        </w:rPr>
        <w:t>7.75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万元</w:t>
      </w:r>
      <w:r w:rsidR="00004EA9"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，</w:t>
      </w:r>
      <w:r w:rsidR="00042CFB"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主要</w:t>
      </w:r>
      <w:r w:rsidR="00004EA9"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原因是疫情转段恢复，区级有关部门业务工作接待需求增强</w:t>
      </w:r>
      <w:r>
        <w:rPr>
          <w:rFonts w:ascii="仿宋_GB2312" w:eastAsia="仿宋_GB2312" w:hAnsi="仿宋_GB2312" w:cs="仿宋_GB2312" w:hint="eastAsia"/>
          <w:sz w:val="32"/>
          <w:szCs w:val="32"/>
        </w:rPr>
        <w:t>; 一般公务用车运行维护费</w:t>
      </w:r>
      <w:r w:rsidR="007502DF">
        <w:rPr>
          <w:rFonts w:ascii="Times New Roman" w:eastAsia="仿宋_GB2312" w:hAnsi="Times New Roman" w:cs="Times New Roman" w:hint="eastAsia"/>
          <w:sz w:val="32"/>
          <w:szCs w:val="32"/>
        </w:rPr>
        <w:t>430.1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万元，比上年预算</w:t>
      </w:r>
      <w:r w:rsidR="00095374">
        <w:rPr>
          <w:rFonts w:ascii="Times New Roman" w:eastAsia="仿宋_GB2312" w:hAnsi="Times New Roman" w:cs="Times New Roman"/>
          <w:sz w:val="32"/>
          <w:szCs w:val="32"/>
        </w:rPr>
        <w:t>564.74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004EA9"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 w:rsidR="00004EA9">
        <w:rPr>
          <w:rFonts w:ascii="Times New Roman" w:eastAsia="仿宋_GB2312" w:hAnsi="Times New Roman" w:cs="Times New Roman" w:hint="eastAsia"/>
          <w:sz w:val="32"/>
          <w:szCs w:val="32"/>
        </w:rPr>
        <w:t>23.84</w:t>
      </w:r>
      <w:r>
        <w:rPr>
          <w:rFonts w:ascii="仿宋_GB2312" w:eastAsia="仿宋_GB2312" w:hAnsi="仿宋_GB2312" w:cs="仿宋_GB2312" w:hint="eastAsia"/>
          <w:sz w:val="32"/>
          <w:szCs w:val="32"/>
        </w:rPr>
        <w:t>%，</w:t>
      </w:r>
      <w:r w:rsidR="00004EA9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004EA9">
        <w:rPr>
          <w:rFonts w:ascii="Times New Roman" w:eastAsia="仿宋_GB2312" w:hAnsi="Times New Roman" w:cs="Times New Roman" w:hint="eastAsia"/>
          <w:sz w:val="32"/>
          <w:szCs w:val="32"/>
        </w:rPr>
        <w:t>134.64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042CFB">
        <w:rPr>
          <w:rFonts w:ascii="仿宋_GB2312" w:eastAsia="仿宋_GB2312" w:hAnsi="仿宋_GB2312" w:cs="仿宋_GB2312" w:hint="eastAsia"/>
          <w:sz w:val="32"/>
          <w:szCs w:val="32"/>
        </w:rPr>
        <w:t>，主要原因是按照“过紧日子”要求，厉行节约，压缩行政开支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一般公务用车购置费</w:t>
      </w:r>
      <w:r w:rsidR="007502D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万元，比上年预算</w:t>
      </w:r>
      <w:r w:rsidR="00095374">
        <w:rPr>
          <w:rFonts w:ascii="Times New Roman" w:eastAsia="仿宋_GB2312" w:hAnsi="Times New Roman" w:cs="Times New Roman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万元下降</w:t>
      </w:r>
      <w:r w:rsidR="007502DF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%，减少</w:t>
      </w:r>
      <w:r w:rsidR="007502DF">
        <w:rPr>
          <w:rFonts w:ascii="Times New Roman" w:eastAsia="仿宋_GB2312" w:hAnsi="Times New Roman" w:cs="Times New Roman" w:hint="eastAsia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042CFB">
        <w:rPr>
          <w:rFonts w:ascii="仿宋_GB2312" w:eastAsia="仿宋_GB2312" w:hAnsi="仿宋_GB2312" w:cs="仿宋_GB2312" w:hint="eastAsia"/>
          <w:sz w:val="32"/>
          <w:szCs w:val="32"/>
        </w:rPr>
        <w:t>，主要原因是按照“过紧日子”要求，厉行节约，未安排公务用车购置费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。</w:t>
      </w:r>
    </w:p>
    <w:p w:rsidR="009175B8" w:rsidRDefault="009175B8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9175B8" w:rsidRDefault="009175B8">
      <w:pPr>
        <w:jc w:val="center"/>
      </w:pPr>
    </w:p>
    <w:p w:rsidR="009175B8" w:rsidRDefault="009175B8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p w:rsidR="009175B8" w:rsidRDefault="009175B8">
      <w:pPr>
        <w:pStyle w:val="a0"/>
      </w:pPr>
    </w:p>
    <w:tbl>
      <w:tblPr>
        <w:tblW w:w="13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  <w:gridCol w:w="3118"/>
        <w:gridCol w:w="3118"/>
        <w:gridCol w:w="4227"/>
      </w:tblGrid>
      <w:tr w:rsidR="009175B8">
        <w:trPr>
          <w:trHeight w:val="680"/>
        </w:trPr>
        <w:tc>
          <w:tcPr>
            <w:tcW w:w="13881" w:type="dxa"/>
            <w:gridSpan w:val="4"/>
            <w:vAlign w:val="center"/>
          </w:tcPr>
          <w:p w:rsidR="009175B8" w:rsidRDefault="00525502" w:rsidP="00525502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t>乌当区</w:t>
            </w:r>
            <w:r w:rsidR="00325EC5"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t>202</w:t>
            </w:r>
            <w:r w:rsidR="00095374"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t>4</w:t>
            </w:r>
            <w:r w:rsidR="00325EC5">
              <w:rPr>
                <w:rFonts w:ascii="方正小标宋简体" w:eastAsia="方正小标宋简体" w:hAnsi="宋体" w:cs="宋体" w:hint="eastAsia"/>
                <w:bCs/>
                <w:color w:val="000000"/>
                <w:sz w:val="44"/>
                <w:szCs w:val="44"/>
              </w:rPr>
              <w:t>年地方政府债务余额及限额表</w:t>
            </w:r>
          </w:p>
        </w:tc>
      </w:tr>
      <w:tr w:rsidR="009175B8">
        <w:trPr>
          <w:trHeight w:val="491"/>
        </w:trPr>
        <w:tc>
          <w:tcPr>
            <w:tcW w:w="6536" w:type="dxa"/>
            <w:gridSpan w:val="2"/>
            <w:vAlign w:val="center"/>
          </w:tcPr>
          <w:p w:rsidR="009175B8" w:rsidRDefault="009175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vAlign w:val="center"/>
          </w:tcPr>
          <w:p w:rsidR="009175B8" w:rsidRDefault="00325E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9175B8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EE5C2D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EE5C2D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一般债务（券）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EE5C2D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专项债务（券）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EE5C2D" w:rsidRDefault="00325EC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</w:tr>
      <w:tr w:rsidR="00525502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债务限额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275912.69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737276.5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1013189.19</w:t>
            </w:r>
          </w:p>
        </w:tc>
      </w:tr>
      <w:tr w:rsidR="00525502">
        <w:trPr>
          <w:trHeight w:val="68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EE5C2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债务余额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251779.43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734776.50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5502" w:rsidRPr="00EE5C2D" w:rsidRDefault="00525502" w:rsidP="002B7066">
            <w:pPr>
              <w:spacing w:before="156" w:after="15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5C2D">
              <w:rPr>
                <w:rFonts w:ascii="Times New Roman" w:eastAsiaTheme="minorEastAsia" w:hAnsi="Times New Roman"/>
                <w:sz w:val="24"/>
                <w:szCs w:val="24"/>
              </w:rPr>
              <w:t>986555.93</w:t>
            </w:r>
          </w:p>
        </w:tc>
      </w:tr>
    </w:tbl>
    <w:p w:rsidR="009175B8" w:rsidRDefault="009175B8">
      <w:pPr>
        <w:rPr>
          <w:rFonts w:ascii="楷体" w:eastAsia="楷体" w:hAnsi="楷体" w:cs="楷体"/>
          <w:b/>
          <w:bCs/>
          <w:kern w:val="0"/>
          <w:sz w:val="32"/>
          <w:szCs w:val="32"/>
        </w:rPr>
      </w:pPr>
    </w:p>
    <w:p w:rsidR="009175B8" w:rsidRDefault="009175B8">
      <w:pPr>
        <w:pStyle w:val="20"/>
        <w:ind w:firstLine="643"/>
        <w:rPr>
          <w:rFonts w:ascii="楷体" w:eastAsia="楷体" w:hAnsi="楷体" w:cs="楷体"/>
          <w:b/>
          <w:bCs/>
          <w:sz w:val="32"/>
          <w:szCs w:val="32"/>
        </w:rPr>
      </w:pPr>
    </w:p>
    <w:p w:rsidR="009175B8" w:rsidRDefault="009175B8">
      <w:pPr>
        <w:pStyle w:val="20"/>
        <w:ind w:leftChars="0" w:left="0" w:firstLineChars="0" w:firstLine="0"/>
        <w:rPr>
          <w:rFonts w:ascii="楷体" w:eastAsia="楷体" w:hAnsi="楷体" w:cs="楷体"/>
          <w:b/>
          <w:bCs/>
          <w:sz w:val="32"/>
          <w:szCs w:val="32"/>
        </w:rPr>
      </w:pPr>
    </w:p>
    <w:p w:rsidR="009175B8" w:rsidRDefault="009175B8"/>
    <w:p w:rsidR="009175B8" w:rsidRDefault="009175B8"/>
    <w:p w:rsidR="009175B8" w:rsidRDefault="009175B8">
      <w:pPr>
        <w:pStyle w:val="20"/>
        <w:ind w:firstLine="400"/>
      </w:pPr>
    </w:p>
    <w:p w:rsidR="009175B8" w:rsidRDefault="009175B8">
      <w:pPr>
        <w:pStyle w:val="20"/>
        <w:ind w:firstLine="400"/>
      </w:pPr>
    </w:p>
    <w:p w:rsidR="009175B8" w:rsidRDefault="009175B8">
      <w:pPr>
        <w:pStyle w:val="20"/>
        <w:ind w:leftChars="0" w:left="1" w:firstLineChars="0" w:firstLine="0"/>
        <w:jc w:val="center"/>
        <w:rPr>
          <w:rFonts w:ascii="宋体" w:hAnsi="宋体"/>
          <w:b/>
          <w:bCs/>
          <w:sz w:val="44"/>
          <w:szCs w:val="44"/>
        </w:rPr>
      </w:pPr>
    </w:p>
    <w:p w:rsidR="009175B8" w:rsidRDefault="009706E4">
      <w:pPr>
        <w:pStyle w:val="20"/>
        <w:ind w:leftChars="0" w:left="1"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乌当区</w:t>
      </w:r>
      <w:r w:rsidR="00325EC5"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24</w:t>
      </w:r>
      <w:r w:rsidR="00325EC5">
        <w:rPr>
          <w:rFonts w:ascii="方正小标宋简体" w:eastAsia="方正小标宋简体" w:hAnsi="宋体" w:hint="eastAsia"/>
          <w:bCs/>
          <w:sz w:val="44"/>
          <w:szCs w:val="44"/>
        </w:rPr>
        <w:t>年政府性基金预算对下转移支付补助情况表</w:t>
      </w:r>
    </w:p>
    <w:tbl>
      <w:tblPr>
        <w:tblW w:w="14054" w:type="dxa"/>
        <w:tblInd w:w="88" w:type="dxa"/>
        <w:tblLayout w:type="fixed"/>
        <w:tblLook w:val="04A0"/>
      </w:tblPr>
      <w:tblGrid>
        <w:gridCol w:w="1013"/>
        <w:gridCol w:w="3685"/>
        <w:gridCol w:w="2126"/>
        <w:gridCol w:w="1843"/>
        <w:gridCol w:w="2552"/>
        <w:gridCol w:w="1764"/>
        <w:gridCol w:w="1071"/>
      </w:tblGrid>
      <w:tr w:rsidR="009175B8">
        <w:trPr>
          <w:trHeight w:val="540"/>
        </w:trPr>
        <w:tc>
          <w:tcPr>
            <w:tcW w:w="1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5B8" w:rsidRDefault="00325EC5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9175B8" w:rsidTr="001D2FCA">
        <w:trPr>
          <w:trHeight w:val="540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9706E4" w:rsidRDefault="00325EC5" w:rsidP="009706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sz w:val="24"/>
                <w:szCs w:val="24"/>
              </w:rPr>
            </w:pP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年补助数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 w:rsidP="009706E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与202</w:t>
            </w:r>
            <w:r w:rsidR="009706E4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年比较情况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175B8" w:rsidTr="001D2FCA">
        <w:trPr>
          <w:trHeight w:val="660"/>
        </w:trPr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9706E4" w:rsidRDefault="00325EC5" w:rsidP="009706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sz w:val="24"/>
                <w:szCs w:val="24"/>
              </w:rPr>
            </w:pP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年补助数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9706E4" w:rsidRDefault="00325EC5" w:rsidP="009706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sz w:val="24"/>
                <w:szCs w:val="24"/>
              </w:rPr>
            </w:pP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年为20</w:t>
            </w:r>
            <w:r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年%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Pr="009706E4" w:rsidRDefault="00325EC5" w:rsidP="009706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sz w:val="24"/>
                <w:szCs w:val="24"/>
              </w:rPr>
            </w:pP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年比   20</w:t>
            </w:r>
            <w:r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706E4" w:rsidRPr="009706E4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9706E4"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24"/>
                <w:szCs w:val="24"/>
              </w:rPr>
              <w:t>年增减额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9175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5B8" w:rsidTr="001D2FCA">
        <w:trPr>
          <w:trHeight w:val="54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4=2/3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5=2-3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175B8">
        <w:trPr>
          <w:trHeight w:val="705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175B8" w:rsidTr="003723FD">
        <w:trPr>
          <w:trHeight w:val="7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国有土地使用权出让收入安排的支出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 w:rsidTr="003723FD">
        <w:trPr>
          <w:trHeight w:val="7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城市基础设施配套费安排的支出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 w:rsidTr="003723FD">
        <w:trPr>
          <w:trHeight w:val="7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大中型水库库区基金安排的支出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 w:rsidTr="003723FD">
        <w:trPr>
          <w:trHeight w:val="7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其他政府性基金及对应专项债务收入安排的支出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  <w:tr w:rsidR="009175B8" w:rsidTr="003723FD">
        <w:trPr>
          <w:trHeight w:val="7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彩票公益金安排的支出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5B8" w:rsidRDefault="00325E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－</w:t>
            </w:r>
          </w:p>
        </w:tc>
      </w:tr>
    </w:tbl>
    <w:p w:rsidR="009175B8" w:rsidRDefault="00325EC5">
      <w:pPr>
        <w:pStyle w:val="20"/>
        <w:ind w:leftChars="0" w:left="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注：由于</w:t>
      </w:r>
      <w:r w:rsidR="00E05DCD">
        <w:rPr>
          <w:rFonts w:ascii="仿宋" w:eastAsia="仿宋" w:hAnsi="仿宋" w:cs="仿宋" w:hint="eastAsia"/>
          <w:sz w:val="32"/>
          <w:szCs w:val="32"/>
        </w:rPr>
        <w:t>政府性基金预算</w:t>
      </w:r>
      <w:r>
        <w:rPr>
          <w:rFonts w:ascii="仿宋" w:eastAsia="仿宋" w:hAnsi="仿宋" w:cs="仿宋" w:hint="eastAsia"/>
          <w:sz w:val="32"/>
          <w:szCs w:val="32"/>
        </w:rPr>
        <w:t>区</w:t>
      </w:r>
      <w:r w:rsidR="008840EC"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对下</w:t>
      </w:r>
      <w:r w:rsidR="008840EC"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>转移支付，因此</w:t>
      </w:r>
      <w:r w:rsidR="008840EC">
        <w:rPr>
          <w:rFonts w:ascii="仿宋" w:eastAsia="仿宋" w:hAnsi="仿宋" w:cs="仿宋" w:hint="eastAsia"/>
          <w:sz w:val="32"/>
          <w:szCs w:val="32"/>
        </w:rPr>
        <w:t>该</w:t>
      </w:r>
      <w:r>
        <w:rPr>
          <w:rFonts w:ascii="仿宋" w:eastAsia="仿宋" w:hAnsi="仿宋" w:cs="仿宋" w:hint="eastAsia"/>
          <w:sz w:val="32"/>
          <w:szCs w:val="32"/>
        </w:rPr>
        <w:t>表无数据</w:t>
      </w:r>
      <w:r w:rsidR="00E05DCD">
        <w:rPr>
          <w:rFonts w:ascii="仿宋" w:eastAsia="仿宋" w:hAnsi="仿宋" w:cs="仿宋" w:hint="eastAsia"/>
          <w:sz w:val="32"/>
          <w:szCs w:val="32"/>
        </w:rPr>
        <w:t>。</w:t>
      </w:r>
    </w:p>
    <w:sectPr w:rsidR="009175B8" w:rsidSect="009175B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0C" w:rsidRDefault="00083E0C" w:rsidP="002A73CE">
      <w:r>
        <w:separator/>
      </w:r>
    </w:p>
  </w:endnote>
  <w:endnote w:type="continuationSeparator" w:id="1">
    <w:p w:rsidR="00083E0C" w:rsidRDefault="00083E0C" w:rsidP="002A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0C" w:rsidRDefault="00083E0C" w:rsidP="002A73CE">
      <w:r>
        <w:separator/>
      </w:r>
    </w:p>
  </w:footnote>
  <w:footnote w:type="continuationSeparator" w:id="1">
    <w:p w:rsidR="00083E0C" w:rsidRDefault="00083E0C" w:rsidP="002A7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03"/>
    <w:rsid w:val="00004EA9"/>
    <w:rsid w:val="000128CB"/>
    <w:rsid w:val="00042CFB"/>
    <w:rsid w:val="00054CD9"/>
    <w:rsid w:val="00083E0C"/>
    <w:rsid w:val="00095374"/>
    <w:rsid w:val="000A3EFA"/>
    <w:rsid w:val="000D4EBF"/>
    <w:rsid w:val="001148D3"/>
    <w:rsid w:val="00161924"/>
    <w:rsid w:val="00163B75"/>
    <w:rsid w:val="00180BB0"/>
    <w:rsid w:val="001934E3"/>
    <w:rsid w:val="001A44DF"/>
    <w:rsid w:val="001D2FCA"/>
    <w:rsid w:val="001D5C3A"/>
    <w:rsid w:val="001E703A"/>
    <w:rsid w:val="002243E6"/>
    <w:rsid w:val="00262D03"/>
    <w:rsid w:val="002A73CE"/>
    <w:rsid w:val="002F2D06"/>
    <w:rsid w:val="003037F6"/>
    <w:rsid w:val="00325EC5"/>
    <w:rsid w:val="003723FD"/>
    <w:rsid w:val="003B1203"/>
    <w:rsid w:val="0040649A"/>
    <w:rsid w:val="00442C55"/>
    <w:rsid w:val="00452834"/>
    <w:rsid w:val="004F2ACF"/>
    <w:rsid w:val="00524455"/>
    <w:rsid w:val="00525502"/>
    <w:rsid w:val="0055779B"/>
    <w:rsid w:val="00584479"/>
    <w:rsid w:val="005B2F65"/>
    <w:rsid w:val="005C1206"/>
    <w:rsid w:val="00612DA3"/>
    <w:rsid w:val="006C08D8"/>
    <w:rsid w:val="00702CCE"/>
    <w:rsid w:val="00725812"/>
    <w:rsid w:val="00747A8B"/>
    <w:rsid w:val="007502DF"/>
    <w:rsid w:val="0078640C"/>
    <w:rsid w:val="007A2823"/>
    <w:rsid w:val="007D7495"/>
    <w:rsid w:val="007E22B0"/>
    <w:rsid w:val="00866601"/>
    <w:rsid w:val="00881C29"/>
    <w:rsid w:val="008840EC"/>
    <w:rsid w:val="00896815"/>
    <w:rsid w:val="009053BC"/>
    <w:rsid w:val="009175B8"/>
    <w:rsid w:val="00961967"/>
    <w:rsid w:val="009706E4"/>
    <w:rsid w:val="00982CC3"/>
    <w:rsid w:val="009F2084"/>
    <w:rsid w:val="00BE0B57"/>
    <w:rsid w:val="00C118B4"/>
    <w:rsid w:val="00C471DD"/>
    <w:rsid w:val="00C87016"/>
    <w:rsid w:val="00CB5D97"/>
    <w:rsid w:val="00CB7FDB"/>
    <w:rsid w:val="00D14793"/>
    <w:rsid w:val="00D86F01"/>
    <w:rsid w:val="00DE5D13"/>
    <w:rsid w:val="00E0241C"/>
    <w:rsid w:val="00E05DCD"/>
    <w:rsid w:val="00E61F1C"/>
    <w:rsid w:val="00E8784A"/>
    <w:rsid w:val="00E915A9"/>
    <w:rsid w:val="00EE5C2D"/>
    <w:rsid w:val="00F136F7"/>
    <w:rsid w:val="00F4600F"/>
    <w:rsid w:val="00F60C60"/>
    <w:rsid w:val="036028FA"/>
    <w:rsid w:val="0588288E"/>
    <w:rsid w:val="070A146B"/>
    <w:rsid w:val="07610529"/>
    <w:rsid w:val="07DB6F31"/>
    <w:rsid w:val="083C024F"/>
    <w:rsid w:val="08E402B9"/>
    <w:rsid w:val="0CB642E9"/>
    <w:rsid w:val="113E7AEC"/>
    <w:rsid w:val="13623730"/>
    <w:rsid w:val="153B4F62"/>
    <w:rsid w:val="16E2553D"/>
    <w:rsid w:val="17332B1E"/>
    <w:rsid w:val="177B798F"/>
    <w:rsid w:val="18C96232"/>
    <w:rsid w:val="1BBB60F4"/>
    <w:rsid w:val="1D582B71"/>
    <w:rsid w:val="1FC261B7"/>
    <w:rsid w:val="21055F9B"/>
    <w:rsid w:val="21C83735"/>
    <w:rsid w:val="26AF7D1D"/>
    <w:rsid w:val="28F63E43"/>
    <w:rsid w:val="29B00432"/>
    <w:rsid w:val="2B3174BB"/>
    <w:rsid w:val="2B8A26F4"/>
    <w:rsid w:val="2CF03D87"/>
    <w:rsid w:val="2E684B97"/>
    <w:rsid w:val="35CA21B3"/>
    <w:rsid w:val="364C53A9"/>
    <w:rsid w:val="371408D1"/>
    <w:rsid w:val="39CA2D26"/>
    <w:rsid w:val="3C3C0D4D"/>
    <w:rsid w:val="3D6269A0"/>
    <w:rsid w:val="3E374C21"/>
    <w:rsid w:val="43EC2A9F"/>
    <w:rsid w:val="43FB2F01"/>
    <w:rsid w:val="45593A55"/>
    <w:rsid w:val="47365D83"/>
    <w:rsid w:val="488C009D"/>
    <w:rsid w:val="4C20466D"/>
    <w:rsid w:val="4F271330"/>
    <w:rsid w:val="59DC6AB5"/>
    <w:rsid w:val="5C1816C9"/>
    <w:rsid w:val="5E3C5591"/>
    <w:rsid w:val="5E5D3E5D"/>
    <w:rsid w:val="60366F66"/>
    <w:rsid w:val="6448455E"/>
    <w:rsid w:val="6BE84426"/>
    <w:rsid w:val="6DBE2F35"/>
    <w:rsid w:val="6F992AA6"/>
    <w:rsid w:val="7168195B"/>
    <w:rsid w:val="72561F62"/>
    <w:rsid w:val="74E87DF4"/>
    <w:rsid w:val="77704880"/>
    <w:rsid w:val="7782768F"/>
    <w:rsid w:val="77F73286"/>
    <w:rsid w:val="7DE96F1D"/>
    <w:rsid w:val="7DF93435"/>
    <w:rsid w:val="7F3C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175B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9175B8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2"/>
    <w:qFormat/>
    <w:rsid w:val="009175B8"/>
    <w:pPr>
      <w:ind w:leftChars="200" w:left="420"/>
    </w:pPr>
    <w:rPr>
      <w:kern w:val="0"/>
      <w:sz w:val="20"/>
    </w:rPr>
  </w:style>
  <w:style w:type="paragraph" w:styleId="2">
    <w:name w:val="Body Text Indent 2"/>
    <w:basedOn w:val="a"/>
    <w:next w:val="3"/>
    <w:qFormat/>
    <w:rsid w:val="009175B8"/>
    <w:pPr>
      <w:ind w:firstLine="630"/>
    </w:pPr>
    <w:rPr>
      <w:b/>
      <w:sz w:val="32"/>
    </w:rPr>
  </w:style>
  <w:style w:type="paragraph" w:styleId="3">
    <w:name w:val="Body Text Indent 3"/>
    <w:basedOn w:val="a"/>
    <w:qFormat/>
    <w:rsid w:val="009175B8"/>
    <w:pPr>
      <w:ind w:leftChars="200" w:left="200"/>
    </w:pPr>
    <w:rPr>
      <w:sz w:val="16"/>
    </w:rPr>
  </w:style>
  <w:style w:type="paragraph" w:styleId="a5">
    <w:name w:val="footer"/>
    <w:basedOn w:val="a"/>
    <w:unhideWhenUsed/>
    <w:qFormat/>
    <w:rsid w:val="0091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next w:val="a"/>
    <w:qFormat/>
    <w:rsid w:val="009175B8"/>
    <w:pPr>
      <w:ind w:firstLineChars="200" w:firstLine="420"/>
    </w:pPr>
  </w:style>
  <w:style w:type="paragraph" w:styleId="a6">
    <w:name w:val="header"/>
    <w:basedOn w:val="a"/>
    <w:unhideWhenUsed/>
    <w:qFormat/>
    <w:rsid w:val="0091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175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1"/>
    <w:unhideWhenUsed/>
    <w:qFormat/>
    <w:rsid w:val="009175B8"/>
  </w:style>
  <w:style w:type="character" w:customStyle="1" w:styleId="font61">
    <w:name w:val="font61"/>
    <w:basedOn w:val="a1"/>
    <w:qFormat/>
    <w:rsid w:val="009175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9175B8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sid w:val="009175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1">
    <w:name w:val="列出段落1"/>
    <w:basedOn w:val="a"/>
    <w:uiPriority w:val="99"/>
    <w:unhideWhenUsed/>
    <w:rsid w:val="009175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三、2016年财政拨款“三公”经费预算安排情况的说明</dc:title>
  <dc:creator>h</dc:creator>
  <cp:lastModifiedBy>h</cp:lastModifiedBy>
  <cp:revision>15</cp:revision>
  <cp:lastPrinted>2023-03-03T03:05:00Z</cp:lastPrinted>
  <dcterms:created xsi:type="dcterms:W3CDTF">2024-03-07T08:27:00Z</dcterms:created>
  <dcterms:modified xsi:type="dcterms:W3CDTF">2024-03-11T04:41:00Z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  <property fmtid="{D5CDD505-2E9C-101B-9397-08002B2CF9AE}" pid="3" name="ICV">
    <vt:lpwstr>C94779BAFE8C4FA4A4C8A1059B07D880</vt:lpwstr>
  </property>
</Properties>
</file>