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center"/>
        <w:rPr>
          <w:rFonts w:ascii="方正小标宋简体" w:hAnsi="黑体" w:eastAsia="方正小标宋简体" w:cs="黑体"/>
          <w:color w:val="000000" w:themeColor="text1"/>
          <w:kern w:val="0"/>
          <w:sz w:val="44"/>
          <w:szCs w:val="44"/>
        </w:rPr>
      </w:pPr>
      <w:r>
        <w:rPr>
          <w:rFonts w:hint="eastAsia" w:ascii="方正小标宋简体" w:hAnsi="黑体" w:eastAsia="方正小标宋简体" w:cs="黑体"/>
          <w:color w:val="000000" w:themeColor="text1"/>
          <w:sz w:val="44"/>
          <w:szCs w:val="44"/>
        </w:rPr>
        <w:t>乌当区202</w:t>
      </w:r>
      <w:r>
        <w:rPr>
          <w:rFonts w:hint="eastAsia" w:ascii="方正小标宋简体" w:hAnsi="黑体" w:eastAsia="方正小标宋简体" w:cs="黑体"/>
          <w:color w:val="000000" w:themeColor="text1"/>
          <w:sz w:val="44"/>
          <w:szCs w:val="44"/>
          <w:lang w:val="en-US" w:eastAsia="zh-CN"/>
        </w:rPr>
        <w:t>5</w:t>
      </w:r>
      <w:r>
        <w:rPr>
          <w:rFonts w:hint="eastAsia" w:ascii="方正小标宋简体" w:hAnsi="黑体" w:eastAsia="方正小标宋简体" w:cs="黑体"/>
          <w:color w:val="000000" w:themeColor="text1"/>
          <w:sz w:val="44"/>
          <w:szCs w:val="44"/>
        </w:rPr>
        <w:t>年转移支付安排情况说明</w:t>
      </w:r>
    </w:p>
    <w:p>
      <w:pPr>
        <w:spacing w:line="560" w:lineRule="exact"/>
        <w:jc w:val="center"/>
        <w:rPr>
          <w:rFonts w:ascii="黑体" w:hAnsi="黑体" w:eastAsia="黑体" w:cs="黑体"/>
          <w:color w:val="000000" w:themeColor="text1"/>
          <w:sz w:val="28"/>
          <w:szCs w:val="28"/>
        </w:rPr>
      </w:pPr>
    </w:p>
    <w:p>
      <w:pPr>
        <w:spacing w:line="560" w:lineRule="exact"/>
        <w:ind w:firstLine="640" w:firstLineChars="200"/>
        <w:jc w:val="left"/>
        <w:rPr>
          <w:rFonts w:ascii="黑体" w:hAnsi="黑体" w:eastAsia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</w:t>
      </w:r>
      <w:r>
        <w:rPr>
          <w:rFonts w:hint="eastAsia" w:ascii="黑体" w:hAnsi="黑体" w:eastAsia="黑体"/>
          <w:color w:val="000000"/>
          <w:kern w:val="0"/>
          <w:sz w:val="32"/>
          <w:szCs w:val="32"/>
        </w:rPr>
        <w:t>一般公共预算转移支付安排</w:t>
      </w:r>
    </w:p>
    <w:p>
      <w:pPr>
        <w:spacing w:line="560" w:lineRule="exact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返还性收入为</w:t>
      </w:r>
      <w:r>
        <w:rPr>
          <w:rFonts w:hint="eastAsia" w:ascii="Times New Roman" w:hAnsi="Times New Roman" w:eastAsia="仿宋" w:cs="仿宋"/>
          <w:sz w:val="32"/>
          <w:szCs w:val="32"/>
        </w:rPr>
        <w:t>0</w:t>
      </w:r>
      <w:r>
        <w:rPr>
          <w:rFonts w:hint="eastAsia" w:ascii="仿宋" w:hAnsi="仿宋" w:eastAsia="仿宋" w:cs="仿宋"/>
          <w:sz w:val="32"/>
          <w:szCs w:val="32"/>
        </w:rPr>
        <w:t>万元。</w:t>
      </w:r>
    </w:p>
    <w:p>
      <w:pPr>
        <w:spacing w:line="560" w:lineRule="exact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一般性转移支付为</w:t>
      </w: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221.53</w:t>
      </w:r>
      <w:r>
        <w:rPr>
          <w:rFonts w:hint="eastAsia" w:ascii="仿宋" w:hAnsi="仿宋" w:eastAsia="仿宋" w:cs="仿宋"/>
          <w:sz w:val="32"/>
          <w:szCs w:val="32"/>
        </w:rPr>
        <w:t>万元，其中：水田镇</w:t>
      </w: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41.06</w:t>
      </w:r>
      <w:r>
        <w:rPr>
          <w:rFonts w:hint="eastAsia" w:ascii="仿宋" w:hAnsi="仿宋" w:eastAsia="仿宋" w:cs="仿宋"/>
          <w:sz w:val="32"/>
          <w:szCs w:val="32"/>
        </w:rPr>
        <w:t>万元，下坝镇</w:t>
      </w: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0.05</w:t>
      </w:r>
      <w:r>
        <w:rPr>
          <w:rFonts w:hint="eastAsia" w:ascii="仿宋" w:hAnsi="仿宋" w:eastAsia="仿宋" w:cs="仿宋"/>
          <w:sz w:val="32"/>
          <w:szCs w:val="32"/>
        </w:rPr>
        <w:t>万元，百宜镇</w:t>
      </w: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139.96</w:t>
      </w:r>
      <w:r>
        <w:rPr>
          <w:rFonts w:hint="eastAsia" w:ascii="仿宋" w:hAnsi="仿宋" w:eastAsia="仿宋" w:cs="仿宋"/>
          <w:sz w:val="32"/>
          <w:szCs w:val="32"/>
        </w:rPr>
        <w:t>万元，羊昌镇</w:t>
      </w: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36.14</w:t>
      </w:r>
      <w:r>
        <w:rPr>
          <w:rFonts w:hint="eastAsia" w:ascii="仿宋" w:hAnsi="仿宋" w:eastAsia="仿宋" w:cs="仿宋"/>
          <w:sz w:val="32"/>
          <w:szCs w:val="32"/>
        </w:rPr>
        <w:t>万元，新场镇</w:t>
      </w: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4.32</w:t>
      </w:r>
      <w:r>
        <w:rPr>
          <w:rFonts w:hint="eastAsia" w:ascii="仿宋" w:hAnsi="仿宋" w:eastAsia="仿宋" w:cs="仿宋"/>
          <w:sz w:val="32"/>
          <w:szCs w:val="32"/>
        </w:rPr>
        <w:t>万元。</w:t>
      </w:r>
    </w:p>
    <w:p>
      <w:pPr>
        <w:spacing w:line="560" w:lineRule="exact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专项转移支付为</w:t>
      </w: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975.68</w:t>
      </w:r>
      <w:r>
        <w:rPr>
          <w:rFonts w:hint="eastAsia" w:ascii="仿宋" w:hAnsi="仿宋" w:eastAsia="仿宋" w:cs="仿宋"/>
          <w:sz w:val="32"/>
          <w:szCs w:val="32"/>
        </w:rPr>
        <w:t>万元，其中：东风镇</w:t>
      </w: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88.96</w:t>
      </w:r>
      <w:r>
        <w:rPr>
          <w:rFonts w:hint="eastAsia" w:ascii="仿宋" w:hAnsi="仿宋" w:eastAsia="仿宋" w:cs="仿宋"/>
          <w:sz w:val="32"/>
          <w:szCs w:val="32"/>
        </w:rPr>
        <w:t>万元，水田镇</w:t>
      </w: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98.96</w:t>
      </w:r>
      <w:r>
        <w:rPr>
          <w:rFonts w:hint="eastAsia" w:ascii="仿宋" w:hAnsi="仿宋" w:eastAsia="仿宋" w:cs="仿宋"/>
          <w:sz w:val="32"/>
          <w:szCs w:val="32"/>
        </w:rPr>
        <w:t>万元，下坝镇</w:t>
      </w: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111.5</w:t>
      </w:r>
      <w:r>
        <w:rPr>
          <w:rFonts w:hint="eastAsia" w:ascii="仿宋" w:hAnsi="仿宋" w:eastAsia="仿宋" w:cs="仿宋"/>
          <w:sz w:val="32"/>
          <w:szCs w:val="32"/>
        </w:rPr>
        <w:t>万元，百宜镇</w:t>
      </w: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124.95</w:t>
      </w:r>
      <w:r>
        <w:rPr>
          <w:rFonts w:hint="eastAsia" w:ascii="仿宋" w:hAnsi="仿宋" w:eastAsia="仿宋" w:cs="仿宋"/>
          <w:sz w:val="32"/>
          <w:szCs w:val="32"/>
        </w:rPr>
        <w:t>万元，羊昌镇</w:t>
      </w: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149.07</w:t>
      </w:r>
      <w:r>
        <w:rPr>
          <w:rFonts w:hint="eastAsia" w:ascii="仿宋" w:hAnsi="仿宋" w:eastAsia="仿宋" w:cs="仿宋"/>
          <w:sz w:val="32"/>
          <w:szCs w:val="32"/>
        </w:rPr>
        <w:t>万元，新堡乡</w:t>
      </w: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137.38</w:t>
      </w:r>
      <w:r>
        <w:rPr>
          <w:rFonts w:hint="eastAsia" w:ascii="仿宋" w:hAnsi="仿宋" w:eastAsia="仿宋" w:cs="仿宋"/>
          <w:sz w:val="32"/>
          <w:szCs w:val="32"/>
        </w:rPr>
        <w:t>万元，新场镇</w:t>
      </w: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241.87</w:t>
      </w:r>
      <w:r>
        <w:rPr>
          <w:rFonts w:hint="eastAsia" w:ascii="仿宋" w:hAnsi="仿宋" w:eastAsia="仿宋" w:cs="仿宋"/>
          <w:sz w:val="32"/>
          <w:szCs w:val="32"/>
        </w:rPr>
        <w:t>万元，偏坡乡</w:t>
      </w: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22.99</w:t>
      </w:r>
      <w:r>
        <w:rPr>
          <w:rFonts w:hint="eastAsia" w:ascii="仿宋" w:hAnsi="仿宋" w:eastAsia="仿宋" w:cs="仿宋"/>
          <w:sz w:val="32"/>
          <w:szCs w:val="32"/>
        </w:rPr>
        <w:t>万元。</w:t>
      </w:r>
    </w:p>
    <w:p>
      <w:pPr>
        <w:jc w:val="center"/>
        <w:rPr>
          <w:rFonts w:hint="eastAsia" w:ascii="方正小标宋简体" w:hAnsi="黑体" w:eastAsia="方正小标宋简体" w:cs="黑体"/>
          <w:color w:val="000000"/>
          <w:kern w:val="0"/>
          <w:sz w:val="44"/>
          <w:szCs w:val="44"/>
        </w:rPr>
      </w:pPr>
    </w:p>
    <w:p>
      <w:pPr>
        <w:jc w:val="center"/>
        <w:rPr>
          <w:rFonts w:hint="eastAsia" w:ascii="方正小标宋简体" w:hAnsi="黑体" w:eastAsia="方正小标宋简体" w:cs="黑体"/>
          <w:color w:val="000000"/>
          <w:kern w:val="0"/>
          <w:sz w:val="44"/>
          <w:szCs w:val="44"/>
        </w:rPr>
      </w:pPr>
    </w:p>
    <w:p>
      <w:pPr>
        <w:jc w:val="center"/>
        <w:rPr>
          <w:rFonts w:hint="eastAsia" w:ascii="方正小标宋简体" w:hAnsi="黑体" w:eastAsia="方正小标宋简体" w:cs="黑体"/>
          <w:color w:val="000000"/>
          <w:kern w:val="0"/>
          <w:sz w:val="44"/>
          <w:szCs w:val="44"/>
        </w:rPr>
      </w:pPr>
    </w:p>
    <w:p>
      <w:pPr>
        <w:jc w:val="center"/>
        <w:rPr>
          <w:rFonts w:hint="eastAsia" w:ascii="方正小标宋简体" w:hAnsi="黑体" w:eastAsia="方正小标宋简体" w:cs="黑体"/>
          <w:color w:val="000000"/>
          <w:kern w:val="0"/>
          <w:sz w:val="44"/>
          <w:szCs w:val="44"/>
        </w:rPr>
      </w:pPr>
    </w:p>
    <w:p>
      <w:pPr>
        <w:jc w:val="center"/>
        <w:rPr>
          <w:rFonts w:hint="eastAsia" w:ascii="方正小标宋简体" w:hAnsi="黑体" w:eastAsia="方正小标宋简体" w:cs="黑体"/>
          <w:color w:val="000000"/>
          <w:kern w:val="0"/>
          <w:sz w:val="44"/>
          <w:szCs w:val="44"/>
        </w:rPr>
      </w:pPr>
    </w:p>
    <w:p>
      <w:pPr>
        <w:jc w:val="center"/>
        <w:rPr>
          <w:rFonts w:hint="eastAsia" w:ascii="宋体" w:hAnsi="宋体" w:eastAsia="宋体" w:cs="宋体"/>
          <w:bCs/>
          <w:kern w:val="0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kern w:val="0"/>
          <w:sz w:val="32"/>
          <w:szCs w:val="32"/>
        </w:rPr>
        <w:t>乌当区202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</w:rPr>
        <w:t>年一般公共预算区对下转移支付补助分地区分项目预算表</w:t>
      </w:r>
    </w:p>
    <w:tbl>
      <w:tblPr>
        <w:tblStyle w:val="10"/>
        <w:tblW w:w="13907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567"/>
        <w:gridCol w:w="1276"/>
        <w:gridCol w:w="1202"/>
        <w:gridCol w:w="1266"/>
        <w:gridCol w:w="1266"/>
        <w:gridCol w:w="1266"/>
        <w:gridCol w:w="1266"/>
        <w:gridCol w:w="1266"/>
        <w:gridCol w:w="1266"/>
        <w:gridCol w:w="1266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567" w:type="dxa"/>
            <w:shd w:val="clear" w:color="auto" w:fill="auto"/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66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66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66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66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66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66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66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单位：万元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2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b/>
                <w:color w:val="000000"/>
                <w:sz w:val="28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sz w:val="28"/>
                <w:szCs w:val="28"/>
              </w:rPr>
              <w:t>项　目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b/>
                <w:color w:val="000000"/>
                <w:sz w:val="28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sz w:val="28"/>
                <w:szCs w:val="28"/>
              </w:rPr>
              <w:t>合　计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b/>
                <w:color w:val="000000"/>
                <w:sz w:val="28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28"/>
                <w:szCs w:val="28"/>
              </w:rPr>
              <w:t>东风镇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b/>
                <w:color w:val="000000"/>
                <w:sz w:val="28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sz w:val="28"/>
                <w:szCs w:val="28"/>
              </w:rPr>
              <w:t>水田镇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b/>
                <w:color w:val="000000"/>
                <w:sz w:val="28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sz w:val="28"/>
                <w:szCs w:val="28"/>
              </w:rPr>
              <w:t>下坝镇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b/>
                <w:color w:val="000000"/>
                <w:sz w:val="28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28"/>
                <w:szCs w:val="28"/>
              </w:rPr>
              <w:t>百宜镇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b/>
                <w:color w:val="000000"/>
                <w:sz w:val="28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28"/>
                <w:szCs w:val="28"/>
              </w:rPr>
              <w:t>羊昌镇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b/>
                <w:color w:val="000000"/>
                <w:sz w:val="28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28"/>
                <w:szCs w:val="28"/>
              </w:rPr>
              <w:t>新堡乡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b/>
                <w:color w:val="000000"/>
                <w:sz w:val="28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28"/>
                <w:szCs w:val="28"/>
              </w:rPr>
              <w:t>新场镇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b/>
                <w:color w:val="000000"/>
                <w:sz w:val="28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28"/>
                <w:szCs w:val="28"/>
              </w:rPr>
              <w:t>偏坡乡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2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b/>
                <w:color w:val="000000"/>
                <w:sz w:val="28"/>
                <w:szCs w:val="28"/>
              </w:rPr>
            </w:pPr>
            <w:r>
              <w:rPr>
                <w:rStyle w:val="13"/>
                <w:rFonts w:hint="default" w:asciiTheme="minorEastAsia" w:hAnsiTheme="minorEastAsia" w:eastAsiaTheme="minorEastAsia"/>
                <w:sz w:val="28"/>
                <w:szCs w:val="28"/>
              </w:rPr>
              <w:t>合　计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1197.21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88.96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140.02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111.55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264.91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185.21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137.38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246.19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22.99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2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cs="宋体" w:asciiTheme="minorEastAsia" w:hAnsiTheme="minorEastAsia" w:eastAsiaTheme="minorEastAsia"/>
                <w:color w:val="000000"/>
                <w:sz w:val="28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8"/>
                <w:szCs w:val="28"/>
              </w:rPr>
              <w:t>返还性收入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-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-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-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-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-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-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-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-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-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2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cs="宋体" w:asciiTheme="minorEastAsia" w:hAnsiTheme="minorEastAsia" w:eastAsiaTheme="minorEastAsia"/>
                <w:color w:val="000000"/>
                <w:sz w:val="28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8"/>
                <w:szCs w:val="28"/>
              </w:rPr>
              <w:t>一般性转移支付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221.53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-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41.06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0.05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139.96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36.14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-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4.32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-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2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cs="宋体" w:asciiTheme="minorEastAsia" w:hAnsiTheme="minorEastAsia" w:eastAsiaTheme="minorEastAsia"/>
                <w:color w:val="000000"/>
                <w:sz w:val="28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8"/>
                <w:szCs w:val="28"/>
              </w:rPr>
              <w:t>专项转移支付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975.68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88.96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98.96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111.5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124.95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149.07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137.38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241.87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22.99</w:t>
            </w:r>
          </w:p>
        </w:tc>
      </w:tr>
    </w:tbl>
    <w:p>
      <w:pPr>
        <w:tabs>
          <w:tab w:val="left" w:pos="1660"/>
        </w:tabs>
        <w:spacing w:line="560" w:lineRule="exact"/>
        <w:rPr>
          <w:rFonts w:ascii="黑体" w:hAnsi="黑体" w:eastAsia="黑体" w:cs="黑体"/>
          <w:sz w:val="44"/>
          <w:szCs w:val="44"/>
        </w:rPr>
      </w:pPr>
    </w:p>
    <w:p>
      <w:pPr>
        <w:jc w:val="center"/>
      </w:pPr>
      <w:r>
        <w:rPr>
          <w:rFonts w:ascii="黑体" w:hAnsi="黑体" w:eastAsia="黑体" w:cs="黑体"/>
          <w:sz w:val="44"/>
          <w:szCs w:val="44"/>
        </w:rPr>
        <w:br w:type="page"/>
      </w:r>
    </w:p>
    <w:p>
      <w:pPr>
        <w:spacing w:line="560" w:lineRule="exact"/>
        <w:ind w:firstLine="640" w:firstLineChars="200"/>
        <w:jc w:val="left"/>
        <w:rPr>
          <w:rFonts w:ascii="黑体" w:hAnsi="黑体" w:eastAsia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/>
          <w:color w:val="000000"/>
          <w:kern w:val="0"/>
          <w:sz w:val="32"/>
          <w:szCs w:val="32"/>
        </w:rPr>
        <w:t>二、政府性基金预算转移支付安排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专项转移支付为</w:t>
      </w: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647.79</w:t>
      </w:r>
      <w:r>
        <w:rPr>
          <w:rFonts w:hint="eastAsia" w:ascii="仿宋" w:hAnsi="仿宋" w:eastAsia="仿宋" w:cs="仿宋"/>
          <w:sz w:val="32"/>
          <w:szCs w:val="32"/>
        </w:rPr>
        <w:t>万元，其中：东风镇</w:t>
      </w: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4.09</w:t>
      </w:r>
      <w:r>
        <w:rPr>
          <w:rFonts w:hint="eastAsia" w:ascii="仿宋" w:hAnsi="仿宋" w:eastAsia="仿宋" w:cs="仿宋"/>
          <w:sz w:val="32"/>
          <w:szCs w:val="32"/>
        </w:rPr>
        <w:t>万元，水田镇</w:t>
      </w: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50.38</w:t>
      </w:r>
      <w:r>
        <w:rPr>
          <w:rFonts w:hint="eastAsia" w:ascii="仿宋" w:hAnsi="仿宋" w:eastAsia="仿宋" w:cs="仿宋"/>
          <w:sz w:val="32"/>
          <w:szCs w:val="32"/>
        </w:rPr>
        <w:t>万元，下坝镇</w:t>
      </w: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14.19</w:t>
      </w:r>
      <w:r>
        <w:rPr>
          <w:rFonts w:hint="eastAsia" w:ascii="仿宋" w:hAnsi="仿宋" w:eastAsia="仿宋" w:cs="仿宋"/>
          <w:sz w:val="32"/>
          <w:szCs w:val="32"/>
        </w:rPr>
        <w:t>万元，羊昌镇</w:t>
      </w: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113.78</w:t>
      </w:r>
      <w:r>
        <w:rPr>
          <w:rFonts w:hint="eastAsia" w:ascii="仿宋" w:hAnsi="仿宋" w:eastAsia="仿宋" w:cs="仿宋"/>
          <w:sz w:val="32"/>
          <w:szCs w:val="32"/>
        </w:rPr>
        <w:t>万元，新场镇</w:t>
      </w: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408.89</w:t>
      </w:r>
      <w:r>
        <w:rPr>
          <w:rFonts w:hint="eastAsia" w:ascii="仿宋" w:hAnsi="仿宋" w:eastAsia="仿宋" w:cs="仿宋"/>
          <w:sz w:val="32"/>
          <w:szCs w:val="32"/>
        </w:rPr>
        <w:t>万元，偏坡乡</w:t>
      </w: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56.46</w:t>
      </w:r>
      <w:r>
        <w:rPr>
          <w:rFonts w:hint="eastAsia" w:ascii="仿宋" w:hAnsi="仿宋" w:eastAsia="仿宋" w:cs="仿宋"/>
          <w:sz w:val="32"/>
          <w:szCs w:val="32"/>
        </w:rPr>
        <w:t>万元。</w:t>
      </w:r>
    </w:p>
    <w:p>
      <w:pPr>
        <w:widowControl/>
        <w:jc w:val="center"/>
        <w:rPr>
          <w:rFonts w:hint="eastAsia" w:ascii="宋体" w:hAnsi="宋体" w:eastAsia="宋体" w:cs="宋体"/>
          <w:bCs/>
          <w:kern w:val="0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kern w:val="0"/>
          <w:sz w:val="32"/>
          <w:szCs w:val="32"/>
        </w:rPr>
        <w:t>乌当区202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</w:rPr>
        <w:t>年政府性基金预算区对下转移支付补助分地区预算表</w:t>
      </w:r>
    </w:p>
    <w:tbl>
      <w:tblPr>
        <w:tblStyle w:val="10"/>
        <w:tblW w:w="13907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567"/>
        <w:gridCol w:w="1276"/>
        <w:gridCol w:w="1202"/>
        <w:gridCol w:w="1266"/>
        <w:gridCol w:w="1266"/>
        <w:gridCol w:w="1266"/>
        <w:gridCol w:w="1266"/>
        <w:gridCol w:w="1266"/>
        <w:gridCol w:w="1266"/>
        <w:gridCol w:w="1266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567" w:type="dxa"/>
            <w:shd w:val="clear" w:color="auto" w:fill="auto"/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66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66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66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66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66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66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66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单位：万元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2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b/>
                <w:color w:val="000000"/>
                <w:sz w:val="28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sz w:val="28"/>
                <w:szCs w:val="28"/>
              </w:rPr>
              <w:t>项　目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b/>
                <w:color w:val="000000"/>
                <w:sz w:val="28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sz w:val="28"/>
                <w:szCs w:val="28"/>
              </w:rPr>
              <w:t>合　计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b/>
                <w:color w:val="000000"/>
                <w:sz w:val="28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28"/>
                <w:szCs w:val="28"/>
              </w:rPr>
              <w:t>东风镇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b/>
                <w:color w:val="000000"/>
                <w:sz w:val="28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sz w:val="28"/>
                <w:szCs w:val="28"/>
              </w:rPr>
              <w:t>水田镇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b/>
                <w:color w:val="000000"/>
                <w:sz w:val="28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sz w:val="28"/>
                <w:szCs w:val="28"/>
              </w:rPr>
              <w:t>下坝镇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b/>
                <w:color w:val="000000"/>
                <w:sz w:val="28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28"/>
                <w:szCs w:val="28"/>
              </w:rPr>
              <w:t>百宜镇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b/>
                <w:color w:val="000000"/>
                <w:sz w:val="28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28"/>
                <w:szCs w:val="28"/>
              </w:rPr>
              <w:t>羊昌镇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b/>
                <w:color w:val="000000"/>
                <w:sz w:val="28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28"/>
                <w:szCs w:val="28"/>
              </w:rPr>
              <w:t>新堡乡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b/>
                <w:color w:val="000000"/>
                <w:sz w:val="28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28"/>
                <w:szCs w:val="28"/>
              </w:rPr>
              <w:t>新场镇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b/>
                <w:color w:val="000000"/>
                <w:sz w:val="28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28"/>
                <w:szCs w:val="28"/>
              </w:rPr>
              <w:t>偏坡乡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2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cs="宋体" w:asciiTheme="minorEastAsia" w:hAnsiTheme="minorEastAsia" w:eastAsiaTheme="minorEastAsia"/>
                <w:color w:val="000000"/>
                <w:sz w:val="28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8"/>
                <w:szCs w:val="28"/>
              </w:rPr>
              <w:t>专项转移支付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000000"/>
                <w:sz w:val="28"/>
                <w:szCs w:val="28"/>
                <w:lang w:val="en-US" w:eastAsia="zh-CN"/>
              </w:rPr>
              <w:t>647.79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Theme="minorEastAsia"/>
                <w:color w:val="000000"/>
                <w:sz w:val="28"/>
                <w:szCs w:val="28"/>
                <w:lang w:val="en-US" w:eastAsia="zh-CN"/>
              </w:rPr>
              <w:t>4.09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Theme="minorEastAsia"/>
                <w:color w:val="000000"/>
                <w:sz w:val="28"/>
                <w:szCs w:val="28"/>
                <w:lang w:val="en-US" w:eastAsia="zh-CN"/>
              </w:rPr>
              <w:t>50.38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Theme="minorEastAsia"/>
                <w:color w:val="000000"/>
                <w:sz w:val="28"/>
                <w:szCs w:val="28"/>
                <w:lang w:val="en-US" w:eastAsia="zh-CN"/>
              </w:rPr>
              <w:t>14.19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Theme="minorEastAsi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-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Theme="minorEastAsia"/>
                <w:color w:val="000000"/>
                <w:sz w:val="28"/>
                <w:szCs w:val="28"/>
                <w:lang w:val="en-US" w:eastAsia="zh-CN"/>
              </w:rPr>
              <w:t>113.78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Theme="minorEastAsi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-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Theme="minorEastAsia"/>
                <w:color w:val="000000"/>
                <w:sz w:val="28"/>
                <w:szCs w:val="28"/>
                <w:lang w:val="en-US" w:eastAsia="zh-CN"/>
              </w:rPr>
              <w:t>408.89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Theme="minorEastAsia"/>
                <w:color w:val="000000"/>
                <w:sz w:val="28"/>
                <w:szCs w:val="28"/>
                <w:lang w:val="en-US" w:eastAsia="zh-CN"/>
              </w:rPr>
              <w:t>56.46</w:t>
            </w:r>
          </w:p>
        </w:tc>
      </w:tr>
    </w:tbl>
    <w:p>
      <w:pPr>
        <w:widowControl/>
        <w:jc w:val="left"/>
        <w:rPr>
          <w:rFonts w:ascii="方正小标宋简体" w:hAnsi="黑体" w:eastAsia="方正小标宋简体" w:cs="黑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</w:p>
    <w:p>
      <w:pPr>
        <w:widowControl/>
        <w:jc w:val="left"/>
        <w:rPr>
          <w:rFonts w:ascii="方正小标宋简体" w:hAnsi="黑体" w:eastAsia="方正小标宋简体" w:cs="黑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ascii="黑体" w:hAnsi="黑体" w:eastAsia="黑体" w:cs="黑体"/>
          <w:sz w:val="44"/>
          <w:szCs w:val="44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黑体" w:hAnsi="黑体" w:eastAsia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/>
          <w:color w:val="000000"/>
          <w:kern w:val="0"/>
          <w:sz w:val="32"/>
          <w:szCs w:val="32"/>
          <w:lang w:eastAsia="zh-CN"/>
        </w:rPr>
        <w:t>三</w:t>
      </w:r>
      <w:r>
        <w:rPr>
          <w:rFonts w:hint="eastAsia" w:ascii="黑体" w:hAnsi="黑体" w:eastAsia="黑体"/>
          <w:color w:val="000000"/>
          <w:kern w:val="0"/>
          <w:sz w:val="32"/>
          <w:szCs w:val="32"/>
        </w:rPr>
        <w:t>、</w:t>
      </w:r>
      <w:r>
        <w:rPr>
          <w:rFonts w:hint="eastAsia" w:ascii="黑体" w:hAnsi="黑体" w:eastAsia="黑体"/>
          <w:color w:val="000000"/>
          <w:kern w:val="0"/>
          <w:sz w:val="32"/>
          <w:szCs w:val="32"/>
          <w:lang w:eastAsia="zh-CN"/>
        </w:rPr>
        <w:t>国有资本经营</w:t>
      </w:r>
      <w:r>
        <w:rPr>
          <w:rFonts w:hint="eastAsia" w:ascii="黑体" w:hAnsi="黑体" w:eastAsia="黑体"/>
          <w:color w:val="000000"/>
          <w:kern w:val="0"/>
          <w:sz w:val="32"/>
          <w:szCs w:val="32"/>
        </w:rPr>
        <w:t>预算转移支付安排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方正小标宋简体" w:hAnsi="黑体" w:eastAsia="方正小标宋简体" w:cs="黑体"/>
          <w:color w:val="000000" w:themeColor="text1"/>
          <w:sz w:val="44"/>
          <w:szCs w:val="44"/>
        </w:rPr>
      </w:pPr>
      <w:r>
        <w:rPr>
          <w:rFonts w:hint="eastAsia" w:ascii="仿宋" w:hAnsi="仿宋" w:eastAsia="仿宋" w:cs="仿宋"/>
          <w:sz w:val="32"/>
          <w:szCs w:val="32"/>
        </w:rPr>
        <w:t>专项转移支付为</w:t>
      </w:r>
      <w:r>
        <w:rPr>
          <w:rFonts w:hint="eastAsia" w:eastAsia="仿宋" w:cs="仿宋"/>
          <w:sz w:val="32"/>
          <w:szCs w:val="32"/>
          <w:lang w:val="en-US" w:eastAsia="zh-CN"/>
        </w:rPr>
        <w:t>11.92</w:t>
      </w:r>
      <w:r>
        <w:rPr>
          <w:rFonts w:hint="eastAsia" w:ascii="仿宋" w:hAnsi="仿宋" w:eastAsia="仿宋" w:cs="仿宋"/>
          <w:sz w:val="32"/>
          <w:szCs w:val="32"/>
        </w:rPr>
        <w:t>万元，其中：东风镇</w:t>
      </w:r>
      <w:r>
        <w:rPr>
          <w:rFonts w:hint="eastAsia" w:eastAsia="仿宋" w:cs="仿宋"/>
          <w:sz w:val="32"/>
          <w:szCs w:val="32"/>
          <w:lang w:val="en-US" w:eastAsia="zh-CN"/>
        </w:rPr>
        <w:t>10.5</w:t>
      </w:r>
      <w:r>
        <w:rPr>
          <w:rFonts w:hint="eastAsia" w:ascii="仿宋" w:hAnsi="仿宋" w:eastAsia="仿宋" w:cs="仿宋"/>
          <w:sz w:val="32"/>
          <w:szCs w:val="32"/>
        </w:rPr>
        <w:t>万元，水田镇</w:t>
      </w:r>
      <w:r>
        <w:rPr>
          <w:rFonts w:hint="eastAsia" w:eastAsia="仿宋" w:cs="仿宋"/>
          <w:sz w:val="32"/>
          <w:szCs w:val="32"/>
          <w:lang w:val="en-US" w:eastAsia="zh-CN"/>
        </w:rPr>
        <w:t>1.42</w:t>
      </w:r>
      <w:r>
        <w:rPr>
          <w:rFonts w:hint="eastAsia" w:ascii="仿宋" w:hAnsi="仿宋" w:eastAsia="仿宋" w:cs="仿宋"/>
          <w:sz w:val="32"/>
          <w:szCs w:val="32"/>
        </w:rPr>
        <w:t>万元。</w:t>
      </w:r>
    </w:p>
    <w:p>
      <w:pPr>
        <w:jc w:val="center"/>
        <w:rPr>
          <w:rFonts w:hint="eastAsia" w:ascii="宋体" w:hAnsi="宋体" w:eastAsia="宋体" w:cs="宋体"/>
          <w:bCs/>
          <w:kern w:val="0"/>
          <w:sz w:val="44"/>
          <w:szCs w:val="44"/>
        </w:rPr>
      </w:pPr>
      <w:r>
        <w:rPr>
          <w:rFonts w:hint="eastAsia" w:ascii="宋体" w:hAnsi="宋体" w:eastAsia="宋体" w:cs="宋体"/>
          <w:color w:val="000000"/>
          <w:kern w:val="0"/>
          <w:sz w:val="32"/>
          <w:szCs w:val="32"/>
        </w:rPr>
        <w:t>乌当区202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</w:rPr>
        <w:t>年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  <w:lang w:eastAsia="zh-CN"/>
        </w:rPr>
        <w:t>国有资本经营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</w:rPr>
        <w:t>预算区对下转移支付补助分地区预算表</w:t>
      </w:r>
    </w:p>
    <w:tbl>
      <w:tblPr>
        <w:tblStyle w:val="10"/>
        <w:tblW w:w="13907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567"/>
        <w:gridCol w:w="1276"/>
        <w:gridCol w:w="1202"/>
        <w:gridCol w:w="1266"/>
        <w:gridCol w:w="1266"/>
        <w:gridCol w:w="1266"/>
        <w:gridCol w:w="1266"/>
        <w:gridCol w:w="1266"/>
        <w:gridCol w:w="1266"/>
        <w:gridCol w:w="1266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567" w:type="dxa"/>
            <w:shd w:val="clear" w:color="auto" w:fill="auto"/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66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66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66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66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66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66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66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单位：万元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2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b/>
                <w:color w:val="000000"/>
                <w:sz w:val="28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sz w:val="28"/>
                <w:szCs w:val="28"/>
              </w:rPr>
              <w:t>项　目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b/>
                <w:color w:val="000000"/>
                <w:sz w:val="28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sz w:val="28"/>
                <w:szCs w:val="28"/>
              </w:rPr>
              <w:t>合　计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b/>
                <w:color w:val="000000"/>
                <w:sz w:val="28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28"/>
                <w:szCs w:val="28"/>
              </w:rPr>
              <w:t>东风镇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b/>
                <w:color w:val="000000"/>
                <w:sz w:val="28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sz w:val="28"/>
                <w:szCs w:val="28"/>
              </w:rPr>
              <w:t>水田镇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b/>
                <w:color w:val="000000"/>
                <w:sz w:val="28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sz w:val="28"/>
                <w:szCs w:val="28"/>
              </w:rPr>
              <w:t>下坝镇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b/>
                <w:color w:val="000000"/>
                <w:sz w:val="28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28"/>
                <w:szCs w:val="28"/>
              </w:rPr>
              <w:t>百宜镇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b/>
                <w:color w:val="000000"/>
                <w:sz w:val="28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28"/>
                <w:szCs w:val="28"/>
              </w:rPr>
              <w:t>羊昌镇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b/>
                <w:color w:val="000000"/>
                <w:sz w:val="28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28"/>
                <w:szCs w:val="28"/>
              </w:rPr>
              <w:t>新堡乡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b/>
                <w:color w:val="000000"/>
                <w:sz w:val="28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28"/>
                <w:szCs w:val="28"/>
              </w:rPr>
              <w:t>新场镇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b/>
                <w:color w:val="000000"/>
                <w:sz w:val="28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28"/>
                <w:szCs w:val="28"/>
              </w:rPr>
              <w:t>偏坡乡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2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cs="宋体" w:asciiTheme="minorEastAsia" w:hAnsiTheme="minorEastAsia" w:eastAsiaTheme="minorEastAsia"/>
                <w:color w:val="000000"/>
                <w:sz w:val="28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8"/>
                <w:szCs w:val="28"/>
              </w:rPr>
              <w:t>专项转移支付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000000"/>
                <w:sz w:val="28"/>
                <w:szCs w:val="28"/>
                <w:lang w:val="en-US" w:eastAsia="zh-CN"/>
              </w:rPr>
              <w:t>11.92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Theme="minorEastAsia"/>
                <w:color w:val="000000"/>
                <w:sz w:val="28"/>
                <w:szCs w:val="28"/>
                <w:lang w:val="en-US" w:eastAsia="zh-CN"/>
              </w:rPr>
              <w:t>10.5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Theme="minorEastAsia"/>
                <w:color w:val="000000"/>
                <w:sz w:val="28"/>
                <w:szCs w:val="28"/>
                <w:lang w:val="en-US" w:eastAsia="zh-CN"/>
              </w:rPr>
              <w:t>1.42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-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Theme="minorEastAsi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-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-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Theme="minorEastAsi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-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-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-</w:t>
            </w:r>
          </w:p>
        </w:tc>
      </w:tr>
    </w:tbl>
    <w:p>
      <w:pPr>
        <w:widowControl/>
        <w:jc w:val="left"/>
        <w:rPr>
          <w:rFonts w:ascii="方正小标宋简体" w:hAnsi="黑体" w:eastAsia="方正小标宋简体" w:cs="黑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方正小标宋简体" w:hAnsi="黑体" w:eastAsia="方正小标宋简体" w:cs="黑体"/>
          <w:color w:val="000000" w:themeColor="text1"/>
          <w:sz w:val="44"/>
          <w:szCs w:val="44"/>
        </w:rPr>
      </w:pPr>
      <w:r>
        <w:rPr>
          <w:rFonts w:hint="eastAsia" w:ascii="方正小标宋简体" w:hAnsi="黑体" w:eastAsia="方正小标宋简体" w:cs="黑体"/>
          <w:color w:val="000000" w:themeColor="text1"/>
          <w:sz w:val="44"/>
          <w:szCs w:val="44"/>
        </w:rPr>
        <w:br w:type="page"/>
      </w:r>
    </w:p>
    <w:p>
      <w:pPr>
        <w:widowControl/>
        <w:spacing w:line="560" w:lineRule="exact"/>
        <w:jc w:val="center"/>
        <w:rPr>
          <w:rFonts w:ascii="方正小标宋简体" w:hAnsi="黑体" w:eastAsia="方正小标宋简体" w:cs="黑体"/>
          <w:color w:val="000000" w:themeColor="text1"/>
          <w:sz w:val="44"/>
          <w:szCs w:val="44"/>
        </w:rPr>
      </w:pPr>
      <w:r>
        <w:rPr>
          <w:rFonts w:hint="eastAsia" w:ascii="方正小标宋简体" w:hAnsi="黑体" w:eastAsia="方正小标宋简体" w:cs="黑体"/>
          <w:color w:val="000000" w:themeColor="text1"/>
          <w:sz w:val="44"/>
          <w:szCs w:val="44"/>
        </w:rPr>
        <w:t>乌当区区本级202</w:t>
      </w:r>
      <w:r>
        <w:rPr>
          <w:rFonts w:hint="eastAsia" w:ascii="方正小标宋简体" w:hAnsi="黑体" w:eastAsia="方正小标宋简体" w:cs="黑体"/>
          <w:color w:val="000000" w:themeColor="text1"/>
          <w:sz w:val="44"/>
          <w:szCs w:val="44"/>
          <w:lang w:val="en-US" w:eastAsia="zh-CN"/>
        </w:rPr>
        <w:t>5</w:t>
      </w:r>
      <w:r>
        <w:rPr>
          <w:rFonts w:hint="eastAsia" w:ascii="方正小标宋简体" w:hAnsi="黑体" w:eastAsia="方正小标宋简体" w:cs="黑体"/>
          <w:color w:val="000000" w:themeColor="text1"/>
          <w:sz w:val="44"/>
          <w:szCs w:val="44"/>
        </w:rPr>
        <w:t>年一般公共预算“三公”经费预算安排情况说明</w:t>
      </w:r>
    </w:p>
    <w:p>
      <w:pPr>
        <w:pStyle w:val="8"/>
        <w:autoSpaceDE w:val="0"/>
        <w:spacing w:before="0" w:beforeAutospacing="0" w:after="0" w:afterAutospacing="0" w:line="560" w:lineRule="exact"/>
        <w:ind w:left="15" w:leftChars="7"/>
        <w:jc w:val="both"/>
        <w:rPr>
          <w:rFonts w:ascii="仿宋_GB2312" w:hAnsi="楷体" w:eastAsia="仿宋_GB2312"/>
          <w:color w:val="3D3D3D"/>
          <w:sz w:val="28"/>
          <w:szCs w:val="28"/>
        </w:rPr>
      </w:pPr>
    </w:p>
    <w:p>
      <w:pPr>
        <w:pStyle w:val="8"/>
        <w:autoSpaceDE w:val="0"/>
        <w:spacing w:before="0" w:beforeAutospacing="0" w:after="0" w:afterAutospacing="0" w:line="560" w:lineRule="exact"/>
        <w:ind w:left="15" w:leftChars="7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D3D3D"/>
          <w:sz w:val="32"/>
          <w:szCs w:val="32"/>
        </w:rPr>
        <w:t>区本级</w:t>
      </w:r>
      <w:r>
        <w:rPr>
          <w:rFonts w:hint="default" w:ascii="Times New Roman" w:hAnsi="Times New Roman" w:eastAsia="仿宋_GB2312" w:cs="Times New Roman"/>
          <w:color w:val="3D3D3D"/>
          <w:sz w:val="32"/>
          <w:szCs w:val="32"/>
          <w:lang w:val="en-US" w:eastAsia="zh-CN"/>
        </w:rPr>
        <w:t>74</w:t>
      </w:r>
      <w:r>
        <w:rPr>
          <w:rFonts w:hint="eastAsia" w:ascii="仿宋_GB2312" w:hAnsi="仿宋_GB2312" w:eastAsia="仿宋_GB2312" w:cs="仿宋_GB2312"/>
          <w:color w:val="3D3D3D"/>
          <w:sz w:val="32"/>
          <w:szCs w:val="32"/>
        </w:rPr>
        <w:t>家部门</w:t>
      </w:r>
      <w:r>
        <w:rPr>
          <w:rFonts w:hint="default" w:ascii="Times New Roman" w:hAnsi="Times New Roman" w:eastAsia="仿宋_GB2312" w:cs="Times New Roman"/>
          <w:color w:val="3D3D3D"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color w:val="3D3D3D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3D3D3D"/>
          <w:sz w:val="32"/>
          <w:szCs w:val="32"/>
        </w:rPr>
        <w:t>年年初一般公共预算安排的“三公”经费预算共计</w:t>
      </w:r>
      <w:r>
        <w:rPr>
          <w:rFonts w:hint="default" w:ascii="Times New Roman" w:hAnsi="Times New Roman" w:eastAsia="仿宋_GB2312" w:cs="Times New Roman"/>
          <w:color w:val="3D3D3D"/>
          <w:sz w:val="32"/>
          <w:szCs w:val="32"/>
          <w:lang w:val="en-US" w:eastAsia="zh-CN"/>
        </w:rPr>
        <w:t>602.09</w:t>
      </w:r>
      <w:r>
        <w:rPr>
          <w:rFonts w:hint="eastAsia" w:ascii="仿宋_GB2312" w:hAnsi="仿宋_GB2312" w:eastAsia="仿宋_GB2312" w:cs="仿宋_GB2312"/>
          <w:color w:val="3D3D3D"/>
          <w:sz w:val="32"/>
          <w:szCs w:val="32"/>
        </w:rPr>
        <w:t>万元，比上年预算</w:t>
      </w:r>
      <w:r>
        <w:rPr>
          <w:rFonts w:hint="default" w:ascii="Times New Roman" w:hAnsi="Times New Roman" w:eastAsia="仿宋_GB2312" w:cs="Times New Roman"/>
          <w:color w:val="3D3D3D"/>
          <w:sz w:val="32"/>
          <w:szCs w:val="32"/>
        </w:rPr>
        <w:t>449.51</w:t>
      </w:r>
      <w:r>
        <w:rPr>
          <w:rFonts w:hint="eastAsia" w:ascii="仿宋_GB2312" w:hAnsi="仿宋_GB2312" w:eastAsia="仿宋_GB2312" w:cs="仿宋_GB2312"/>
          <w:color w:val="3D3D3D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color w:val="3D3D3D"/>
          <w:sz w:val="32"/>
          <w:szCs w:val="32"/>
          <w:lang w:eastAsia="zh-CN"/>
        </w:rPr>
        <w:t>增长</w:t>
      </w:r>
      <w:r>
        <w:rPr>
          <w:rFonts w:hint="default" w:ascii="Times New Roman" w:hAnsi="Times New Roman" w:eastAsia="仿宋_GB2312" w:cs="Times New Roman"/>
          <w:color w:val="3D3D3D"/>
          <w:sz w:val="32"/>
          <w:szCs w:val="32"/>
          <w:lang w:val="en-US" w:eastAsia="zh-CN"/>
        </w:rPr>
        <w:t>33.94</w:t>
      </w:r>
      <w:r>
        <w:rPr>
          <w:rFonts w:hint="eastAsia" w:ascii="仿宋_GB2312" w:hAnsi="仿宋_GB2312" w:eastAsia="仿宋_GB2312" w:cs="仿宋_GB2312"/>
          <w:color w:val="3D3D3D"/>
          <w:sz w:val="32"/>
          <w:szCs w:val="32"/>
        </w:rPr>
        <w:t>%，</w:t>
      </w:r>
      <w:r>
        <w:rPr>
          <w:rFonts w:hint="eastAsia" w:ascii="仿宋_GB2312" w:hAnsi="仿宋_GB2312" w:eastAsia="仿宋_GB2312" w:cs="仿宋_GB2312"/>
          <w:color w:val="3D3D3D"/>
          <w:sz w:val="32"/>
          <w:szCs w:val="32"/>
          <w:lang w:eastAsia="zh-CN"/>
        </w:rPr>
        <w:t>增加</w:t>
      </w:r>
      <w:r>
        <w:rPr>
          <w:rFonts w:hint="default" w:ascii="Times New Roman" w:hAnsi="Times New Roman" w:eastAsia="仿宋_GB2312" w:cs="Times New Roman"/>
          <w:color w:val="3D3D3D"/>
          <w:sz w:val="32"/>
          <w:szCs w:val="32"/>
          <w:lang w:val="en-US" w:eastAsia="zh-CN"/>
        </w:rPr>
        <w:t>152.58</w:t>
      </w:r>
      <w:r>
        <w:rPr>
          <w:rFonts w:hint="eastAsia" w:ascii="仿宋_GB2312" w:hAnsi="仿宋_GB2312" w:eastAsia="仿宋_GB2312" w:cs="仿宋_GB2312"/>
          <w:color w:val="3D3D3D"/>
          <w:sz w:val="32"/>
          <w:szCs w:val="32"/>
        </w:rPr>
        <w:t>万元。其中：因公出国（境）经费部门无预算（原因是我区公务出国（境）都是上级主管部门临时安排，年初无法预计，如有公务出国（境）经费发生，从财政年初预留经费调整使用）；</w:t>
      </w:r>
      <w:r>
        <w:rPr>
          <w:rFonts w:hint="eastAsia" w:ascii="仿宋_GB2312" w:hAnsi="仿宋_GB2312" w:eastAsia="仿宋_GB2312" w:cs="仿宋_GB2312"/>
          <w:sz w:val="32"/>
          <w:szCs w:val="32"/>
        </w:rPr>
        <w:t>公务接待费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24.69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</w:t>
      </w:r>
      <w:r>
        <w:rPr>
          <w:rFonts w:hint="eastAsia" w:ascii="仿宋_GB2312" w:hAnsi="仿宋_GB2312" w:eastAsia="仿宋_GB2312" w:cs="仿宋_GB2312"/>
          <w:color w:val="3D3D3D"/>
          <w:sz w:val="32"/>
          <w:szCs w:val="32"/>
        </w:rPr>
        <w:t>比上年预算</w:t>
      </w:r>
      <w:r>
        <w:rPr>
          <w:rFonts w:hint="default" w:ascii="Times New Roman" w:hAnsi="Times New Roman" w:eastAsia="仿宋_GB2312" w:cs="Times New Roman"/>
          <w:sz w:val="32"/>
          <w:szCs w:val="32"/>
        </w:rPr>
        <w:t>19.41</w:t>
      </w:r>
      <w:r>
        <w:rPr>
          <w:rFonts w:hint="eastAsia" w:ascii="仿宋_GB2312" w:hAnsi="仿宋_GB2312" w:eastAsia="仿宋_GB2312" w:cs="仿宋_GB2312"/>
          <w:color w:val="3D3D3D"/>
          <w:sz w:val="32"/>
          <w:szCs w:val="32"/>
        </w:rPr>
        <w:t>万元增长</w:t>
      </w:r>
      <w:r>
        <w:rPr>
          <w:rFonts w:hint="default" w:ascii="Times New Roman" w:hAnsi="Times New Roman" w:eastAsia="仿宋_GB2312" w:cs="Times New Roman"/>
          <w:color w:val="3D3D3D"/>
          <w:sz w:val="32"/>
          <w:szCs w:val="32"/>
          <w:lang w:val="en-US" w:eastAsia="zh-CN"/>
        </w:rPr>
        <w:t>27.2</w:t>
      </w:r>
      <w:r>
        <w:rPr>
          <w:rFonts w:hint="eastAsia" w:ascii="仿宋_GB2312" w:hAnsi="仿宋_GB2312" w:eastAsia="仿宋_GB2312" w:cs="仿宋_GB2312"/>
          <w:color w:val="3D3D3D"/>
          <w:sz w:val="32"/>
          <w:szCs w:val="32"/>
        </w:rPr>
        <w:t>%，增</w:t>
      </w:r>
      <w:r>
        <w:rPr>
          <w:rFonts w:hint="eastAsia" w:ascii="仿宋_GB2312" w:hAnsi="仿宋_GB2312" w:eastAsia="仿宋_GB2312" w:cs="仿宋_GB2312"/>
          <w:color w:val="3D3D3D"/>
          <w:sz w:val="32"/>
          <w:szCs w:val="32"/>
          <w:lang w:eastAsia="zh-CN"/>
        </w:rPr>
        <w:t>加</w:t>
      </w:r>
      <w:r>
        <w:rPr>
          <w:rFonts w:hint="default" w:ascii="Times New Roman" w:hAnsi="Times New Roman" w:eastAsia="仿宋_GB2312" w:cs="Times New Roman"/>
          <w:color w:val="3D3D3D"/>
          <w:sz w:val="32"/>
          <w:szCs w:val="32"/>
          <w:lang w:val="en-US" w:eastAsia="zh-CN"/>
        </w:rPr>
        <w:t>5.28</w:t>
      </w:r>
      <w:r>
        <w:rPr>
          <w:rFonts w:hint="eastAsia" w:ascii="仿宋_GB2312" w:hAnsi="仿宋_GB2312" w:eastAsia="仿宋_GB2312" w:cs="仿宋_GB2312"/>
          <w:color w:val="3D3D3D"/>
          <w:sz w:val="32"/>
          <w:szCs w:val="32"/>
        </w:rPr>
        <w:t>万元，主要原因是</w:t>
      </w:r>
      <w:r>
        <w:rPr>
          <w:rFonts w:hint="eastAsia" w:ascii="仿宋_GB2312" w:hAnsi="仿宋_GB2312" w:eastAsia="仿宋_GB2312" w:cs="仿宋_GB2312"/>
          <w:color w:val="3D3D3D"/>
          <w:sz w:val="32"/>
          <w:szCs w:val="32"/>
          <w:lang w:eastAsia="zh-CN"/>
        </w:rPr>
        <w:t>部门细化预算编制</w:t>
      </w:r>
      <w:r>
        <w:rPr>
          <w:rFonts w:hint="eastAsia" w:ascii="仿宋_GB2312" w:hAnsi="仿宋_GB2312" w:eastAsia="仿宋_GB2312" w:cs="仿宋_GB2312"/>
          <w:color w:val="3D3D3D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3D3D3D"/>
          <w:sz w:val="32"/>
          <w:szCs w:val="32"/>
          <w:lang w:eastAsia="zh-CN"/>
        </w:rPr>
        <w:t>根据实际</w:t>
      </w:r>
      <w:r>
        <w:rPr>
          <w:rFonts w:hint="eastAsia" w:ascii="仿宋_GB2312" w:hAnsi="仿宋_GB2312" w:eastAsia="仿宋_GB2312" w:cs="仿宋_GB2312"/>
          <w:color w:val="3D3D3D"/>
          <w:sz w:val="32"/>
          <w:szCs w:val="32"/>
        </w:rPr>
        <w:t>业务工作</w:t>
      </w:r>
      <w:r>
        <w:rPr>
          <w:rFonts w:hint="eastAsia" w:ascii="仿宋_GB2312" w:hAnsi="仿宋_GB2312" w:eastAsia="仿宋_GB2312" w:cs="仿宋_GB2312"/>
          <w:color w:val="3D3D3D"/>
          <w:sz w:val="32"/>
          <w:szCs w:val="32"/>
          <w:lang w:eastAsia="zh-CN"/>
        </w:rPr>
        <w:t>安排</w:t>
      </w:r>
      <w:r>
        <w:rPr>
          <w:rFonts w:hint="eastAsia" w:ascii="仿宋_GB2312" w:hAnsi="仿宋_GB2312" w:eastAsia="仿宋_GB2312" w:cs="仿宋_GB2312"/>
          <w:color w:val="3D3D3D"/>
          <w:sz w:val="32"/>
          <w:szCs w:val="32"/>
        </w:rPr>
        <w:t>接待</w:t>
      </w:r>
      <w:r>
        <w:rPr>
          <w:rFonts w:hint="eastAsia" w:ascii="仿宋_GB2312" w:hAnsi="仿宋_GB2312" w:eastAsia="仿宋_GB2312" w:cs="仿宋_GB2312"/>
          <w:color w:val="3D3D3D"/>
          <w:sz w:val="32"/>
          <w:szCs w:val="32"/>
          <w:lang w:eastAsia="zh-CN"/>
        </w:rPr>
        <w:t>费用</w:t>
      </w:r>
      <w:r>
        <w:rPr>
          <w:rFonts w:hint="eastAsia" w:ascii="仿宋_GB2312" w:hAnsi="仿宋_GB2312" w:eastAsia="仿宋_GB2312" w:cs="仿宋_GB2312"/>
          <w:sz w:val="32"/>
          <w:szCs w:val="32"/>
        </w:rPr>
        <w:t>; 一般公务用车运行维护费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497.4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万元，比上年预算</w:t>
      </w:r>
      <w:r>
        <w:rPr>
          <w:rFonts w:hint="default" w:ascii="Times New Roman" w:hAnsi="Times New Roman" w:eastAsia="仿宋_GB2312" w:cs="Times New Roman"/>
          <w:sz w:val="32"/>
          <w:szCs w:val="32"/>
        </w:rPr>
        <w:t>430.1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增长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15.64</w:t>
      </w:r>
      <w:r>
        <w:rPr>
          <w:rFonts w:hint="eastAsia" w:ascii="仿宋_GB2312" w:hAnsi="仿宋_GB2312" w:eastAsia="仿宋_GB2312" w:cs="仿宋_GB2312"/>
          <w:sz w:val="32"/>
          <w:szCs w:val="32"/>
        </w:rPr>
        <w:t>%，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增加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67.3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万元，主要原因是</w:t>
      </w:r>
      <w:r>
        <w:rPr>
          <w:rFonts w:hint="eastAsia" w:ascii="仿宋_GB2312" w:hAnsi="仿宋_GB2312" w:eastAsia="仿宋_GB2312" w:cs="仿宋_GB2312"/>
          <w:color w:val="3D3D3D"/>
          <w:sz w:val="32"/>
          <w:szCs w:val="32"/>
          <w:lang w:eastAsia="zh-CN"/>
        </w:rPr>
        <w:t>部门细化预算编制</w:t>
      </w:r>
      <w:r>
        <w:rPr>
          <w:rFonts w:hint="eastAsia" w:ascii="仿宋_GB2312" w:hAnsi="仿宋_GB2312" w:eastAsia="仿宋_GB2312" w:cs="仿宋_GB2312"/>
          <w:color w:val="3D3D3D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3D3D3D"/>
          <w:sz w:val="32"/>
          <w:szCs w:val="32"/>
          <w:lang w:eastAsia="zh-CN"/>
        </w:rPr>
        <w:t>根据实际</w:t>
      </w:r>
      <w:r>
        <w:rPr>
          <w:rFonts w:hint="eastAsia" w:ascii="仿宋_GB2312" w:hAnsi="仿宋_GB2312" w:eastAsia="仿宋_GB2312" w:cs="仿宋_GB2312"/>
          <w:color w:val="3D3D3D"/>
          <w:sz w:val="32"/>
          <w:szCs w:val="32"/>
        </w:rPr>
        <w:t>业务工作</w:t>
      </w:r>
      <w:r>
        <w:rPr>
          <w:rFonts w:hint="eastAsia" w:ascii="仿宋_GB2312" w:hAnsi="仿宋_GB2312" w:eastAsia="仿宋_GB2312" w:cs="仿宋_GB2312"/>
          <w:color w:val="3D3D3D"/>
          <w:sz w:val="32"/>
          <w:szCs w:val="32"/>
          <w:lang w:eastAsia="zh-CN"/>
        </w:rPr>
        <w:t>安排</w:t>
      </w:r>
      <w:r>
        <w:rPr>
          <w:rFonts w:hint="eastAsia" w:ascii="仿宋_GB2312" w:hAnsi="仿宋_GB2312" w:eastAsia="仿宋_GB2312" w:cs="仿宋_GB2312"/>
          <w:color w:val="3D3D3D"/>
          <w:sz w:val="32"/>
          <w:szCs w:val="32"/>
        </w:rPr>
        <w:t>接待</w:t>
      </w:r>
      <w:r>
        <w:rPr>
          <w:rFonts w:hint="eastAsia" w:ascii="仿宋_GB2312" w:hAnsi="仿宋_GB2312" w:eastAsia="仿宋_GB2312" w:cs="仿宋_GB2312"/>
          <w:color w:val="3D3D3D"/>
          <w:sz w:val="32"/>
          <w:szCs w:val="32"/>
          <w:lang w:eastAsia="zh-CN"/>
        </w:rPr>
        <w:t>费用</w:t>
      </w:r>
      <w:r>
        <w:rPr>
          <w:rFonts w:hint="eastAsia" w:ascii="仿宋_GB2312" w:hAnsi="仿宋_GB2312" w:eastAsia="仿宋_GB2312" w:cs="仿宋_GB2312"/>
          <w:sz w:val="32"/>
          <w:szCs w:val="32"/>
        </w:rPr>
        <w:t>；</w:t>
      </w:r>
      <w:r>
        <w:rPr>
          <w:rFonts w:hint="eastAsia" w:ascii="仿宋_GB2312" w:hAnsi="仿宋_GB2312" w:eastAsia="仿宋_GB2312" w:cs="仿宋_GB2312"/>
          <w:color w:val="3D3D3D"/>
          <w:sz w:val="32"/>
          <w:szCs w:val="32"/>
        </w:rPr>
        <w:t>一般公务用车购置费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80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万元，比上年预算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增加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80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万元，主要原因</w:t>
      </w:r>
      <w:bookmarkStart w:id="0" w:name="_GoBack"/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是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公务用车超规定使用年限，为保障行车安全，需进行更新</w:t>
      </w:r>
      <w:r>
        <w:rPr>
          <w:rFonts w:hint="eastAsia" w:ascii="仿宋_GB2312" w:hAnsi="仿宋_GB2312" w:eastAsia="仿宋_GB2312" w:cs="仿宋_GB2312"/>
          <w:color w:val="3D3D3D"/>
          <w:sz w:val="32"/>
          <w:szCs w:val="32"/>
          <w:highlight w:val="none"/>
        </w:rPr>
        <w:t>。</w:t>
      </w:r>
      <w:bookmarkEnd w:id="0"/>
    </w:p>
    <w:p>
      <w:pPr>
        <w:rPr>
          <w:rFonts w:ascii="仿宋" w:hAnsi="仿宋" w:eastAsia="仿宋" w:cs="仿宋"/>
          <w:b/>
          <w:bCs/>
          <w:kern w:val="0"/>
          <w:sz w:val="32"/>
          <w:szCs w:val="32"/>
        </w:rPr>
      </w:pPr>
    </w:p>
    <w:p>
      <w:pPr>
        <w:jc w:val="center"/>
      </w:pPr>
    </w:p>
    <w:p>
      <w:pPr>
        <w:jc w:val="center"/>
        <w:rPr>
          <w:rFonts w:ascii="宋体" w:hAnsi="宋体" w:cs="宋体"/>
          <w:b/>
          <w:color w:val="000000"/>
          <w:kern w:val="0"/>
          <w:sz w:val="32"/>
          <w:szCs w:val="32"/>
        </w:rPr>
      </w:pPr>
    </w:p>
    <w:p>
      <w:pPr>
        <w:pStyle w:val="2"/>
      </w:pPr>
    </w:p>
    <w:p>
      <w:pPr>
        <w:pStyle w:val="2"/>
      </w:pPr>
    </w:p>
    <w:p>
      <w:pPr>
        <w:pStyle w:val="2"/>
      </w:pPr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方正小标宋简体">
    <w:altName w:val="仿宋_GB2312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3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203"/>
    <w:rsid w:val="00004EA9"/>
    <w:rsid w:val="000128CB"/>
    <w:rsid w:val="00042CFB"/>
    <w:rsid w:val="00054CD9"/>
    <w:rsid w:val="00083E0C"/>
    <w:rsid w:val="00095374"/>
    <w:rsid w:val="000A3EFA"/>
    <w:rsid w:val="000D4EBF"/>
    <w:rsid w:val="001148D3"/>
    <w:rsid w:val="00161924"/>
    <w:rsid w:val="00163B75"/>
    <w:rsid w:val="00180BB0"/>
    <w:rsid w:val="001934E3"/>
    <w:rsid w:val="001A44DF"/>
    <w:rsid w:val="001D2FCA"/>
    <w:rsid w:val="001D5C3A"/>
    <w:rsid w:val="001E703A"/>
    <w:rsid w:val="002243E6"/>
    <w:rsid w:val="00262D03"/>
    <w:rsid w:val="002A73CE"/>
    <w:rsid w:val="002F2D06"/>
    <w:rsid w:val="003037F6"/>
    <w:rsid w:val="00325EC5"/>
    <w:rsid w:val="003723FD"/>
    <w:rsid w:val="003B1203"/>
    <w:rsid w:val="0040649A"/>
    <w:rsid w:val="00442C55"/>
    <w:rsid w:val="00452834"/>
    <w:rsid w:val="004F2ACF"/>
    <w:rsid w:val="00524455"/>
    <w:rsid w:val="00525502"/>
    <w:rsid w:val="0055779B"/>
    <w:rsid w:val="00584479"/>
    <w:rsid w:val="005B2F65"/>
    <w:rsid w:val="005C1206"/>
    <w:rsid w:val="00612DA3"/>
    <w:rsid w:val="006C08D8"/>
    <w:rsid w:val="00702CCE"/>
    <w:rsid w:val="00725812"/>
    <w:rsid w:val="00747A8B"/>
    <w:rsid w:val="007502DF"/>
    <w:rsid w:val="0078640C"/>
    <w:rsid w:val="007A2823"/>
    <w:rsid w:val="007D7495"/>
    <w:rsid w:val="007E22B0"/>
    <w:rsid w:val="00866601"/>
    <w:rsid w:val="00881C29"/>
    <w:rsid w:val="008840EC"/>
    <w:rsid w:val="00896815"/>
    <w:rsid w:val="009053BC"/>
    <w:rsid w:val="009175B8"/>
    <w:rsid w:val="00961967"/>
    <w:rsid w:val="009706E4"/>
    <w:rsid w:val="00982CC3"/>
    <w:rsid w:val="009F2084"/>
    <w:rsid w:val="00BE0B57"/>
    <w:rsid w:val="00C118B4"/>
    <w:rsid w:val="00C471DD"/>
    <w:rsid w:val="00C87016"/>
    <w:rsid w:val="00CB5D97"/>
    <w:rsid w:val="00CB7FDB"/>
    <w:rsid w:val="00D14793"/>
    <w:rsid w:val="00D86F01"/>
    <w:rsid w:val="00DE5D13"/>
    <w:rsid w:val="00E0241C"/>
    <w:rsid w:val="00E05DCD"/>
    <w:rsid w:val="00E61F1C"/>
    <w:rsid w:val="00E8784A"/>
    <w:rsid w:val="00E915A9"/>
    <w:rsid w:val="00EE5C2D"/>
    <w:rsid w:val="00F136F7"/>
    <w:rsid w:val="00F4600F"/>
    <w:rsid w:val="00F60C60"/>
    <w:rsid w:val="030076CB"/>
    <w:rsid w:val="036028FA"/>
    <w:rsid w:val="054D77A3"/>
    <w:rsid w:val="0588288E"/>
    <w:rsid w:val="06D0746F"/>
    <w:rsid w:val="070A146B"/>
    <w:rsid w:val="07610529"/>
    <w:rsid w:val="07807CCC"/>
    <w:rsid w:val="07DB6F31"/>
    <w:rsid w:val="083C024F"/>
    <w:rsid w:val="08E402B9"/>
    <w:rsid w:val="0CB642E9"/>
    <w:rsid w:val="113E7AEC"/>
    <w:rsid w:val="13623730"/>
    <w:rsid w:val="13AD075A"/>
    <w:rsid w:val="153B4F62"/>
    <w:rsid w:val="16E2553D"/>
    <w:rsid w:val="17332B1E"/>
    <w:rsid w:val="177B798F"/>
    <w:rsid w:val="18C96232"/>
    <w:rsid w:val="1B660F1C"/>
    <w:rsid w:val="1BBB60F4"/>
    <w:rsid w:val="1D582B71"/>
    <w:rsid w:val="1FC261B7"/>
    <w:rsid w:val="21055F9B"/>
    <w:rsid w:val="21C83735"/>
    <w:rsid w:val="22B057A3"/>
    <w:rsid w:val="26AF7D1D"/>
    <w:rsid w:val="28F63E43"/>
    <w:rsid w:val="29B00432"/>
    <w:rsid w:val="2B3174BB"/>
    <w:rsid w:val="2B517BAD"/>
    <w:rsid w:val="2B8A26F4"/>
    <w:rsid w:val="2CF03D87"/>
    <w:rsid w:val="2E684B97"/>
    <w:rsid w:val="356C2624"/>
    <w:rsid w:val="35CA21B3"/>
    <w:rsid w:val="364C53A9"/>
    <w:rsid w:val="371408D1"/>
    <w:rsid w:val="39CA2D26"/>
    <w:rsid w:val="3C3C0D4D"/>
    <w:rsid w:val="3D6269A0"/>
    <w:rsid w:val="3E374C21"/>
    <w:rsid w:val="43EC2A9F"/>
    <w:rsid w:val="43FB2F01"/>
    <w:rsid w:val="45593A55"/>
    <w:rsid w:val="47365D83"/>
    <w:rsid w:val="488C009D"/>
    <w:rsid w:val="49BF46A4"/>
    <w:rsid w:val="4A8948EC"/>
    <w:rsid w:val="4C20466D"/>
    <w:rsid w:val="4EC16138"/>
    <w:rsid w:val="4F271330"/>
    <w:rsid w:val="56CE74F7"/>
    <w:rsid w:val="59DC6AB5"/>
    <w:rsid w:val="5C1816C9"/>
    <w:rsid w:val="5CD60919"/>
    <w:rsid w:val="5E3C5591"/>
    <w:rsid w:val="5E5D3E5D"/>
    <w:rsid w:val="60366F66"/>
    <w:rsid w:val="6448455E"/>
    <w:rsid w:val="67721C90"/>
    <w:rsid w:val="6BE84426"/>
    <w:rsid w:val="6D6F13CC"/>
    <w:rsid w:val="6DBE2F35"/>
    <w:rsid w:val="6F992AA6"/>
    <w:rsid w:val="6FF2658E"/>
    <w:rsid w:val="7168195B"/>
    <w:rsid w:val="72561F62"/>
    <w:rsid w:val="74E87DF4"/>
    <w:rsid w:val="77704880"/>
    <w:rsid w:val="7782768F"/>
    <w:rsid w:val="77F73286"/>
    <w:rsid w:val="7DE96F1D"/>
    <w:rsid w:val="7DF93435"/>
    <w:rsid w:val="7F3C6EC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semiHidden="0" w:name="Normal Indent"/>
    <w:lsdException w:uiPriority="0" w:name="footnote text"/>
    <w:lsdException w:uiPriority="0" w:name="annotation text"/>
    <w:lsdException w:qFormat="1" w:uiPriority="0" w:semiHidden="0" w:name="header"/>
    <w:lsdException w:qFormat="1" w:uiPriority="0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qFormat="1" w:unhideWhenUsed="0" w:uiPriority="0" w:semiHidden="0" w:name="Body Text First Indent 2"/>
    <w:lsdException w:uiPriority="0" w:name="Note Heading"/>
    <w:lsdException w:uiPriority="0" w:name="Body Text 2"/>
    <w:lsdException w:uiPriority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uiPriority w:val="99"/>
    <w:pPr>
      <w:ind w:firstLine="420" w:firstLineChars="200"/>
    </w:pPr>
    <w:rPr>
      <w:rFonts w:ascii="Times New Roman" w:hAnsi="Times New Roman"/>
      <w:szCs w:val="24"/>
    </w:rPr>
  </w:style>
  <w:style w:type="paragraph" w:styleId="3">
    <w:name w:val="Body Text Indent"/>
    <w:basedOn w:val="1"/>
    <w:next w:val="4"/>
    <w:qFormat/>
    <w:uiPriority w:val="0"/>
    <w:pPr>
      <w:ind w:left="420" w:leftChars="200"/>
    </w:pPr>
    <w:rPr>
      <w:kern w:val="0"/>
      <w:sz w:val="20"/>
    </w:rPr>
  </w:style>
  <w:style w:type="paragraph" w:styleId="4">
    <w:name w:val="Body Text Indent 2"/>
    <w:basedOn w:val="1"/>
    <w:next w:val="5"/>
    <w:qFormat/>
    <w:uiPriority w:val="0"/>
    <w:pPr>
      <w:ind w:firstLine="630"/>
    </w:pPr>
    <w:rPr>
      <w:b/>
      <w:sz w:val="32"/>
    </w:rPr>
  </w:style>
  <w:style w:type="paragraph" w:styleId="5">
    <w:name w:val="Body Text Indent 3"/>
    <w:basedOn w:val="1"/>
    <w:qFormat/>
    <w:uiPriority w:val="0"/>
    <w:pPr>
      <w:ind w:left="200" w:leftChars="200"/>
    </w:pPr>
    <w:rPr>
      <w:sz w:val="16"/>
    </w:rPr>
  </w:style>
  <w:style w:type="paragraph" w:styleId="6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9">
    <w:name w:val="Body Text First Indent 2"/>
    <w:basedOn w:val="3"/>
    <w:next w:val="1"/>
    <w:qFormat/>
    <w:uiPriority w:val="0"/>
    <w:pPr>
      <w:ind w:firstLine="420" w:firstLineChars="200"/>
    </w:pPr>
  </w:style>
  <w:style w:type="character" w:styleId="12">
    <w:name w:val="page number"/>
    <w:basedOn w:val="11"/>
    <w:unhideWhenUsed/>
    <w:qFormat/>
    <w:uiPriority w:val="0"/>
  </w:style>
  <w:style w:type="character" w:customStyle="1" w:styleId="13">
    <w:name w:val="font61"/>
    <w:basedOn w:val="11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  <w:style w:type="character" w:customStyle="1" w:styleId="14">
    <w:name w:val="font31"/>
    <w:basedOn w:val="11"/>
    <w:qFormat/>
    <w:uiPriority w:val="0"/>
    <w:rPr>
      <w:rFonts w:ascii="Arial" w:hAnsi="Arial" w:cs="Arial"/>
      <w:b/>
      <w:color w:val="000000"/>
      <w:sz w:val="24"/>
      <w:szCs w:val="24"/>
      <w:u w:val="none"/>
    </w:rPr>
  </w:style>
  <w:style w:type="character" w:customStyle="1" w:styleId="15">
    <w:name w:val="font71"/>
    <w:basedOn w:val="11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  <w:style w:type="paragraph" w:customStyle="1" w:styleId="16">
    <w:name w:val="列出段落1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238</Words>
  <Characters>1357</Characters>
  <Lines>11</Lines>
  <Paragraphs>3</Paragraphs>
  <TotalTime>51</TotalTime>
  <ScaleCrop>false</ScaleCrop>
  <LinksUpToDate>false</LinksUpToDate>
  <CharactersWithSpaces>1592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2024-03-07T08:27:00Z</dcterms:created>
  <dc:creator>h</dc:creator>
  <cp:lastModifiedBy>Administrator</cp:lastModifiedBy>
  <cp:lastPrinted>2023-03-03T03:05:00Z</cp:lastPrinted>
  <dcterms:modified xsi:type="dcterms:W3CDTF">2025-03-18T02:42:55Z</dcterms:modified>
  <dc:title>三、2016年财政拨款“三公”经费预算安排情况的说明</dc:title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C94779BAFE8C4FA4A4C8A1059B07D880</vt:lpwstr>
  </property>
</Properties>
</file>