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eastAsia="黑体" w:cs="Times New Roman"/>
          <w:sz w:val="36"/>
          <w:szCs w:val="36"/>
          <w:lang w:val="en-US" w:eastAsia="zh-CN"/>
        </w:rPr>
      </w:pPr>
      <w:bookmarkStart w:id="0" w:name="_Toc15390206"/>
      <w:bookmarkStart w:id="1" w:name="_Toc15390475"/>
      <w:bookmarkStart w:id="2" w:name="_Toc15390426"/>
      <w:bookmarkStart w:id="3" w:name="_Toc10530"/>
      <w:bookmarkStart w:id="4" w:name="_Toc12107"/>
      <w:bookmarkStart w:id="5" w:name="_Toc15389960"/>
      <w:bookmarkStart w:id="6" w:name="_Toc15390045"/>
      <w:bookmarkStart w:id="7" w:name="_Toc15391123"/>
      <w:bookmarkStart w:id="8" w:name="_Toc15390255"/>
      <w:bookmarkStart w:id="9" w:name="_Toc15391282"/>
      <w:r>
        <w:rPr>
          <w:rFonts w:hint="default" w:ascii="Times New Roman" w:hAnsi="Times New Roman" w:eastAsia="黑体" w:cs="Times New Roman"/>
          <w:sz w:val="36"/>
          <w:szCs w:val="36"/>
          <w:lang w:val="en-US" w:eastAsia="zh-CN"/>
        </w:rPr>
        <w:t>云岩区卫生健康局</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sz w:val="36"/>
          <w:szCs w:val="36"/>
        </w:rPr>
      </w:pPr>
      <w:r>
        <w:rPr>
          <w:rFonts w:hint="default" w:ascii="Times New Roman" w:hAnsi="Times New Roman" w:eastAsia="黑体" w:cs="Times New Roman"/>
          <w:sz w:val="36"/>
          <w:szCs w:val="36"/>
        </w:rPr>
        <w:t>20</w:t>
      </w:r>
      <w:r>
        <w:rPr>
          <w:rFonts w:hint="default" w:ascii="Times New Roman" w:hAnsi="Times New Roman" w:eastAsia="黑体" w:cs="Times New Roman"/>
          <w:sz w:val="36"/>
          <w:szCs w:val="36"/>
          <w:lang w:val="en-US" w:eastAsia="zh-CN"/>
        </w:rPr>
        <w:t>20</w:t>
      </w:r>
      <w:r>
        <w:rPr>
          <w:rFonts w:hint="default" w:ascii="Times New Roman" w:hAnsi="Times New Roman" w:eastAsia="黑体" w:cs="Times New Roman"/>
          <w:sz w:val="36"/>
          <w:szCs w:val="36"/>
        </w:rPr>
        <w:t>年</w:t>
      </w:r>
      <w:r>
        <w:rPr>
          <w:rFonts w:hint="default" w:ascii="Times New Roman" w:hAnsi="Times New Roman" w:eastAsia="黑体" w:cs="Times New Roman"/>
          <w:sz w:val="36"/>
          <w:szCs w:val="36"/>
          <w:lang w:val="en-US" w:eastAsia="zh-CN"/>
        </w:rPr>
        <w:t>度</w:t>
      </w:r>
      <w:r>
        <w:rPr>
          <w:rFonts w:hint="default" w:ascii="Times New Roman" w:hAnsi="Times New Roman" w:eastAsia="黑体" w:cs="Times New Roman"/>
          <w:sz w:val="36"/>
          <w:szCs w:val="36"/>
        </w:rPr>
        <w:t>部门整体支出绩效评价报告</w:t>
      </w:r>
    </w:p>
    <w:p>
      <w:pPr>
        <w:pStyle w:val="3"/>
        <w:keepNext/>
        <w:keepLines/>
        <w:pageBreakBefore w:val="0"/>
        <w:widowControl w:val="0"/>
        <w:kinsoku/>
        <w:wordWrap/>
        <w:overflowPunct/>
        <w:topLinePunct w:val="0"/>
        <w:autoSpaceDE/>
        <w:autoSpaceDN/>
        <w:bidi w:val="0"/>
        <w:adjustRightInd/>
        <w:snapToGrid/>
        <w:ind w:firstLine="640"/>
        <w:textAlignment w:val="auto"/>
      </w:pPr>
      <w:bookmarkStart w:id="10" w:name="_Toc21431910"/>
      <w:bookmarkStart w:id="11" w:name="_Toc21432031"/>
      <w:bookmarkStart w:id="12" w:name="_Toc7000"/>
      <w:bookmarkStart w:id="13" w:name="_Toc1122"/>
      <w:bookmarkStart w:id="14" w:name="_Toc9174"/>
      <w:bookmarkStart w:id="15" w:name="_Toc21432348"/>
      <w:bookmarkStart w:id="16" w:name="_Toc12601"/>
    </w:p>
    <w:p>
      <w:pPr>
        <w:pStyle w:val="3"/>
        <w:keepNext/>
        <w:keepLines/>
        <w:pageBreakBefore w:val="0"/>
        <w:widowControl w:val="0"/>
        <w:kinsoku/>
        <w:wordWrap/>
        <w:overflowPunct/>
        <w:topLinePunct w:val="0"/>
        <w:autoSpaceDE/>
        <w:autoSpaceDN/>
        <w:bidi w:val="0"/>
        <w:adjustRightInd/>
        <w:snapToGrid/>
        <w:ind w:firstLine="640"/>
        <w:textAlignment w:val="auto"/>
      </w:pPr>
      <w:r>
        <w:t>一、基本情况</w:t>
      </w:r>
      <w:bookmarkEnd w:id="10"/>
      <w:bookmarkEnd w:id="11"/>
      <w:bookmarkEnd w:id="12"/>
      <w:bookmarkEnd w:id="13"/>
      <w:bookmarkEnd w:id="14"/>
      <w:bookmarkEnd w:id="15"/>
      <w:bookmarkEnd w:id="16"/>
    </w:p>
    <w:p>
      <w:pPr>
        <w:pStyle w:val="4"/>
        <w:keepNext/>
        <w:keepLines/>
        <w:pageBreakBefore w:val="0"/>
        <w:widowControl w:val="0"/>
        <w:kinsoku/>
        <w:wordWrap/>
        <w:overflowPunct/>
        <w:topLinePunct w:val="0"/>
        <w:autoSpaceDE/>
        <w:autoSpaceDN/>
        <w:bidi w:val="0"/>
        <w:adjustRightInd/>
        <w:snapToGrid/>
        <w:ind w:firstLine="643"/>
        <w:textAlignment w:val="auto"/>
        <w:rPr>
          <w:rFonts w:ascii="Times New Roman" w:hAnsi="Times New Roman"/>
        </w:rPr>
      </w:pPr>
      <w:bookmarkStart w:id="17" w:name="_Toc10085"/>
      <w:bookmarkStart w:id="18" w:name="_Toc32671"/>
      <w:bookmarkStart w:id="19" w:name="_Toc28677"/>
      <w:r>
        <w:rPr>
          <w:rFonts w:ascii="Times New Roman" w:hAnsi="Times New Roman"/>
        </w:rPr>
        <w:t>（一）部门概况</w:t>
      </w:r>
      <w:bookmarkEnd w:id="17"/>
      <w:bookmarkEnd w:id="18"/>
      <w:bookmarkEnd w:id="19"/>
    </w:p>
    <w:p>
      <w:pPr>
        <w:ind w:left="640" w:firstLine="0" w:firstLineChars="0"/>
        <w:outlineLvl w:val="2"/>
        <w:rPr>
          <w:rFonts w:hint="default" w:ascii="仿宋_GB2312" w:hAnsi="仿宋_GB2312" w:eastAsia="仿宋_GB2312" w:cs="仿宋_GB2312"/>
          <w:b w:val="0"/>
          <w:bCs w:val="0"/>
          <w:kern w:val="0"/>
          <w:szCs w:val="32"/>
          <w:shd w:val="clear" w:color="auto" w:fill="FFFFFF"/>
          <w:lang w:val="en-US" w:eastAsia="zh-CN"/>
        </w:rPr>
      </w:pPr>
      <w:r>
        <w:rPr>
          <w:b w:val="0"/>
          <w:bCs w:val="0"/>
        </w:rPr>
        <w:t>1．</w:t>
      </w:r>
      <w:r>
        <w:rPr>
          <w:rFonts w:hint="eastAsia" w:ascii="仿宋_GB2312" w:hAnsi="仿宋_GB2312" w:cs="仿宋_GB2312"/>
          <w:b w:val="0"/>
          <w:bCs w:val="0"/>
          <w:kern w:val="0"/>
          <w:szCs w:val="32"/>
          <w:shd w:val="clear" w:color="auto" w:fill="FFFFFF"/>
        </w:rPr>
        <w:t>部门</w:t>
      </w:r>
      <w:r>
        <w:rPr>
          <w:rFonts w:hint="eastAsia" w:ascii="仿宋_GB2312" w:hAnsi="仿宋_GB2312" w:cs="仿宋_GB2312"/>
          <w:b w:val="0"/>
          <w:bCs w:val="0"/>
          <w:kern w:val="0"/>
          <w:szCs w:val="32"/>
          <w:shd w:val="clear" w:color="auto" w:fill="FFFFFF"/>
          <w:lang w:val="en-US" w:eastAsia="zh-CN"/>
        </w:rPr>
        <w:t>设立背景</w:t>
      </w:r>
    </w:p>
    <w:p>
      <w:pPr>
        <w:bidi w:val="0"/>
        <w:rPr>
          <w:rFonts w:hint="eastAsia"/>
          <w:lang w:val="en-US" w:eastAsia="zh-CN"/>
        </w:rPr>
      </w:pPr>
      <w:r>
        <w:rPr>
          <w:rFonts w:hint="eastAsia"/>
          <w:lang w:val="en-US" w:eastAsia="zh-CN"/>
        </w:rPr>
        <w:t>云岩区卫生健康局是主管辖区内医疗护理质量、医疗纠纷、疾病预防控制、妇幼保健、卫生监督、突发公共卫生事件、艾滋病防治管理等的人民政府工作部门，区属事业单位有区人民医院、区第二人民医院、区妇幼保健院及黔灵医院。</w:t>
      </w:r>
    </w:p>
    <w:p>
      <w:pPr>
        <w:pStyle w:val="2"/>
        <w:rPr>
          <w:rFonts w:hint="eastAsia"/>
          <w:lang w:val="en-US" w:eastAsia="zh-CN"/>
        </w:rPr>
      </w:pPr>
      <w:r>
        <w:rPr>
          <w:rFonts w:hint="eastAsia"/>
          <w:lang w:val="en-US" w:eastAsia="zh-CN"/>
        </w:rPr>
        <w:t>2014年，根据《中共贵阳市委办公厅、贵阳市人民政府办公厅关于印发</w:t>
      </w:r>
      <w:r>
        <w:rPr>
          <w:rFonts w:hint="eastAsia" w:ascii="仿宋_GB2312" w:hAnsi="仿宋_GB2312" w:eastAsia="仿宋_GB2312" w:cs="仿宋_GB2312"/>
          <w:lang w:val="en-US" w:eastAsia="zh-CN"/>
        </w:rPr>
        <w:t>&lt;</w:t>
      </w:r>
      <w:r>
        <w:rPr>
          <w:rFonts w:hint="eastAsia"/>
          <w:lang w:val="en-US" w:eastAsia="zh-CN"/>
        </w:rPr>
        <w:t>云岩区人民政府职能转变和机构改革方案</w:t>
      </w:r>
      <w:r>
        <w:rPr>
          <w:rFonts w:hint="eastAsia" w:ascii="仿宋_GB2312" w:hAnsi="仿宋_GB2312" w:eastAsia="仿宋_GB2312" w:cs="仿宋_GB2312"/>
          <w:lang w:val="en-US" w:eastAsia="zh-CN"/>
        </w:rPr>
        <w:t>&gt;</w:t>
      </w:r>
      <w:r>
        <w:rPr>
          <w:rFonts w:hint="eastAsia"/>
          <w:lang w:val="en-US" w:eastAsia="zh-CN"/>
        </w:rPr>
        <w:t>的通知》</w:t>
      </w:r>
      <w:r>
        <w:rPr>
          <w:rFonts w:hint="eastAsia"/>
        </w:rPr>
        <w:t>（筑</w:t>
      </w:r>
      <w:r>
        <w:rPr>
          <w:rFonts w:hint="eastAsia"/>
          <w:lang w:val="en-US" w:eastAsia="zh-CN"/>
        </w:rPr>
        <w:t>委厅字</w:t>
      </w:r>
      <w:r>
        <w:rPr>
          <w:rFonts w:hint="eastAsia"/>
        </w:rPr>
        <w:t>〔20</w:t>
      </w:r>
      <w:r>
        <w:rPr>
          <w:rFonts w:hint="eastAsia"/>
          <w:lang w:val="en-US" w:eastAsia="zh-CN"/>
        </w:rPr>
        <w:t>14</w:t>
      </w:r>
      <w:r>
        <w:rPr>
          <w:rFonts w:hint="eastAsia"/>
        </w:rPr>
        <w:t>〕</w:t>
      </w:r>
      <w:r>
        <w:rPr>
          <w:rFonts w:hint="eastAsia"/>
          <w:lang w:val="en-US" w:eastAsia="zh-CN"/>
        </w:rPr>
        <w:t>84</w:t>
      </w:r>
      <w:r>
        <w:rPr>
          <w:rFonts w:hint="eastAsia"/>
        </w:rPr>
        <w:t>号）</w:t>
      </w:r>
      <w:r>
        <w:rPr>
          <w:rFonts w:hint="eastAsia"/>
          <w:lang w:val="en-US" w:eastAsia="zh-CN"/>
        </w:rPr>
        <w:t>和《中共云岩区委、云岩区人民政府关于云岩区政府职能转变和机构改革的实施意见》</w:t>
      </w:r>
      <w:r>
        <w:rPr>
          <w:rFonts w:hint="eastAsia"/>
        </w:rPr>
        <w:t>（</w:t>
      </w:r>
      <w:r>
        <w:rPr>
          <w:rFonts w:hint="eastAsia"/>
          <w:lang w:val="en-US" w:eastAsia="zh-CN"/>
        </w:rPr>
        <w:t>云</w:t>
      </w:r>
      <w:r>
        <w:rPr>
          <w:rFonts w:hint="eastAsia"/>
        </w:rPr>
        <w:t>党办发〔20</w:t>
      </w:r>
      <w:r>
        <w:rPr>
          <w:rFonts w:hint="eastAsia"/>
          <w:lang w:val="en-US" w:eastAsia="zh-CN"/>
        </w:rPr>
        <w:t>14</w:t>
      </w:r>
      <w:r>
        <w:rPr>
          <w:rFonts w:hint="eastAsia"/>
        </w:rPr>
        <w:t>〕</w:t>
      </w:r>
      <w:r>
        <w:rPr>
          <w:rFonts w:hint="eastAsia"/>
          <w:lang w:val="en-US" w:eastAsia="zh-CN"/>
        </w:rPr>
        <w:t>18</w:t>
      </w:r>
      <w:r>
        <w:rPr>
          <w:rFonts w:hint="eastAsia"/>
        </w:rPr>
        <w:t>号）</w:t>
      </w:r>
      <w:r>
        <w:rPr>
          <w:rFonts w:hint="eastAsia"/>
          <w:lang w:eastAsia="zh-CN"/>
        </w:rPr>
        <w:t>，</w:t>
      </w:r>
      <w:r>
        <w:rPr>
          <w:rFonts w:hint="eastAsia"/>
          <w:lang w:val="en-US" w:eastAsia="zh-CN"/>
        </w:rPr>
        <w:t>设立云岩区卫生和计划生育局（以下简称“区卫计局”），将原云岩区卫生和食品安全监督管理局的卫生监管和服务职责、原云岩区人口和计划生育局的计划生育管理和服务职责划入区卫计局，增加负责辖区食品安全风险评估和食品安全标准的跟踪绩效评价工作。</w:t>
      </w:r>
    </w:p>
    <w:p>
      <w:pPr>
        <w:pStyle w:val="2"/>
        <w:rPr>
          <w:rFonts w:hint="default"/>
          <w:lang w:val="en-US" w:eastAsia="zh-CN"/>
        </w:rPr>
      </w:pPr>
      <w:r>
        <w:rPr>
          <w:rFonts w:hint="eastAsia"/>
          <w:lang w:val="en-US" w:eastAsia="zh-CN"/>
        </w:rPr>
        <w:t>2019年2月14日，区卫健局正式挂牌，根据《中共云岩区委 云岩区人民政府</w:t>
      </w:r>
      <w:r>
        <w:rPr>
          <w:rFonts w:hint="eastAsia" w:ascii="仿宋_GB2312" w:hAnsi="仿宋_GB2312" w:eastAsia="仿宋_GB2312" w:cs="仿宋_GB2312"/>
          <w:lang w:val="en-US" w:eastAsia="zh-CN"/>
        </w:rPr>
        <w:t>&lt;</w:t>
      </w:r>
      <w:r>
        <w:rPr>
          <w:rFonts w:hint="eastAsia"/>
          <w:lang w:val="en-US" w:eastAsia="zh-CN"/>
        </w:rPr>
        <w:t>关于云岩区区级机构改革的实施意见</w:t>
      </w:r>
      <w:r>
        <w:rPr>
          <w:rFonts w:hint="eastAsia" w:ascii="仿宋_GB2312" w:hAnsi="仿宋_GB2312" w:eastAsia="仿宋_GB2312" w:cs="仿宋_GB2312"/>
          <w:lang w:val="en-US" w:eastAsia="zh-CN"/>
        </w:rPr>
        <w:t>&gt;</w:t>
      </w:r>
      <w:r>
        <w:rPr>
          <w:rFonts w:hint="eastAsia"/>
          <w:lang w:val="en-US" w:eastAsia="zh-CN"/>
        </w:rPr>
        <w:t>》</w:t>
      </w:r>
      <w:r>
        <w:rPr>
          <w:rFonts w:hint="eastAsia"/>
        </w:rPr>
        <w:t>（</w:t>
      </w:r>
      <w:r>
        <w:rPr>
          <w:rFonts w:hint="eastAsia"/>
          <w:lang w:val="en-US" w:eastAsia="zh-CN"/>
        </w:rPr>
        <w:t>云</w:t>
      </w:r>
      <w:r>
        <w:rPr>
          <w:rFonts w:hint="eastAsia"/>
        </w:rPr>
        <w:t>党发〔20</w:t>
      </w:r>
      <w:r>
        <w:rPr>
          <w:rFonts w:hint="eastAsia"/>
          <w:lang w:val="en-US" w:eastAsia="zh-CN"/>
        </w:rPr>
        <w:t>19</w:t>
      </w:r>
      <w:r>
        <w:rPr>
          <w:rFonts w:hint="eastAsia"/>
        </w:rPr>
        <w:t>〕</w:t>
      </w:r>
      <w:r>
        <w:rPr>
          <w:rFonts w:hint="eastAsia"/>
          <w:lang w:val="en-US" w:eastAsia="zh-CN"/>
        </w:rPr>
        <w:t>1</w:t>
      </w:r>
      <w:r>
        <w:rPr>
          <w:rFonts w:hint="eastAsia"/>
        </w:rPr>
        <w:t>号）</w:t>
      </w:r>
      <w:r>
        <w:rPr>
          <w:rFonts w:hint="eastAsia"/>
          <w:lang w:val="en-US" w:eastAsia="zh-CN"/>
        </w:rPr>
        <w:t>文件要求，将区卫生和计划生育局、区深化医药卫生体制改革领导小组办公室、区老龄工作委员会办公室职责，区爱国卫生运动委员会办公室（区整脏治乱专项行动领导小组办公室）处综合考核职责以外的其他职责，以及区安全生产监督管理局的职业安全健康监督管理职责等整合组建为区卫健局。同时，区老龄工作委员会、区爱国卫生运动委员会的日常工作由区卫健局承担。</w:t>
      </w:r>
    </w:p>
    <w:p>
      <w:pPr>
        <w:ind w:firstLine="640"/>
        <w:outlineLvl w:val="2"/>
        <w:rPr>
          <w:rFonts w:hint="default" w:eastAsia="仿宋_GB2312"/>
          <w:b w:val="0"/>
          <w:bCs w:val="0"/>
          <w:kern w:val="0"/>
          <w:szCs w:val="32"/>
          <w:shd w:val="clear" w:color="auto" w:fill="FFFFFF"/>
          <w:lang w:val="en-US" w:eastAsia="zh-CN"/>
        </w:rPr>
      </w:pPr>
      <w:r>
        <w:rPr>
          <w:b w:val="0"/>
          <w:bCs w:val="0"/>
          <w:szCs w:val="32"/>
        </w:rPr>
        <w:t>2</w:t>
      </w:r>
      <w:r>
        <w:rPr>
          <w:rStyle w:val="32"/>
          <w:b w:val="0"/>
          <w:bCs w:val="0"/>
          <w:color w:val="auto"/>
          <w:szCs w:val="32"/>
          <w:u w:val="none"/>
        </w:rPr>
        <w:t>．</w:t>
      </w:r>
      <w:r>
        <w:rPr>
          <w:rFonts w:hint="eastAsia"/>
          <w:b w:val="0"/>
          <w:bCs w:val="0"/>
          <w:kern w:val="0"/>
          <w:szCs w:val="32"/>
          <w:shd w:val="clear" w:color="auto" w:fill="FFFFFF"/>
        </w:rPr>
        <w:t>部门</w:t>
      </w:r>
      <w:r>
        <w:rPr>
          <w:rFonts w:hint="eastAsia"/>
          <w:b w:val="0"/>
          <w:bCs w:val="0"/>
          <w:kern w:val="0"/>
          <w:szCs w:val="32"/>
          <w:shd w:val="clear" w:color="auto" w:fill="FFFFFF"/>
          <w:lang w:val="en-US" w:eastAsia="zh-CN"/>
        </w:rPr>
        <w:t>职能职责</w:t>
      </w:r>
    </w:p>
    <w:p>
      <w:pPr>
        <w:tabs>
          <w:tab w:val="left" w:pos="5823"/>
        </w:tabs>
        <w:ind w:firstLine="640" w:firstLineChars="200"/>
      </w:pPr>
      <w:r>
        <w:rPr>
          <w:rFonts w:hint="eastAsia"/>
          <w:lang w:eastAsia="zh-CN"/>
        </w:rPr>
        <w:t>（</w:t>
      </w:r>
      <w:r>
        <w:rPr>
          <w:rFonts w:hint="eastAsia"/>
          <w:lang w:val="en-US" w:eastAsia="zh-CN"/>
        </w:rPr>
        <w:t>1</w:t>
      </w:r>
      <w:r>
        <w:rPr>
          <w:rFonts w:hint="eastAsia"/>
          <w:lang w:eastAsia="zh-CN"/>
        </w:rPr>
        <w:t>）</w:t>
      </w:r>
      <w:r>
        <w:rPr>
          <w:rFonts w:hint="eastAsia"/>
        </w:rPr>
        <w:t>贯彻执行国家和省、市有关卫生健康工作的法律、法规、规章和方针政策，推进全区医药卫生健康体制改革；根据国家和省、市卫生健康资源配置规划，编制我区卫生健康规划并组织实施。拟订并组织实施推进卫生健康基本公共服务均等化、普惠化、便捷化和公共资源向基层延伸等政策措施。</w:t>
      </w:r>
    </w:p>
    <w:p>
      <w:pPr>
        <w:tabs>
          <w:tab w:val="left" w:pos="5823"/>
        </w:tabs>
        <w:ind w:firstLine="640" w:firstLineChars="200"/>
      </w:pPr>
      <w:r>
        <w:rPr>
          <w:rFonts w:hint="eastAsia"/>
          <w:lang w:eastAsia="zh-CN"/>
        </w:rPr>
        <w:t>（</w:t>
      </w:r>
      <w:r>
        <w:rPr>
          <w:rFonts w:hint="eastAsia"/>
          <w:lang w:val="en-US" w:eastAsia="zh-CN"/>
        </w:rPr>
        <w:t>2</w:t>
      </w:r>
      <w:r>
        <w:rPr>
          <w:rFonts w:hint="eastAsia"/>
          <w:lang w:eastAsia="zh-CN"/>
        </w:rPr>
        <w:t>）</w:t>
      </w:r>
      <w:r>
        <w:rPr>
          <w:rFonts w:hint="eastAsia"/>
        </w:rPr>
        <w:t>负责组织落实疾病预防控制规划、免疫规划、危害人民健康的公共卫生问题的干预措施；拟订卫生应急和紧急医学救援预案、突发公共卫生事件监测和风险评估计划，组织和指导突发公共卫生事件预防控制与应急处置；按规定发布法定报告传染病疫情信息、突发公共卫生事件应急处置信息。</w:t>
      </w:r>
    </w:p>
    <w:p>
      <w:pPr>
        <w:tabs>
          <w:tab w:val="left" w:pos="5823"/>
        </w:tabs>
        <w:ind w:firstLine="640" w:firstLineChars="200"/>
      </w:pPr>
      <w:r>
        <w:rPr>
          <w:rFonts w:hint="eastAsia"/>
        </w:rPr>
        <w:t>（</w:t>
      </w:r>
      <w:r>
        <w:rPr>
          <w:rFonts w:hint="eastAsia"/>
          <w:lang w:val="en-US" w:eastAsia="zh-CN"/>
        </w:rPr>
        <w:t>3</w:t>
      </w:r>
      <w:r>
        <w:rPr>
          <w:rFonts w:hint="eastAsia"/>
        </w:rPr>
        <w:t>）负责组织实施职责范围内的职业卫生、放射卫生、环境卫生、学校卫生、公共场所卫生监管政策措施和饮用水卫生监督政策措施，组织开展相关监测、调查、评估；负责传染病防治监督工作；配合开展食品安全风险监测、评估。</w:t>
      </w:r>
    </w:p>
    <w:p>
      <w:pPr>
        <w:tabs>
          <w:tab w:val="left" w:pos="5823"/>
        </w:tabs>
        <w:ind w:firstLine="640" w:firstLineChars="200"/>
      </w:pPr>
      <w:r>
        <w:rPr>
          <w:rFonts w:hint="eastAsia"/>
        </w:rPr>
        <w:t>（</w:t>
      </w:r>
      <w:r>
        <w:rPr>
          <w:rFonts w:hint="eastAsia"/>
          <w:lang w:val="en-US" w:eastAsia="zh-CN"/>
        </w:rPr>
        <w:t>4</w:t>
      </w:r>
      <w:r>
        <w:rPr>
          <w:rFonts w:hint="eastAsia"/>
        </w:rPr>
        <w:t>）负责组织实施基层卫生、妇幼卫生和计划生育服务发展规划和政策措施；负责妇幼保健的综合管理和监督，依法管理计划生育技术服务工作，组织指导基层卫生、妇幼卫生和计划生育服务体系建设，推进基本公共卫生和计划生育服务均等化，完善基层运行新机制和乡村医生管理制度，完善合理分级诊疗模式。</w:t>
      </w:r>
    </w:p>
    <w:p>
      <w:pPr>
        <w:tabs>
          <w:tab w:val="left" w:pos="5823"/>
        </w:tabs>
        <w:ind w:firstLine="640" w:firstLineChars="200"/>
      </w:pPr>
      <w:r>
        <w:rPr>
          <w:rFonts w:hint="eastAsia"/>
        </w:rPr>
        <w:t>（</w:t>
      </w:r>
      <w:r>
        <w:rPr>
          <w:rFonts w:hint="eastAsia"/>
          <w:lang w:val="en-US" w:eastAsia="zh-CN"/>
        </w:rPr>
        <w:t>5</w:t>
      </w:r>
      <w:r>
        <w:rPr>
          <w:rFonts w:hint="eastAsia"/>
        </w:rPr>
        <w:t>）承担政府办医职能，行使公立医院举办权、发展权、重大事项决策权、资产收益权等，审议公立医院章程、发展规划、重大项目实施、收支预算等；负责医疗机构和医疗服务全行业监督管理；组织实施医疗机构及其医疗服务、医疗技术、医疗质量、医疗安全管理；组织实施卫生专业技术人员准入、资格标准、执业规则和服务规范，建立医疗服务评价和监督管理体系；依法规范医疗服务市场；指导平安医院建设。</w:t>
      </w:r>
    </w:p>
    <w:p>
      <w:pPr>
        <w:tabs>
          <w:tab w:val="left" w:pos="5823"/>
        </w:tabs>
        <w:ind w:firstLine="640" w:firstLineChars="200"/>
      </w:pPr>
      <w:r>
        <w:rPr>
          <w:rFonts w:hint="eastAsia"/>
        </w:rPr>
        <w:t>（</w:t>
      </w:r>
      <w:r>
        <w:rPr>
          <w:rFonts w:hint="eastAsia"/>
          <w:lang w:val="en-US" w:eastAsia="zh-CN"/>
        </w:rPr>
        <w:t>5</w:t>
      </w:r>
      <w:r>
        <w:rPr>
          <w:rFonts w:hint="eastAsia"/>
        </w:rPr>
        <w:t>）负责推进医疗保障、医疗服务、公共卫生、药品供应、监管体制综合改革；负责指导基层医疗卫生机构综合改革，健全网络化城乡基层医疗卫生服务运行机制；负责推进公立医院改革，建立科学的医疗绩效评价机制和适应行业特点的人才培养等制度；负责社会办医疗机构规划和监督管理的相关工作。</w:t>
      </w:r>
    </w:p>
    <w:p>
      <w:pPr>
        <w:tabs>
          <w:tab w:val="left" w:pos="5823"/>
        </w:tabs>
        <w:ind w:firstLine="640" w:firstLineChars="200"/>
      </w:pPr>
      <w:r>
        <w:rPr>
          <w:rFonts w:hint="eastAsia"/>
        </w:rPr>
        <w:t>（</w:t>
      </w:r>
      <w:r>
        <w:rPr>
          <w:rFonts w:hint="eastAsia"/>
          <w:lang w:val="en-US" w:eastAsia="zh-CN"/>
        </w:rPr>
        <w:t>7</w:t>
      </w:r>
      <w:r>
        <w:rPr>
          <w:rFonts w:hint="eastAsia"/>
        </w:rPr>
        <w:t>）负责中医药事业发展工作。结合部门职责，做好军民融合、扶贫开发等相关工作。</w:t>
      </w:r>
    </w:p>
    <w:p>
      <w:pPr>
        <w:tabs>
          <w:tab w:val="left" w:pos="5823"/>
        </w:tabs>
        <w:ind w:firstLine="640" w:firstLineChars="200"/>
      </w:pPr>
      <w:r>
        <w:rPr>
          <w:rFonts w:hint="eastAsia"/>
        </w:rPr>
        <w:t>（</w:t>
      </w:r>
      <w:r>
        <w:rPr>
          <w:rFonts w:hint="eastAsia"/>
          <w:lang w:val="en-US" w:eastAsia="zh-CN"/>
        </w:rPr>
        <w:t>8</w:t>
      </w:r>
      <w:r>
        <w:rPr>
          <w:rFonts w:hint="eastAsia"/>
        </w:rPr>
        <w:t>）负责组织推进所监管的公立医院管理体制和运行机制改革，建立法人治理结构和现代医院管理制度；按规定负责公立医院国有资产监管；组织指导所监管的公立医院安全防范系统建设。</w:t>
      </w:r>
    </w:p>
    <w:p>
      <w:pPr>
        <w:tabs>
          <w:tab w:val="left" w:pos="5823"/>
        </w:tabs>
        <w:ind w:firstLine="640" w:firstLineChars="200"/>
      </w:pPr>
      <w:r>
        <w:rPr>
          <w:rFonts w:hint="eastAsia"/>
          <w:lang w:eastAsia="zh-CN"/>
        </w:rPr>
        <w:t>（</w:t>
      </w:r>
      <w:r>
        <w:rPr>
          <w:rFonts w:hint="eastAsia"/>
          <w:lang w:val="en-US" w:eastAsia="zh-CN"/>
        </w:rPr>
        <w:t>9</w:t>
      </w:r>
      <w:r>
        <w:rPr>
          <w:rFonts w:hint="eastAsia"/>
          <w:lang w:eastAsia="zh-CN"/>
        </w:rPr>
        <w:t>）</w:t>
      </w:r>
      <w:r>
        <w:rPr>
          <w:rFonts w:hint="eastAsia"/>
        </w:rPr>
        <w:t>组织实施促进出生人口性别平衡、优生优育和提高出生人口素质的政策措施，推动实施生殖健康促进计划，降低出生缺陷发生率。</w:t>
      </w:r>
    </w:p>
    <w:p>
      <w:pPr>
        <w:tabs>
          <w:tab w:val="left" w:pos="5823"/>
        </w:tabs>
        <w:ind w:firstLine="640" w:firstLineChars="200"/>
      </w:pPr>
      <w:r>
        <w:rPr>
          <w:rFonts w:hint="eastAsia"/>
        </w:rPr>
        <w:t>（</w:t>
      </w:r>
      <w:r>
        <w:rPr>
          <w:rFonts w:hint="eastAsia"/>
          <w:lang w:val="en-US" w:eastAsia="zh-CN"/>
        </w:rPr>
        <w:t>10</w:t>
      </w:r>
      <w:r>
        <w:rPr>
          <w:rFonts w:hint="eastAsia"/>
        </w:rPr>
        <w:t>）负责计划生育管理和服务工作，开展人口监测预警，研究提出人口与家庭发展相关政策建议，落实计划生育政策。落实计划生育家庭扶助机制。</w:t>
      </w:r>
    </w:p>
    <w:p>
      <w:pPr>
        <w:tabs>
          <w:tab w:val="left" w:pos="5823"/>
        </w:tabs>
        <w:ind w:firstLine="640" w:firstLineChars="200"/>
      </w:pPr>
      <w:r>
        <w:rPr>
          <w:rFonts w:hint="eastAsia"/>
        </w:rPr>
        <w:t>（</w:t>
      </w:r>
      <w:r>
        <w:rPr>
          <w:rFonts w:hint="eastAsia"/>
          <w:lang w:val="en-US" w:eastAsia="zh-CN"/>
        </w:rPr>
        <w:t>11</w:t>
      </w:r>
      <w:r>
        <w:rPr>
          <w:rFonts w:hint="eastAsia"/>
        </w:rPr>
        <w:t>）组织实施卫生健康相关科研项目，开展重点学科建设；加强卫生健康人才队伍建设，组织实施在职医护人员毕业后医学教育和继续医学教育；建立完善住院医师、专科医师规范化培训制度并组织实施。</w:t>
      </w:r>
    </w:p>
    <w:p>
      <w:pPr>
        <w:tabs>
          <w:tab w:val="left" w:pos="5823"/>
        </w:tabs>
        <w:ind w:firstLine="640" w:firstLineChars="200"/>
      </w:pPr>
      <w:r>
        <w:rPr>
          <w:rFonts w:hint="eastAsia"/>
        </w:rPr>
        <w:t>（</w:t>
      </w:r>
      <w:r>
        <w:rPr>
          <w:rFonts w:hint="eastAsia"/>
          <w:lang w:val="en-US" w:eastAsia="zh-CN"/>
        </w:rPr>
        <w:t>12</w:t>
      </w:r>
      <w:r>
        <w:rPr>
          <w:rFonts w:hint="eastAsia"/>
        </w:rPr>
        <w:t>）指导卫生健康法制宣传教育；完善卫生健康综合监督执法体系，规范行政执法工作和卫生健康目标责任制考核。</w:t>
      </w:r>
    </w:p>
    <w:p>
      <w:pPr>
        <w:tabs>
          <w:tab w:val="left" w:pos="5823"/>
        </w:tabs>
        <w:ind w:firstLine="640" w:firstLineChars="200"/>
      </w:pPr>
      <w:r>
        <w:rPr>
          <w:rFonts w:hint="eastAsia"/>
        </w:rPr>
        <w:t>（</w:t>
      </w:r>
      <w:r>
        <w:rPr>
          <w:rFonts w:hint="eastAsia"/>
          <w:lang w:val="en-US" w:eastAsia="zh-CN"/>
        </w:rPr>
        <w:t>13）</w:t>
      </w:r>
      <w:r>
        <w:rPr>
          <w:rFonts w:hint="eastAsia"/>
        </w:rPr>
        <w:t>负责卫生健康信息化建设，推进智慧医疗等信息化项目的应用；指导开展健康教育、健康促进工作，依法组织实施统计调查。</w:t>
      </w:r>
    </w:p>
    <w:p>
      <w:pPr>
        <w:tabs>
          <w:tab w:val="left" w:pos="5823"/>
        </w:tabs>
        <w:ind w:firstLine="640" w:firstLineChars="200"/>
      </w:pPr>
      <w:r>
        <w:rPr>
          <w:rFonts w:hint="eastAsia"/>
        </w:rPr>
        <w:t>（</w:t>
      </w:r>
      <w:r>
        <w:rPr>
          <w:rFonts w:hint="eastAsia"/>
          <w:lang w:val="en-US" w:eastAsia="zh-CN"/>
        </w:rPr>
        <w:t>14</w:t>
      </w:r>
      <w:r>
        <w:rPr>
          <w:rFonts w:hint="eastAsia"/>
        </w:rPr>
        <w:t>）提出加强全区医院党建工作的意见和建议，对医院党建工作质量进行评价。</w:t>
      </w:r>
    </w:p>
    <w:p>
      <w:pPr>
        <w:tabs>
          <w:tab w:val="left" w:pos="5823"/>
        </w:tabs>
        <w:ind w:firstLine="640" w:firstLineChars="200"/>
      </w:pPr>
      <w:r>
        <w:rPr>
          <w:rFonts w:hint="eastAsia"/>
        </w:rPr>
        <w:t>（</w:t>
      </w:r>
      <w:r>
        <w:rPr>
          <w:rFonts w:hint="eastAsia"/>
          <w:lang w:val="en-US" w:eastAsia="zh-CN"/>
        </w:rPr>
        <w:t>15</w:t>
      </w:r>
      <w:r>
        <w:rPr>
          <w:rFonts w:hint="eastAsia"/>
        </w:rPr>
        <w:t>）负责推进老年健康服务体系建设和医养结合工作，指导区计划生育协会的业务工作。</w:t>
      </w:r>
    </w:p>
    <w:p>
      <w:pPr>
        <w:tabs>
          <w:tab w:val="left" w:pos="5823"/>
        </w:tabs>
        <w:ind w:firstLine="640" w:firstLineChars="200"/>
      </w:pPr>
      <w:r>
        <w:rPr>
          <w:rFonts w:hint="eastAsia"/>
        </w:rPr>
        <w:t>（</w:t>
      </w:r>
      <w:r>
        <w:rPr>
          <w:rFonts w:hint="eastAsia"/>
          <w:lang w:val="en-US" w:eastAsia="zh-CN"/>
        </w:rPr>
        <w:t>16</w:t>
      </w:r>
      <w:r>
        <w:rPr>
          <w:rFonts w:hint="eastAsia"/>
        </w:rPr>
        <w:t>）加大科技投入，提高科技创新能力，为推进创新驱动发展提供保障；负责本部门、本行业领域的安全生产和消防安全工作；按规定做好大数据发展应用和政务数据资源管理相关工作，依法促进部门政务数据资源规范管理、共享和开放。</w:t>
      </w:r>
    </w:p>
    <w:p>
      <w:pPr>
        <w:tabs>
          <w:tab w:val="left" w:pos="5823"/>
        </w:tabs>
        <w:ind w:firstLine="640" w:firstLineChars="200"/>
      </w:pPr>
      <w:r>
        <w:rPr>
          <w:rFonts w:hint="eastAsia"/>
        </w:rPr>
        <w:t>（</w:t>
      </w:r>
      <w:r>
        <w:rPr>
          <w:rFonts w:hint="eastAsia"/>
          <w:lang w:val="en-US" w:eastAsia="zh-CN"/>
        </w:rPr>
        <w:t>17</w:t>
      </w:r>
      <w:r>
        <w:rPr>
          <w:rFonts w:hint="eastAsia"/>
        </w:rPr>
        <w:t>）负责区重要会议与重大活动的医疗卫生保障工作。承办区委、区政府和上级业务部门交办的其他事项。</w:t>
      </w:r>
    </w:p>
    <w:p>
      <w:pPr>
        <w:ind w:firstLine="643"/>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3．组织机构设置</w:t>
      </w:r>
      <w:r>
        <w:rPr>
          <w:rFonts w:hint="eastAsia" w:cs="Times New Roman"/>
          <w:b w:val="0"/>
          <w:bCs w:val="0"/>
          <w:kern w:val="2"/>
          <w:sz w:val="32"/>
          <w:szCs w:val="32"/>
          <w:lang w:val="en-US" w:eastAsia="zh-CN" w:bidi="ar-SA"/>
        </w:rPr>
        <w:t>及人员情况</w:t>
      </w:r>
    </w:p>
    <w:p>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560" w:lineRule="exact"/>
        <w:ind w:left="0" w:right="0" w:firstLine="420"/>
        <w:jc w:val="left"/>
        <w:textAlignment w:val="auto"/>
        <w:rPr>
          <w:rFonts w:hint="default" w:cs="Times New Roman"/>
          <w:b w:val="0"/>
          <w:bCs w:val="0"/>
          <w:kern w:val="2"/>
          <w:sz w:val="32"/>
          <w:szCs w:val="32"/>
          <w:lang w:val="en-US" w:eastAsia="zh-CN" w:bidi="ar-SA"/>
        </w:rPr>
      </w:pPr>
      <w:r>
        <w:rPr>
          <w:rFonts w:hint="eastAsia" w:cs="Times New Roman"/>
          <w:b w:val="0"/>
          <w:bCs w:val="0"/>
          <w:kern w:val="2"/>
          <w:sz w:val="32"/>
          <w:szCs w:val="32"/>
          <w:lang w:val="en-US" w:eastAsia="zh-CN" w:bidi="ar-SA"/>
        </w:rPr>
        <w:t>（1）组织机构设置</w:t>
      </w:r>
    </w:p>
    <w:p>
      <w:pPr>
        <w:pStyle w:val="2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0" w:beforeAutospacing="0" w:after="0" w:afterAutospacing="0" w:line="560" w:lineRule="exact"/>
        <w:ind w:left="0" w:right="0" w:firstLine="420"/>
        <w:jc w:val="left"/>
        <w:textAlignment w:val="auto"/>
        <w:rPr>
          <w:rFonts w:hint="eastAsia" w:cs="Times New Roman"/>
          <w:kern w:val="2"/>
          <w:sz w:val="32"/>
          <w:szCs w:val="32"/>
          <w:lang w:val="en-US" w:eastAsia="zh-CN" w:bidi="ar-SA"/>
        </w:rPr>
      </w:pPr>
      <w:r>
        <w:rPr>
          <w:rFonts w:hint="eastAsia" w:cs="Times New Roman"/>
          <w:kern w:val="2"/>
          <w:sz w:val="32"/>
          <w:szCs w:val="32"/>
          <w:lang w:val="en-US" w:eastAsia="zh-CN" w:bidi="ar-SA"/>
        </w:rPr>
        <w:t>根据中共云岩区委办公室 云岩区人民政府办公室关于印发《贵阳市云岩区卫生健康局职能配置内设机构和人员编制规定》的通知（云委办字〔2019〕71号）文件，</w:t>
      </w:r>
      <w:r>
        <w:rPr>
          <w:rFonts w:hint="eastAsia" w:ascii="Times New Roman" w:hAnsi="Times New Roman" w:cs="Times New Roman"/>
          <w:kern w:val="2"/>
          <w:sz w:val="32"/>
          <w:szCs w:val="32"/>
          <w:lang w:val="en-US" w:eastAsia="zh-CN" w:bidi="ar-SA"/>
        </w:rPr>
        <w:t>区卫生健康局</w:t>
      </w:r>
      <w:r>
        <w:rPr>
          <w:rFonts w:hint="eastAsia" w:cs="Times New Roman"/>
          <w:kern w:val="2"/>
          <w:sz w:val="32"/>
          <w:szCs w:val="32"/>
          <w:lang w:val="en-US" w:eastAsia="zh-CN" w:bidi="ar-SA"/>
        </w:rPr>
        <w:t>下</w:t>
      </w:r>
      <w:r>
        <w:rPr>
          <w:rFonts w:hint="eastAsia" w:ascii="Times New Roman" w:hAnsi="Times New Roman" w:cs="Times New Roman"/>
          <w:kern w:val="2"/>
          <w:sz w:val="32"/>
          <w:szCs w:val="32"/>
          <w:lang w:val="en-US" w:eastAsia="zh-CN" w:bidi="ar-SA"/>
        </w:rPr>
        <w:t>设办公室、</w:t>
      </w:r>
      <w:r>
        <w:rPr>
          <w:rFonts w:hint="eastAsia" w:cs="Times New Roman"/>
          <w:kern w:val="2"/>
          <w:sz w:val="32"/>
          <w:szCs w:val="32"/>
          <w:lang w:val="en-US" w:eastAsia="zh-CN" w:bidi="ar-SA"/>
        </w:rPr>
        <w:t>医政医管科、疾病预防控制科、基妇科、政策法规科等5个内设机构。内设机构职能职责如表1-1：</w:t>
      </w:r>
    </w:p>
    <w:p>
      <w:pPr>
        <w:pStyle w:val="58"/>
        <w:keepNext w:val="0"/>
        <w:keepLines w:val="0"/>
        <w:pageBreakBefore w:val="0"/>
        <w:widowControl w:val="0"/>
        <w:kinsoku/>
        <w:wordWrap/>
        <w:overflowPunct/>
        <w:topLinePunct w:val="0"/>
        <w:autoSpaceDE/>
        <w:autoSpaceDN/>
        <w:bidi w:val="0"/>
        <w:adjustRightInd/>
        <w:snapToGrid/>
        <w:spacing w:before="60" w:after="120"/>
        <w:textAlignment w:val="auto"/>
        <w:rPr>
          <w:rStyle w:val="31"/>
          <w:rFonts w:hint="default" w:cs="Times New Roman"/>
          <w:kern w:val="0"/>
          <w:szCs w:val="28"/>
          <w:lang w:val="en-US" w:eastAsia="zh-CN" w:bidi="ar-SA"/>
        </w:rPr>
      </w:pPr>
      <w:r>
        <w:rPr>
          <w:rStyle w:val="31"/>
          <w:rFonts w:hint="eastAsia" w:cs="Times New Roman"/>
          <w:kern w:val="0"/>
          <w:szCs w:val="28"/>
          <w:lang w:val="en-US" w:eastAsia="zh-CN" w:bidi="ar-SA"/>
        </w:rPr>
        <w:t>表1-1：区卫健局内设机构职能职责</w:t>
      </w:r>
    </w:p>
    <w:tbl>
      <w:tblPr>
        <w:tblStyle w:val="26"/>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2"/>
        <w:gridCol w:w="1039"/>
        <w:gridCol w:w="6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08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eastAsia="仿宋_GB2312"/>
                <w:b/>
                <w:bCs/>
                <w:sz w:val="21"/>
                <w:vertAlign w:val="baseline"/>
                <w:lang w:val="en-US" w:eastAsia="zh-CN"/>
              </w:rPr>
              <w:t>内设机构</w:t>
            </w:r>
          </w:p>
        </w:tc>
        <w:tc>
          <w:tcPr>
            <w:tcW w:w="103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b/>
                <w:bCs/>
                <w:sz w:val="21"/>
                <w:vertAlign w:val="baseline"/>
                <w:lang w:val="en-US" w:eastAsia="zh-CN"/>
              </w:rPr>
              <w:t>科室</w:t>
            </w:r>
          </w:p>
        </w:tc>
        <w:tc>
          <w:tcPr>
            <w:tcW w:w="693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eastAsia="仿宋_GB2312"/>
                <w:b/>
                <w:bCs/>
                <w:sz w:val="21"/>
                <w:vertAlign w:val="baseline"/>
                <w:lang w:val="en-US" w:eastAsia="zh-CN"/>
              </w:rPr>
              <w:t>职能职责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sz w:val="21"/>
              </w:rPr>
            </w:pPr>
            <w:r>
              <w:rPr>
                <w:rFonts w:hint="eastAsia"/>
                <w:sz w:val="21"/>
              </w:rPr>
              <w:t>党政办公室</w:t>
            </w:r>
          </w:p>
        </w:tc>
        <w:tc>
          <w:tcPr>
            <w:tcW w:w="103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党委办公室、财务科、宣传科</w:t>
            </w:r>
          </w:p>
        </w:tc>
        <w:tc>
          <w:tcPr>
            <w:tcW w:w="693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sz w:val="21"/>
              </w:rPr>
            </w:pPr>
            <w:r>
              <w:rPr>
                <w:rFonts w:hint="eastAsia" w:ascii="Times New Roman" w:hAnsi="Times New Roman" w:cs="Times New Roman"/>
                <w:sz w:val="21"/>
                <w:lang w:val="en-US" w:eastAsia="zh-CN"/>
              </w:rPr>
              <w:t>负责机关文电、会务、机要、保密、目标管理、信息、机关禁毒、党务公开、政务公开、社会治安综合治理、安全生产、文书档案、人事档案、资产管理、议案提案办理、行政事务等制度建设、综合协调和督促检查工作。负责卫生健康工作信息简报编写报送；起草全区卫生健康人才队伍建设规划，并会同有关部门组织实施；制定和组织实施卫生健康干部队伍培训规划及年度计划；负责局机关和所属事业单位的机构编制、人事管理、劳动工资等工作；承担系统党建、统战和群团工作、党风廉政建设、纠风工作；拟定党建、党风廉政建设、纠风工作年度责任书，实施目标绩效管理；负责机关离退休人员的管理和服务工作。统筹协调全区卫生健康专项资金管理工作；负责局机关及纳入机关统一财务管理单位的预决算、财务和内部审计工作；提出医疗服务价格和基本医疗保险费用结算等政策建议；编报本部门预算、决算；负责局机关和所属事业单位财务会计制度建设、资金（资产）的监督管理与绩效评价工作以及内部审计工作；会同有关部门拟定区卫生健康基础设施项目建设规划；指导和监督计划生育经费、奖励扶助经费、社会抚养费及区级卫生健康事业经费的管理使用，推动完善卫生健康事业经费投入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6" w:hRule="atLeast"/>
          <w:jc w:val="center"/>
        </w:trPr>
        <w:tc>
          <w:tcPr>
            <w:tcW w:w="108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医政医管科</w:t>
            </w:r>
          </w:p>
        </w:tc>
        <w:tc>
          <w:tcPr>
            <w:tcW w:w="103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科教科、中医药科</w:t>
            </w:r>
          </w:p>
        </w:tc>
        <w:tc>
          <w:tcPr>
            <w:tcW w:w="693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sz w:val="21"/>
              </w:rPr>
            </w:pPr>
            <w:r>
              <w:rPr>
                <w:rFonts w:hint="eastAsia" w:ascii="Times New Roman" w:hAnsi="Times New Roman" w:cs="Times New Roman"/>
                <w:sz w:val="21"/>
                <w:lang w:val="en-US" w:eastAsia="zh-CN"/>
              </w:rPr>
              <w:t>拟订区域卫生规划并组织实施。承担医疗机构执业许可审批和监管，负责医疗机构和从业人员的执业管理，指导医疗机构感染控制、医疗急救体系建设、临床实验室管理等有关工作；拟订公立医院绩效评价和考核制度，监督指导全区医疗机构评审评价工作。组织实施医疗卫生职业道德规范。负责医药卫生体制改革日常工作。承担卫生网络直报工作。组织实施基本药物制度，对基本药物的采购、配送、使用情况进行监管。推进医疗卫生机构药品（疫苗）电子监管建设。完善中医预防、保健和医疗服务体系，推进中医药事业健康发展；监督协调医疗、研究机构的中西医结合工作。牵头负责重大活动医疗保障协调；组织征兵体检；组织协调本区医疗卫生工作和医学科研的对外合作交流，指导业务相关社会团体；承担组织推进公立医院改革工作；负责全区医疗卫生技术和质量的控制与管理；配合政策法规科做好医疗事故争议处理；负责医院分级管理的实施、评审；做好大健康产业相关工作。组织开展卫生健康工作领域的对外交流合作。做好大健康工作及医疗纠纷的处置与调解。承担本科室业务宣传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疾病预防控制科</w:t>
            </w:r>
          </w:p>
        </w:tc>
        <w:tc>
          <w:tcPr>
            <w:tcW w:w="103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爱卫科、公共卫生事件应急办、艾滋病防治办公室、职业病防治</w:t>
            </w:r>
          </w:p>
        </w:tc>
        <w:tc>
          <w:tcPr>
            <w:tcW w:w="693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sz w:val="21"/>
              </w:rPr>
            </w:pPr>
            <w:r>
              <w:rPr>
                <w:rFonts w:hint="eastAsia" w:ascii="Times New Roman" w:hAnsi="Times New Roman" w:cs="Times New Roman"/>
                <w:sz w:val="21"/>
                <w:lang w:val="en-US" w:eastAsia="zh-CN"/>
              </w:rPr>
              <w:t>承担卫生应急、紧急医学救援和爱国卫生运动工作，组织编制专项预案，承担预案演练的组织实施和指导监督工作。指导卫生应急体系和能力建设。组织拟订食品安全地方性标准，开展食品安全风险监测、评估和交流，承担新食品原料、食品添加剂新品种、食品相关产品新品种的安全性审查。拟定疾病预防控制规划、免疫规划以及严重危害人民健康公共卫生问题的干预措施并组织实施，完善疾病预防控制体系。执行检疫传染病和监测传染病目录。拟订防治艾滋病的规划和措施，承担艾滋病防治项目的组织实施和管理工作，做好禁毒工作业务指导。开展职业病危害普查、重点职业病监测、专项调查、职业健康风险评估和职业人群健康管理工作。贯彻、执行有关爱国卫生工作的法律、法规，规划部署、协调指导、督促检查本行政区域内的爱国卫生工作；制定全区爱国卫生中长期规划和年度计划。动员全社会参与爱国卫生运动，组织开展爱国卫生宣传，制定各项卫生检查评比考核办法和标准。承担本科室业务宣传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8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eastAsia" w:eastAsia="仿宋_GB2312"/>
                <w:sz w:val="21"/>
                <w:lang w:val="en-US" w:eastAsia="zh-CN"/>
              </w:rPr>
            </w:pPr>
            <w:r>
              <w:rPr>
                <w:rFonts w:hint="eastAsia"/>
                <w:sz w:val="21"/>
                <w:lang w:val="en-US" w:eastAsia="zh-CN"/>
              </w:rPr>
              <w:t>基妇科</w:t>
            </w:r>
          </w:p>
        </w:tc>
        <w:tc>
          <w:tcPr>
            <w:tcW w:w="103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医改办、信息科、老龄健康科</w:t>
            </w:r>
          </w:p>
        </w:tc>
        <w:tc>
          <w:tcPr>
            <w:tcW w:w="693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sz w:val="21"/>
              </w:rPr>
            </w:pPr>
            <w:r>
              <w:rPr>
                <w:rFonts w:hint="eastAsia" w:ascii="Times New Roman" w:hAnsi="Times New Roman" w:cs="Times New Roman"/>
                <w:sz w:val="21"/>
                <w:lang w:val="en-US" w:eastAsia="zh-CN"/>
              </w:rPr>
              <w:t>拟定基层卫生健康政策、标准和规范并组织实施，指导基层卫生健康服务体系建设和乡村医生相关管理工作。承担健康扶贫工作。贯彻落实国家基本药物制度、国家药物政策和基本药物目录。开展药品使用监测、临床综合评价和短缺药品预警。拟订农村卫生政策、规划、规范并组织实施;指导全区基层卫生服务体系建设和乡村医生管理工作，监督指导基层卫生政策的落实;承办区深化医药卫生体制改革领导小组及其办公室的具体工作，统筹系统信息化工作。组织实施妇幼卫生技术标准；推进妇幼卫生体系建设，对妇幼卫生保健工作进行管理与指导，承担出生缺陷干预工作。做好人类辅助生殖技术管理和计划生育技术服务工作；依法规范计划生育药具管理工作；做好优生优育服务工作；指导、检查、督促节育手术并发症的预防、鉴定和治疗。制定促进出生人口性别平衡措施；制定并组织实施综合治理出生人口性别比偏高工作规划及年度计划，监督指导基层开展综合治理出生人口性别比偏高工作并负责相关指导督查和考核评估工作。组织拟订并协调落实应对老龄化的政策措施。组织拟订医养结合的政策、标准和规范，建立和完善老年健康服务体系，承担全区老龄工作委员会的具体工作。承担本科室业务宣传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3" w:hRule="atLeast"/>
          <w:jc w:val="center"/>
        </w:trPr>
        <w:tc>
          <w:tcPr>
            <w:tcW w:w="108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政策法规科</w:t>
            </w:r>
          </w:p>
        </w:tc>
        <w:tc>
          <w:tcPr>
            <w:tcW w:w="103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center"/>
              <w:textAlignment w:val="auto"/>
              <w:rPr>
                <w:rFonts w:hint="default" w:eastAsia="仿宋_GB2312"/>
                <w:sz w:val="21"/>
                <w:lang w:val="en-US" w:eastAsia="zh-CN"/>
              </w:rPr>
            </w:pPr>
            <w:r>
              <w:rPr>
                <w:rFonts w:hint="eastAsia"/>
                <w:sz w:val="21"/>
                <w:lang w:val="en-US" w:eastAsia="zh-CN"/>
              </w:rPr>
              <w:t>人口与家庭科</w:t>
            </w:r>
          </w:p>
        </w:tc>
        <w:tc>
          <w:tcPr>
            <w:tcW w:w="693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firstLine="0" w:firstLineChars="0"/>
              <w:jc w:val="both"/>
              <w:textAlignment w:val="auto"/>
              <w:rPr>
                <w:rFonts w:hint="eastAsia"/>
                <w:sz w:val="21"/>
              </w:rPr>
            </w:pPr>
            <w:r>
              <w:rPr>
                <w:rFonts w:hint="eastAsia" w:ascii="Times New Roman" w:hAnsi="Times New Roman" w:cs="Times New Roman"/>
                <w:sz w:val="21"/>
                <w:lang w:val="en-US" w:eastAsia="zh-CN"/>
              </w:rPr>
              <w:t>负责本部门依法行政和依法治理工作。起草本区有关卫生健康工作的实施办法、规定草案，承担机关规范性文件合法性审核和行政复议、行政应诉等工作。负责卫生健康行政审批事项的管理工作，推进行政执法责任制的落实，规范综合监督执法行为。按照职责分工承担卫生健康行业监督管理和服务工作，组织查处卫生健康违法行为及违法案件。贯彻落实生育政策和计划生育特殊家庭扶助制度，负责全区奖励扶助工作的信息引导和信息反馈，建立个人申报、入户调查、逐级审核，社区（村、居）公示、群众举报、确认回访的资格确认程序，严格按照程序核实目标人群，确保资格认定准确，协同监督奖励扶助金的发放工作。承担人口监测预警工作并提出人口与家庭发展相关政策建议，指导、督促基层加强计划生育基础管理和流动人口均等化服务工作。承担本科室业务宣传工作。</w:t>
            </w:r>
          </w:p>
        </w:tc>
      </w:tr>
    </w:tbl>
    <w:p>
      <w:pPr>
        <w:keepNext w:val="0"/>
        <w:keepLines w:val="0"/>
        <w:pageBreakBefore w:val="0"/>
        <w:widowControl w:val="0"/>
        <w:kinsoku/>
        <w:wordWrap/>
        <w:overflowPunct/>
        <w:topLinePunct w:val="0"/>
        <w:autoSpaceDE/>
        <w:autoSpaceDN/>
        <w:bidi w:val="0"/>
        <w:adjustRightInd/>
        <w:snapToGrid/>
        <w:spacing w:before="219" w:beforeLines="50"/>
        <w:ind w:firstLine="643"/>
        <w:textAlignment w:val="auto"/>
        <w:rPr>
          <w:rFonts w:hint="eastAsia" w:ascii="Times New Roman" w:hAnsi="Times New Roman" w:eastAsia="仿宋_GB2312" w:cs="Times New Roman"/>
          <w:b/>
          <w:bCs/>
          <w:kern w:val="2"/>
          <w:sz w:val="32"/>
          <w:szCs w:val="32"/>
          <w:lang w:val="en-US" w:eastAsia="zh-CN" w:bidi="ar-SA"/>
        </w:rPr>
      </w:pPr>
      <w:r>
        <w:rPr>
          <w:rFonts w:hint="eastAsia"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部门人员情况</w:t>
      </w:r>
    </w:p>
    <w:p>
      <w:pPr>
        <w:pStyle w:val="2"/>
        <w:keepNext w:val="0"/>
        <w:keepLines w:val="0"/>
        <w:pageBreakBefore w:val="0"/>
        <w:widowControl w:val="0"/>
        <w:kinsoku/>
        <w:wordWrap/>
        <w:overflowPunct/>
        <w:topLinePunct w:val="0"/>
        <w:autoSpaceDE/>
        <w:autoSpaceDN/>
        <w:bidi w:val="0"/>
        <w:adjustRightInd/>
        <w:snapToGrid/>
        <w:textAlignment w:val="auto"/>
        <w:rPr>
          <w:rFonts w:hint="eastAsia" w:eastAsia="仿宋_GB2312"/>
          <w:lang w:val="en-US" w:eastAsia="zh-CN"/>
        </w:rPr>
      </w:pPr>
      <w:r>
        <w:rPr>
          <w:rFonts w:hint="eastAsia"/>
          <w:szCs w:val="32"/>
          <w:shd w:val="clear" w:color="auto" w:fill="FFFFFF"/>
          <w:lang w:val="en-US" w:eastAsia="zh-CN"/>
        </w:rPr>
        <w:t>根据区卫健局</w:t>
      </w:r>
      <w:r>
        <w:rPr>
          <w:szCs w:val="32"/>
          <w:shd w:val="clear" w:color="auto" w:fill="FFFFFF"/>
        </w:rPr>
        <w:t>提供的《</w:t>
      </w:r>
      <w:r>
        <w:rPr>
          <w:rFonts w:hint="eastAsia"/>
          <w:szCs w:val="32"/>
          <w:shd w:val="clear" w:color="auto" w:fill="FFFFFF"/>
          <w:lang w:val="en-US" w:eastAsia="zh-CN"/>
        </w:rPr>
        <w:t>中共云岩区委办公室 云岩区人民政府办公室关于印发</w:t>
      </w:r>
      <w:r>
        <w:rPr>
          <w:rFonts w:hint="eastAsia"/>
          <w:szCs w:val="32"/>
          <w:shd w:val="clear" w:color="auto" w:fill="FFFFFF"/>
        </w:rPr>
        <w:t>＜</w:t>
      </w:r>
      <w:r>
        <w:rPr>
          <w:rFonts w:hint="eastAsia"/>
          <w:szCs w:val="32"/>
          <w:shd w:val="clear" w:color="auto" w:fill="FFFFFF"/>
          <w:lang w:val="en-US" w:eastAsia="zh-CN"/>
        </w:rPr>
        <w:t>贵阳市云岩区卫生健康局职能配置内设机构和人员编制规定</w:t>
      </w:r>
      <w:r>
        <w:rPr>
          <w:rFonts w:hint="eastAsia"/>
          <w:szCs w:val="32"/>
          <w:shd w:val="clear" w:color="auto" w:fill="FFFFFF"/>
        </w:rPr>
        <w:t>＞</w:t>
      </w:r>
      <w:r>
        <w:rPr>
          <w:szCs w:val="32"/>
          <w:shd w:val="clear" w:color="auto" w:fill="FFFFFF"/>
        </w:rPr>
        <w:t>的通知》（</w:t>
      </w:r>
      <w:r>
        <w:rPr>
          <w:rFonts w:hint="eastAsia"/>
          <w:szCs w:val="32"/>
          <w:shd w:val="clear" w:color="auto" w:fill="FFFFFF"/>
          <w:lang w:val="en-US" w:eastAsia="zh-CN"/>
        </w:rPr>
        <w:t>云委办字</w:t>
      </w:r>
      <w:r>
        <w:rPr>
          <w:szCs w:val="32"/>
          <w:shd w:val="clear" w:color="auto" w:fill="FFFFFF"/>
        </w:rPr>
        <w:t>〔20</w:t>
      </w:r>
      <w:r>
        <w:rPr>
          <w:rFonts w:hint="eastAsia"/>
          <w:szCs w:val="32"/>
          <w:shd w:val="clear" w:color="auto" w:fill="FFFFFF"/>
          <w:lang w:val="en-US" w:eastAsia="zh-CN"/>
        </w:rPr>
        <w:t>19</w:t>
      </w:r>
      <w:r>
        <w:rPr>
          <w:szCs w:val="32"/>
          <w:shd w:val="clear" w:color="auto" w:fill="FFFFFF"/>
        </w:rPr>
        <w:t>〕</w:t>
      </w:r>
      <w:r>
        <w:rPr>
          <w:rFonts w:hint="eastAsia"/>
          <w:szCs w:val="32"/>
          <w:shd w:val="clear" w:color="auto" w:fill="FFFFFF"/>
          <w:lang w:val="en-US" w:eastAsia="zh-CN"/>
        </w:rPr>
        <w:t>7</w:t>
      </w:r>
      <w:r>
        <w:rPr>
          <w:szCs w:val="32"/>
          <w:shd w:val="clear" w:color="auto" w:fill="FFFFFF"/>
        </w:rPr>
        <w:t>1号）</w:t>
      </w:r>
      <w:r>
        <w:rPr>
          <w:rFonts w:hint="eastAsia"/>
          <w:szCs w:val="32"/>
          <w:shd w:val="clear" w:color="auto" w:fill="FFFFFF"/>
          <w:lang w:val="en-US" w:eastAsia="zh-CN"/>
        </w:rPr>
        <w:t>文件及2020年11月、12月人员工资发放清单</w:t>
      </w:r>
      <w:r>
        <w:rPr>
          <w:rFonts w:hint="eastAsia"/>
          <w:szCs w:val="32"/>
          <w:shd w:val="clear" w:color="auto" w:fill="FFFFFF"/>
          <w:lang w:eastAsia="zh-CN"/>
        </w:rPr>
        <w:t>，</w:t>
      </w:r>
      <w:r>
        <w:rPr>
          <w:rFonts w:hint="eastAsia"/>
          <w:szCs w:val="32"/>
          <w:shd w:val="clear" w:color="auto" w:fill="FFFFFF"/>
          <w:lang w:val="en-US" w:eastAsia="zh-CN"/>
        </w:rPr>
        <w:t>区卫健局局本级行政编制为15名。设局长1名，副局长3名，内设机构领导职数5名。2020年年末，在职人员为15人，离退休人员28人</w:t>
      </w:r>
      <w:r>
        <w:rPr>
          <w:rFonts w:hint="eastAsia"/>
          <w:lang w:eastAsia="zh-CN"/>
        </w:rPr>
        <w:t>。</w:t>
      </w:r>
    </w:p>
    <w:bookmarkEnd w:id="0"/>
    <w:bookmarkEnd w:id="1"/>
    <w:bookmarkEnd w:id="2"/>
    <w:bookmarkEnd w:id="3"/>
    <w:bookmarkEnd w:id="4"/>
    <w:bookmarkEnd w:id="5"/>
    <w:bookmarkEnd w:id="6"/>
    <w:bookmarkEnd w:id="7"/>
    <w:bookmarkEnd w:id="8"/>
    <w:bookmarkEnd w:id="9"/>
    <w:p>
      <w:pPr>
        <w:pStyle w:val="4"/>
        <w:ind w:firstLine="643"/>
        <w:rPr>
          <w:rFonts w:ascii="Times New Roman" w:hAnsi="Times New Roman"/>
        </w:rPr>
      </w:pPr>
      <w:bookmarkStart w:id="20" w:name="_Toc26210"/>
      <w:bookmarkStart w:id="21" w:name="_Toc19141"/>
      <w:bookmarkStart w:id="22" w:name="_Toc27765"/>
      <w:r>
        <w:rPr>
          <w:rFonts w:ascii="Times New Roman" w:hAnsi="Times New Roman"/>
        </w:rPr>
        <w:t>（二）部门整体预算及</w:t>
      </w:r>
      <w:r>
        <w:rPr>
          <w:rFonts w:hint="eastAsia" w:ascii="Times New Roman" w:hAnsi="Times New Roman"/>
          <w:lang w:val="en-US" w:eastAsia="zh-CN"/>
        </w:rPr>
        <w:t>支出</w:t>
      </w:r>
      <w:r>
        <w:rPr>
          <w:rFonts w:ascii="Times New Roman" w:hAnsi="Times New Roman"/>
        </w:rPr>
        <w:t>情况</w:t>
      </w:r>
      <w:bookmarkEnd w:id="20"/>
      <w:bookmarkEnd w:id="21"/>
      <w:bookmarkEnd w:id="22"/>
    </w:p>
    <w:p>
      <w:pPr>
        <w:ind w:firstLine="640"/>
        <w:outlineLvl w:val="2"/>
        <w:rPr>
          <w:b w:val="0"/>
          <w:bCs w:val="0"/>
        </w:rPr>
      </w:pPr>
      <w:r>
        <w:rPr>
          <w:b w:val="0"/>
          <w:bCs w:val="0"/>
        </w:rPr>
        <w:t>1．</w:t>
      </w:r>
      <w:r>
        <w:rPr>
          <w:rFonts w:hint="eastAsia"/>
          <w:b w:val="0"/>
          <w:bCs w:val="0"/>
          <w:lang w:val="en-US" w:eastAsia="zh-CN"/>
        </w:rPr>
        <w:t>部门</w:t>
      </w:r>
      <w:r>
        <w:rPr>
          <w:b w:val="0"/>
          <w:bCs w:val="0"/>
        </w:rPr>
        <w:t>预算</w:t>
      </w:r>
      <w:r>
        <w:rPr>
          <w:rFonts w:hint="eastAsia"/>
          <w:b w:val="0"/>
          <w:bCs w:val="0"/>
          <w:lang w:val="en-US" w:eastAsia="zh-CN"/>
        </w:rPr>
        <w:t>批复</w:t>
      </w:r>
      <w:r>
        <w:rPr>
          <w:b w:val="0"/>
          <w:bCs w:val="0"/>
        </w:rPr>
        <w:t>情况</w:t>
      </w:r>
    </w:p>
    <w:p>
      <w:pPr>
        <w:ind w:firstLine="640"/>
      </w:pPr>
      <w:bookmarkStart w:id="23" w:name="_Toc21683"/>
      <w:r>
        <w:t>（1）</w:t>
      </w:r>
      <w:r>
        <w:rPr>
          <w:rFonts w:hint="eastAsia"/>
          <w:lang w:val="en-US" w:eastAsia="zh-CN"/>
        </w:rPr>
        <w:t>部门整体</w:t>
      </w:r>
      <w:r>
        <w:t>预算</w:t>
      </w:r>
      <w:r>
        <w:rPr>
          <w:rFonts w:hint="eastAsia"/>
          <w:lang w:val="en-US" w:eastAsia="zh-CN"/>
        </w:rPr>
        <w:t>批复</w:t>
      </w:r>
      <w:r>
        <w:t>情况</w:t>
      </w:r>
    </w:p>
    <w:p>
      <w:pPr>
        <w:ind w:firstLine="640"/>
        <w:rPr>
          <w:rFonts w:hint="default" w:eastAsia="仿宋_GB2312"/>
          <w:lang w:val="en-US" w:eastAsia="zh-CN"/>
        </w:rPr>
      </w:pPr>
      <w:r>
        <w:t>根据</w:t>
      </w:r>
      <w:r>
        <w:rPr>
          <w:rFonts w:hint="eastAsia"/>
          <w:lang w:val="en-US" w:eastAsia="zh-CN"/>
        </w:rPr>
        <w:t>区</w:t>
      </w:r>
      <w:r>
        <w:rPr>
          <w:rStyle w:val="63"/>
          <w:rFonts w:hint="eastAsia"/>
          <w:lang w:val="en-US" w:eastAsia="zh-CN"/>
        </w:rPr>
        <w:t>卫健局</w:t>
      </w:r>
      <w:r>
        <w:t>提供的</w:t>
      </w:r>
      <w:r>
        <w:rPr>
          <w:rFonts w:hint="eastAsia"/>
          <w:lang w:val="en-US" w:eastAsia="zh-CN"/>
        </w:rPr>
        <w:t>《2020年收入支出决算总表》</w:t>
      </w:r>
      <w:r>
        <w:t>，20</w:t>
      </w:r>
      <w:r>
        <w:rPr>
          <w:rFonts w:hint="eastAsia"/>
          <w:lang w:val="en-US" w:eastAsia="zh-CN"/>
        </w:rPr>
        <w:t>20</w:t>
      </w:r>
      <w:r>
        <w:rPr>
          <w:shd w:val="clear" w:color="auto" w:fill="FFFFFF"/>
        </w:rPr>
        <w:t>年</w:t>
      </w:r>
      <w:r>
        <w:rPr>
          <w:rFonts w:hint="eastAsia"/>
          <w:shd w:val="clear" w:color="auto" w:fill="FFFFFF"/>
          <w:lang w:val="en-US" w:eastAsia="zh-CN"/>
        </w:rPr>
        <w:t>区卫健局年初</w:t>
      </w:r>
      <w:r>
        <w:rPr>
          <w:shd w:val="clear" w:color="auto" w:fill="FFFFFF"/>
        </w:rPr>
        <w:t>预算</w:t>
      </w:r>
      <w:r>
        <w:rPr>
          <w:rFonts w:hint="eastAsia"/>
          <w:shd w:val="clear" w:color="auto" w:fill="FFFFFF"/>
          <w:lang w:val="en-US" w:eastAsia="zh-CN"/>
        </w:rPr>
        <w:t>收入</w:t>
      </w:r>
      <w:r>
        <w:rPr>
          <w:shd w:val="clear" w:color="auto" w:fill="FFFFFF"/>
        </w:rPr>
        <w:t>为</w:t>
      </w:r>
      <w:r>
        <w:rPr>
          <w:rFonts w:hint="eastAsia"/>
          <w:shd w:val="clear" w:color="auto" w:fill="FFFFFF"/>
          <w:lang w:val="en-US" w:eastAsia="zh-CN"/>
        </w:rPr>
        <w:t>6704.80</w:t>
      </w:r>
      <w:r>
        <w:rPr>
          <w:shd w:val="clear" w:color="auto" w:fill="FFFFFF"/>
        </w:rPr>
        <w:t>万元</w:t>
      </w:r>
      <w:r>
        <w:rPr>
          <w:rFonts w:hint="eastAsia"/>
          <w:shd w:val="clear" w:color="auto" w:fill="FFFFFF"/>
          <w:lang w:eastAsia="zh-CN"/>
        </w:rPr>
        <w:t>，</w:t>
      </w:r>
      <w:r>
        <w:rPr>
          <w:rFonts w:hint="eastAsia"/>
          <w:shd w:val="clear" w:color="auto" w:fill="FFFFFF"/>
          <w:lang w:val="en-US" w:eastAsia="zh-CN"/>
        </w:rPr>
        <w:t>其中：基本支出584.58万元（人员经费548.67万元、公用经费35.91万元），项目支出6120.22万元。</w:t>
      </w:r>
    </w:p>
    <w:p>
      <w:pPr>
        <w:ind w:left="640" w:firstLine="0" w:firstLineChars="0"/>
      </w:pPr>
      <w:r>
        <w:t>（2）年中预算调整情况</w:t>
      </w:r>
    </w:p>
    <w:p>
      <w:pPr>
        <w:pStyle w:val="2"/>
        <w:ind w:firstLine="640"/>
        <w:rPr>
          <w:rFonts w:hint="default" w:eastAsia="仿宋_GB2312" w:cs="Times New Roman"/>
          <w:lang w:val="en-US" w:eastAsia="zh-CN"/>
        </w:rPr>
      </w:pPr>
      <w:r>
        <w:rPr>
          <w:rStyle w:val="63"/>
          <w:rFonts w:cs="Times New Roman"/>
        </w:rPr>
        <w:t>根据</w:t>
      </w:r>
      <w:r>
        <w:rPr>
          <w:rStyle w:val="63"/>
          <w:rFonts w:hint="eastAsia" w:cs="Times New Roman"/>
          <w:lang w:val="en-US" w:eastAsia="zh-CN"/>
        </w:rPr>
        <w:t>区卫健局</w:t>
      </w:r>
      <w:r>
        <w:rPr>
          <w:rStyle w:val="63"/>
          <w:rFonts w:cs="Times New Roman"/>
        </w:rPr>
        <w:t>提供的</w:t>
      </w:r>
      <w:r>
        <w:rPr>
          <w:rFonts w:hint="eastAsia"/>
        </w:rPr>
        <w:t>《</w:t>
      </w:r>
      <w:r>
        <w:rPr>
          <w:rFonts w:hint="eastAsia"/>
          <w:lang w:val="en-US" w:eastAsia="zh-CN"/>
        </w:rPr>
        <w:t>2020年收入支出决算总表</w:t>
      </w:r>
      <w:r>
        <w:rPr>
          <w:rFonts w:hint="eastAsia"/>
        </w:rPr>
        <w:t>》</w:t>
      </w:r>
      <w:r>
        <w:rPr>
          <w:rFonts w:cs="Times New Roman"/>
        </w:rPr>
        <w:t>，20</w:t>
      </w:r>
      <w:r>
        <w:rPr>
          <w:rFonts w:hint="eastAsia" w:cs="Times New Roman"/>
          <w:lang w:val="en-US" w:eastAsia="zh-CN"/>
        </w:rPr>
        <w:t>20</w:t>
      </w:r>
      <w:r>
        <w:rPr>
          <w:rFonts w:cs="Times New Roman"/>
        </w:rPr>
        <w:t>年年初预算</w:t>
      </w:r>
      <w:r>
        <w:rPr>
          <w:rFonts w:hint="eastAsia" w:cs="Times New Roman"/>
          <w:lang w:val="en-US" w:eastAsia="zh-CN"/>
        </w:rPr>
        <w:t>为</w:t>
      </w:r>
      <w:r>
        <w:rPr>
          <w:rFonts w:hint="eastAsia" w:cs="Times New Roman"/>
          <w:shd w:val="clear" w:color="auto" w:fill="FFFFFF"/>
          <w:lang w:val="en-US" w:eastAsia="zh-CN"/>
        </w:rPr>
        <w:t>6704.80</w:t>
      </w:r>
      <w:r>
        <w:rPr>
          <w:rFonts w:cs="Times New Roman"/>
        </w:rPr>
        <w:t>万元，</w:t>
      </w:r>
      <w:r>
        <w:rPr>
          <w:rFonts w:hint="eastAsia" w:cs="Times New Roman"/>
        </w:rPr>
        <w:t>调整后预算</w:t>
      </w:r>
      <w:r>
        <w:rPr>
          <w:rFonts w:cs="Times New Roman"/>
        </w:rPr>
        <w:t>为</w:t>
      </w:r>
      <w:r>
        <w:rPr>
          <w:rFonts w:hint="eastAsia" w:cs="Times New Roman"/>
          <w:lang w:val="en-US" w:eastAsia="zh-CN"/>
        </w:rPr>
        <w:t>28847.06</w:t>
      </w:r>
      <w:r>
        <w:rPr>
          <w:rFonts w:cs="Times New Roman"/>
        </w:rPr>
        <w:t>万元，</w:t>
      </w:r>
      <w:r>
        <w:rPr>
          <w:rFonts w:hint="eastAsia" w:cs="Times New Roman"/>
          <w:lang w:val="en-US" w:eastAsia="zh-CN"/>
        </w:rPr>
        <w:t>部门</w:t>
      </w:r>
      <w:r>
        <w:rPr>
          <w:rFonts w:cs="Times New Roman"/>
        </w:rPr>
        <w:t>预算</w:t>
      </w:r>
      <w:r>
        <w:rPr>
          <w:rFonts w:hint="eastAsia" w:cs="Times New Roman"/>
          <w:lang w:val="en-US" w:eastAsia="zh-CN"/>
        </w:rPr>
        <w:t>整体</w:t>
      </w:r>
      <w:r>
        <w:rPr>
          <w:rFonts w:cs="Times New Roman"/>
        </w:rPr>
        <w:t>调</w:t>
      </w:r>
      <w:r>
        <w:rPr>
          <w:rFonts w:hint="eastAsia" w:cs="Times New Roman"/>
        </w:rPr>
        <w:t>增</w:t>
      </w:r>
      <w:r>
        <w:rPr>
          <w:rFonts w:hint="eastAsia" w:cs="Times New Roman"/>
          <w:lang w:val="en-US" w:eastAsia="zh-CN"/>
        </w:rPr>
        <w:t>22142.26</w:t>
      </w:r>
      <w:r>
        <w:rPr>
          <w:rFonts w:cs="Times New Roman"/>
        </w:rPr>
        <w:t>万元</w:t>
      </w:r>
      <w:r>
        <w:rPr>
          <w:rFonts w:hint="eastAsia" w:cs="Times New Roman"/>
        </w:rPr>
        <w:t>（其中</w:t>
      </w:r>
      <w:r>
        <w:rPr>
          <w:rFonts w:hint="eastAsia" w:cs="Times New Roman"/>
          <w:lang w:eastAsia="zh-CN"/>
        </w:rPr>
        <w:t>：</w:t>
      </w:r>
      <w:r>
        <w:rPr>
          <w:rFonts w:hint="eastAsia" w:cs="Times New Roman"/>
          <w:lang w:val="en-US" w:eastAsia="zh-CN"/>
        </w:rPr>
        <w:t>一般公共预算10545.51万元，政府性基金预算10938.82万元，上年结转和结余657.93万元</w:t>
      </w:r>
      <w:r>
        <w:rPr>
          <w:rFonts w:hint="eastAsia" w:cs="Times New Roman"/>
        </w:rPr>
        <w:t>）</w:t>
      </w:r>
      <w:r>
        <w:rPr>
          <w:rFonts w:hint="eastAsia" w:cs="Times New Roman"/>
          <w:lang w:eastAsia="zh-CN"/>
        </w:rPr>
        <w:t>，</w:t>
      </w:r>
      <w:r>
        <w:rPr>
          <w:rFonts w:hint="eastAsia" w:cs="Times New Roman"/>
          <w:lang w:val="en-US" w:eastAsia="zh-CN"/>
        </w:rPr>
        <w:t>预算调整率430.24%，预算调整率高的原因系部分中央资金下拨。</w:t>
      </w:r>
    </w:p>
    <w:p>
      <w:pPr>
        <w:ind w:firstLine="640"/>
        <w:rPr>
          <w:b w:val="0"/>
          <w:bCs w:val="0"/>
        </w:rPr>
      </w:pPr>
      <w:r>
        <w:rPr>
          <w:b w:val="0"/>
          <w:bCs w:val="0"/>
        </w:rPr>
        <w:t>2．</w:t>
      </w:r>
      <w:r>
        <w:rPr>
          <w:rFonts w:hint="eastAsia"/>
          <w:b w:val="0"/>
          <w:bCs w:val="0"/>
          <w:lang w:val="en-US" w:eastAsia="zh-CN"/>
        </w:rPr>
        <w:t>部门决算情况</w:t>
      </w:r>
    </w:p>
    <w:p>
      <w:pPr>
        <w:ind w:firstLine="584"/>
        <w:rPr>
          <w:rFonts w:hint="eastAsia"/>
          <w:szCs w:val="24"/>
        </w:rPr>
      </w:pPr>
      <w:r>
        <w:rPr>
          <w:rStyle w:val="63"/>
          <w:rFonts w:cs="Times New Roman"/>
        </w:rPr>
        <w:t>根据</w:t>
      </w:r>
      <w:r>
        <w:rPr>
          <w:rStyle w:val="63"/>
          <w:rFonts w:hint="eastAsia" w:cs="Times New Roman"/>
          <w:lang w:val="en-US" w:eastAsia="zh-CN"/>
        </w:rPr>
        <w:t>区卫健局</w:t>
      </w:r>
      <w:r>
        <w:rPr>
          <w:rStyle w:val="63"/>
          <w:rFonts w:cs="Times New Roman"/>
        </w:rPr>
        <w:t>提供的</w:t>
      </w:r>
      <w:r>
        <w:rPr>
          <w:rFonts w:hint="eastAsia"/>
        </w:rPr>
        <w:t>《</w:t>
      </w:r>
      <w:r>
        <w:rPr>
          <w:rFonts w:hint="eastAsia"/>
          <w:lang w:val="en-US" w:eastAsia="zh-CN"/>
        </w:rPr>
        <w:t>2020年收入支出决算总表</w:t>
      </w:r>
      <w:r>
        <w:rPr>
          <w:rFonts w:hint="eastAsia"/>
        </w:rPr>
        <w:t>》</w:t>
      </w:r>
      <w:r>
        <w:rPr>
          <w:rFonts w:hint="eastAsia"/>
          <w:lang w:eastAsia="zh-CN"/>
        </w:rPr>
        <w:t>，</w:t>
      </w:r>
      <w:r>
        <w:rPr>
          <w:rFonts w:hint="eastAsia"/>
        </w:rPr>
        <w:t>2</w:t>
      </w:r>
      <w:r>
        <w:t>020</w:t>
      </w:r>
      <w:r>
        <w:rPr>
          <w:rFonts w:hint="eastAsia"/>
        </w:rPr>
        <w:t>年</w:t>
      </w:r>
      <w:r>
        <w:rPr>
          <w:rFonts w:hint="eastAsia"/>
          <w:lang w:val="en-US" w:eastAsia="zh-CN"/>
        </w:rPr>
        <w:t>该部门</w:t>
      </w:r>
      <w:r>
        <w:rPr>
          <w:rFonts w:hint="eastAsia"/>
        </w:rPr>
        <w:t>决算收入</w:t>
      </w:r>
      <w:r>
        <w:rPr>
          <w:rFonts w:hint="eastAsia"/>
          <w:lang w:val="en-US" w:eastAsia="zh-CN"/>
        </w:rPr>
        <w:t>合计28847.06</w:t>
      </w:r>
      <w:r>
        <w:rPr>
          <w:rFonts w:hint="eastAsia"/>
        </w:rPr>
        <w:t>万元</w:t>
      </w:r>
      <w:r>
        <w:rPr>
          <w:rFonts w:hint="eastAsia"/>
          <w:lang w:eastAsia="zh-CN"/>
        </w:rPr>
        <w:t>，</w:t>
      </w:r>
      <w:r>
        <w:rPr>
          <w:rFonts w:hint="eastAsia"/>
        </w:rPr>
        <w:t>决算支出</w:t>
      </w:r>
      <w:r>
        <w:rPr>
          <w:rFonts w:hint="eastAsia"/>
          <w:lang w:val="en-US" w:eastAsia="zh-CN"/>
        </w:rPr>
        <w:t>合计28191.37</w:t>
      </w:r>
      <w:r>
        <w:rPr>
          <w:rFonts w:hint="eastAsia"/>
        </w:rPr>
        <w:t>万元</w:t>
      </w:r>
      <w:r>
        <w:rPr>
          <w:rFonts w:hint="eastAsia"/>
          <w:lang w:eastAsia="zh-CN"/>
        </w:rPr>
        <w:t>（</w:t>
      </w:r>
      <w:r>
        <w:rPr>
          <w:rFonts w:hint="eastAsia"/>
        </w:rPr>
        <w:t>其中：基本支出</w:t>
      </w:r>
      <w:r>
        <w:rPr>
          <w:rFonts w:hint="eastAsia"/>
          <w:lang w:val="en-US" w:eastAsia="zh-CN"/>
        </w:rPr>
        <w:t>619.70</w:t>
      </w:r>
      <w:r>
        <w:rPr>
          <w:rFonts w:hint="eastAsia"/>
        </w:rPr>
        <w:t>万元，项目支出</w:t>
      </w:r>
      <w:r>
        <w:rPr>
          <w:rFonts w:hint="eastAsia"/>
          <w:lang w:val="en-US" w:eastAsia="zh-CN"/>
        </w:rPr>
        <w:t>27571.67</w:t>
      </w:r>
      <w:r>
        <w:rPr>
          <w:rFonts w:hint="eastAsia"/>
        </w:rPr>
        <w:t>万元</w:t>
      </w:r>
      <w:r>
        <w:rPr>
          <w:rFonts w:hint="eastAsia"/>
          <w:lang w:eastAsia="zh-CN"/>
        </w:rPr>
        <w:t>，</w:t>
      </w:r>
      <w:r>
        <w:t>年末结转结余资金</w:t>
      </w:r>
      <w:r>
        <w:rPr>
          <w:rFonts w:hint="eastAsia"/>
          <w:lang w:val="en-US" w:eastAsia="zh-CN"/>
        </w:rPr>
        <w:t>655.69</w:t>
      </w:r>
      <w:r>
        <w:rPr>
          <w:rFonts w:hint="eastAsia"/>
        </w:rPr>
        <w:t>万</w:t>
      </w:r>
      <w:r>
        <w:t>元</w:t>
      </w:r>
      <w:r>
        <w:rPr>
          <w:rFonts w:hint="eastAsia"/>
          <w:lang w:eastAsia="zh-CN"/>
        </w:rPr>
        <w:t>），</w:t>
      </w:r>
      <w:r>
        <w:t>预算执行率为</w:t>
      </w:r>
      <w:r>
        <w:rPr>
          <w:rFonts w:hint="eastAsia"/>
          <w:lang w:val="en-US" w:eastAsia="zh-CN"/>
        </w:rPr>
        <w:t>97.73</w:t>
      </w:r>
      <w:r>
        <w:t>%</w:t>
      </w:r>
      <w:r>
        <w:rPr>
          <w:rFonts w:hint="eastAsia"/>
        </w:rPr>
        <w:t>。2</w:t>
      </w:r>
      <w:r>
        <w:t>020</w:t>
      </w:r>
      <w:r>
        <w:rPr>
          <w:rFonts w:hint="eastAsia"/>
        </w:rPr>
        <w:t>年收入支出决算明细详见表1</w:t>
      </w:r>
      <w:r>
        <w:t>-</w:t>
      </w:r>
      <w:r>
        <w:rPr>
          <w:rFonts w:hint="eastAsia"/>
          <w:lang w:val="en-US" w:eastAsia="zh-CN"/>
        </w:rPr>
        <w:t>2</w:t>
      </w:r>
      <w:r>
        <w:rPr>
          <w:rFonts w:hint="eastAsia"/>
        </w:rPr>
        <w:t>：</w:t>
      </w:r>
      <w:bookmarkStart w:id="24" w:name="_Toc29606"/>
    </w:p>
    <w:p>
      <w:pPr>
        <w:pStyle w:val="58"/>
        <w:keepNext w:val="0"/>
        <w:keepLines w:val="0"/>
        <w:pageBreakBefore w:val="0"/>
        <w:widowControl w:val="0"/>
        <w:kinsoku/>
        <w:wordWrap/>
        <w:overflowPunct/>
        <w:topLinePunct w:val="0"/>
        <w:autoSpaceDE/>
        <w:autoSpaceDN/>
        <w:bidi w:val="0"/>
        <w:adjustRightInd/>
        <w:snapToGrid/>
        <w:spacing w:before="60" w:after="120"/>
        <w:textAlignment w:val="auto"/>
      </w:pPr>
      <w:r>
        <w:rPr>
          <w:rStyle w:val="31"/>
          <w:rFonts w:hint="eastAsia" w:cs="Times New Roman"/>
          <w:kern w:val="0"/>
          <w:szCs w:val="28"/>
          <w:lang w:val="en-US" w:eastAsia="zh-CN" w:bidi="ar-SA"/>
        </w:rPr>
        <w:t>表1-2：20</w:t>
      </w:r>
      <w:r>
        <w:rPr>
          <w:rStyle w:val="31"/>
          <w:rFonts w:cs="Times New Roman"/>
          <w:kern w:val="0"/>
          <w:szCs w:val="28"/>
          <w:lang w:val="en-US" w:eastAsia="zh-CN" w:bidi="ar-SA"/>
        </w:rPr>
        <w:t>20</w:t>
      </w:r>
      <w:r>
        <w:rPr>
          <w:rStyle w:val="31"/>
          <w:rFonts w:hint="eastAsia" w:cs="Times New Roman"/>
          <w:kern w:val="0"/>
          <w:szCs w:val="28"/>
          <w:lang w:val="en-US" w:eastAsia="zh-CN" w:bidi="ar-SA"/>
        </w:rPr>
        <w:t>年区卫健局收入支出决算明细表</w:t>
      </w:r>
      <w:bookmarkEnd w:id="24"/>
      <w:r>
        <w:rPr>
          <w:rStyle w:val="31"/>
          <w:rFonts w:hint="eastAsia" w:cs="Times New Roman"/>
          <w:kern w:val="0"/>
          <w:szCs w:val="28"/>
          <w:lang w:val="en-US" w:eastAsia="zh-CN" w:bidi="ar-SA"/>
        </w:rPr>
        <w:t>（单位：万元）</w:t>
      </w:r>
    </w:p>
    <w:tbl>
      <w:tblPr>
        <w:tblStyle w:val="74"/>
        <w:tblW w:w="9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134"/>
        <w:gridCol w:w="1985"/>
        <w:gridCol w:w="1113"/>
        <w:gridCol w:w="2375"/>
        <w:gridCol w:w="1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3062"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收入</w:t>
            </w:r>
          </w:p>
        </w:tc>
        <w:tc>
          <w:tcPr>
            <w:tcW w:w="6483"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blHeader/>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本年收入合计</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lang w:val="en-US" w:eastAsia="zh-CN"/>
              </w:rPr>
            </w:pPr>
            <w:r>
              <w:rPr>
                <w:rFonts w:hint="eastAsia" w:ascii="Times New Roman" w:hAnsi="Times New Roman" w:cs="Times New Roman"/>
                <w:b/>
                <w:spacing w:val="0"/>
                <w:kern w:val="30"/>
                <w:sz w:val="21"/>
                <w:szCs w:val="21"/>
                <w:lang w:val="en-US" w:eastAsia="zh-CN"/>
              </w:rPr>
              <w:t>28847.06</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本年支出合计</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（按支出性质）</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lang w:val="en-US" w:eastAsia="zh-CN"/>
              </w:rPr>
            </w:pPr>
            <w:r>
              <w:rPr>
                <w:rFonts w:hint="eastAsia" w:ascii="Times New Roman" w:hAnsi="Times New Roman" w:cs="Times New Roman"/>
                <w:b/>
                <w:spacing w:val="0"/>
                <w:kern w:val="30"/>
                <w:sz w:val="21"/>
                <w:szCs w:val="21"/>
                <w:lang w:val="en-US" w:eastAsia="zh-CN"/>
              </w:rPr>
              <w:t>28191.37</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本年支出合计</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（按经济分类）</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eastAsia" w:ascii="Times New Roman" w:hAnsi="Times New Roman" w:cs="Times New Roman"/>
                <w:b/>
                <w:spacing w:val="0"/>
                <w:kern w:val="30"/>
                <w:sz w:val="21"/>
                <w:szCs w:val="21"/>
                <w:lang w:val="en-US" w:eastAsia="zh-CN"/>
              </w:rPr>
              <w:t>28191.37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一般公共预算拨款收入</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17250.31</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基本支出</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619.70</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工资福利支出</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445.84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政府性基金预算财政拨款收入</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10938.82</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 xml:space="preserve">  人员经费</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575.27</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商品和服务支出</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9790.04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其他收入</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Times New Roman" w:hAnsi="Times New Roman" w:eastAsia="仿宋_GB2312" w:cs="Times New Roman"/>
                <w:spacing w:val="0"/>
                <w:kern w:val="30"/>
                <w:sz w:val="21"/>
                <w:szCs w:val="21"/>
                <w:lang w:eastAsia="zh-CN"/>
              </w:rPr>
            </w:pPr>
            <w:r>
              <w:rPr>
                <w:rFonts w:hint="eastAsia" w:cs="Times New Roman"/>
                <w:spacing w:val="0"/>
                <w:kern w:val="30"/>
                <w:sz w:val="21"/>
                <w:szCs w:val="21"/>
                <w:lang w:val="en-US" w:eastAsia="zh-CN"/>
              </w:rPr>
              <w:t>0</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 xml:space="preserve">  公用经费</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44.44</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对个人和家庭补助</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3381.80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债务利息及费用支出</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项目支出</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27571.67</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资本性支出（基本建设）</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基本建设类项目</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Times New Roman" w:hAnsi="Times New Roman" w:eastAsia="仿宋_GB2312" w:cs="Times New Roman"/>
                <w:spacing w:val="0"/>
                <w:kern w:val="30"/>
                <w:sz w:val="21"/>
                <w:szCs w:val="21"/>
                <w:lang w:eastAsia="zh-CN"/>
              </w:rPr>
            </w:pPr>
            <w:r>
              <w:rPr>
                <w:rFonts w:hint="eastAsia" w:cs="Times New Roman"/>
                <w:bCs/>
                <w:spacing w:val="0"/>
                <w:kern w:val="30"/>
                <w:sz w:val="21"/>
                <w:szCs w:val="21"/>
                <w:lang w:val="en-US" w:eastAsia="zh-CN"/>
              </w:rPr>
              <w:t>0</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spacing w:val="0"/>
                <w:kern w:val="30"/>
                <w:sz w:val="21"/>
                <w:szCs w:val="21"/>
              </w:rPr>
            </w:pPr>
            <w:r>
              <w:rPr>
                <w:rFonts w:hint="default" w:ascii="Times New Roman" w:hAnsi="Times New Roman" w:eastAsia="仿宋_GB2312" w:cs="Times New Roman"/>
                <w:spacing w:val="0"/>
                <w:kern w:val="30"/>
                <w:sz w:val="21"/>
                <w:szCs w:val="21"/>
              </w:rPr>
              <w:t>资本性支出</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spacing w:val="0"/>
                <w:kern w:val="30"/>
                <w:sz w:val="21"/>
                <w:szCs w:val="21"/>
                <w:lang w:val="en-US" w:eastAsia="zh-CN"/>
              </w:rPr>
            </w:pPr>
            <w:r>
              <w:rPr>
                <w:rFonts w:hint="eastAsia" w:ascii="Times New Roman" w:hAnsi="Times New Roman" w:cs="Times New Roman"/>
                <w:spacing w:val="0"/>
                <w:kern w:val="30"/>
                <w:sz w:val="21"/>
                <w:szCs w:val="21"/>
                <w:lang w:val="en-US" w:eastAsia="zh-CN"/>
              </w:rPr>
              <w:t>14573.68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bCs/>
                <w:spacing w:val="0"/>
                <w:kern w:val="30"/>
                <w:sz w:val="21"/>
                <w:szCs w:val="21"/>
              </w:rPr>
            </w:pPr>
            <w:r>
              <w:rPr>
                <w:rFonts w:hint="default" w:ascii="Times New Roman" w:hAnsi="Times New Roman" w:eastAsia="仿宋_GB2312" w:cs="Times New Roman"/>
                <w:bCs/>
                <w:spacing w:val="0"/>
                <w:kern w:val="30"/>
                <w:sz w:val="21"/>
                <w:szCs w:val="21"/>
              </w:rPr>
              <w:t>——</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bCs/>
                <w:spacing w:val="0"/>
                <w:kern w:val="30"/>
                <w:sz w:val="21"/>
                <w:szCs w:val="21"/>
              </w:rPr>
            </w:pPr>
            <w:r>
              <w:rPr>
                <w:rFonts w:hint="default" w:ascii="Times New Roman" w:hAnsi="Times New Roman" w:eastAsia="仿宋_GB2312" w:cs="Times New Roman"/>
                <w:bCs/>
                <w:spacing w:val="0"/>
                <w:kern w:val="30"/>
                <w:sz w:val="21"/>
                <w:szCs w:val="21"/>
              </w:rPr>
              <w:t>——</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bCs/>
                <w:spacing w:val="0"/>
                <w:kern w:val="30"/>
                <w:sz w:val="21"/>
                <w:szCs w:val="21"/>
              </w:rPr>
            </w:pPr>
            <w:r>
              <w:rPr>
                <w:rFonts w:hint="default" w:ascii="Times New Roman" w:hAnsi="Times New Roman" w:eastAsia="仿宋_GB2312" w:cs="Times New Roman"/>
                <w:bCs/>
                <w:spacing w:val="0"/>
                <w:kern w:val="30"/>
                <w:sz w:val="21"/>
                <w:szCs w:val="21"/>
              </w:rPr>
              <w:t>——</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default" w:ascii="Times New Roman" w:hAnsi="Times New Roman" w:eastAsia="仿宋_GB2312" w:cs="Times New Roman"/>
                <w:bCs/>
                <w:spacing w:val="0"/>
                <w:kern w:val="30"/>
                <w:sz w:val="21"/>
                <w:szCs w:val="21"/>
              </w:rPr>
            </w:pPr>
            <w:r>
              <w:rPr>
                <w:rFonts w:hint="default" w:ascii="Times New Roman" w:hAnsi="Times New Roman" w:eastAsia="仿宋_GB2312" w:cs="Times New Roman"/>
                <w:bCs/>
                <w:spacing w:val="0"/>
                <w:kern w:val="30"/>
                <w:sz w:val="21"/>
                <w:szCs w:val="21"/>
              </w:rPr>
              <w:t>——</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bCs/>
                <w:spacing w:val="0"/>
                <w:kern w:val="30"/>
                <w:sz w:val="21"/>
                <w:szCs w:val="21"/>
              </w:rPr>
            </w:pPr>
            <w:r>
              <w:rPr>
                <w:rFonts w:hint="default" w:ascii="Times New Roman" w:hAnsi="Times New Roman" w:eastAsia="仿宋_GB2312" w:cs="Times New Roman"/>
                <w:bCs/>
                <w:spacing w:val="0"/>
                <w:kern w:val="30"/>
                <w:sz w:val="21"/>
                <w:szCs w:val="21"/>
              </w:rPr>
              <w:t>对企业补助</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right"/>
              <w:textAlignment w:val="auto"/>
              <w:rPr>
                <w:rFonts w:hint="eastAsia" w:ascii="Times New Roman" w:hAnsi="Times New Roman" w:eastAsia="仿宋_GB2312" w:cs="Times New Roman"/>
                <w:bCs/>
                <w:spacing w:val="0"/>
                <w:kern w:val="30"/>
                <w:sz w:val="21"/>
                <w:szCs w:val="21"/>
                <w:lang w:val="en-US" w:eastAsia="zh-CN"/>
              </w:rPr>
            </w:pPr>
            <w:r>
              <w:rPr>
                <w:rFonts w:hint="eastAsia" w:ascii="Times New Roman" w:hAnsi="Times New Roman" w:cs="Times New Roman"/>
                <w:bCs/>
                <w:spacing w:val="0"/>
                <w:kern w:val="30"/>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年初结转和结余</w:t>
            </w:r>
          </w:p>
        </w:tc>
        <w:tc>
          <w:tcPr>
            <w:tcW w:w="1134"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lang w:val="en-US" w:eastAsia="zh-CN"/>
              </w:rPr>
            </w:pPr>
            <w:r>
              <w:rPr>
                <w:rFonts w:hint="eastAsia" w:ascii="Times New Roman" w:hAnsi="Times New Roman" w:cs="Times New Roman"/>
                <w:b/>
                <w:spacing w:val="0"/>
                <w:kern w:val="30"/>
                <w:sz w:val="21"/>
                <w:szCs w:val="21"/>
                <w:lang w:val="en-US" w:eastAsia="zh-CN"/>
              </w:rPr>
              <w:t>657.93</w:t>
            </w:r>
          </w:p>
        </w:tc>
        <w:tc>
          <w:tcPr>
            <w:tcW w:w="19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年末结转和结余</w:t>
            </w:r>
          </w:p>
        </w:tc>
        <w:tc>
          <w:tcPr>
            <w:tcW w:w="1113"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lang w:val="en-US" w:eastAsia="zh-CN"/>
              </w:rPr>
            </w:pPr>
            <w:r>
              <w:rPr>
                <w:rFonts w:hint="eastAsia" w:ascii="Times New Roman" w:hAnsi="Times New Roman" w:cs="Times New Roman"/>
                <w:b/>
                <w:spacing w:val="0"/>
                <w:kern w:val="30"/>
                <w:sz w:val="21"/>
                <w:szCs w:val="21"/>
                <w:lang w:val="en-US" w:eastAsia="zh-CN"/>
              </w:rPr>
              <w:t>655.69</w:t>
            </w:r>
          </w:p>
        </w:tc>
        <w:tc>
          <w:tcPr>
            <w:tcW w:w="23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spacing w:val="0"/>
                <w:kern w:val="30"/>
                <w:sz w:val="21"/>
                <w:szCs w:val="21"/>
              </w:rPr>
            </w:pPr>
            <w:r>
              <w:rPr>
                <w:rFonts w:hint="default" w:ascii="Times New Roman" w:hAnsi="Times New Roman" w:eastAsia="仿宋_GB2312" w:cs="Times New Roman"/>
                <w:b/>
                <w:spacing w:val="0"/>
                <w:kern w:val="30"/>
                <w:sz w:val="21"/>
                <w:szCs w:val="21"/>
              </w:rPr>
              <w:t>年末结转和结余</w:t>
            </w:r>
          </w:p>
        </w:tc>
        <w:tc>
          <w:tcPr>
            <w:tcW w:w="101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spacing w:val="0"/>
                <w:kern w:val="30"/>
                <w:sz w:val="21"/>
                <w:szCs w:val="21"/>
              </w:rPr>
            </w:pPr>
            <w:r>
              <w:rPr>
                <w:rFonts w:hint="eastAsia" w:ascii="Times New Roman" w:hAnsi="Times New Roman" w:cs="Times New Roman"/>
                <w:b/>
                <w:spacing w:val="0"/>
                <w:kern w:val="30"/>
                <w:sz w:val="21"/>
                <w:szCs w:val="21"/>
                <w:lang w:val="en-US" w:eastAsia="zh-CN"/>
              </w:rPr>
              <w:t>655.69</w:t>
            </w:r>
          </w:p>
        </w:tc>
      </w:tr>
    </w:tbl>
    <w:p>
      <w:pPr>
        <w:pStyle w:val="4"/>
        <w:keepNext/>
        <w:keepLines/>
        <w:pageBreakBefore w:val="0"/>
        <w:widowControl w:val="0"/>
        <w:kinsoku/>
        <w:wordWrap/>
        <w:overflowPunct/>
        <w:topLinePunct w:val="0"/>
        <w:autoSpaceDE/>
        <w:autoSpaceDN/>
        <w:bidi w:val="0"/>
        <w:adjustRightInd/>
        <w:snapToGrid/>
        <w:spacing w:before="219" w:beforeLines="50"/>
        <w:ind w:firstLine="643"/>
        <w:textAlignment w:val="auto"/>
        <w:rPr>
          <w:rFonts w:hint="eastAsia"/>
          <w:szCs w:val="32"/>
          <w:lang w:val="en-US" w:eastAsia="zh-CN"/>
        </w:rPr>
      </w:pPr>
      <w:bookmarkStart w:id="25" w:name="_Toc11605"/>
      <w:bookmarkStart w:id="26" w:name="_Toc51595466"/>
      <w:bookmarkStart w:id="27" w:name="_Toc13499"/>
      <w:r>
        <w:rPr>
          <w:rFonts w:ascii="Times New Roman" w:hAnsi="Times New Roman"/>
        </w:rPr>
        <w:t>（</w:t>
      </w:r>
      <w:r>
        <w:rPr>
          <w:rFonts w:hint="eastAsia" w:ascii="Times New Roman" w:hAnsi="Times New Roman"/>
          <w:lang w:val="en-US" w:eastAsia="zh-CN"/>
        </w:rPr>
        <w:t>三</w:t>
      </w:r>
      <w:r>
        <w:rPr>
          <w:rFonts w:ascii="Times New Roman" w:hAnsi="Times New Roman"/>
        </w:rPr>
        <w:t>）部门</w:t>
      </w:r>
      <w:r>
        <w:rPr>
          <w:rFonts w:hint="eastAsia" w:ascii="Times New Roman" w:hAnsi="Times New Roman"/>
          <w:lang w:val="en-US" w:eastAsia="zh-CN"/>
        </w:rPr>
        <w:t>资产</w:t>
      </w:r>
      <w:r>
        <w:rPr>
          <w:rFonts w:ascii="Times New Roman" w:hAnsi="Times New Roman"/>
        </w:rPr>
        <w:t>情况</w:t>
      </w:r>
      <w:bookmarkEnd w:id="25"/>
    </w:p>
    <w:p>
      <w:pPr>
        <w:keepNext w:val="0"/>
        <w:keepLines w:val="0"/>
        <w:pageBreakBefore w:val="0"/>
        <w:widowControl w:val="0"/>
        <w:kinsoku/>
        <w:wordWrap/>
        <w:overflowPunct/>
        <w:topLinePunct w:val="0"/>
        <w:autoSpaceDE/>
        <w:autoSpaceDN/>
        <w:bidi w:val="0"/>
        <w:adjustRightInd/>
        <w:snapToGrid/>
        <w:ind w:firstLine="640"/>
        <w:textAlignment w:val="auto"/>
      </w:pPr>
      <w:r>
        <w:rPr>
          <w:rFonts w:hint="eastAsia"/>
          <w:szCs w:val="32"/>
          <w:lang w:val="en-US" w:eastAsia="zh-CN"/>
        </w:rPr>
        <w:t>根据区卫健局提供的《2020年固定资产负债表》，</w:t>
      </w:r>
      <w:r>
        <w:rPr>
          <w:rFonts w:hint="eastAsia"/>
          <w:szCs w:val="32"/>
        </w:rPr>
        <w:t>截至</w:t>
      </w:r>
      <w:r>
        <w:rPr>
          <w:szCs w:val="32"/>
        </w:rPr>
        <w:t>20</w:t>
      </w:r>
      <w:r>
        <w:rPr>
          <w:rFonts w:hint="eastAsia"/>
          <w:szCs w:val="32"/>
          <w:lang w:val="en-US" w:eastAsia="zh-CN"/>
        </w:rPr>
        <w:t>20</w:t>
      </w:r>
      <w:r>
        <w:rPr>
          <w:szCs w:val="32"/>
        </w:rPr>
        <w:t>年</w:t>
      </w:r>
      <w:r>
        <w:rPr>
          <w:rFonts w:hint="eastAsia"/>
          <w:szCs w:val="32"/>
          <w:lang w:val="en-US" w:eastAsia="zh-CN"/>
        </w:rPr>
        <w:t>年末</w:t>
      </w:r>
      <w:r>
        <w:rPr>
          <w:rFonts w:hint="eastAsia" w:ascii="仿宋_GB2312" w:hAnsi="仿宋_GB2312" w:cs="仿宋_GB2312"/>
          <w:szCs w:val="32"/>
        </w:rPr>
        <w:t>,</w:t>
      </w:r>
      <w:r>
        <w:rPr>
          <w:rFonts w:hint="eastAsia"/>
          <w:szCs w:val="32"/>
          <w:lang w:val="en-US" w:eastAsia="zh-CN"/>
        </w:rPr>
        <w:t>区卫健局</w:t>
      </w:r>
      <w:r>
        <w:rPr>
          <w:rFonts w:hint="eastAsia"/>
          <w:szCs w:val="32"/>
        </w:rPr>
        <w:t>资产总计</w:t>
      </w:r>
      <w:r>
        <w:rPr>
          <w:rFonts w:hint="eastAsia"/>
          <w:szCs w:val="32"/>
          <w:lang w:val="en-US" w:eastAsia="zh-CN"/>
        </w:rPr>
        <w:t>2764.88</w:t>
      </w:r>
      <w:r>
        <w:rPr>
          <w:rFonts w:hint="eastAsia"/>
          <w:szCs w:val="32"/>
        </w:rPr>
        <w:t>万元，负债总计</w:t>
      </w:r>
      <w:r>
        <w:rPr>
          <w:rFonts w:hint="eastAsia"/>
          <w:szCs w:val="32"/>
          <w:lang w:val="en-US" w:eastAsia="zh-CN"/>
        </w:rPr>
        <w:t>1203.40</w:t>
      </w:r>
      <w:r>
        <w:rPr>
          <w:rFonts w:hint="eastAsia"/>
          <w:szCs w:val="32"/>
        </w:rPr>
        <w:t>万元，净资产总计</w:t>
      </w:r>
      <w:r>
        <w:rPr>
          <w:rFonts w:hint="eastAsia"/>
          <w:szCs w:val="32"/>
          <w:lang w:val="en-US" w:eastAsia="zh-CN"/>
        </w:rPr>
        <w:t>1561.48</w:t>
      </w:r>
      <w:r>
        <w:rPr>
          <w:rFonts w:hint="eastAsia"/>
          <w:szCs w:val="32"/>
        </w:rPr>
        <w:t>万元。资产负债具体情况详见表</w:t>
      </w:r>
      <w:r>
        <w:rPr>
          <w:rFonts w:hint="eastAsia"/>
        </w:rPr>
        <w:t>1</w:t>
      </w:r>
      <w:r>
        <w:t>-</w:t>
      </w:r>
      <w:r>
        <w:rPr>
          <w:rFonts w:hint="eastAsia"/>
          <w:lang w:val="en-US" w:eastAsia="zh-CN"/>
        </w:rPr>
        <w:t>3：</w:t>
      </w:r>
    </w:p>
    <w:p>
      <w:pPr>
        <w:pStyle w:val="58"/>
        <w:keepNext w:val="0"/>
        <w:keepLines w:val="0"/>
        <w:pageBreakBefore w:val="0"/>
        <w:widowControl w:val="0"/>
        <w:kinsoku/>
        <w:wordWrap/>
        <w:overflowPunct/>
        <w:topLinePunct w:val="0"/>
        <w:autoSpaceDE/>
        <w:autoSpaceDN/>
        <w:bidi w:val="0"/>
        <w:adjustRightInd/>
        <w:snapToGrid/>
        <w:spacing w:before="60" w:after="120"/>
        <w:textAlignment w:val="auto"/>
        <w:rPr>
          <w:rStyle w:val="31"/>
          <w:rFonts w:cs="Times New Roman"/>
          <w:kern w:val="0"/>
          <w:szCs w:val="28"/>
          <w:lang w:val="en-US" w:eastAsia="zh-CN" w:bidi="ar-SA"/>
        </w:rPr>
      </w:pPr>
      <w:r>
        <w:rPr>
          <w:rStyle w:val="31"/>
          <w:rFonts w:cs="Times New Roman"/>
          <w:kern w:val="0"/>
          <w:szCs w:val="28"/>
          <w:lang w:val="en-US" w:eastAsia="zh-CN" w:bidi="ar-SA"/>
        </w:rPr>
        <w:t>表</w:t>
      </w:r>
      <w:r>
        <w:rPr>
          <w:rStyle w:val="31"/>
          <w:rFonts w:hint="eastAsia" w:cs="Times New Roman"/>
          <w:kern w:val="0"/>
          <w:szCs w:val="28"/>
          <w:lang w:val="en-US" w:eastAsia="zh-CN" w:bidi="ar-SA"/>
        </w:rPr>
        <w:t>1</w:t>
      </w:r>
      <w:r>
        <w:rPr>
          <w:rStyle w:val="31"/>
          <w:rFonts w:cs="Times New Roman"/>
          <w:kern w:val="0"/>
          <w:szCs w:val="28"/>
          <w:lang w:val="en-US" w:eastAsia="zh-CN" w:bidi="ar-SA"/>
        </w:rPr>
        <w:t>-</w:t>
      </w:r>
      <w:r>
        <w:rPr>
          <w:rStyle w:val="31"/>
          <w:rFonts w:hint="eastAsia" w:cs="Times New Roman"/>
          <w:kern w:val="0"/>
          <w:szCs w:val="28"/>
          <w:lang w:val="en-US" w:eastAsia="zh-CN" w:bidi="ar-SA"/>
        </w:rPr>
        <w:t>3：资产负债具体情况</w:t>
      </w:r>
    </w:p>
    <w:tbl>
      <w:tblPr>
        <w:tblStyle w:val="25"/>
        <w:tblW w:w="8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5"/>
        <w:gridCol w:w="1914"/>
        <w:gridCol w:w="2525"/>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资产名称</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金额（万元）</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负债名称</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left"/>
              <w:textAlignment w:val="auto"/>
              <w:rPr>
                <w:rFonts w:hint="default" w:eastAsia="仿宋_GB2312"/>
                <w:b/>
                <w:bCs/>
                <w:sz w:val="21"/>
                <w:lang w:val="en-US" w:eastAsia="zh-CN"/>
              </w:rPr>
            </w:pPr>
            <w:r>
              <w:rPr>
                <w:rFonts w:hint="eastAsia"/>
                <w:b/>
                <w:bCs/>
                <w:sz w:val="21"/>
                <w:lang w:val="en-US" w:eastAsia="zh-CN"/>
              </w:rPr>
              <w:t>流动资产</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b/>
                <w:bCs/>
                <w:sz w:val="21"/>
                <w:lang w:val="en-US" w:eastAsia="zh-CN"/>
              </w:rPr>
            </w:pPr>
            <w:r>
              <w:rPr>
                <w:rFonts w:hint="eastAsia"/>
                <w:b/>
                <w:bCs/>
                <w:sz w:val="21"/>
                <w:lang w:val="en-US" w:eastAsia="zh-CN"/>
              </w:rPr>
              <w:t>1908.54</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left"/>
              <w:textAlignment w:val="auto"/>
              <w:rPr>
                <w:rFonts w:hint="default" w:eastAsia="仿宋_GB2312"/>
                <w:b/>
                <w:bCs/>
                <w:sz w:val="21"/>
                <w:lang w:val="en-US" w:eastAsia="zh-CN"/>
              </w:rPr>
            </w:pPr>
            <w:r>
              <w:rPr>
                <w:rFonts w:hint="eastAsia"/>
                <w:b/>
                <w:bCs/>
                <w:sz w:val="21"/>
                <w:lang w:val="en-US" w:eastAsia="zh-CN"/>
              </w:rPr>
              <w:t>流动负债</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
                <w:bCs/>
                <w:sz w:val="21"/>
                <w:lang w:val="en-US" w:eastAsia="zh-CN"/>
              </w:rPr>
            </w:pPr>
            <w:r>
              <w:rPr>
                <w:rFonts w:hint="eastAsia"/>
                <w:b/>
                <w:bCs/>
                <w:sz w:val="21"/>
                <w:lang w:val="en-US" w:eastAsia="zh-CN"/>
              </w:rPr>
              <w:t>1203.40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sz w:val="21"/>
              </w:rPr>
            </w:pPr>
            <w:r>
              <w:rPr>
                <w:rFonts w:hint="eastAsia"/>
                <w:sz w:val="21"/>
              </w:rPr>
              <w:t>货币资金</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1212.59</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sz w:val="21"/>
              </w:rPr>
            </w:pPr>
            <w:r>
              <w:rPr>
                <w:rFonts w:hint="eastAsia"/>
                <w:sz w:val="21"/>
              </w:rPr>
              <w:t>其他应付款</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1203.40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财政应返还额度</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654.69</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eastAsia="仿宋_GB2312"/>
                <w:sz w:val="21"/>
                <w:lang w:eastAsia="zh-CN"/>
              </w:rPr>
            </w:pPr>
            <w:r>
              <w:rPr>
                <w:rFonts w:hint="eastAsia"/>
                <w:sz w:val="21"/>
                <w:lang w:eastAsia="zh-CN"/>
              </w:rPr>
              <w:t>—</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sz w:val="21"/>
              </w:rPr>
            </w:pPr>
            <w:r>
              <w:rPr>
                <w:rFonts w:hint="eastAsia"/>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预付账款</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20.00</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b/>
                <w:bCs/>
                <w:sz w:val="21"/>
              </w:rPr>
            </w:pPr>
            <w:r>
              <w:rPr>
                <w:rFonts w:hint="eastAsia"/>
                <w:sz w:val="21"/>
                <w:lang w:eastAsia="zh-CN"/>
              </w:rPr>
              <w:t>—</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b/>
                <w:bCs/>
                <w:sz w:val="21"/>
              </w:rPr>
            </w:pPr>
            <w:r>
              <w:rPr>
                <w:rFonts w:hint="eastAsia"/>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其他应收款净额</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21.26</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b/>
                <w:bCs/>
                <w:sz w:val="21"/>
              </w:rPr>
            </w:pPr>
            <w:r>
              <w:rPr>
                <w:rFonts w:hint="eastAsia"/>
                <w:sz w:val="21"/>
                <w:lang w:eastAsia="zh-CN"/>
              </w:rPr>
              <w:t>—</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b/>
                <w:bCs/>
                <w:sz w:val="21"/>
              </w:rPr>
            </w:pPr>
            <w:r>
              <w:rPr>
                <w:rFonts w:hint="eastAsia"/>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left"/>
              <w:textAlignment w:val="auto"/>
              <w:rPr>
                <w:rFonts w:hint="default" w:eastAsia="仿宋_GB2312"/>
                <w:b/>
                <w:bCs/>
                <w:sz w:val="21"/>
                <w:lang w:val="en-US" w:eastAsia="zh-CN"/>
              </w:rPr>
            </w:pPr>
            <w:r>
              <w:rPr>
                <w:rFonts w:hint="eastAsia"/>
                <w:b/>
                <w:bCs/>
                <w:sz w:val="21"/>
                <w:lang w:val="en-US" w:eastAsia="zh-CN"/>
              </w:rPr>
              <w:t>非流动资产</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
                <w:bCs/>
                <w:sz w:val="21"/>
                <w:lang w:val="en-US" w:eastAsia="zh-CN"/>
              </w:rPr>
            </w:pPr>
            <w:r>
              <w:rPr>
                <w:rFonts w:hint="eastAsia"/>
                <w:b/>
                <w:bCs/>
                <w:sz w:val="21"/>
                <w:lang w:val="en-US" w:eastAsia="zh-CN"/>
              </w:rPr>
              <w:t>856.34</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
                <w:bCs/>
                <w:sz w:val="21"/>
                <w:lang w:val="en-US" w:eastAsia="zh-CN"/>
              </w:rPr>
            </w:pPr>
            <w:r>
              <w:rPr>
                <w:rFonts w:hint="eastAsia"/>
                <w:sz w:val="21"/>
                <w:lang w:eastAsia="zh-CN"/>
              </w:rPr>
              <w:t>—</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b/>
                <w:bCs/>
                <w:sz w:val="21"/>
              </w:rPr>
            </w:pPr>
            <w:r>
              <w:rPr>
                <w:rFonts w:hint="eastAsia"/>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sz w:val="21"/>
              </w:rPr>
            </w:pPr>
            <w:r>
              <w:rPr>
                <w:rFonts w:hint="eastAsia"/>
                <w:sz w:val="21"/>
              </w:rPr>
              <w:t>固定资产净值</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482.12</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sz w:val="21"/>
                <w:lang w:eastAsia="zh-CN"/>
              </w:rPr>
              <w:t>—</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
                <w:bCs/>
                <w:sz w:val="21"/>
                <w:lang w:val="en-US" w:eastAsia="zh-CN"/>
              </w:rPr>
            </w:pPr>
            <w:r>
              <w:rPr>
                <w:rFonts w:hint="eastAsia"/>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在建工程</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363.42</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负债合计</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lang w:val="en-US" w:eastAsia="zh-CN"/>
              </w:rPr>
              <w:t>1203.40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sz w:val="21"/>
              </w:rPr>
            </w:pPr>
            <w:r>
              <w:rPr>
                <w:rFonts w:hint="eastAsia"/>
                <w:sz w:val="21"/>
              </w:rPr>
              <w:t>无形资产净值</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10.80</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eastAsia="仿宋_GB2312"/>
                <w:sz w:val="21"/>
                <w:lang w:eastAsia="zh-CN"/>
              </w:rPr>
            </w:pPr>
            <w:r>
              <w:rPr>
                <w:rFonts w:hint="eastAsia"/>
                <w:sz w:val="21"/>
              </w:rPr>
              <w:t>累计盈余</w:t>
            </w:r>
            <w:r>
              <w:rPr>
                <w:rFonts w:hint="eastAsia"/>
                <w:sz w:val="21"/>
                <w:lang w:eastAsia="zh-CN"/>
              </w:rPr>
              <w:t>（</w:t>
            </w:r>
            <w:r>
              <w:rPr>
                <w:rFonts w:hint="eastAsia"/>
                <w:sz w:val="21"/>
                <w:lang w:val="en-US" w:eastAsia="zh-CN"/>
              </w:rPr>
              <w:t>非限定性净资产</w:t>
            </w:r>
            <w:r>
              <w:rPr>
                <w:rFonts w:hint="eastAsia"/>
                <w:sz w:val="21"/>
                <w:lang w:eastAsia="zh-CN"/>
              </w:rPr>
              <w:t>）</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1561.48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57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资产合计</w:t>
            </w:r>
          </w:p>
        </w:tc>
        <w:tc>
          <w:tcPr>
            <w:tcW w:w="191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
                <w:bCs/>
                <w:sz w:val="21"/>
                <w:lang w:val="en-US" w:eastAsia="zh-CN"/>
              </w:rPr>
            </w:pPr>
            <w:r>
              <w:rPr>
                <w:rFonts w:hint="eastAsia"/>
                <w:b/>
                <w:bCs/>
                <w:sz w:val="21"/>
                <w:lang w:val="en-US" w:eastAsia="zh-CN"/>
              </w:rPr>
              <w:t>2764.88</w:t>
            </w:r>
          </w:p>
        </w:tc>
        <w:tc>
          <w:tcPr>
            <w:tcW w:w="2525"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rPr>
              <w:t>净资产合计</w:t>
            </w:r>
          </w:p>
        </w:tc>
        <w:tc>
          <w:tcPr>
            <w:tcW w:w="1864"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
                <w:bCs/>
                <w:sz w:val="21"/>
              </w:rPr>
            </w:pPr>
            <w:r>
              <w:rPr>
                <w:rFonts w:hint="eastAsia"/>
                <w:b/>
                <w:bCs/>
                <w:sz w:val="21"/>
                <w:lang w:val="en-US" w:eastAsia="zh-CN"/>
              </w:rPr>
              <w:t>1561.48</w:t>
            </w:r>
          </w:p>
        </w:tc>
      </w:tr>
    </w:tbl>
    <w:p>
      <w:pPr>
        <w:pStyle w:val="4"/>
        <w:keepNext/>
        <w:keepLines/>
        <w:pageBreakBefore w:val="0"/>
        <w:widowControl w:val="0"/>
        <w:kinsoku/>
        <w:wordWrap/>
        <w:overflowPunct/>
        <w:topLinePunct w:val="0"/>
        <w:autoSpaceDE/>
        <w:autoSpaceDN/>
        <w:bidi w:val="0"/>
        <w:adjustRightInd/>
        <w:snapToGrid/>
        <w:spacing w:before="219" w:beforeLines="50"/>
        <w:ind w:firstLine="643"/>
        <w:textAlignment w:val="auto"/>
        <w:rPr>
          <w:rFonts w:ascii="Times New Roman" w:hAnsi="Times New Roman"/>
        </w:rPr>
      </w:pPr>
      <w:bookmarkStart w:id="28" w:name="_Toc30160"/>
      <w:r>
        <w:rPr>
          <w:rFonts w:hint="eastAsia" w:ascii="Times New Roman" w:hAnsi="Times New Roman"/>
        </w:rPr>
        <w:t>（</w:t>
      </w:r>
      <w:r>
        <w:rPr>
          <w:rFonts w:hint="eastAsia" w:ascii="Times New Roman" w:hAnsi="Times New Roman"/>
          <w:lang w:val="en-US" w:eastAsia="zh-CN"/>
        </w:rPr>
        <w:t>四</w:t>
      </w:r>
      <w:r>
        <w:rPr>
          <w:rFonts w:hint="eastAsia" w:ascii="Times New Roman" w:hAnsi="Times New Roman"/>
        </w:rPr>
        <w:t>）部门年度工作</w:t>
      </w:r>
      <w:bookmarkEnd w:id="26"/>
      <w:r>
        <w:rPr>
          <w:rFonts w:hint="eastAsia" w:ascii="Times New Roman" w:hAnsi="Times New Roman"/>
        </w:rPr>
        <w:t>目标</w:t>
      </w:r>
      <w:bookmarkEnd w:id="27"/>
      <w:bookmarkEnd w:id="28"/>
    </w:p>
    <w:p>
      <w:pPr>
        <w:keepNext w:val="0"/>
        <w:keepLines w:val="0"/>
        <w:pageBreakBefore w:val="0"/>
        <w:widowControl w:val="0"/>
        <w:kinsoku/>
        <w:wordWrap/>
        <w:overflowPunct/>
        <w:topLinePunct w:val="0"/>
        <w:autoSpaceDE/>
        <w:autoSpaceDN/>
        <w:bidi w:val="0"/>
        <w:adjustRightInd/>
        <w:snapToGrid/>
        <w:ind w:firstLine="640"/>
        <w:textAlignment w:val="auto"/>
        <w:rPr>
          <w:rFonts w:hint="default" w:eastAsia="仿宋_GB2312"/>
          <w:lang w:val="en-US" w:eastAsia="zh-CN"/>
        </w:rPr>
      </w:pPr>
      <w:r>
        <w:rPr>
          <w:rFonts w:hint="eastAsia"/>
          <w:lang w:val="en-US" w:eastAsia="zh-CN"/>
        </w:rPr>
        <w:t>鉴于2020年区卫健局编制的《部门整体支出绩效目标申报表》在完整性和明确性方面存在不足，评价组为保证本次绩效评价结果合理化，根据区卫健局部门职能职责、2020年重点工作计划、部门中长期规划等对部门绩效目标重新进行了梳理。梳理情况如下：</w:t>
      </w:r>
    </w:p>
    <w:p>
      <w:pPr>
        <w:ind w:firstLine="640"/>
        <w:rPr>
          <w:rFonts w:hint="default" w:eastAsia="仿宋_GB2312"/>
          <w:b w:val="0"/>
          <w:bCs w:val="0"/>
          <w:lang w:val="en-US" w:eastAsia="zh-CN"/>
        </w:rPr>
      </w:pPr>
      <w:r>
        <w:rPr>
          <w:rFonts w:hint="eastAsia"/>
          <w:b w:val="0"/>
          <w:bCs w:val="0"/>
          <w:lang w:val="en-US" w:eastAsia="zh-CN"/>
        </w:rPr>
        <w:t>1</w:t>
      </w:r>
      <w:r>
        <w:rPr>
          <w:b w:val="0"/>
          <w:bCs w:val="0"/>
        </w:rPr>
        <w:t>．</w:t>
      </w:r>
      <w:r>
        <w:rPr>
          <w:rFonts w:hint="eastAsia"/>
          <w:b w:val="0"/>
          <w:bCs w:val="0"/>
          <w:lang w:val="en-US" w:eastAsia="zh-CN"/>
        </w:rPr>
        <w:t>年度部门绩效目标</w:t>
      </w:r>
    </w:p>
    <w:p>
      <w:pPr>
        <w:ind w:firstLine="640"/>
      </w:pPr>
      <w:r>
        <w:rPr>
          <w:rFonts w:hint="eastAsia"/>
        </w:rPr>
        <w:t>（1）</w:t>
      </w:r>
      <w:r>
        <w:rPr>
          <w:rFonts w:hint="eastAsia"/>
          <w:lang w:val="en-US" w:eastAsia="zh-CN"/>
        </w:rPr>
        <w:t>完成云岩区健康扶贫“万医下基层”大型义诊活动3次</w:t>
      </w:r>
      <w:r>
        <w:rPr>
          <w:rFonts w:hint="eastAsia"/>
        </w:rPr>
        <w:t>。</w:t>
      </w:r>
    </w:p>
    <w:p>
      <w:pPr>
        <w:ind w:firstLine="640"/>
      </w:pPr>
      <w:r>
        <w:rPr>
          <w:rFonts w:hint="eastAsia"/>
        </w:rPr>
        <w:t>（2）</w:t>
      </w:r>
      <w:r>
        <w:rPr>
          <w:rFonts w:hint="eastAsia"/>
          <w:lang w:val="en-US" w:eastAsia="zh-CN"/>
        </w:rPr>
        <w:t>2020年9月前安排全区医技人员完成继续医学教育学分培训</w:t>
      </w:r>
      <w:r>
        <w:rPr>
          <w:rFonts w:hint="eastAsia"/>
        </w:rPr>
        <w:t>。</w:t>
      </w:r>
    </w:p>
    <w:p>
      <w:pPr>
        <w:ind w:firstLine="640"/>
      </w:pPr>
      <w:r>
        <w:rPr>
          <w:rFonts w:hint="eastAsia"/>
        </w:rPr>
        <w:t>（3</w:t>
      </w:r>
      <w:r>
        <w:rPr>
          <w:rFonts w:hint="eastAsia"/>
          <w:lang w:eastAsia="zh-CN"/>
        </w:rPr>
        <w:t>）</w:t>
      </w:r>
      <w:r>
        <w:rPr>
          <w:rFonts w:hint="eastAsia"/>
          <w:lang w:val="en-US" w:eastAsia="zh-CN"/>
        </w:rPr>
        <w:t>完成市级下达的社区卫生服务中心标准化建设</w:t>
      </w:r>
      <w:r>
        <w:rPr>
          <w:rFonts w:hint="eastAsia"/>
        </w:rPr>
        <w:t>。</w:t>
      </w:r>
    </w:p>
    <w:p>
      <w:pPr>
        <w:ind w:firstLine="640"/>
      </w:pPr>
      <w:r>
        <w:rPr>
          <w:rFonts w:hint="eastAsia"/>
        </w:rPr>
        <w:t>（4）</w:t>
      </w:r>
      <w:r>
        <w:rPr>
          <w:rFonts w:hint="eastAsia"/>
          <w:lang w:val="en-US" w:eastAsia="zh-CN"/>
        </w:rPr>
        <w:t>2020年底，确保符合治疗条件的艾滋病感染者接受抗病毒治疗比例达80%及以上，接受艾滋病抗病毒治疗的感染者病毒载量检测比例达80%及以上，成功率达90%及以上，参加戒毒物维持治疗者的治疗年保持率达到80%及以上，HIV、HCV梅毒三项检测率达到80%以上</w:t>
      </w:r>
      <w:r>
        <w:rPr>
          <w:rFonts w:hint="eastAsia"/>
        </w:rPr>
        <w:t>。</w:t>
      </w:r>
    </w:p>
    <w:p>
      <w:pPr>
        <w:ind w:firstLine="640"/>
      </w:pPr>
      <w:r>
        <w:rPr>
          <w:rFonts w:hint="eastAsia"/>
        </w:rPr>
        <w:t>（5）</w:t>
      </w:r>
      <w:r>
        <w:rPr>
          <w:rFonts w:hint="eastAsia"/>
          <w:lang w:val="en-US" w:eastAsia="zh-CN"/>
        </w:rPr>
        <w:t>开展可疑线索排查工作，严重精神障碍患者检出率达到4‰工作目标</w:t>
      </w:r>
      <w:r>
        <w:rPr>
          <w:rFonts w:hint="eastAsia"/>
        </w:rPr>
        <w:t>。</w:t>
      </w:r>
    </w:p>
    <w:p>
      <w:pPr>
        <w:ind w:firstLine="640"/>
      </w:pPr>
      <w:r>
        <w:rPr>
          <w:rFonts w:hint="eastAsia"/>
        </w:rPr>
        <w:t>（6）</w:t>
      </w:r>
      <w:r>
        <w:rPr>
          <w:rFonts w:hint="eastAsia"/>
          <w:lang w:val="en-US" w:eastAsia="zh-CN"/>
        </w:rPr>
        <w:t>确保免疫规划目标儿童麻疹发病率低于1/100万，维持无脊灰状态</w:t>
      </w:r>
      <w:r>
        <w:rPr>
          <w:rFonts w:hint="eastAsia"/>
        </w:rPr>
        <w:t>。</w:t>
      </w:r>
    </w:p>
    <w:p>
      <w:pPr>
        <w:ind w:firstLine="640"/>
      </w:pPr>
      <w:r>
        <w:rPr>
          <w:rFonts w:hint="eastAsia"/>
        </w:rPr>
        <w:t>（7）</w:t>
      </w:r>
      <w:r>
        <w:rPr>
          <w:rFonts w:hint="eastAsia"/>
          <w:lang w:val="en-US" w:eastAsia="zh-CN"/>
        </w:rPr>
        <w:t>开展传染病预防控制工作，2020年12月底，甲、乙、丙类传染病总发病率低于上年水平，手足口病死亡率逐步下降，不发生甲、乙类传染病暴发疫情</w:t>
      </w:r>
      <w:r>
        <w:rPr>
          <w:rFonts w:hint="eastAsia"/>
        </w:rPr>
        <w:t>。</w:t>
      </w:r>
    </w:p>
    <w:p>
      <w:pPr>
        <w:ind w:firstLine="640"/>
      </w:pPr>
      <w:r>
        <w:rPr>
          <w:rFonts w:hint="eastAsia"/>
        </w:rPr>
        <w:t>（8）</w:t>
      </w:r>
      <w:r>
        <w:rPr>
          <w:rFonts w:hint="eastAsia"/>
          <w:lang w:val="en-US" w:eastAsia="zh-CN"/>
        </w:rPr>
        <w:t>按市级要求，完成公立托育机构至少1家，完成民办托育机构至少1—2家</w:t>
      </w:r>
      <w:r>
        <w:rPr>
          <w:rFonts w:hint="eastAsia"/>
        </w:rPr>
        <w:t>。</w:t>
      </w:r>
    </w:p>
    <w:p>
      <w:pPr>
        <w:ind w:firstLine="640"/>
      </w:pPr>
      <w:r>
        <w:rPr>
          <w:rFonts w:hint="eastAsia"/>
        </w:rPr>
        <w:t>（9）</w:t>
      </w:r>
      <w:r>
        <w:rPr>
          <w:rFonts w:hint="eastAsia"/>
          <w:lang w:val="en-US" w:eastAsia="zh-CN"/>
        </w:rPr>
        <w:t>全面加强基层医疗机构妇幼健康门诊规范化建设、力争乡镇卫生院和社区卫生服务中心妇幼健康门诊规范化建设率达100%</w:t>
      </w:r>
      <w:r>
        <w:rPr>
          <w:rFonts w:hint="eastAsia"/>
        </w:rPr>
        <w:t>。</w:t>
      </w:r>
    </w:p>
    <w:p>
      <w:pPr>
        <w:ind w:firstLine="640"/>
        <w:rPr>
          <w:rFonts w:hint="eastAsia"/>
        </w:rPr>
      </w:pPr>
      <w:r>
        <w:rPr>
          <w:rFonts w:hint="eastAsia"/>
        </w:rPr>
        <w:t>（10）</w:t>
      </w:r>
      <w:r>
        <w:rPr>
          <w:rFonts w:hint="eastAsia"/>
          <w:lang w:val="en-US" w:eastAsia="zh-CN"/>
        </w:rPr>
        <w:t>全面开展生育全程基本医疗保健服务工作，力争实现孕产妇系统管理率、住院分娩率分别稳定在95%、99%以上；孕产妇死亡率、婴儿死亡率和5岁以下儿童死亡率分别控制在18/10万、7.5‰、9.5‰以内</w:t>
      </w:r>
      <w:r>
        <w:rPr>
          <w:rFonts w:hint="eastAsia"/>
        </w:rPr>
        <w:t>。</w:t>
      </w:r>
    </w:p>
    <w:p>
      <w:pPr>
        <w:pStyle w:val="2"/>
        <w:rPr>
          <w:rFonts w:hint="eastAsia"/>
          <w:lang w:val="en-US" w:eastAsia="zh-CN"/>
        </w:rPr>
      </w:pPr>
      <w:r>
        <w:rPr>
          <w:rFonts w:hint="eastAsia"/>
          <w:lang w:eastAsia="zh-CN"/>
        </w:rPr>
        <w:t>（</w:t>
      </w:r>
      <w:r>
        <w:rPr>
          <w:rFonts w:hint="eastAsia"/>
          <w:lang w:val="en-US" w:eastAsia="zh-CN"/>
        </w:rPr>
        <w:t>11</w:t>
      </w:r>
      <w:r>
        <w:rPr>
          <w:rFonts w:hint="eastAsia"/>
          <w:lang w:eastAsia="zh-CN"/>
        </w:rPr>
        <w:t>）</w:t>
      </w:r>
      <w:r>
        <w:rPr>
          <w:rFonts w:hint="eastAsia"/>
          <w:lang w:val="en-US" w:eastAsia="zh-CN"/>
        </w:rPr>
        <w:t>推动实施生育健康促进计划，降低出生缺陷率。</w:t>
      </w:r>
    </w:p>
    <w:p>
      <w:pPr>
        <w:ind w:firstLine="640"/>
        <w:rPr>
          <w:rFonts w:hint="eastAsia"/>
          <w:lang w:val="en-US" w:eastAsia="zh-CN"/>
        </w:rPr>
      </w:pPr>
      <w:r>
        <w:rPr>
          <w:rFonts w:hint="eastAsia"/>
          <w:lang w:val="en-US" w:eastAsia="zh-CN"/>
        </w:rPr>
        <w:t>2</w:t>
      </w:r>
      <w:r>
        <w:t>．</w:t>
      </w:r>
      <w:r>
        <w:rPr>
          <w:rFonts w:hint="eastAsia"/>
          <w:lang w:val="en-US" w:eastAsia="zh-CN"/>
        </w:rPr>
        <w:t>部门绩效指标</w:t>
      </w:r>
    </w:p>
    <w:p>
      <w:pPr>
        <w:ind w:firstLine="640"/>
        <w:rPr>
          <w:rFonts w:eastAsia="黑体" w:cs="Times New Roman"/>
          <w:bCs/>
          <w:sz w:val="24"/>
          <w:szCs w:val="24"/>
        </w:rPr>
      </w:pPr>
      <w:r>
        <w:rPr>
          <w:rFonts w:hint="eastAsia"/>
          <w:kern w:val="28"/>
        </w:rPr>
        <w:t>部门年度绩绩效指标详见表1-</w:t>
      </w:r>
      <w:r>
        <w:rPr>
          <w:rFonts w:hint="eastAsia"/>
          <w:kern w:val="28"/>
          <w:lang w:val="en-US" w:eastAsia="zh-CN"/>
        </w:rPr>
        <w:t>4</w:t>
      </w:r>
      <w:r>
        <w:rPr>
          <w:rFonts w:hint="eastAsia"/>
          <w:kern w:val="28"/>
        </w:rPr>
        <w:t>：</w:t>
      </w:r>
    </w:p>
    <w:p>
      <w:pPr>
        <w:pStyle w:val="60"/>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textAlignment w:val="auto"/>
        <w:rPr>
          <w:rStyle w:val="31"/>
          <w:rFonts w:hint="default"/>
          <w:lang w:val="en-US" w:eastAsia="zh-CN"/>
        </w:rPr>
      </w:pPr>
      <w:r>
        <w:rPr>
          <w:rStyle w:val="31"/>
        </w:rPr>
        <w:t>表1-</w:t>
      </w:r>
      <w:r>
        <w:rPr>
          <w:rStyle w:val="31"/>
          <w:rFonts w:hint="eastAsia"/>
          <w:lang w:val="en-US" w:eastAsia="zh-CN"/>
        </w:rPr>
        <w:t>4：</w:t>
      </w:r>
      <w:r>
        <w:rPr>
          <w:rStyle w:val="31"/>
        </w:rPr>
        <w:t>部门整体绩效目标表</w:t>
      </w:r>
    </w:p>
    <w:tbl>
      <w:tblPr>
        <w:tblStyle w:val="25"/>
        <w:tblW w:w="903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1533"/>
        <w:gridCol w:w="3718"/>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blHeader/>
        </w:trPr>
        <w:tc>
          <w:tcPr>
            <w:tcW w:w="1861"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一级指标</w:t>
            </w:r>
          </w:p>
        </w:tc>
        <w:tc>
          <w:tcPr>
            <w:tcW w:w="1533"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二级指标</w:t>
            </w:r>
          </w:p>
        </w:tc>
        <w:tc>
          <w:tcPr>
            <w:tcW w:w="3718"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三级指标</w:t>
            </w:r>
          </w:p>
        </w:tc>
        <w:tc>
          <w:tcPr>
            <w:tcW w:w="1926"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
                <w:sz w:val="21"/>
                <w:lang w:val="en-US" w:eastAsia="zh-CN" w:bidi="ar"/>
              </w:rPr>
            </w:pPr>
            <w:r>
              <w:rPr>
                <w:rFonts w:hint="eastAsia"/>
                <w:b/>
                <w:sz w:val="21"/>
                <w:lang w:val="en-US" w:eastAsia="zh-CN"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861"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kern w:val="0"/>
                <w:sz w:val="21"/>
                <w:lang w:val="en-US" w:eastAsia="zh-CN"/>
              </w:rPr>
            </w:pPr>
            <w:r>
              <w:rPr>
                <w:kern w:val="0"/>
                <w:sz w:val="21"/>
              </w:rPr>
              <w:t>产出</w:t>
            </w:r>
            <w:r>
              <w:rPr>
                <w:rFonts w:hint="eastAsia"/>
                <w:kern w:val="0"/>
                <w:sz w:val="21"/>
                <w:lang w:val="en-US" w:eastAsia="zh-CN"/>
              </w:rPr>
              <w:t>指标</w:t>
            </w:r>
          </w:p>
        </w:tc>
        <w:tc>
          <w:tcPr>
            <w:tcW w:w="1533"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rPr>
              <w:t>数量指标</w:t>
            </w: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医政医管工作任务完成率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婴幼儿照护服务托育机构建设</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＞2家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社区卫生服务中心标准化建设完成率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bidi="ar-SA"/>
              </w:rPr>
              <w:t>目标儿童预防接种工作完成率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highlight w:val="none"/>
                <w:lang w:val="en-US" w:eastAsia="zh-CN" w:bidi="ar-SA"/>
              </w:rPr>
              <w:t>信息化建设完成率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szCs w:val="20"/>
                <w:lang w:val="en-US" w:eastAsia="zh-CN"/>
              </w:rPr>
              <w:t>重点项目完成率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kern w:val="0"/>
                <w:sz w:val="21"/>
                <w:lang w:val="en-US" w:eastAsia="zh-CN"/>
              </w:rPr>
            </w:pPr>
            <w:r>
              <w:rPr>
                <w:rFonts w:hint="eastAsia"/>
                <w:kern w:val="0"/>
                <w:sz w:val="21"/>
                <w:lang w:val="en-US" w:eastAsia="zh-CN"/>
              </w:rPr>
              <w:t>质量指标</w:t>
            </w: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kern w:val="0"/>
                <w:sz w:val="21"/>
                <w:szCs w:val="21"/>
                <w:lang w:val="en-US" w:eastAsia="zh-CN"/>
              </w:rPr>
              <w:t>项目验收合格率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kern w:val="0"/>
                <w:sz w:val="21"/>
                <w:szCs w:val="21"/>
                <w:lang w:val="en-US" w:eastAsia="zh-CN"/>
              </w:rPr>
              <w:t>妇幼工作完成质量</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kern w:val="0"/>
                <w:sz w:val="21"/>
                <w:szCs w:val="21"/>
                <w:lang w:val="en-US" w:eastAsia="zh-CN"/>
              </w:rPr>
              <w:t>目标儿童麻疹发病率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bCs/>
                <w:sz w:val="21"/>
                <w:lang w:val="en-US" w:eastAsia="zh-CN"/>
              </w:rPr>
              <w:t>＜1/100万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rPr>
              <w:t>时效指标</w:t>
            </w: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lang w:val="en-US" w:eastAsia="zh-CN"/>
              </w:rPr>
              <w:t>重点工作完成及时性</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bCs/>
                <w:sz w:val="21"/>
                <w:lang w:val="en-US" w:eastAsia="zh-CN"/>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861"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kern w:val="0"/>
                <w:sz w:val="21"/>
                <w:lang w:val="en-US" w:eastAsia="zh-CN"/>
              </w:rPr>
            </w:pPr>
            <w:r>
              <w:rPr>
                <w:kern w:val="0"/>
                <w:sz w:val="21"/>
              </w:rPr>
              <w:t>效</w:t>
            </w:r>
            <w:r>
              <w:rPr>
                <w:rFonts w:hint="eastAsia"/>
                <w:kern w:val="0"/>
                <w:sz w:val="21"/>
              </w:rPr>
              <w:t>益</w:t>
            </w:r>
            <w:r>
              <w:rPr>
                <w:rFonts w:hint="eastAsia"/>
                <w:kern w:val="0"/>
                <w:sz w:val="21"/>
                <w:lang w:val="en-US" w:eastAsia="zh-CN"/>
              </w:rPr>
              <w:t>指标</w:t>
            </w:r>
          </w:p>
        </w:tc>
        <w:tc>
          <w:tcPr>
            <w:tcW w:w="1533"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社会效益</w:t>
            </w: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提升区域公共卫生服务水平</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ascii="Times New Roman" w:hAnsi="Times New Roman" w:eastAsia="仿宋_GB2312" w:cs="Times New Roman"/>
                <w:color w:val="auto"/>
                <w:kern w:val="0"/>
                <w:sz w:val="21"/>
                <w:szCs w:val="21"/>
                <w:highlight w:val="none"/>
                <w:lang w:val="en-US" w:eastAsia="zh-CN" w:bidi="ar-SA"/>
              </w:rPr>
              <w:t>艾滋病</w:t>
            </w:r>
            <w:r>
              <w:rPr>
                <w:rFonts w:hint="eastAsia" w:cs="Times New Roman"/>
                <w:color w:val="auto"/>
                <w:kern w:val="0"/>
                <w:sz w:val="21"/>
                <w:szCs w:val="21"/>
                <w:highlight w:val="none"/>
                <w:lang w:val="en-US" w:eastAsia="zh-CN" w:bidi="ar-SA"/>
              </w:rPr>
              <w:t>防治及检测效益</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lang w:val="en-US" w:eastAsia="zh-CN"/>
              </w:rPr>
              <w:t>传染病预防控制效果</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z w:val="21"/>
                <w:lang w:val="en-US" w:eastAsia="zh-CN"/>
              </w:rPr>
            </w:pPr>
            <w:r>
              <w:rPr>
                <w:rFonts w:hint="eastAsia"/>
                <w:sz w:val="21"/>
                <w:lang w:val="en-US" w:eastAsia="zh-CN"/>
              </w:rPr>
              <w:t>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highlight w:val="none"/>
                <w:lang w:val="en-US" w:eastAsia="zh-CN"/>
              </w:rPr>
              <w:t>降低出生缺陷发生率</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bCs/>
                <w:sz w:val="21"/>
                <w:lang w:val="en-US" w:eastAsia="zh-CN"/>
              </w:rPr>
              <w:t>＜上年度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33"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cs="Times New Roman"/>
                <w:kern w:val="0"/>
                <w:sz w:val="21"/>
                <w:szCs w:val="21"/>
                <w:lang w:val="en-US" w:eastAsia="zh-CN"/>
              </w:rPr>
            </w:pPr>
            <w:r>
              <w:rPr>
                <w:rFonts w:hint="eastAsia" w:cs="Times New Roman"/>
                <w:kern w:val="0"/>
                <w:sz w:val="21"/>
                <w:szCs w:val="21"/>
                <w:lang w:val="en-US" w:eastAsia="zh-CN"/>
              </w:rPr>
              <w:t>可持续影响</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cs="Times New Roman"/>
                <w:kern w:val="0"/>
                <w:sz w:val="21"/>
                <w:szCs w:val="21"/>
                <w:lang w:val="en-US" w:eastAsia="zh-CN"/>
              </w:rPr>
              <w:t>指标</w:t>
            </w: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cs="Times New Roman"/>
                <w:kern w:val="0"/>
                <w:sz w:val="21"/>
                <w:szCs w:val="21"/>
                <w:lang w:val="en-US" w:eastAsia="zh-CN"/>
              </w:rPr>
              <w:t>中期规划建设完备性</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bCs/>
                <w:sz w:val="21"/>
                <w:lang w:val="en-US" w:eastAsia="zh-CN"/>
              </w:rPr>
              <w:t>完备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szCs w:val="20"/>
              </w:rPr>
              <w:t>部门内部能力建设</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bCs/>
                <w:sz w:val="21"/>
                <w:lang w:val="en-US" w:eastAsia="zh-CN"/>
              </w:rPr>
              <w:t>持续推进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33"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lang w:val="en-US" w:eastAsia="zh-CN"/>
              </w:rPr>
              <w:t>服务对象</w:t>
            </w:r>
            <w:r>
              <w:rPr>
                <w:kern w:val="0"/>
                <w:sz w:val="21"/>
              </w:rPr>
              <w:t>满意度</w:t>
            </w: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cs="Times New Roman"/>
                <w:color w:val="auto"/>
                <w:kern w:val="0"/>
                <w:sz w:val="21"/>
                <w:szCs w:val="21"/>
                <w:highlight w:val="none"/>
                <w:lang w:val="en-US" w:eastAsia="zh-CN"/>
              </w:rPr>
              <w:t>部门工作人员满意度</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bCs/>
                <w:sz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861"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33"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18"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lang w:val="en-US" w:eastAsia="zh-CN"/>
              </w:rPr>
              <w:t>受益群体满意度</w:t>
            </w:r>
          </w:p>
        </w:tc>
        <w:tc>
          <w:tcPr>
            <w:tcW w:w="1926"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≥90%</w:t>
            </w:r>
          </w:p>
        </w:tc>
      </w:tr>
    </w:tbl>
    <w:p>
      <w:pPr>
        <w:pStyle w:val="3"/>
        <w:keepNext/>
        <w:keepLines/>
        <w:pageBreakBefore w:val="0"/>
        <w:widowControl w:val="0"/>
        <w:kinsoku/>
        <w:wordWrap/>
        <w:overflowPunct/>
        <w:topLinePunct w:val="0"/>
        <w:autoSpaceDE/>
        <w:autoSpaceDN/>
        <w:bidi w:val="0"/>
        <w:adjustRightInd/>
        <w:snapToGrid/>
        <w:spacing w:before="120"/>
        <w:ind w:firstLine="640"/>
        <w:textAlignment w:val="auto"/>
      </w:pPr>
      <w:bookmarkStart w:id="29" w:name="_Toc22348"/>
      <w:bookmarkStart w:id="30" w:name="_Toc25817"/>
      <w:r>
        <w:t>二、</w:t>
      </w:r>
      <w:bookmarkEnd w:id="23"/>
      <w:bookmarkEnd w:id="29"/>
      <w:bookmarkEnd w:id="30"/>
      <w:bookmarkStart w:id="31" w:name="_Toc10756"/>
      <w:bookmarkStart w:id="32" w:name="_Toc21260"/>
      <w:bookmarkStart w:id="33" w:name="_Toc15390457"/>
      <w:bookmarkStart w:id="34" w:name="_Toc15389991"/>
      <w:bookmarkStart w:id="35" w:name="_Toc15391162"/>
      <w:bookmarkStart w:id="36" w:name="_Toc25143"/>
      <w:bookmarkStart w:id="37" w:name="_Toc15390076"/>
      <w:bookmarkStart w:id="38" w:name="_Toc15390237"/>
      <w:bookmarkStart w:id="39" w:name="_Toc123"/>
      <w:bookmarkStart w:id="40" w:name="_Toc15390507"/>
      <w:bookmarkStart w:id="41" w:name="_Toc15391321"/>
      <w:bookmarkStart w:id="42" w:name="_Toc22975"/>
      <w:bookmarkStart w:id="43" w:name="_Toc15390286"/>
      <w:r>
        <w:t>综合评价情况及</w:t>
      </w:r>
      <w:bookmarkStart w:id="76" w:name="_GoBack"/>
      <w:bookmarkEnd w:id="76"/>
      <w:r>
        <w:t>结论</w:t>
      </w:r>
      <w:bookmarkEnd w:id="31"/>
      <w:bookmarkEnd w:id="32"/>
    </w:p>
    <w:p>
      <w:pPr>
        <w:pStyle w:val="4"/>
        <w:ind w:firstLine="643"/>
        <w:rPr>
          <w:rFonts w:ascii="Times New Roman" w:hAnsi="Times New Roman"/>
        </w:rPr>
      </w:pPr>
      <w:bookmarkStart w:id="44" w:name="_Toc22721"/>
      <w:bookmarkStart w:id="45" w:name="_Toc11405"/>
      <w:r>
        <w:rPr>
          <w:rFonts w:ascii="Times New Roman" w:hAnsi="Times New Roman"/>
        </w:rPr>
        <w:t>（一）评价评分情况</w:t>
      </w:r>
      <w:bookmarkEnd w:id="44"/>
      <w:bookmarkEnd w:id="45"/>
    </w:p>
    <w:p>
      <w:pPr>
        <w:ind w:firstLine="640"/>
        <w:rPr>
          <w:rStyle w:val="31"/>
        </w:rPr>
      </w:pPr>
      <w:r>
        <w:rPr>
          <w:rFonts w:hint="eastAsia"/>
        </w:rPr>
        <w:t>贵阳业越</w:t>
      </w:r>
      <w:r>
        <w:t>根据既定评价指标体系对20</w:t>
      </w:r>
      <w:r>
        <w:rPr>
          <w:rFonts w:hint="eastAsia"/>
          <w:lang w:val="en-US" w:eastAsia="zh-CN"/>
        </w:rPr>
        <w:t>20</w:t>
      </w:r>
      <w:r>
        <w:t>年</w:t>
      </w:r>
      <w:r>
        <w:rPr>
          <w:rFonts w:hint="eastAsia"/>
          <w:bCs/>
          <w:lang w:val="en-US" w:eastAsia="zh-CN"/>
        </w:rPr>
        <w:t>区卫健局</w:t>
      </w:r>
      <w:r>
        <w:t>部门整体支出进行了综合评价</w:t>
      </w:r>
      <w:r>
        <w:rPr>
          <w:rFonts w:hint="eastAsia"/>
        </w:rPr>
        <w:t>，</w:t>
      </w:r>
      <w:r>
        <w:t>各指标评分情况见表</w:t>
      </w:r>
      <w:r>
        <w:rPr>
          <w:rFonts w:hint="eastAsia"/>
          <w:lang w:val="en-US" w:eastAsia="zh-CN"/>
        </w:rPr>
        <w:t>2</w:t>
      </w:r>
      <w:r>
        <w:t>-1</w:t>
      </w:r>
      <w:r>
        <w:rPr>
          <w:rFonts w:hint="eastAsia"/>
          <w:szCs w:val="24"/>
          <w:lang w:val="en-US" w:eastAsia="zh-CN"/>
        </w:rPr>
        <w:t>：</w:t>
      </w:r>
      <w:bookmarkStart w:id="46" w:name="_Toc12723"/>
      <w:bookmarkStart w:id="47" w:name="_Toc17777"/>
      <w:bookmarkStart w:id="48" w:name="_Toc31518"/>
    </w:p>
    <w:p>
      <w:pPr>
        <w:pStyle w:val="60"/>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textAlignment w:val="auto"/>
        <w:rPr>
          <w:rStyle w:val="31"/>
          <w:kern w:val="2"/>
          <w:szCs w:val="21"/>
        </w:rPr>
      </w:pPr>
      <w:r>
        <w:rPr>
          <w:rStyle w:val="31"/>
        </w:rPr>
        <w:t>表</w:t>
      </w:r>
      <w:r>
        <w:rPr>
          <w:rStyle w:val="31"/>
          <w:rFonts w:hint="eastAsia"/>
          <w:lang w:val="en-US" w:eastAsia="zh-CN"/>
        </w:rPr>
        <w:t>2</w:t>
      </w:r>
      <w:r>
        <w:rPr>
          <w:rStyle w:val="31"/>
        </w:rPr>
        <w:t>-1</w:t>
      </w:r>
      <w:r>
        <w:rPr>
          <w:rFonts w:hint="eastAsia"/>
          <w:szCs w:val="24"/>
          <w:lang w:val="en-US" w:eastAsia="zh-CN"/>
        </w:rPr>
        <w:t>：</w:t>
      </w:r>
      <w:r>
        <w:rPr>
          <w:rStyle w:val="31"/>
          <w:rFonts w:hint="eastAsia"/>
          <w:lang w:val="en-US" w:eastAsia="zh-CN"/>
        </w:rPr>
        <w:t>云岩区卫健局</w:t>
      </w:r>
      <w:r>
        <w:t>部门整体支出</w:t>
      </w:r>
      <w:r>
        <w:rPr>
          <w:rStyle w:val="31"/>
        </w:rPr>
        <w:t>绩效评分表</w:t>
      </w:r>
    </w:p>
    <w:tbl>
      <w:tblPr>
        <w:tblStyle w:val="25"/>
        <w:tblW w:w="883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7"/>
        <w:gridCol w:w="1562"/>
        <w:gridCol w:w="3735"/>
        <w:gridCol w:w="1222"/>
        <w:gridCol w:w="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427"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一级指标</w:t>
            </w:r>
          </w:p>
        </w:tc>
        <w:tc>
          <w:tcPr>
            <w:tcW w:w="1562"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二级指标</w:t>
            </w:r>
          </w:p>
        </w:tc>
        <w:tc>
          <w:tcPr>
            <w:tcW w:w="3735"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三级指标</w:t>
            </w:r>
          </w:p>
        </w:tc>
        <w:tc>
          <w:tcPr>
            <w:tcW w:w="1222"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b/>
                <w:sz w:val="21"/>
                <w:lang w:bidi="ar"/>
              </w:rPr>
              <w:t>分值</w:t>
            </w:r>
          </w:p>
        </w:tc>
        <w:tc>
          <w:tcPr>
            <w:tcW w:w="889" w:type="dxa"/>
            <w:shd w:val="clear" w:color="auto" w:fill="FFFFFF"/>
            <w:vAlign w:val="center"/>
          </w:tcPr>
          <w:p>
            <w:pPr>
              <w:pStyle w:val="55"/>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lang w:bidi="ar"/>
              </w:rPr>
            </w:pPr>
            <w:r>
              <w:rPr>
                <w:rFonts w:hint="eastAsia"/>
                <w:b/>
                <w:sz w:val="21"/>
                <w:lang w:bidi="ar"/>
              </w:rPr>
              <w:t>得</w:t>
            </w:r>
            <w:r>
              <w:rPr>
                <w:b/>
                <w:sz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restart"/>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bookmarkStart w:id="49" w:name="OLE_LINK3" w:colFirst="2" w:colLast="3"/>
            <w:r>
              <w:rPr>
                <w:kern w:val="0"/>
                <w:sz w:val="21"/>
              </w:rPr>
              <w:t>投入</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（1</w:t>
            </w:r>
            <w:r>
              <w:rPr>
                <w:rFonts w:hint="eastAsia"/>
                <w:kern w:val="0"/>
                <w:sz w:val="21"/>
              </w:rPr>
              <w:t>2</w:t>
            </w:r>
            <w:r>
              <w:rPr>
                <w:kern w:val="0"/>
                <w:sz w:val="21"/>
              </w:rPr>
              <w:t>分）</w:t>
            </w:r>
          </w:p>
        </w:tc>
        <w:tc>
          <w:tcPr>
            <w:tcW w:w="1562" w:type="dxa"/>
            <w:vMerge w:val="restart"/>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目标设定</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4</w:t>
            </w:r>
            <w:r>
              <w:rPr>
                <w:kern w:val="0"/>
                <w:sz w:val="21"/>
              </w:rPr>
              <w:t>分）</w:t>
            </w: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绩效目标合理性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2</w:t>
            </w:r>
          </w:p>
        </w:tc>
        <w:tc>
          <w:tcPr>
            <w:tcW w:w="889" w:type="dxa"/>
            <w:shd w:val="clear" w:color="auto" w:fill="FFFFFF"/>
            <w:vAlign w:val="center"/>
          </w:tcPr>
          <w:p>
            <w:pPr>
              <w:spacing w:line="240" w:lineRule="auto"/>
              <w:ind w:firstLine="0" w:firstLineChars="0"/>
              <w:jc w:val="center"/>
              <w:rPr>
                <w:bCs/>
                <w:sz w:val="21"/>
              </w:rPr>
            </w:pPr>
            <w:r>
              <w:rPr>
                <w:rFonts w:hint="eastAsia"/>
                <w:kern w:val="0"/>
                <w:sz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绩效指标明确性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kern w:val="0"/>
                <w:sz w:val="21"/>
                <w:lang w:val="en-US" w:eastAsia="zh-CN"/>
              </w:rPr>
              <w:t>2</w:t>
            </w:r>
          </w:p>
        </w:tc>
        <w:tc>
          <w:tcPr>
            <w:tcW w:w="889" w:type="dxa"/>
            <w:shd w:val="clear" w:color="auto" w:fill="FFFFFF"/>
            <w:vAlign w:val="center"/>
          </w:tcPr>
          <w:p>
            <w:pPr>
              <w:spacing w:line="240" w:lineRule="auto"/>
              <w:ind w:firstLine="0" w:firstLineChars="0"/>
              <w:jc w:val="center"/>
              <w:rPr>
                <w:bCs/>
                <w:sz w:val="21"/>
              </w:rPr>
            </w:pPr>
            <w:r>
              <w:rPr>
                <w:rFonts w:hint="eastAsia"/>
                <w:sz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restart"/>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预算配置</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8</w:t>
            </w:r>
            <w:r>
              <w:rPr>
                <w:kern w:val="0"/>
                <w:sz w:val="21"/>
              </w:rPr>
              <w:t>分）</w:t>
            </w: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在职人员控制率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kern w:val="0"/>
                <w:sz w:val="21"/>
                <w:lang w:val="en-US" w:eastAsia="zh-CN"/>
              </w:rPr>
              <w:t>3</w:t>
            </w:r>
          </w:p>
        </w:tc>
        <w:tc>
          <w:tcPr>
            <w:tcW w:w="889" w:type="dxa"/>
            <w:shd w:val="clear" w:color="auto" w:fill="FFFFFF"/>
            <w:vAlign w:val="center"/>
          </w:tcPr>
          <w:p>
            <w:pPr>
              <w:autoSpaceDE w:val="0"/>
              <w:snapToGrid w:val="0"/>
              <w:spacing w:line="240" w:lineRule="auto"/>
              <w:ind w:firstLine="0" w:firstLineChars="0"/>
              <w:jc w:val="center"/>
              <w:rPr>
                <w:bCs/>
                <w:sz w:val="21"/>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“三公经费”变动率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2</w:t>
            </w:r>
          </w:p>
        </w:tc>
        <w:tc>
          <w:tcPr>
            <w:tcW w:w="889" w:type="dxa"/>
            <w:shd w:val="clear" w:color="auto" w:fill="FFFFFF"/>
            <w:vAlign w:val="center"/>
          </w:tcPr>
          <w:p>
            <w:pPr>
              <w:autoSpaceDE w:val="0"/>
              <w:snapToGrid w:val="0"/>
              <w:spacing w:line="240" w:lineRule="auto"/>
              <w:ind w:firstLine="0" w:firstLineChars="0"/>
              <w:jc w:val="center"/>
              <w:rPr>
                <w:bCs/>
                <w:sz w:val="21"/>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重点支出安排率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3</w:t>
            </w:r>
          </w:p>
        </w:tc>
        <w:tc>
          <w:tcPr>
            <w:tcW w:w="889" w:type="dxa"/>
            <w:shd w:val="clear" w:color="auto" w:fill="FFFFFF"/>
            <w:vAlign w:val="center"/>
          </w:tcPr>
          <w:p>
            <w:pPr>
              <w:autoSpaceDE w:val="0"/>
              <w:snapToGrid w:val="0"/>
              <w:spacing w:before="87" w:beforeLines="20" w:line="240" w:lineRule="auto"/>
              <w:ind w:firstLine="0" w:firstLineChars="0"/>
              <w:jc w:val="center"/>
              <w:rPr>
                <w:rFonts w:hint="eastAsia" w:eastAsia="仿宋_GB2312"/>
                <w:bCs/>
                <w:sz w:val="21"/>
                <w:lang w:val="en-US" w:eastAsia="zh-CN"/>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restart"/>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过程</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25</w:t>
            </w:r>
            <w:r>
              <w:rPr>
                <w:kern w:val="0"/>
                <w:sz w:val="21"/>
              </w:rPr>
              <w:t>分）</w:t>
            </w:r>
          </w:p>
        </w:tc>
        <w:tc>
          <w:tcPr>
            <w:tcW w:w="1562" w:type="dxa"/>
            <w:vMerge w:val="restart"/>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预算执行</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（1</w:t>
            </w:r>
            <w:r>
              <w:rPr>
                <w:rFonts w:hint="eastAsia"/>
                <w:kern w:val="0"/>
                <w:sz w:val="21"/>
                <w:lang w:val="en-US" w:eastAsia="zh-CN"/>
              </w:rPr>
              <w:t>1</w:t>
            </w:r>
            <w:r>
              <w:rPr>
                <w:kern w:val="0"/>
                <w:sz w:val="21"/>
              </w:rPr>
              <w:t>分）</w:t>
            </w: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预算</w:t>
            </w:r>
            <w:r>
              <w:rPr>
                <w:rFonts w:hint="eastAsia"/>
                <w:kern w:val="0"/>
                <w:sz w:val="21"/>
                <w:lang w:val="en-US" w:eastAsia="zh-CN"/>
              </w:rPr>
              <w:t>完成</w:t>
            </w:r>
            <w:r>
              <w:rPr>
                <w:kern w:val="0"/>
                <w:sz w:val="21"/>
              </w:rPr>
              <w:t>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bCs/>
                <w:sz w:val="21"/>
              </w:rPr>
              <w:t>2</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预算调整率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bCs/>
                <w:sz w:val="21"/>
              </w:rPr>
              <w:t>2</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支付进度率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bCs/>
                <w:sz w:val="21"/>
              </w:rPr>
              <w:t>2</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结转结余率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bCs/>
                <w:sz w:val="21"/>
              </w:rPr>
              <w:t>1</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结转结余变动率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bCs/>
                <w:sz w:val="21"/>
              </w:rPr>
              <w:t>1</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公用经费控制率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1</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kern w:val="0"/>
                <w:sz w:val="21"/>
              </w:rPr>
              <w:t>“三公经费”控制率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kern w:val="0"/>
                <w:sz w:val="21"/>
                <w:lang w:val="en-US" w:eastAsia="zh-CN"/>
              </w:rPr>
              <w:t>1</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政府采购执行率</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1</w:t>
            </w:r>
          </w:p>
        </w:tc>
        <w:tc>
          <w:tcPr>
            <w:tcW w:w="889"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w:t>
            </w:r>
          </w:p>
        </w:tc>
      </w:tr>
      <w:bookmarkEnd w:id="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restart"/>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预算管理</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11</w:t>
            </w:r>
            <w:r>
              <w:rPr>
                <w:kern w:val="0"/>
                <w:sz w:val="21"/>
              </w:rPr>
              <w:t>分）</w:t>
            </w: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财务管理制度健全性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2</w:t>
            </w:r>
          </w:p>
        </w:tc>
        <w:tc>
          <w:tcPr>
            <w:tcW w:w="889"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资金使用合规性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4</w:t>
            </w:r>
          </w:p>
        </w:tc>
        <w:tc>
          <w:tcPr>
            <w:tcW w:w="889"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spacing w:val="-6"/>
                <w:kern w:val="0"/>
                <w:sz w:val="21"/>
                <w:lang w:val="en-US" w:eastAsia="zh-CN"/>
              </w:rPr>
            </w:pPr>
            <w:r>
              <w:rPr>
                <w:rFonts w:hint="eastAsia"/>
                <w:spacing w:val="-6"/>
                <w:kern w:val="0"/>
                <w:sz w:val="21"/>
                <w:lang w:val="en-US" w:eastAsia="zh-CN"/>
              </w:rPr>
              <w:t>财务管理制度执行有效性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3</w:t>
            </w:r>
          </w:p>
        </w:tc>
        <w:tc>
          <w:tcPr>
            <w:tcW w:w="889"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sz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spacing w:val="-6"/>
                <w:kern w:val="0"/>
                <w:sz w:val="21"/>
              </w:rPr>
              <w:t>预决算信息公开性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bCs/>
                <w:sz w:val="21"/>
              </w:rPr>
              <w:t>1</w:t>
            </w:r>
          </w:p>
        </w:tc>
        <w:tc>
          <w:tcPr>
            <w:tcW w:w="889"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Cs/>
                <w:sz w:val="21"/>
              </w:rPr>
            </w:pPr>
            <w:r>
              <w:rPr>
                <w:rFonts w:hint="eastAsia"/>
                <w:sz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pacing w:val="-6"/>
                <w:kern w:val="0"/>
                <w:sz w:val="21"/>
              </w:rPr>
            </w:pPr>
            <w:r>
              <w:rPr>
                <w:rFonts w:hint="eastAsia"/>
                <w:spacing w:val="-6"/>
                <w:kern w:val="0"/>
                <w:sz w:val="21"/>
              </w:rPr>
              <w:t>基础信息完善性</w:t>
            </w:r>
          </w:p>
        </w:tc>
        <w:tc>
          <w:tcPr>
            <w:tcW w:w="1222" w:type="dxa"/>
            <w:shd w:val="clear" w:color="auto" w:fill="FFFFFF"/>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bCs/>
                <w:sz w:val="21"/>
              </w:rPr>
              <w:t>1</w:t>
            </w:r>
          </w:p>
        </w:tc>
        <w:tc>
          <w:tcPr>
            <w:tcW w:w="889" w:type="dxa"/>
            <w:shd w:val="clear" w:color="auto" w:fill="FFFFFF"/>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资产管理</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3</w:t>
            </w:r>
            <w:r>
              <w:rPr>
                <w:kern w:val="0"/>
                <w:sz w:val="21"/>
              </w:rPr>
              <w:t>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资产管理制度健全性</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1</w:t>
            </w:r>
          </w:p>
        </w:tc>
        <w:tc>
          <w:tcPr>
            <w:tcW w:w="88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bCs/>
                <w:sz w:val="21"/>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资产管理安全性</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1</w:t>
            </w:r>
          </w:p>
        </w:tc>
        <w:tc>
          <w:tcPr>
            <w:tcW w:w="88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default" w:eastAsia="仿宋_GB2312"/>
                <w:bCs/>
                <w:sz w:val="21"/>
                <w:lang w:val="en-US" w:eastAsia="zh-CN"/>
              </w:rPr>
            </w:pPr>
            <w:r>
              <w:rPr>
                <w:rFonts w:hint="eastAsia"/>
                <w:sz w:val="21"/>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kern w:val="0"/>
                <w:sz w:val="21"/>
              </w:rPr>
              <w:t>固定资产利用率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eastAsia="zh-CN"/>
              </w:rPr>
            </w:pPr>
            <w:r>
              <w:rPr>
                <w:rFonts w:hint="eastAsia"/>
                <w:bCs/>
                <w:sz w:val="21"/>
                <w:lang w:val="en-US" w:eastAsia="zh-CN"/>
              </w:rPr>
              <w:t>1</w:t>
            </w:r>
          </w:p>
        </w:tc>
        <w:tc>
          <w:tcPr>
            <w:tcW w:w="889" w:type="dxa"/>
            <w:vAlign w:val="center"/>
          </w:tcPr>
          <w:p>
            <w:pPr>
              <w:keepNext w:val="0"/>
              <w:keepLines w:val="0"/>
              <w:pageBreakBefore w:val="0"/>
              <w:widowControl w:val="0"/>
              <w:kinsoku/>
              <w:wordWrap/>
              <w:overflowPunct/>
              <w:topLinePunct w:val="0"/>
              <w:autoSpaceDE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sz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427"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产出</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29</w:t>
            </w:r>
            <w:r>
              <w:rPr>
                <w:kern w:val="0"/>
                <w:sz w:val="21"/>
              </w:rPr>
              <w:t>分）</w:t>
            </w:r>
          </w:p>
        </w:tc>
        <w:tc>
          <w:tcPr>
            <w:tcW w:w="1562"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rPr>
              <w:t>数量指标</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16</w:t>
            </w:r>
            <w:r>
              <w:rPr>
                <w:kern w:val="0"/>
                <w:sz w:val="21"/>
              </w:rPr>
              <w:t>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医政医管工作任务完成率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4</w:t>
            </w:r>
          </w:p>
        </w:tc>
        <w:tc>
          <w:tcPr>
            <w:tcW w:w="889" w:type="dxa"/>
            <w:vAlign w:val="center"/>
          </w:tcPr>
          <w:p>
            <w:pPr>
              <w:spacing w:line="240" w:lineRule="auto"/>
              <w:ind w:firstLine="0" w:firstLineChars="0"/>
              <w:jc w:val="center"/>
              <w:rPr>
                <w:rFonts w:hint="eastAsia" w:eastAsia="仿宋_GB2312"/>
                <w:sz w:val="21"/>
                <w:lang w:val="en-US" w:eastAsia="zh-CN"/>
              </w:rPr>
            </w:pPr>
            <w:r>
              <w:rPr>
                <w:rFonts w:hint="eastAsia"/>
                <w:kern w:val="0"/>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婴幼儿照护服务托育机构建设</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3</w:t>
            </w:r>
          </w:p>
        </w:tc>
        <w:tc>
          <w:tcPr>
            <w:tcW w:w="889" w:type="dxa"/>
            <w:vAlign w:val="center"/>
          </w:tcPr>
          <w:p>
            <w:pPr>
              <w:spacing w:line="240" w:lineRule="auto"/>
              <w:ind w:firstLine="0" w:firstLineChars="0"/>
              <w:jc w:val="center"/>
              <w:rPr>
                <w:bCs/>
                <w:sz w:val="21"/>
              </w:rPr>
            </w:pPr>
            <w:r>
              <w:rPr>
                <w:rFonts w:hint="eastAsia"/>
                <w:sz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社区卫生服务中心标准化建设完成率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4</w:t>
            </w:r>
          </w:p>
        </w:tc>
        <w:tc>
          <w:tcPr>
            <w:tcW w:w="889" w:type="dxa"/>
            <w:vAlign w:val="center"/>
          </w:tcPr>
          <w:p>
            <w:pPr>
              <w:spacing w:line="240" w:lineRule="auto"/>
              <w:ind w:firstLine="0" w:firstLineChars="0"/>
              <w:jc w:val="center"/>
              <w:rPr>
                <w:sz w:val="21"/>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bidi="ar-SA"/>
              </w:rPr>
              <w:t>目标儿童预防接种工作完成率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2</w:t>
            </w:r>
          </w:p>
        </w:tc>
        <w:tc>
          <w:tcPr>
            <w:tcW w:w="889" w:type="dxa"/>
            <w:vAlign w:val="center"/>
          </w:tcPr>
          <w:p>
            <w:pPr>
              <w:spacing w:line="240" w:lineRule="auto"/>
              <w:ind w:firstLine="0" w:firstLineChars="0"/>
              <w:jc w:val="center"/>
              <w:rPr>
                <w:sz w:val="21"/>
              </w:rPr>
            </w:pPr>
            <w:r>
              <w:rPr>
                <w:rFonts w:hint="eastAsia"/>
                <w:sz w:val="21"/>
                <w:lang w:val="en-US" w:eastAsia="zh-CN"/>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highlight w:val="none"/>
                <w:lang w:val="en-US" w:eastAsia="zh-CN" w:bidi="ar-SA"/>
              </w:rPr>
              <w:t>信息化建设完成率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3</w:t>
            </w:r>
          </w:p>
        </w:tc>
        <w:tc>
          <w:tcPr>
            <w:tcW w:w="889" w:type="dxa"/>
            <w:vAlign w:val="center"/>
          </w:tcPr>
          <w:p>
            <w:pPr>
              <w:spacing w:line="240" w:lineRule="auto"/>
              <w:ind w:firstLine="0" w:firstLineChars="0"/>
              <w:jc w:val="center"/>
              <w:rPr>
                <w:sz w:val="21"/>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kern w:val="0"/>
                <w:sz w:val="21"/>
                <w:lang w:val="en-US" w:eastAsia="zh-CN"/>
              </w:rPr>
            </w:pPr>
            <w:r>
              <w:rPr>
                <w:rFonts w:hint="eastAsia"/>
                <w:kern w:val="0"/>
                <w:sz w:val="21"/>
                <w:lang w:val="en-US" w:eastAsia="zh-CN"/>
              </w:rPr>
              <w:t>质量指标</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kern w:val="0"/>
                <w:sz w:val="21"/>
                <w:lang w:val="en-US" w:eastAsia="zh-CN"/>
              </w:rPr>
            </w:pPr>
            <w:r>
              <w:rPr>
                <w:rFonts w:hint="eastAsia"/>
                <w:kern w:val="0"/>
                <w:sz w:val="21"/>
                <w:lang w:val="en-US" w:eastAsia="zh-CN"/>
              </w:rPr>
              <w:t>（8分）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kern w:val="0"/>
                <w:sz w:val="21"/>
                <w:szCs w:val="21"/>
                <w:lang w:val="en-US" w:eastAsia="zh-CN"/>
              </w:rPr>
              <w:t>项目验收合格率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3</w:t>
            </w:r>
          </w:p>
        </w:tc>
        <w:tc>
          <w:tcPr>
            <w:tcW w:w="889" w:type="dxa"/>
            <w:vAlign w:val="center"/>
          </w:tcPr>
          <w:p>
            <w:pPr>
              <w:spacing w:line="240" w:lineRule="auto"/>
              <w:ind w:firstLine="0" w:firstLineChars="0"/>
              <w:jc w:val="center"/>
              <w:rPr>
                <w:sz w:val="21"/>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kern w:val="0"/>
                <w:sz w:val="21"/>
                <w:szCs w:val="21"/>
                <w:lang w:val="en-US" w:eastAsia="zh-CN"/>
              </w:rPr>
              <w:t>妇幼工作完成质量</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3</w:t>
            </w:r>
          </w:p>
        </w:tc>
        <w:tc>
          <w:tcPr>
            <w:tcW w:w="889" w:type="dxa"/>
            <w:vAlign w:val="center"/>
          </w:tcPr>
          <w:p>
            <w:pPr>
              <w:spacing w:line="240" w:lineRule="auto"/>
              <w:ind w:firstLine="0" w:firstLineChars="0"/>
              <w:jc w:val="center"/>
              <w:rPr>
                <w:sz w:val="21"/>
              </w:rPr>
            </w:pPr>
            <w:r>
              <w:rPr>
                <w:rFonts w:hint="eastAsia"/>
                <w:sz w:val="21"/>
                <w:lang w:val="en-US" w:eastAsia="zh-CN"/>
              </w:rPr>
              <w:t>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kern w:val="0"/>
                <w:sz w:val="21"/>
                <w:szCs w:val="21"/>
                <w:lang w:val="en-US" w:eastAsia="zh-CN"/>
              </w:rPr>
              <w:t>目标儿童麻疹发病率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2</w:t>
            </w:r>
          </w:p>
        </w:tc>
        <w:tc>
          <w:tcPr>
            <w:tcW w:w="889" w:type="dxa"/>
            <w:vAlign w:val="center"/>
          </w:tcPr>
          <w:p>
            <w:pPr>
              <w:spacing w:line="240" w:lineRule="auto"/>
              <w:ind w:firstLine="0" w:firstLineChars="0"/>
              <w:jc w:val="center"/>
              <w:rPr>
                <w:bCs/>
                <w:sz w:val="21"/>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rPr>
              <w:t>时效指标</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（5分）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lang w:val="en-US" w:eastAsia="zh-CN"/>
              </w:rPr>
              <w:t>重点工作完成及时性</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5</w:t>
            </w:r>
          </w:p>
        </w:tc>
        <w:tc>
          <w:tcPr>
            <w:tcW w:w="889" w:type="dxa"/>
            <w:vAlign w:val="center"/>
          </w:tcPr>
          <w:p>
            <w:pPr>
              <w:autoSpaceDE w:val="0"/>
              <w:snapToGrid w:val="0"/>
              <w:spacing w:line="240" w:lineRule="auto"/>
              <w:ind w:firstLine="0" w:firstLineChars="0"/>
              <w:jc w:val="center"/>
              <w:rPr>
                <w:bCs/>
                <w:sz w:val="21"/>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427"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效</w:t>
            </w:r>
            <w:r>
              <w:rPr>
                <w:rFonts w:hint="eastAsia"/>
                <w:kern w:val="0"/>
                <w:sz w:val="21"/>
              </w:rPr>
              <w:t>益</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34</w:t>
            </w:r>
            <w:r>
              <w:rPr>
                <w:kern w:val="0"/>
                <w:sz w:val="21"/>
              </w:rPr>
              <w:t>分）</w:t>
            </w:r>
          </w:p>
        </w:tc>
        <w:tc>
          <w:tcPr>
            <w:tcW w:w="1562"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社会效益</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19</w:t>
            </w:r>
            <w:r>
              <w:rPr>
                <w:kern w:val="0"/>
                <w:sz w:val="21"/>
              </w:rPr>
              <w:t>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highlight w:val="none"/>
                <w:lang w:val="en-US" w:eastAsia="zh-CN"/>
              </w:rPr>
              <w:t>提升区域公共卫生服务水平</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6</w:t>
            </w:r>
          </w:p>
        </w:tc>
        <w:tc>
          <w:tcPr>
            <w:tcW w:w="889" w:type="dxa"/>
            <w:vAlign w:val="center"/>
          </w:tcPr>
          <w:p>
            <w:pPr>
              <w:spacing w:line="240" w:lineRule="auto"/>
              <w:ind w:firstLine="0" w:firstLineChars="0"/>
              <w:jc w:val="center"/>
              <w:rPr>
                <w:bCs/>
                <w:sz w:val="21"/>
              </w:rPr>
            </w:pPr>
            <w:r>
              <w:rPr>
                <w:rFonts w:hint="eastAsia"/>
                <w:kern w:val="0"/>
                <w:sz w:val="21"/>
                <w:lang w:val="en-US" w:eastAsia="zh-CN"/>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ascii="Times New Roman" w:hAnsi="Times New Roman" w:eastAsia="仿宋_GB2312" w:cs="Times New Roman"/>
                <w:color w:val="auto"/>
                <w:kern w:val="0"/>
                <w:sz w:val="21"/>
                <w:szCs w:val="21"/>
                <w:highlight w:val="none"/>
                <w:lang w:val="en-US" w:eastAsia="zh-CN" w:bidi="ar-SA"/>
              </w:rPr>
              <w:t>艾滋病</w:t>
            </w:r>
            <w:r>
              <w:rPr>
                <w:rFonts w:hint="eastAsia" w:cs="Times New Roman"/>
                <w:color w:val="auto"/>
                <w:kern w:val="0"/>
                <w:sz w:val="21"/>
                <w:szCs w:val="21"/>
                <w:highlight w:val="none"/>
                <w:lang w:val="en-US" w:eastAsia="zh-CN" w:bidi="ar-SA"/>
              </w:rPr>
              <w:t>防治及检测效益</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5</w:t>
            </w:r>
          </w:p>
        </w:tc>
        <w:tc>
          <w:tcPr>
            <w:tcW w:w="889" w:type="dxa"/>
            <w:vAlign w:val="center"/>
          </w:tcPr>
          <w:p>
            <w:pPr>
              <w:spacing w:line="240" w:lineRule="auto"/>
              <w:ind w:firstLine="0" w:firstLineChars="0"/>
              <w:jc w:val="center"/>
              <w:rPr>
                <w:bCs/>
                <w:sz w:val="21"/>
              </w:rPr>
            </w:pPr>
            <w:r>
              <w:rPr>
                <w:rFonts w:hint="eastAsia"/>
                <w:sz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sz w:val="21"/>
              </w:rPr>
            </w:pPr>
            <w:r>
              <w:rPr>
                <w:rFonts w:hint="eastAsia" w:cs="Times New Roman"/>
                <w:color w:val="auto"/>
                <w:kern w:val="0"/>
                <w:sz w:val="21"/>
                <w:szCs w:val="21"/>
                <w:lang w:val="en-US" w:eastAsia="zh-CN"/>
              </w:rPr>
              <w:t>传染病预防控制效果</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sz w:val="21"/>
                <w:lang w:val="en-US" w:eastAsia="zh-CN"/>
              </w:rPr>
            </w:pPr>
            <w:r>
              <w:rPr>
                <w:rFonts w:hint="eastAsia"/>
                <w:sz w:val="21"/>
                <w:lang w:val="en-US" w:eastAsia="zh-CN"/>
              </w:rPr>
              <w:t>4</w:t>
            </w:r>
          </w:p>
        </w:tc>
        <w:tc>
          <w:tcPr>
            <w:tcW w:w="889" w:type="dxa"/>
            <w:vAlign w:val="center"/>
          </w:tcPr>
          <w:p>
            <w:pPr>
              <w:spacing w:line="240" w:lineRule="auto"/>
              <w:ind w:firstLine="0" w:firstLineChars="0"/>
              <w:jc w:val="center"/>
              <w:rPr>
                <w:bCs/>
                <w:sz w:val="21"/>
              </w:rPr>
            </w:pPr>
            <w:r>
              <w:rPr>
                <w:rFonts w:hint="eastAsia"/>
                <w:sz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highlight w:val="none"/>
                <w:lang w:val="en-US" w:eastAsia="zh-CN"/>
              </w:rPr>
              <w:t>降低出生缺陷发生率</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4</w:t>
            </w:r>
          </w:p>
        </w:tc>
        <w:tc>
          <w:tcPr>
            <w:tcW w:w="889" w:type="dxa"/>
            <w:vAlign w:val="center"/>
          </w:tcPr>
          <w:p>
            <w:pPr>
              <w:autoSpaceDE w:val="0"/>
              <w:snapToGrid w:val="0"/>
              <w:spacing w:line="240" w:lineRule="auto"/>
              <w:ind w:firstLine="0" w:firstLineChars="0"/>
              <w:jc w:val="center"/>
              <w:rPr>
                <w:bCs/>
                <w:sz w:val="21"/>
              </w:rPr>
            </w:pPr>
            <w:r>
              <w:rPr>
                <w:rFonts w:hint="eastAsia"/>
                <w:sz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62"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cs="Times New Roman"/>
                <w:kern w:val="0"/>
                <w:sz w:val="21"/>
                <w:szCs w:val="21"/>
                <w:lang w:val="en-US" w:eastAsia="zh-CN"/>
              </w:rPr>
            </w:pPr>
            <w:r>
              <w:rPr>
                <w:rFonts w:hint="eastAsia" w:cs="Times New Roman"/>
                <w:kern w:val="0"/>
                <w:sz w:val="21"/>
                <w:szCs w:val="21"/>
                <w:lang w:val="en-US" w:eastAsia="zh-CN"/>
              </w:rPr>
              <w:t>可持续影响</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cs="Times New Roman"/>
                <w:kern w:val="0"/>
                <w:sz w:val="21"/>
                <w:szCs w:val="21"/>
                <w:lang w:val="en-US" w:eastAsia="zh-CN"/>
              </w:rPr>
            </w:pPr>
            <w:r>
              <w:rPr>
                <w:rFonts w:hint="eastAsia" w:cs="Times New Roman"/>
                <w:kern w:val="0"/>
                <w:sz w:val="21"/>
                <w:szCs w:val="21"/>
                <w:lang w:val="en-US" w:eastAsia="zh-CN"/>
              </w:rPr>
              <w:t>指标</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cs="Times New Roman"/>
                <w:kern w:val="0"/>
                <w:sz w:val="21"/>
                <w:szCs w:val="21"/>
                <w:lang w:val="en-US" w:eastAsia="zh-CN"/>
              </w:rPr>
              <w:t>（5分）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cs="Times New Roman"/>
                <w:kern w:val="0"/>
                <w:sz w:val="21"/>
                <w:szCs w:val="21"/>
                <w:lang w:val="en-US" w:eastAsia="zh-CN"/>
              </w:rPr>
              <w:t>中期规划建设完备性</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2</w:t>
            </w:r>
          </w:p>
        </w:tc>
        <w:tc>
          <w:tcPr>
            <w:tcW w:w="889" w:type="dxa"/>
            <w:vAlign w:val="center"/>
          </w:tcPr>
          <w:p>
            <w:pPr>
              <w:autoSpaceDE w:val="0"/>
              <w:snapToGrid w:val="0"/>
              <w:spacing w:line="240" w:lineRule="auto"/>
              <w:ind w:firstLine="0" w:firstLineChars="0"/>
              <w:jc w:val="center"/>
              <w:rPr>
                <w:bCs/>
                <w:sz w:val="21"/>
              </w:rPr>
            </w:pPr>
            <w:r>
              <w:rPr>
                <w:rFonts w:hint="eastAsia"/>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kern w:val="0"/>
                <w:sz w:val="21"/>
                <w:szCs w:val="20"/>
              </w:rPr>
              <w:t>部门内部能力建设</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3</w:t>
            </w:r>
          </w:p>
        </w:tc>
        <w:tc>
          <w:tcPr>
            <w:tcW w:w="889" w:type="dxa"/>
            <w:vAlign w:val="center"/>
          </w:tcPr>
          <w:p>
            <w:pPr>
              <w:autoSpaceDE w:val="0"/>
              <w:snapToGrid w:val="0"/>
              <w:spacing w:line="240" w:lineRule="auto"/>
              <w:ind w:firstLine="0" w:firstLineChars="0"/>
              <w:jc w:val="center"/>
              <w:rPr>
                <w:rFonts w:hint="eastAsia" w:eastAsia="仿宋_GB2312"/>
                <w:bCs/>
                <w:sz w:val="21"/>
                <w:lang w:val="en-US" w:eastAsia="zh-CN"/>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62" w:type="dxa"/>
            <w:vMerge w:val="restart"/>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满意度</w:t>
            </w:r>
          </w:p>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kern w:val="0"/>
                <w:sz w:val="21"/>
              </w:rPr>
              <w:t>（</w:t>
            </w:r>
            <w:r>
              <w:rPr>
                <w:rFonts w:hint="eastAsia"/>
                <w:kern w:val="0"/>
                <w:sz w:val="21"/>
                <w:lang w:val="en-US" w:eastAsia="zh-CN"/>
              </w:rPr>
              <w:t>10</w:t>
            </w:r>
            <w:r>
              <w:rPr>
                <w:kern w:val="0"/>
                <w:sz w:val="21"/>
              </w:rPr>
              <w:t>分）</w:t>
            </w: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r>
              <w:rPr>
                <w:rFonts w:hint="eastAsia" w:cs="Times New Roman"/>
                <w:color w:val="auto"/>
                <w:kern w:val="0"/>
                <w:sz w:val="21"/>
                <w:szCs w:val="21"/>
                <w:highlight w:val="none"/>
                <w:lang w:val="en-US" w:eastAsia="zh-CN"/>
              </w:rPr>
              <w:t>部门工作人员满意度</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3</w:t>
            </w:r>
          </w:p>
        </w:tc>
        <w:tc>
          <w:tcPr>
            <w:tcW w:w="889" w:type="dxa"/>
            <w:vAlign w:val="center"/>
          </w:tcPr>
          <w:p>
            <w:pPr>
              <w:autoSpaceDE w:val="0"/>
              <w:snapToGrid w:val="0"/>
              <w:spacing w:line="240" w:lineRule="auto"/>
              <w:ind w:firstLine="0" w:firstLineChars="0"/>
              <w:jc w:val="center"/>
              <w:rPr>
                <w:bCs/>
                <w:sz w:val="21"/>
              </w:rPr>
            </w:pPr>
            <w:r>
              <w:rPr>
                <w:rFonts w:hint="eastAsia"/>
                <w:sz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427"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p>
        </w:tc>
        <w:tc>
          <w:tcPr>
            <w:tcW w:w="1562" w:type="dxa"/>
            <w:vMerge w:val="continue"/>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kern w:val="0"/>
                <w:sz w:val="21"/>
              </w:rPr>
            </w:pPr>
          </w:p>
        </w:tc>
        <w:tc>
          <w:tcPr>
            <w:tcW w:w="3735"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Cs/>
                <w:sz w:val="21"/>
              </w:rPr>
            </w:pPr>
            <w:r>
              <w:rPr>
                <w:rFonts w:hint="eastAsia" w:cs="Times New Roman"/>
                <w:color w:val="auto"/>
                <w:kern w:val="0"/>
                <w:sz w:val="21"/>
                <w:szCs w:val="21"/>
                <w:lang w:val="en-US" w:eastAsia="zh-CN"/>
              </w:rPr>
              <w:t>受益群体满意度</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eastAsia" w:eastAsia="仿宋_GB2312"/>
                <w:bCs/>
                <w:sz w:val="21"/>
                <w:lang w:val="en-US" w:eastAsia="zh-CN"/>
              </w:rPr>
            </w:pPr>
            <w:r>
              <w:rPr>
                <w:rFonts w:hint="eastAsia"/>
                <w:bCs/>
                <w:sz w:val="21"/>
                <w:lang w:val="en-US" w:eastAsia="zh-CN"/>
              </w:rPr>
              <w:t>7</w:t>
            </w:r>
          </w:p>
        </w:tc>
        <w:tc>
          <w:tcPr>
            <w:tcW w:w="889" w:type="dxa"/>
            <w:vAlign w:val="center"/>
          </w:tcPr>
          <w:p>
            <w:pPr>
              <w:autoSpaceDE w:val="0"/>
              <w:snapToGrid w:val="0"/>
              <w:spacing w:line="240" w:lineRule="auto"/>
              <w:ind w:firstLine="0" w:firstLineChars="0"/>
              <w:jc w:val="center"/>
              <w:rPr>
                <w:rFonts w:hint="default" w:eastAsia="仿宋_GB2312"/>
                <w:bCs/>
                <w:sz w:val="21"/>
                <w:lang w:val="en-US" w:eastAsia="zh-CN"/>
              </w:rPr>
            </w:pPr>
            <w:r>
              <w:rPr>
                <w:rFonts w:hint="eastAsia"/>
                <w:bCs/>
                <w:sz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24" w:type="dxa"/>
            <w:gridSpan w:val="3"/>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b/>
                <w:sz w:val="21"/>
              </w:rPr>
            </w:pPr>
            <w:r>
              <w:rPr>
                <w:b/>
                <w:sz w:val="21"/>
              </w:rPr>
              <w:t>合计</w:t>
            </w:r>
          </w:p>
        </w:tc>
        <w:tc>
          <w:tcPr>
            <w:tcW w:w="1222"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
                <w:sz w:val="21"/>
                <w:lang w:val="en-US" w:eastAsia="zh-CN"/>
              </w:rPr>
            </w:pPr>
            <w:r>
              <w:rPr>
                <w:rFonts w:hint="eastAsia"/>
                <w:b/>
                <w:sz w:val="21"/>
                <w:lang w:val="en-US" w:eastAsia="zh-CN"/>
              </w:rPr>
              <w:t>100</w:t>
            </w:r>
          </w:p>
        </w:tc>
        <w:tc>
          <w:tcPr>
            <w:tcW w:w="889" w:type="dxa"/>
            <w:vAlign w:val="center"/>
          </w:tcPr>
          <w:p>
            <w:pPr>
              <w:keepNext w:val="0"/>
              <w:keepLines w:val="0"/>
              <w:pageBreakBefore w:val="0"/>
              <w:widowControl w:val="0"/>
              <w:kinsoku/>
              <w:wordWrap/>
              <w:overflowPunct/>
              <w:topLinePunct w:val="0"/>
              <w:autoSpaceDN/>
              <w:bidi w:val="0"/>
              <w:adjustRightInd/>
              <w:snapToGrid w:val="0"/>
              <w:spacing w:line="240" w:lineRule="auto"/>
              <w:ind w:firstLine="0" w:firstLineChars="0"/>
              <w:jc w:val="center"/>
              <w:textAlignment w:val="auto"/>
              <w:rPr>
                <w:rFonts w:hint="default" w:eastAsia="仿宋_GB2312"/>
                <w:b/>
                <w:sz w:val="21"/>
                <w:lang w:val="en-US" w:eastAsia="zh-CN"/>
              </w:rPr>
            </w:pPr>
            <w:r>
              <w:rPr>
                <w:rFonts w:hint="eastAsia"/>
                <w:b/>
                <w:sz w:val="21"/>
                <w:lang w:val="en-US" w:eastAsia="zh-CN"/>
              </w:rPr>
              <w:t>88.68</w:t>
            </w:r>
          </w:p>
        </w:tc>
      </w:tr>
    </w:tbl>
    <w:p>
      <w:pPr>
        <w:pStyle w:val="4"/>
        <w:keepNext/>
        <w:keepLines/>
        <w:pageBreakBefore w:val="0"/>
        <w:widowControl w:val="0"/>
        <w:kinsoku/>
        <w:wordWrap/>
        <w:overflowPunct/>
        <w:topLinePunct w:val="0"/>
        <w:autoSpaceDE/>
        <w:autoSpaceDN/>
        <w:bidi w:val="0"/>
        <w:adjustRightInd/>
        <w:snapToGrid/>
        <w:spacing w:before="217" w:beforeLines="50"/>
        <w:ind w:firstLine="643"/>
        <w:textAlignment w:val="auto"/>
      </w:pPr>
      <w:bookmarkStart w:id="50" w:name="_Toc20400"/>
      <w:bookmarkStart w:id="51" w:name="_Toc25950"/>
      <w:r>
        <w:t>（二）综合评价结论</w:t>
      </w:r>
      <w:bookmarkEnd w:id="46"/>
      <w:bookmarkEnd w:id="47"/>
      <w:bookmarkEnd w:id="48"/>
      <w:bookmarkEnd w:id="50"/>
      <w:bookmarkEnd w:id="51"/>
    </w:p>
    <w:p>
      <w:pPr>
        <w:ind w:firstLine="640"/>
      </w:pPr>
      <w:r>
        <w:rPr>
          <w:rFonts w:hint="eastAsia"/>
        </w:rPr>
        <w:t>贵阳业越</w:t>
      </w:r>
      <w:r>
        <w:t>对</w:t>
      </w:r>
      <w:r>
        <w:rPr>
          <w:rFonts w:hint="eastAsia"/>
          <w:lang w:val="en-US" w:eastAsia="zh-CN"/>
        </w:rPr>
        <w:t>2020</w:t>
      </w:r>
      <w:r>
        <w:t>年</w:t>
      </w:r>
      <w:r>
        <w:rPr>
          <w:rFonts w:hint="eastAsia"/>
          <w:bCs/>
          <w:lang w:val="en-US" w:eastAsia="zh-CN"/>
        </w:rPr>
        <w:t>云岩区卫健局</w:t>
      </w:r>
      <w:r>
        <w:t>部门整体支出进行了独立第三方评价，综合评价得分为</w:t>
      </w:r>
      <w:r>
        <w:rPr>
          <w:rFonts w:hint="eastAsia"/>
          <w:highlight w:val="none"/>
          <w:lang w:val="en-US" w:eastAsia="zh-CN"/>
        </w:rPr>
        <w:t>88.68</w:t>
      </w:r>
      <w:r>
        <w:rPr>
          <w:highlight w:val="none"/>
        </w:rPr>
        <w:t>分</w:t>
      </w:r>
      <w:r>
        <w:t>，评价评级为</w:t>
      </w:r>
      <w:r>
        <w:rPr>
          <w:rFonts w:hint="eastAsia" w:ascii="仿宋_GB2312" w:hAnsi="仿宋_GB2312" w:cs="仿宋_GB2312"/>
        </w:rPr>
        <w:t>“</w:t>
      </w:r>
      <w:r>
        <w:rPr>
          <w:rFonts w:hint="eastAsia" w:ascii="仿宋_GB2312" w:hAnsi="仿宋_GB2312" w:cs="仿宋_GB2312"/>
          <w:lang w:val="en-US" w:eastAsia="zh-CN"/>
        </w:rPr>
        <w:t>良</w:t>
      </w:r>
      <w:r>
        <w:rPr>
          <w:rFonts w:hint="eastAsia" w:ascii="仿宋_GB2312" w:hAnsi="仿宋_GB2312" w:cs="仿宋_GB2312"/>
        </w:rPr>
        <w:t>”</w:t>
      </w:r>
      <w:r>
        <w:t>。</w:t>
      </w:r>
    </w:p>
    <w:p>
      <w:pPr>
        <w:ind w:firstLine="640"/>
      </w:pPr>
      <w:r>
        <w:rPr>
          <w:rFonts w:hint="eastAsia" w:ascii="仿宋_GB2312"/>
          <w:szCs w:val="32"/>
        </w:rPr>
        <w:t>在投入方面，部门目标设定基本符合国家法律法规、国民经济和社会发展的总体规划，</w:t>
      </w:r>
      <w:r>
        <w:rPr>
          <w:rFonts w:hint="eastAsia" w:ascii="仿宋_GB2312"/>
          <w:szCs w:val="32"/>
          <w:lang w:val="en-US" w:eastAsia="zh-CN"/>
        </w:rPr>
        <w:t>且将年度总体绩效目标细化为具体的工作任务</w:t>
      </w:r>
      <w:r>
        <w:rPr>
          <w:rFonts w:hint="eastAsia" w:ascii="仿宋_GB2312"/>
          <w:szCs w:val="32"/>
        </w:rPr>
        <w:t>，“三公经费”变动率控制在目标值内。但也存在</w:t>
      </w:r>
      <w:r>
        <w:rPr>
          <w:rFonts w:hint="eastAsia"/>
          <w:szCs w:val="32"/>
          <w:shd w:val="clear" w:color="auto" w:fill="FFFFFF"/>
          <w:lang w:val="en-US" w:eastAsia="zh-CN"/>
        </w:rPr>
        <w:t>设定的年度总体绩效目标不够完整，部指标归类错误</w:t>
      </w:r>
      <w:r>
        <w:rPr>
          <w:rFonts w:hint="eastAsia" w:ascii="仿宋_GB2312"/>
          <w:szCs w:val="32"/>
        </w:rPr>
        <w:t>、</w:t>
      </w:r>
      <w:r>
        <w:rPr>
          <w:rFonts w:hint="eastAsia" w:ascii="仿宋_GB2312"/>
          <w:szCs w:val="32"/>
          <w:lang w:val="en-US" w:eastAsia="zh-CN"/>
        </w:rPr>
        <w:t>部分绩效指标</w:t>
      </w:r>
      <w:r>
        <w:rPr>
          <w:rFonts w:hint="eastAsia"/>
          <w:szCs w:val="32"/>
          <w:shd w:val="clear" w:color="auto" w:fill="FFFFFF"/>
          <w:lang w:val="en-US" w:eastAsia="zh-CN"/>
        </w:rPr>
        <w:t>冗杂，</w:t>
      </w:r>
      <w:r>
        <w:rPr>
          <w:rFonts w:hint="eastAsia" w:ascii="仿宋_GB2312"/>
          <w:szCs w:val="32"/>
        </w:rPr>
        <w:t>在职人员超编等问题。</w:t>
      </w:r>
    </w:p>
    <w:p>
      <w:pPr>
        <w:ind w:firstLine="640"/>
        <w:rPr>
          <w:rFonts w:ascii="仿宋_GB2312"/>
          <w:szCs w:val="32"/>
          <w:highlight w:val="yellow"/>
        </w:rPr>
      </w:pPr>
      <w:r>
        <w:rPr>
          <w:rFonts w:hint="eastAsia" w:ascii="仿宋_GB2312"/>
          <w:szCs w:val="32"/>
        </w:rPr>
        <w:t>在过程管理方面，</w:t>
      </w:r>
      <w:r>
        <w:rPr>
          <w:rFonts w:hint="eastAsia" w:ascii="仿宋_GB2312"/>
          <w:szCs w:val="32"/>
          <w:lang w:val="en-US" w:eastAsia="zh-CN"/>
        </w:rPr>
        <w:t>预算完成率较高</w:t>
      </w:r>
      <w:r>
        <w:rPr>
          <w:rFonts w:hint="eastAsia" w:ascii="仿宋_GB2312"/>
          <w:szCs w:val="32"/>
        </w:rPr>
        <w:t>、</w:t>
      </w:r>
      <w:r>
        <w:rPr>
          <w:rFonts w:hint="eastAsia" w:ascii="仿宋_GB2312"/>
          <w:szCs w:val="32"/>
          <w:lang w:val="en-US" w:eastAsia="zh-CN"/>
        </w:rPr>
        <w:t>公用经费、</w:t>
      </w:r>
      <w:r>
        <w:rPr>
          <w:rFonts w:hint="eastAsia" w:ascii="仿宋_GB2312"/>
          <w:szCs w:val="32"/>
        </w:rPr>
        <w:t>“三公”经费控制有效、</w:t>
      </w:r>
      <w:r>
        <w:rPr>
          <w:rFonts w:hint="eastAsia" w:ascii="仿宋_GB2312"/>
          <w:szCs w:val="32"/>
          <w:lang w:val="en-US" w:eastAsia="zh-CN"/>
        </w:rPr>
        <w:t>资金使用合规且</w:t>
      </w:r>
      <w:r>
        <w:rPr>
          <w:rFonts w:hint="eastAsia" w:ascii="仿宋_GB2312"/>
          <w:szCs w:val="32"/>
        </w:rPr>
        <w:t>业务管理制度</w:t>
      </w:r>
      <w:r>
        <w:rPr>
          <w:rFonts w:hint="eastAsia" w:ascii="仿宋_GB2312"/>
          <w:szCs w:val="32"/>
          <w:lang w:val="en-US" w:eastAsia="zh-CN"/>
        </w:rPr>
        <w:t>较</w:t>
      </w:r>
      <w:r>
        <w:rPr>
          <w:rFonts w:hint="eastAsia" w:ascii="仿宋_GB2312"/>
          <w:szCs w:val="32"/>
        </w:rPr>
        <w:t>健全。但</w:t>
      </w:r>
      <w:r>
        <w:rPr>
          <w:rFonts w:hint="eastAsia" w:ascii="仿宋_GB2312"/>
          <w:szCs w:val="32"/>
          <w:lang w:val="en-US" w:eastAsia="zh-CN"/>
        </w:rPr>
        <w:t>存在</w:t>
      </w:r>
      <w:r>
        <w:rPr>
          <w:rFonts w:hint="eastAsia" w:ascii="仿宋_GB2312"/>
          <w:szCs w:val="32"/>
        </w:rPr>
        <w:t>预决算编制欠规范，财务管理</w:t>
      </w:r>
      <w:r>
        <w:rPr>
          <w:rFonts w:hint="eastAsia" w:ascii="仿宋_GB2312"/>
          <w:szCs w:val="32"/>
          <w:lang w:val="en-US" w:eastAsia="zh-CN"/>
        </w:rPr>
        <w:t>制度明确性有待提高</w:t>
      </w:r>
      <w:r>
        <w:rPr>
          <w:rFonts w:hint="eastAsia" w:ascii="仿宋_GB2312"/>
          <w:szCs w:val="32"/>
        </w:rPr>
        <w:t>，</w:t>
      </w:r>
      <w:r>
        <w:rPr>
          <w:rFonts w:hint="eastAsia" w:ascii="仿宋_GB2312"/>
          <w:szCs w:val="32"/>
          <w:lang w:val="en-US" w:eastAsia="zh-CN"/>
        </w:rPr>
        <w:t>决算信息公开及时性</w:t>
      </w:r>
      <w:r>
        <w:rPr>
          <w:rFonts w:hint="eastAsia" w:ascii="仿宋_GB2312"/>
          <w:szCs w:val="32"/>
        </w:rPr>
        <w:t>资产管理安全性有待提升。</w:t>
      </w:r>
    </w:p>
    <w:p>
      <w:pPr>
        <w:ind w:firstLine="640"/>
        <w:rPr>
          <w:rFonts w:ascii="仿宋_GB2312"/>
          <w:sz w:val="28"/>
          <w:szCs w:val="28"/>
        </w:rPr>
      </w:pPr>
      <w:r>
        <w:rPr>
          <w:rFonts w:hint="eastAsia" w:ascii="仿宋_GB2312"/>
          <w:szCs w:val="32"/>
        </w:rPr>
        <w:t>在产出方面，</w:t>
      </w:r>
      <w:r>
        <w:rPr>
          <w:rFonts w:hint="eastAsia" w:ascii="仿宋_GB2312"/>
          <w:szCs w:val="32"/>
          <w:lang w:val="en-US" w:eastAsia="zh-CN"/>
        </w:rPr>
        <w:t>大部分重点</w:t>
      </w:r>
      <w:r>
        <w:rPr>
          <w:rFonts w:hint="eastAsia" w:ascii="仿宋_GB2312"/>
          <w:szCs w:val="32"/>
        </w:rPr>
        <w:t>目标任务按时</w:t>
      </w:r>
      <w:r>
        <w:rPr>
          <w:rFonts w:hint="eastAsia" w:ascii="仿宋_GB2312"/>
          <w:szCs w:val="32"/>
          <w:lang w:val="en-US" w:eastAsia="zh-CN"/>
        </w:rPr>
        <w:t>保质保量完成</w:t>
      </w:r>
      <w:r>
        <w:rPr>
          <w:rFonts w:hint="eastAsia" w:ascii="仿宋_GB2312"/>
          <w:szCs w:val="32"/>
        </w:rPr>
        <w:t>，但存在</w:t>
      </w:r>
      <w:r>
        <w:rPr>
          <w:rFonts w:hint="eastAsia" w:ascii="仿宋_GB2312"/>
          <w:szCs w:val="32"/>
          <w:lang w:val="en-US" w:eastAsia="zh-CN"/>
        </w:rPr>
        <w:t>婴幼儿照护服务托育机构建设数量、</w:t>
      </w:r>
      <w:r>
        <w:rPr>
          <w:rFonts w:hint="eastAsia" w:cs="Times New Roman"/>
          <w:bCs/>
          <w:kern w:val="2"/>
          <w:sz w:val="32"/>
          <w:szCs w:val="32"/>
          <w:lang w:val="en-US" w:eastAsia="zh-CN" w:bidi="ar-SA"/>
        </w:rPr>
        <w:t>社区卫生服务中心妇幼健康门诊规范化建设率及辖区孕产妇系统管理率等指标</w:t>
      </w:r>
      <w:r>
        <w:rPr>
          <w:rFonts w:hint="eastAsia" w:ascii="仿宋_GB2312"/>
          <w:szCs w:val="32"/>
          <w:lang w:val="en-US" w:eastAsia="zh-CN"/>
        </w:rPr>
        <w:t>未达目标值</w:t>
      </w:r>
      <w:r>
        <w:rPr>
          <w:rFonts w:hint="eastAsia" w:ascii="仿宋_GB2312"/>
          <w:szCs w:val="32"/>
        </w:rPr>
        <w:t>。</w:t>
      </w:r>
    </w:p>
    <w:p>
      <w:pPr>
        <w:pStyle w:val="55"/>
        <w:ind w:firstLine="640"/>
      </w:pPr>
      <w:r>
        <w:rPr>
          <w:rFonts w:hint="eastAsia" w:ascii="仿宋_GB2312"/>
          <w:szCs w:val="32"/>
        </w:rPr>
        <w:t>在履职效果方面，</w:t>
      </w:r>
      <w:r>
        <w:rPr>
          <w:rFonts w:hint="eastAsia" w:ascii="仿宋_GB2312"/>
          <w:szCs w:val="32"/>
          <w:lang w:val="en-US" w:eastAsia="zh-CN"/>
        </w:rPr>
        <w:t>区域公共卫生服务</w:t>
      </w:r>
      <w:r>
        <w:rPr>
          <w:rFonts w:hint="eastAsia" w:ascii="仿宋_GB2312"/>
          <w:szCs w:val="32"/>
        </w:rPr>
        <w:t>得到有效提升，</w:t>
      </w:r>
      <w:r>
        <w:rPr>
          <w:rFonts w:hint="eastAsia" w:ascii="仿宋_GB2312"/>
          <w:szCs w:val="32"/>
          <w:lang w:val="en-US" w:eastAsia="zh-CN"/>
        </w:rPr>
        <w:t>艾滋病防治及检测效益和传染病预防控制效果显著</w:t>
      </w:r>
      <w:r>
        <w:rPr>
          <w:rFonts w:hint="eastAsia" w:ascii="仿宋_GB2312"/>
          <w:sz w:val="28"/>
          <w:szCs w:val="28"/>
        </w:rPr>
        <w:t>，</w:t>
      </w:r>
      <w:r>
        <w:rPr>
          <w:rFonts w:hint="eastAsia" w:ascii="仿宋_GB2312"/>
          <w:szCs w:val="32"/>
          <w:lang w:val="en-US" w:eastAsia="zh-CN"/>
        </w:rPr>
        <w:t>部门工作人员及受益</w:t>
      </w:r>
      <w:r>
        <w:rPr>
          <w:rFonts w:hint="eastAsia" w:ascii="仿宋_GB2312"/>
          <w:szCs w:val="32"/>
        </w:rPr>
        <w:t>对象</w:t>
      </w:r>
      <w:r>
        <w:rPr>
          <w:rFonts w:hint="eastAsia" w:ascii="仿宋_GB2312"/>
          <w:szCs w:val="32"/>
          <w:lang w:val="en-US" w:eastAsia="zh-CN"/>
        </w:rPr>
        <w:t>对部门</w:t>
      </w:r>
      <w:r>
        <w:rPr>
          <w:rFonts w:hint="eastAsia" w:ascii="仿宋_GB2312"/>
          <w:szCs w:val="32"/>
        </w:rPr>
        <w:t>履职满意度效果显著</w:t>
      </w:r>
      <w:r>
        <w:rPr>
          <w:rFonts w:hint="eastAsia" w:ascii="仿宋_GB2312"/>
          <w:szCs w:val="32"/>
          <w:lang w:eastAsia="zh-CN"/>
        </w:rPr>
        <w:t>。</w:t>
      </w:r>
      <w:r>
        <w:rPr>
          <w:rFonts w:hint="eastAsia" w:ascii="仿宋_GB2312"/>
          <w:szCs w:val="32"/>
        </w:rPr>
        <w:t>但</w:t>
      </w:r>
      <w:r>
        <w:rPr>
          <w:rFonts w:hint="eastAsia" w:ascii="仿宋_GB2312"/>
          <w:szCs w:val="32"/>
          <w:lang w:val="en-US" w:eastAsia="zh-CN"/>
        </w:rPr>
        <w:t>慢性病患者健康管理率和出生缺陷率有待提升</w:t>
      </w:r>
      <w:r>
        <w:rPr>
          <w:rFonts w:hint="eastAsia" w:ascii="仿宋_GB2312"/>
          <w:szCs w:val="32"/>
        </w:rPr>
        <w:t>。</w:t>
      </w:r>
    </w:p>
    <w:bookmarkEnd w:id="33"/>
    <w:bookmarkEnd w:id="34"/>
    <w:bookmarkEnd w:id="35"/>
    <w:bookmarkEnd w:id="36"/>
    <w:bookmarkEnd w:id="37"/>
    <w:bookmarkEnd w:id="38"/>
    <w:bookmarkEnd w:id="39"/>
    <w:bookmarkEnd w:id="40"/>
    <w:bookmarkEnd w:id="41"/>
    <w:bookmarkEnd w:id="42"/>
    <w:bookmarkEnd w:id="43"/>
    <w:p>
      <w:pPr>
        <w:pStyle w:val="3"/>
        <w:keepNext/>
        <w:keepLines/>
        <w:pageBreakBefore w:val="0"/>
        <w:widowControl w:val="0"/>
        <w:kinsoku/>
        <w:wordWrap/>
        <w:overflowPunct/>
        <w:topLinePunct w:val="0"/>
        <w:autoSpaceDE/>
        <w:autoSpaceDN/>
        <w:bidi w:val="0"/>
        <w:adjustRightInd/>
        <w:snapToGrid/>
        <w:spacing w:before="120"/>
        <w:ind w:firstLine="640"/>
        <w:textAlignment w:val="auto"/>
      </w:pPr>
      <w:bookmarkStart w:id="52" w:name="_Toc13965"/>
      <w:bookmarkStart w:id="53" w:name="_Toc6847"/>
      <w:bookmarkStart w:id="54" w:name="_Toc9320"/>
      <w:bookmarkStart w:id="55" w:name="_Toc13117"/>
      <w:bookmarkStart w:id="56" w:name="_Toc32144"/>
      <w:bookmarkStart w:id="57" w:name="_Toc15391329"/>
      <w:bookmarkStart w:id="58" w:name="_Hlk15401750"/>
      <w:bookmarkStart w:id="59" w:name="_Toc15391170"/>
      <w:r>
        <w:rPr>
          <w:rFonts w:hint="eastAsia"/>
          <w:lang w:eastAsia="zh-CN"/>
        </w:rPr>
        <w:t>三、</w:t>
      </w:r>
      <w:r>
        <w:t>主要经验及做法、存在的问题和建议</w:t>
      </w:r>
      <w:bookmarkEnd w:id="52"/>
      <w:bookmarkEnd w:id="53"/>
      <w:bookmarkEnd w:id="54"/>
      <w:bookmarkEnd w:id="55"/>
      <w:bookmarkEnd w:id="56"/>
    </w:p>
    <w:p>
      <w:pPr>
        <w:pStyle w:val="18"/>
        <w:ind w:firstLine="643"/>
      </w:pPr>
      <w:bookmarkStart w:id="60" w:name="_Toc12829"/>
      <w:bookmarkStart w:id="61" w:name="_Toc24287"/>
      <w:bookmarkStart w:id="62" w:name="_Toc24697"/>
      <w:bookmarkStart w:id="63" w:name="_Toc22746"/>
      <w:bookmarkStart w:id="64" w:name="_Toc31764"/>
      <w:r>
        <w:rPr>
          <w:rFonts w:hint="eastAsia"/>
        </w:rPr>
        <w:t>（一）主要经验及做法</w:t>
      </w:r>
      <w:bookmarkEnd w:id="60"/>
      <w:bookmarkEnd w:id="61"/>
      <w:bookmarkEnd w:id="62"/>
      <w:bookmarkEnd w:id="63"/>
      <w:bookmarkEnd w:id="64"/>
    </w:p>
    <w:p>
      <w:pPr>
        <w:pStyle w:val="2"/>
        <w:ind w:firstLine="640"/>
        <w:outlineLvl w:val="2"/>
        <w:rPr>
          <w:rFonts w:hint="eastAsia"/>
        </w:rPr>
      </w:pPr>
      <w:r>
        <w:rPr>
          <w:rFonts w:hint="eastAsia"/>
          <w:b/>
          <w:bCs/>
        </w:rPr>
        <w:t>1．</w:t>
      </w:r>
      <w:r>
        <w:rPr>
          <w:rFonts w:hint="eastAsia"/>
          <w:b/>
          <w:bCs/>
          <w:lang w:val="en-US" w:eastAsia="zh-CN"/>
        </w:rPr>
        <w:t>多举并措，不断提升医疗卫生服务能力</w:t>
      </w:r>
    </w:p>
    <w:p>
      <w:pPr>
        <w:pStyle w:val="2"/>
        <w:ind w:firstLine="640"/>
        <w:rPr>
          <w:rFonts w:hint="default" w:eastAsia="仿宋_GB2312"/>
          <w:lang w:val="en-US" w:eastAsia="zh-CN"/>
        </w:rPr>
      </w:pPr>
      <w:r>
        <w:rPr>
          <w:rFonts w:hint="eastAsia"/>
          <w:lang w:val="en-US" w:eastAsia="zh-CN"/>
        </w:rPr>
        <w:t>一是完成社区卫生服务中心标准化建设。为提高云岩区辖区内基层医疗机构的服务能力和水平，改善基层医疗机构的业务用房，区卫健局积极争取国家、省、市项目资金，逐年提高标准化建设达标率，截至2020年底，已顺利完成</w:t>
      </w:r>
      <w:r>
        <w:rPr>
          <w:rFonts w:hint="eastAsia" w:cs="Times New Roman"/>
          <w:bCs/>
          <w:kern w:val="2"/>
          <w:sz w:val="32"/>
          <w:szCs w:val="32"/>
          <w:lang w:val="en-US" w:eastAsia="zh-CN" w:bidi="ar-SA"/>
        </w:rPr>
        <w:t>金惠、中天、云山、圣泉等4个社区卫生服务中心标准化建设；二是持续优化医疗服务。建立医疗机构管理信息系统，进一步规范医疗机制设置审批文和档案管理。根据《贵州省医疗机构不良执业行为积分管理暂行办法》，并结合辖区实际制定了《云岩区医疗机构不良执业行为积分管理实施办法（暂行）》，与医疗机构违法、违规执业警示记分制度相结合，加强医疗机构执业行为管理。开展“惠民医疗”工作，对辖区内低保户、低收入家庭、优抚军人等符合医疗救助减免的人群办理医疗救助减免审核，共计872人次；三是做好中医药传承发展。组织辖区基层医疗参加市中医药管理局组织的大型中医适宜技术培训班，各社区卫生服务中心、站累计参与人数135人，合格人数98人，合格率72.6%。2020年中医确有专长考试报名，辖区报名人数27人，通过审核27人。</w:t>
      </w:r>
    </w:p>
    <w:p>
      <w:pPr>
        <w:pStyle w:val="2"/>
        <w:ind w:firstLine="640"/>
        <w:rPr>
          <w:rFonts w:hint="default"/>
          <w:b/>
          <w:bCs/>
          <w:lang w:val="en-US"/>
        </w:rPr>
      </w:pPr>
      <w:r>
        <w:rPr>
          <w:rFonts w:hint="eastAsia"/>
          <w:b/>
          <w:bCs/>
        </w:rPr>
        <w:t>2</w:t>
      </w:r>
      <w:r>
        <w:rPr>
          <w:b/>
          <w:bCs/>
        </w:rPr>
        <w:t>．</w:t>
      </w:r>
      <w:r>
        <w:rPr>
          <w:rFonts w:hint="eastAsia"/>
          <w:b/>
          <w:bCs/>
          <w:lang w:val="en-US" w:eastAsia="zh-CN"/>
        </w:rPr>
        <w:t>强化硬化卫生健康应急工作，提高应急处置能力</w:t>
      </w:r>
    </w:p>
    <w:p>
      <w:pPr>
        <w:pStyle w:val="2"/>
        <w:ind w:firstLine="640"/>
        <w:rPr>
          <w:rFonts w:hint="default" w:eastAsia="仿宋_GB2312"/>
          <w:lang w:val="en-US" w:eastAsia="zh-CN"/>
        </w:rPr>
      </w:pPr>
      <w:r>
        <w:rPr>
          <w:rFonts w:hint="eastAsia"/>
          <w:lang w:val="en-US" w:eastAsia="zh-CN"/>
        </w:rPr>
        <w:t>一是加强组织领导。建立健全了突发公共卫生应急领导小组、专家和各专业应急小组。二是完善应急物资储备。加强对应急物资的储备，卫生应急物资准备率达到90%。三是提升应急处置能力。通过业务培训、应急演练、实战磨炼等进一步提升专业技术人员应急处置能力。四是加强信息报告。对云岩区辖区内所有突发公共卫生事件或相关信息均进行了报告和网络直报，报告率和网络直报率均为100%。</w:t>
      </w:r>
    </w:p>
    <w:p>
      <w:pPr>
        <w:pStyle w:val="4"/>
        <w:ind w:firstLine="643"/>
        <w:rPr>
          <w:rFonts w:hint="default" w:ascii="Times New Roman" w:hAnsi="Times New Roman" w:eastAsia="楷体"/>
          <w:lang w:val="en-US" w:eastAsia="zh-CN"/>
        </w:rPr>
      </w:pPr>
      <w:bookmarkStart w:id="65" w:name="_Toc31941"/>
      <w:bookmarkStart w:id="66" w:name="_Toc25811"/>
      <w:r>
        <w:rPr>
          <w:rFonts w:ascii="Times New Roman" w:hAnsi="Times New Roman"/>
        </w:rPr>
        <w:t>（二）存在的问题</w:t>
      </w:r>
      <w:bookmarkEnd w:id="65"/>
      <w:bookmarkEnd w:id="66"/>
    </w:p>
    <w:p>
      <w:pPr>
        <w:pStyle w:val="9"/>
        <w:spacing w:after="0"/>
        <w:ind w:firstLine="643"/>
        <w:outlineLvl w:val="2"/>
        <w:rPr>
          <w:rFonts w:hint="eastAsia" w:cs="Times New Roman"/>
          <w:b/>
          <w:bCs/>
          <w:kern w:val="2"/>
          <w:sz w:val="32"/>
          <w:szCs w:val="21"/>
          <w:lang w:val="en-US" w:eastAsia="zh-CN" w:bidi="ar-SA"/>
        </w:rPr>
      </w:pPr>
      <w:r>
        <w:rPr>
          <w:rFonts w:hint="eastAsia"/>
          <w:b/>
          <w:bCs/>
        </w:rPr>
        <w:t>1．</w:t>
      </w:r>
      <w:r>
        <w:rPr>
          <w:rFonts w:hint="eastAsia" w:cs="Times New Roman"/>
          <w:b/>
          <w:bCs/>
          <w:kern w:val="2"/>
          <w:sz w:val="32"/>
          <w:szCs w:val="21"/>
          <w:lang w:val="en-US" w:eastAsia="zh-CN" w:bidi="ar-SA"/>
        </w:rPr>
        <w:t>绩效目标管理不到位，目标编制水平有待提高</w:t>
      </w:r>
    </w:p>
    <w:p>
      <w:pPr>
        <w:pStyle w:val="9"/>
        <w:spacing w:after="0"/>
        <w:ind w:firstLine="643"/>
        <w:outlineLvl w:val="2"/>
        <w:rPr>
          <w:rFonts w:hint="eastAsia"/>
          <w:b/>
          <w:bCs/>
        </w:rPr>
      </w:pPr>
      <w:r>
        <w:rPr>
          <w:rFonts w:hint="eastAsia"/>
          <w:szCs w:val="32"/>
          <w:shd w:val="clear" w:color="auto" w:fill="FFFFFF"/>
          <w:lang w:val="en-US" w:eastAsia="zh-CN"/>
        </w:rPr>
        <w:t>一是，设定的年度总体目标不够完整，如《2020年重点工作计划》中的医政医管工作、社区卫生服务中心标准化建设以及疾病预防控制等工作均未在绩效目标中体现；二是部分指标归类错误，如“加强山地紧急医学体系建设”“扎实推进医药卫生体制改革”等应为可持续影响指标而非时效指标；三是未根据部门履职效益设置相应社会效益指标；四是，部分绩效指标名称和指标值不够精炼，过于冗杂，如“足额配备计划生育技术服务经费、妇幼健康服务项目经费和工作经费；将全面实施基层妇幼健康服务改革项目经费纳入年初预算”，“制定落实辖区山地紧急医学救援体系建设方案，加强紧急医学救援体系建设”。</w:t>
      </w:r>
    </w:p>
    <w:p>
      <w:pPr>
        <w:pStyle w:val="2"/>
        <w:ind w:firstLine="643"/>
        <w:rPr>
          <w:rFonts w:hint="default" w:eastAsia="仿宋_GB2312" w:cs="Times New Roman"/>
          <w:b/>
          <w:bCs/>
          <w:lang w:val="en-US" w:eastAsia="zh-CN"/>
        </w:rPr>
      </w:pPr>
      <w:r>
        <w:rPr>
          <w:rFonts w:hint="eastAsia" w:cs="Times New Roman"/>
          <w:b/>
          <w:bCs/>
          <w:lang w:val="en-US" w:eastAsia="zh-CN"/>
        </w:rPr>
        <w:t>2</w:t>
      </w:r>
      <w:r>
        <w:rPr>
          <w:rFonts w:cs="Times New Roman"/>
          <w:b/>
          <w:bCs/>
        </w:rPr>
        <w:t>．预算调整</w:t>
      </w:r>
      <w:r>
        <w:rPr>
          <w:rFonts w:hint="eastAsia" w:cs="Times New Roman"/>
          <w:b/>
          <w:bCs/>
          <w:lang w:val="en-US" w:eastAsia="zh-CN"/>
        </w:rPr>
        <w:t>幅度偏高</w:t>
      </w:r>
    </w:p>
    <w:p>
      <w:pPr>
        <w:pStyle w:val="2"/>
        <w:ind w:firstLine="643"/>
        <w:rPr>
          <w:rFonts w:cs="Times New Roman"/>
        </w:rPr>
      </w:pPr>
      <w:r>
        <w:rPr>
          <w:rFonts w:hint="eastAsia" w:cs="Times New Roman"/>
          <w:lang w:val="en-US" w:eastAsia="zh-CN"/>
        </w:rPr>
        <w:t>区卫健局</w:t>
      </w:r>
      <w:r>
        <w:rPr>
          <w:rFonts w:cs="Times New Roman"/>
        </w:rPr>
        <w:t>20</w:t>
      </w:r>
      <w:r>
        <w:rPr>
          <w:rFonts w:hint="eastAsia" w:cs="Times New Roman"/>
          <w:lang w:val="en-US" w:eastAsia="zh-CN"/>
        </w:rPr>
        <w:t>20</w:t>
      </w:r>
      <w:r>
        <w:rPr>
          <w:rFonts w:cs="Times New Roman"/>
        </w:rPr>
        <w:t>年</w:t>
      </w:r>
      <w:r>
        <w:rPr>
          <w:rFonts w:hint="eastAsia" w:cs="Times New Roman"/>
          <w:lang w:val="en-US" w:eastAsia="zh-CN"/>
        </w:rPr>
        <w:t>预算调整幅度较大，</w:t>
      </w:r>
      <w:r>
        <w:rPr>
          <w:rFonts w:cs="Times New Roman"/>
        </w:rPr>
        <w:t>年初预算</w:t>
      </w:r>
      <w:r>
        <w:rPr>
          <w:rFonts w:hint="eastAsia" w:cs="Times New Roman"/>
          <w:lang w:val="en-US" w:eastAsia="zh-CN"/>
        </w:rPr>
        <w:t>收入为</w:t>
      </w:r>
      <w:r>
        <w:rPr>
          <w:rFonts w:hint="eastAsia" w:cs="Times New Roman"/>
          <w:shd w:val="clear" w:color="auto" w:fill="FFFFFF"/>
          <w:lang w:val="en-US" w:eastAsia="zh-CN"/>
        </w:rPr>
        <w:t>6704.8</w:t>
      </w:r>
      <w:r>
        <w:rPr>
          <w:rFonts w:cs="Times New Roman"/>
        </w:rPr>
        <w:t>万元，</w:t>
      </w:r>
      <w:r>
        <w:rPr>
          <w:rFonts w:hint="eastAsia" w:cs="Times New Roman"/>
        </w:rPr>
        <w:t>决算</w:t>
      </w:r>
      <w:r>
        <w:rPr>
          <w:rFonts w:hint="eastAsia" w:cs="Times New Roman"/>
          <w:lang w:val="en-US" w:eastAsia="zh-CN"/>
        </w:rPr>
        <w:t>收入为28847.06</w:t>
      </w:r>
      <w:r>
        <w:rPr>
          <w:rFonts w:cs="Times New Roman"/>
        </w:rPr>
        <w:t>万元</w:t>
      </w:r>
      <w:r>
        <w:rPr>
          <w:rFonts w:hint="eastAsia" w:cs="Times New Roman"/>
        </w:rPr>
        <w:t>（</w:t>
      </w:r>
      <w:r>
        <w:rPr>
          <w:rFonts w:hint="eastAsia"/>
          <w:lang w:val="en-US" w:eastAsia="zh-CN"/>
        </w:rPr>
        <w:t>含年政府性基金预算收入10938.81万元和初结转结余657.93万元</w:t>
      </w:r>
      <w:r>
        <w:rPr>
          <w:rFonts w:hint="eastAsia" w:cs="Times New Roman"/>
        </w:rPr>
        <w:t>）</w:t>
      </w:r>
      <w:r>
        <w:rPr>
          <w:rFonts w:cs="Times New Roman"/>
        </w:rPr>
        <w:t>，预算调</w:t>
      </w:r>
      <w:r>
        <w:rPr>
          <w:rFonts w:hint="eastAsia" w:cs="Times New Roman"/>
        </w:rPr>
        <w:t>增</w:t>
      </w:r>
      <w:r>
        <w:rPr>
          <w:rFonts w:hint="eastAsia" w:cs="Times New Roman"/>
          <w:lang w:val="en-US" w:eastAsia="zh-CN"/>
        </w:rPr>
        <w:t>22142.26</w:t>
      </w:r>
      <w:r>
        <w:rPr>
          <w:rFonts w:cs="Times New Roman"/>
        </w:rPr>
        <w:t>万元</w:t>
      </w:r>
      <w:r>
        <w:rPr>
          <w:rFonts w:hint="eastAsia" w:cs="Times New Roman"/>
        </w:rPr>
        <w:t>，预算调整率为</w:t>
      </w:r>
      <w:r>
        <w:rPr>
          <w:rFonts w:hint="eastAsia" w:cs="Times New Roman"/>
          <w:lang w:val="en-US" w:eastAsia="zh-CN"/>
        </w:rPr>
        <w:t>430.24</w:t>
      </w:r>
      <w:r>
        <w:rPr>
          <w:rFonts w:hint="eastAsia" w:cs="Times New Roman"/>
        </w:rPr>
        <w:t>%</w:t>
      </w:r>
      <w:r>
        <w:rPr>
          <w:rFonts w:hint="eastAsia" w:cs="Times New Roman"/>
          <w:lang w:eastAsia="zh-CN"/>
        </w:rPr>
        <w:t>，</w:t>
      </w:r>
      <w:r>
        <w:rPr>
          <w:rFonts w:hint="eastAsia"/>
          <w:highlight w:val="none"/>
          <w:lang w:val="en-US" w:eastAsia="zh-CN"/>
        </w:rPr>
        <w:t>预算调整率高的原因系中央资金下拨。</w:t>
      </w:r>
    </w:p>
    <w:p>
      <w:pPr>
        <w:pStyle w:val="2"/>
        <w:ind w:firstLine="643"/>
        <w:outlineLvl w:val="2"/>
        <w:rPr>
          <w:rFonts w:hint="default"/>
          <w:lang w:val="en-US"/>
        </w:rPr>
      </w:pPr>
      <w:r>
        <w:rPr>
          <w:rFonts w:hint="eastAsia" w:cs="Times New Roman"/>
          <w:b/>
          <w:bCs/>
          <w:lang w:val="en-US" w:eastAsia="zh-CN"/>
        </w:rPr>
        <w:t>3</w:t>
      </w:r>
      <w:r>
        <w:rPr>
          <w:rFonts w:cs="Times New Roman"/>
          <w:b/>
          <w:bCs/>
        </w:rPr>
        <w:t>．</w:t>
      </w:r>
      <w:r>
        <w:rPr>
          <w:rFonts w:hint="eastAsia" w:cs="Times New Roman"/>
          <w:b/>
          <w:bCs/>
          <w:lang w:val="en-US" w:eastAsia="zh-CN"/>
        </w:rPr>
        <w:t>财务管理制度明确性及执行有效性有待加强</w:t>
      </w:r>
    </w:p>
    <w:p>
      <w:pPr>
        <w:pStyle w:val="10"/>
        <w:spacing w:after="0"/>
        <w:ind w:left="0" w:leftChars="0" w:firstLine="640"/>
        <w:rPr>
          <w:rFonts w:ascii="仿宋_GB2312" w:hAnsi="仿宋_GB2312" w:cs="仿宋_GB2312"/>
          <w:szCs w:val="32"/>
        </w:rPr>
      </w:pPr>
      <w:r>
        <w:rPr>
          <w:rFonts w:hint="eastAsia"/>
          <w:lang w:val="en-US" w:eastAsia="zh-CN"/>
        </w:rPr>
        <w:t>一是，</w:t>
      </w:r>
      <w:r>
        <w:rPr>
          <w:rFonts w:hint="eastAsia"/>
        </w:rPr>
        <w:t>《</w:t>
      </w:r>
      <w:r>
        <w:rPr>
          <w:rFonts w:hint="eastAsia"/>
          <w:lang w:val="en-US" w:eastAsia="zh-CN"/>
        </w:rPr>
        <w:t>贵阳市云岩区卫生健康局财务管理制度</w:t>
      </w:r>
      <w:r>
        <w:rPr>
          <w:rFonts w:hint="eastAsia"/>
        </w:rPr>
        <w:t>》</w:t>
      </w:r>
      <w:r>
        <w:rPr>
          <w:rFonts w:hint="eastAsia"/>
          <w:lang w:eastAsia="zh-CN"/>
        </w:rPr>
        <w:t>，</w:t>
      </w:r>
      <w:r>
        <w:rPr>
          <w:rFonts w:hint="eastAsia"/>
          <w:lang w:val="en-US" w:eastAsia="zh-CN"/>
        </w:rPr>
        <w:t>第三条预借款管理制度第2款，“在办理现金借款时，未明确省内外出差和集体出差时每次每人借款额度”；第七条财务收支审批制度第3款，“由财务负责人审批的单项经费支出数额未明确”。</w:t>
      </w:r>
    </w:p>
    <w:p>
      <w:pPr>
        <w:pStyle w:val="2"/>
        <w:ind w:firstLine="643"/>
        <w:outlineLvl w:val="2"/>
        <w:rPr>
          <w:rFonts w:hint="eastAsia" w:cs="Times New Roman"/>
          <w:b/>
          <w:bCs/>
        </w:rPr>
      </w:pPr>
      <w:r>
        <w:rPr>
          <w:rFonts w:hint="eastAsia" w:cs="Times New Roman"/>
          <w:kern w:val="2"/>
          <w:sz w:val="32"/>
          <w:szCs w:val="32"/>
          <w:lang w:val="en-US" w:eastAsia="zh-CN" w:bidi="ar-SA"/>
        </w:rPr>
        <w:t>二是财务管理制度执行有效性不足，其一，个别合同要素不全，如记账凭证2020年8月28日，记账34，贵阳市云岩区人民医院建设项目节能报告编制及相关技术咨询合同文件中缺少合同签订日期；其二，合同约定条款严谨性欠佳，如2020年9月23日记账凭证61，新冠核酸检测能力建设项目设备采购合同中“第七条，第一款，付款方式仅说明合同签订后支付相应比例的货款”，对付款时间未作明确约定。</w:t>
      </w:r>
    </w:p>
    <w:p>
      <w:pPr>
        <w:bidi w:val="0"/>
        <w:rPr>
          <w:rFonts w:hint="default"/>
          <w:b/>
          <w:bCs/>
          <w:lang w:val="en-US" w:eastAsia="zh-CN"/>
        </w:rPr>
      </w:pPr>
      <w:r>
        <w:rPr>
          <w:rFonts w:hint="eastAsia"/>
          <w:b/>
          <w:bCs/>
          <w:lang w:val="en-US" w:eastAsia="zh-CN"/>
        </w:rPr>
        <w:t>4</w:t>
      </w:r>
      <w:r>
        <w:rPr>
          <w:b/>
          <w:bCs/>
        </w:rPr>
        <w:t>．</w:t>
      </w:r>
      <w:r>
        <w:rPr>
          <w:rFonts w:hint="eastAsia"/>
          <w:b/>
          <w:bCs/>
          <w:lang w:val="en-US" w:eastAsia="zh-CN"/>
        </w:rPr>
        <w:t>固定资产管理欠规范，管理水平亟需强化</w:t>
      </w:r>
    </w:p>
    <w:p>
      <w:pPr>
        <w:pStyle w:val="2"/>
        <w:ind w:firstLine="643"/>
        <w:outlineLvl w:val="2"/>
        <w:rPr>
          <w:rFonts w:hint="eastAsia"/>
          <w:lang w:val="en-US" w:eastAsia="zh-CN"/>
        </w:rPr>
      </w:pPr>
      <w:r>
        <w:rPr>
          <w:rFonts w:hint="eastAsia"/>
          <w:lang w:val="en-US" w:eastAsia="zh-CN"/>
        </w:rPr>
        <w:t>一是固定资产管理欠规范，固定资产卡片执行不彻底，部分固定资产实物未粘贴标签，如编号为TY2020000001的会议室音响设备、编号为TY2019000011的复印件以及部分台账电脑和文件柜等；</w:t>
      </w:r>
    </w:p>
    <w:p>
      <w:pPr>
        <w:pStyle w:val="2"/>
        <w:ind w:firstLine="643"/>
        <w:outlineLvl w:val="2"/>
        <w:rPr>
          <w:rFonts w:hint="default" w:cs="Times New Roman"/>
          <w:b/>
          <w:bCs/>
          <w:lang w:val="en-US"/>
        </w:rPr>
      </w:pPr>
      <w:r>
        <w:rPr>
          <w:rFonts w:hint="eastAsia"/>
          <w:lang w:val="en-US" w:eastAsia="zh-CN"/>
        </w:rPr>
        <w:t>二是固定资产账务管理欠规范，部分固定资产账实不符，如放在爱卫办库房编号为TY2013000006、TY2013000005的台式电脑账面显示为在用固资产，实际该资产处于闲置状态；固定资产台账中编号为TY2017000007的条形码打印机无法找到相应资产。</w:t>
      </w:r>
    </w:p>
    <w:p>
      <w:pPr>
        <w:bidi w:val="0"/>
        <w:rPr>
          <w:rFonts w:hint="default"/>
          <w:b/>
          <w:bCs/>
          <w:lang w:val="en-US" w:eastAsia="zh-CN"/>
        </w:rPr>
      </w:pPr>
      <w:r>
        <w:rPr>
          <w:rFonts w:hint="eastAsia"/>
          <w:b/>
          <w:bCs/>
          <w:lang w:val="en-US" w:eastAsia="zh-CN"/>
        </w:rPr>
        <w:t>5</w:t>
      </w:r>
      <w:r>
        <w:rPr>
          <w:b/>
          <w:bCs/>
        </w:rPr>
        <w:t>．</w:t>
      </w:r>
      <w:r>
        <w:rPr>
          <w:rFonts w:hint="eastAsia"/>
          <w:b/>
          <w:bCs/>
          <w:lang w:val="en-US" w:eastAsia="zh-CN"/>
        </w:rPr>
        <w:t>部分工作完成质量未达目标任务</w:t>
      </w:r>
    </w:p>
    <w:p>
      <w:pPr>
        <w:pStyle w:val="2"/>
        <w:ind w:firstLine="643"/>
        <w:rPr>
          <w:rFonts w:hint="eastAsia" w:cs="Times New Roman"/>
          <w:bCs/>
          <w:kern w:val="2"/>
          <w:sz w:val="32"/>
          <w:szCs w:val="32"/>
          <w:lang w:val="en-US" w:eastAsia="zh-CN" w:bidi="ar-SA"/>
        </w:rPr>
      </w:pPr>
      <w:r>
        <w:rPr>
          <w:rFonts w:hint="eastAsia" w:cs="Times New Roman"/>
          <w:bCs/>
          <w:kern w:val="2"/>
          <w:sz w:val="32"/>
          <w:szCs w:val="32"/>
          <w:lang w:val="en-US" w:eastAsia="zh-CN" w:bidi="ar-SA"/>
        </w:rPr>
        <w:t>一是，社区卫生服务中心妇幼健康门诊规范化建设率为33.33%，2020年区卫健局应完成1家乡镇卫生院和26家社区卫生服务中心妇幼健康门诊规范化建设，但截至2021年9月10日，实际完成9家；</w:t>
      </w:r>
      <w:r>
        <w:rPr>
          <w:rFonts w:hint="eastAsia" w:cs="Times New Roman"/>
          <w:lang w:val="en-US" w:eastAsia="zh-CN"/>
        </w:rPr>
        <w:t>二是</w:t>
      </w:r>
      <w:r>
        <w:rPr>
          <w:rFonts w:hint="eastAsia" w:cs="Times New Roman"/>
          <w:bCs/>
          <w:kern w:val="2"/>
          <w:sz w:val="32"/>
          <w:szCs w:val="32"/>
          <w:lang w:val="en-US" w:eastAsia="zh-CN" w:bidi="ar-SA"/>
        </w:rPr>
        <w:t>2020年度云岩区共有孕产妇总人数9380人，其中系统管理人数8848人，辖区内孕产妇系统管理率94.33%。</w:t>
      </w:r>
    </w:p>
    <w:p>
      <w:pPr>
        <w:bidi w:val="0"/>
        <w:rPr>
          <w:rFonts w:hint="default"/>
          <w:b/>
          <w:bCs/>
          <w:lang w:val="en-US" w:eastAsia="zh-CN"/>
        </w:rPr>
      </w:pPr>
      <w:r>
        <w:rPr>
          <w:rFonts w:hint="eastAsia"/>
          <w:b/>
          <w:bCs/>
          <w:lang w:val="en-US" w:eastAsia="zh-CN"/>
        </w:rPr>
        <w:t>6</w:t>
      </w:r>
      <w:r>
        <w:rPr>
          <w:b/>
          <w:bCs/>
        </w:rPr>
        <w:t>．</w:t>
      </w:r>
      <w:r>
        <w:rPr>
          <w:rFonts w:hint="eastAsia"/>
          <w:b/>
          <w:bCs/>
          <w:lang w:val="en-US" w:eastAsia="zh-CN"/>
        </w:rPr>
        <w:t>部分工作成效不够显著，履职效益仍需加强</w:t>
      </w:r>
    </w:p>
    <w:p>
      <w:pPr>
        <w:pStyle w:val="10"/>
        <w:spacing w:after="0"/>
        <w:ind w:left="0" w:leftChars="0" w:firstLine="643"/>
        <w:rPr>
          <w:rFonts w:hint="eastAsia"/>
          <w:b w:val="0"/>
          <w:bCs w:val="0"/>
          <w:lang w:val="en-US" w:eastAsia="zh-CN"/>
        </w:rPr>
      </w:pPr>
      <w:r>
        <w:rPr>
          <w:rFonts w:hint="eastAsia"/>
          <w:b w:val="0"/>
          <w:bCs w:val="0"/>
          <w:lang w:val="en-US" w:eastAsia="zh-CN"/>
        </w:rPr>
        <w:t>一是慢性病患者健康管理率较低。（1）2020年度辖区内血压患者应管理人数62552人，已管理的高血压患者人数60592人，按照规范要求进行管理的高血压患者23273人，高血压患者规范管理率38.41%；（2）2020年度辖区内2型糖尿病患者应管理数17714人，已管理的2型糖尿病患者人数22474人，按照规范要求进行2型糖尿病患者管理数8595人，规范管理率38.24%。</w:t>
      </w:r>
    </w:p>
    <w:p>
      <w:pPr>
        <w:pStyle w:val="10"/>
        <w:spacing w:after="0"/>
        <w:ind w:left="0" w:leftChars="0" w:firstLine="643"/>
        <w:rPr>
          <w:rFonts w:hint="eastAsia"/>
          <w:lang w:val="en-US" w:eastAsia="zh-CN"/>
        </w:rPr>
      </w:pPr>
      <w:r>
        <w:rPr>
          <w:rFonts w:hint="eastAsia"/>
          <w:b w:val="0"/>
          <w:bCs w:val="0"/>
          <w:lang w:val="en-US" w:eastAsia="zh-CN"/>
        </w:rPr>
        <w:t>二是被评价年度内婴儿出生缺陷率高于上年度水平。</w:t>
      </w:r>
      <w:r>
        <w:rPr>
          <w:rFonts w:hint="default" w:ascii="Times New Roman" w:hAnsi="Times New Roman" w:cs="Times New Roman"/>
          <w:lang w:val="en-US" w:eastAsia="zh-CN"/>
        </w:rPr>
        <w:t>2019年</w:t>
      </w:r>
      <w:r>
        <w:rPr>
          <w:rFonts w:hint="eastAsia" w:cs="Times New Roman"/>
          <w:lang w:val="en-US" w:eastAsia="zh-CN"/>
        </w:rPr>
        <w:t>度</w:t>
      </w:r>
      <w:r>
        <w:rPr>
          <w:rFonts w:hint="eastAsia" w:ascii="Times New Roman" w:hAnsi="Times New Roman" w:cs="Times New Roman"/>
          <w:lang w:val="en-US" w:eastAsia="zh-CN"/>
        </w:rPr>
        <w:t>出生婴儿数</w:t>
      </w:r>
      <w:r>
        <w:rPr>
          <w:rFonts w:hint="eastAsia" w:cs="Times New Roman"/>
          <w:highlight w:val="none"/>
          <w:lang w:val="en-US" w:eastAsia="zh-CN"/>
        </w:rPr>
        <w:t>10948个</w:t>
      </w:r>
      <w:r>
        <w:rPr>
          <w:rFonts w:hint="eastAsia" w:ascii="Times New Roman" w:hAnsi="Times New Roman" w:cs="Times New Roman"/>
          <w:lang w:val="en-US" w:eastAsia="zh-CN"/>
        </w:rPr>
        <w:t>，有缺陷的婴儿数</w:t>
      </w:r>
      <w:r>
        <w:rPr>
          <w:rFonts w:hint="eastAsia" w:cs="Times New Roman"/>
          <w:highlight w:val="none"/>
          <w:lang w:val="en-US" w:eastAsia="zh-CN"/>
        </w:rPr>
        <w:t>413个</w:t>
      </w:r>
      <w:r>
        <w:rPr>
          <w:rFonts w:hint="eastAsia" w:ascii="Times New Roman" w:hAnsi="Times New Roman" w:cs="Times New Roman"/>
          <w:highlight w:val="none"/>
          <w:lang w:val="en-US" w:eastAsia="zh-CN"/>
        </w:rPr>
        <w:t>，</w:t>
      </w:r>
      <w:r>
        <w:rPr>
          <w:rFonts w:hint="eastAsia" w:ascii="Times New Roman" w:hAnsi="Times New Roman" w:cs="Times New Roman"/>
          <w:lang w:val="en-US" w:eastAsia="zh-CN"/>
        </w:rPr>
        <w:t>出生缺陷发生率</w:t>
      </w:r>
      <w:r>
        <w:rPr>
          <w:rFonts w:hint="eastAsia" w:cs="Times New Roman"/>
          <w:lang w:val="en-US" w:eastAsia="zh-CN"/>
        </w:rPr>
        <w:t>3.77%</w:t>
      </w:r>
      <w:r>
        <w:rPr>
          <w:rFonts w:hint="eastAsia" w:ascii="Times New Roman" w:hAnsi="Times New Roman" w:cs="Times New Roman"/>
          <w:lang w:val="en-US" w:eastAsia="zh-CN"/>
        </w:rPr>
        <w:t>；2020年</w:t>
      </w:r>
      <w:r>
        <w:rPr>
          <w:rFonts w:hint="eastAsia" w:cs="Times New Roman"/>
          <w:lang w:val="en-US" w:eastAsia="zh-CN"/>
        </w:rPr>
        <w:t>度</w:t>
      </w:r>
      <w:r>
        <w:rPr>
          <w:rFonts w:hint="eastAsia" w:ascii="Times New Roman" w:hAnsi="Times New Roman" w:cs="Times New Roman"/>
          <w:lang w:val="en-US" w:eastAsia="zh-CN"/>
        </w:rPr>
        <w:t>出生婴儿数</w:t>
      </w:r>
      <w:r>
        <w:rPr>
          <w:rFonts w:hint="eastAsia" w:cs="Times New Roman"/>
          <w:highlight w:val="none"/>
          <w:lang w:val="en-US" w:eastAsia="zh-CN"/>
        </w:rPr>
        <w:t>9518个</w:t>
      </w:r>
      <w:r>
        <w:rPr>
          <w:rFonts w:hint="eastAsia" w:ascii="Times New Roman" w:hAnsi="Times New Roman" w:cs="Times New Roman"/>
          <w:lang w:val="en-US" w:eastAsia="zh-CN"/>
        </w:rPr>
        <w:t>，有缺陷的婴儿数</w:t>
      </w:r>
      <w:r>
        <w:rPr>
          <w:rFonts w:hint="eastAsia" w:cs="Times New Roman"/>
          <w:lang w:val="en-US" w:eastAsia="zh-CN"/>
        </w:rPr>
        <w:t>454个</w:t>
      </w:r>
      <w:r>
        <w:rPr>
          <w:rFonts w:hint="eastAsia" w:ascii="Times New Roman" w:hAnsi="Times New Roman" w:cs="Times New Roman"/>
          <w:highlight w:val="none"/>
          <w:lang w:val="en-US" w:eastAsia="zh-CN"/>
        </w:rPr>
        <w:t>，</w:t>
      </w:r>
      <w:r>
        <w:rPr>
          <w:rFonts w:hint="eastAsia" w:ascii="Times New Roman" w:hAnsi="Times New Roman" w:cs="Times New Roman"/>
          <w:lang w:val="en-US" w:eastAsia="zh-CN"/>
        </w:rPr>
        <w:t>出生缺陷发生率</w:t>
      </w:r>
      <w:r>
        <w:rPr>
          <w:rFonts w:hint="eastAsia" w:cs="Times New Roman"/>
          <w:lang w:val="en-US" w:eastAsia="zh-CN"/>
        </w:rPr>
        <w:t>4.77%。</w:t>
      </w:r>
    </w:p>
    <w:p>
      <w:pPr>
        <w:pStyle w:val="4"/>
        <w:ind w:firstLine="643"/>
        <w:rPr>
          <w:rFonts w:ascii="Times New Roman" w:hAnsi="Times New Roman"/>
        </w:rPr>
      </w:pPr>
      <w:bookmarkStart w:id="67" w:name="_Toc22558"/>
      <w:bookmarkStart w:id="68" w:name="_Toc715"/>
      <w:bookmarkStart w:id="69" w:name="_Toc4094"/>
      <w:bookmarkStart w:id="70" w:name="_Toc9090"/>
      <w:bookmarkStart w:id="71" w:name="_Toc2420"/>
      <w:r>
        <w:rPr>
          <w:rFonts w:ascii="Times New Roman" w:hAnsi="Times New Roman"/>
        </w:rPr>
        <w:t>（三）相关建议</w:t>
      </w:r>
      <w:bookmarkEnd w:id="67"/>
      <w:bookmarkEnd w:id="68"/>
      <w:bookmarkEnd w:id="69"/>
      <w:bookmarkEnd w:id="70"/>
      <w:bookmarkEnd w:id="71"/>
    </w:p>
    <w:p>
      <w:pPr>
        <w:bidi w:val="0"/>
        <w:rPr>
          <w:rFonts w:hint="default"/>
          <w:b/>
          <w:bCs/>
          <w:lang w:val="en-US" w:eastAsia="zh-CN"/>
        </w:rPr>
      </w:pPr>
      <w:r>
        <w:rPr>
          <w:b/>
          <w:bCs/>
        </w:rPr>
        <w:t>1．</w:t>
      </w:r>
      <w:r>
        <w:rPr>
          <w:rFonts w:hint="eastAsia"/>
          <w:b/>
          <w:bCs/>
          <w:lang w:val="en-US" w:eastAsia="zh-CN"/>
        </w:rPr>
        <w:t>完善</w:t>
      </w:r>
      <w:r>
        <w:rPr>
          <w:rFonts w:hint="eastAsia"/>
          <w:b/>
          <w:bCs/>
        </w:rPr>
        <w:t>目标</w:t>
      </w:r>
      <w:r>
        <w:rPr>
          <w:rFonts w:hint="eastAsia"/>
          <w:b/>
          <w:bCs/>
          <w:lang w:val="en-US" w:eastAsia="zh-CN"/>
        </w:rPr>
        <w:t>管理机制，提升部门履职效能</w:t>
      </w:r>
    </w:p>
    <w:p>
      <w:pPr>
        <w:ind w:firstLine="584"/>
        <w:rPr>
          <w:sz w:val="32"/>
          <w:szCs w:val="32"/>
        </w:rPr>
      </w:pPr>
      <w:r>
        <w:rPr>
          <w:rFonts w:hint="eastAsia"/>
          <w:lang w:val="en-US" w:eastAsia="zh-CN"/>
        </w:rPr>
        <w:t>目标管理是预算绩效管理的基础，</w:t>
      </w:r>
      <w:r>
        <w:rPr>
          <w:rFonts w:hint="eastAsia"/>
        </w:rPr>
        <w:t>建议</w:t>
      </w:r>
      <w:r>
        <w:rPr>
          <w:rFonts w:hint="eastAsia"/>
          <w:lang w:val="en-US" w:eastAsia="zh-CN"/>
        </w:rPr>
        <w:t>区卫健局聚焦部门职能、预算安排、部门中长期规划、年度重点工作计划以及上级部门下达的工作任务</w:t>
      </w:r>
      <w:r>
        <w:rPr>
          <w:rFonts w:hint="eastAsia" w:ascii="仿宋_GB2312" w:hAnsi="仿宋_GB2312" w:cs="仿宋_GB2312"/>
        </w:rPr>
        <w:t>，</w:t>
      </w:r>
      <w:r>
        <w:rPr>
          <w:rFonts w:hint="eastAsia" w:ascii="仿宋_GB2312" w:hAnsi="仿宋_GB2312" w:cs="仿宋_GB2312"/>
          <w:lang w:val="en-US" w:eastAsia="zh-CN"/>
        </w:rPr>
        <w:t>提炼出明确可考核的部门整体绩效目标、指标，使其在符合客观实际的前提下准确、全面地反映部门年度工作履职情况。另外，</w:t>
      </w:r>
      <w:r>
        <w:rPr>
          <w:rFonts w:hint="eastAsia"/>
          <w:lang w:val="en-US" w:eastAsia="zh-CN"/>
        </w:rPr>
        <w:t>抓紧业务学习，提高预算绩效管理意识，增强预算绩效目标设定的明确性和可实现性。</w:t>
      </w:r>
    </w:p>
    <w:p>
      <w:pPr>
        <w:bidi w:val="0"/>
        <w:rPr>
          <w:rFonts w:hint="default"/>
          <w:b/>
          <w:bCs/>
          <w:lang w:val="en-US" w:eastAsia="zh-CN"/>
        </w:rPr>
      </w:pPr>
      <w:r>
        <w:rPr>
          <w:rFonts w:hint="eastAsia"/>
          <w:b/>
          <w:bCs/>
          <w:lang w:val="en-US" w:eastAsia="zh-CN"/>
        </w:rPr>
        <w:t>2</w:t>
      </w:r>
      <w:r>
        <w:rPr>
          <w:b/>
          <w:bCs/>
        </w:rPr>
        <w:t>．</w:t>
      </w:r>
      <w:r>
        <w:rPr>
          <w:rFonts w:hint="eastAsia"/>
          <w:b/>
          <w:bCs/>
          <w:lang w:val="en-US" w:eastAsia="zh-CN"/>
        </w:rPr>
        <w:t>科学编制部门预算</w:t>
      </w:r>
    </w:p>
    <w:p>
      <w:pPr>
        <w:pStyle w:val="55"/>
        <w:ind w:firstLine="640"/>
      </w:pPr>
      <w:bookmarkStart w:id="72" w:name="_Toc27008"/>
      <w:bookmarkStart w:id="73" w:name="_Toc28295"/>
      <w:r>
        <w:t>建议</w:t>
      </w:r>
      <w:r>
        <w:rPr>
          <w:rFonts w:hint="eastAsia"/>
        </w:rPr>
        <w:t>科学合理编制部门预算，规范预算调整程序。一方面，</w:t>
      </w:r>
      <w:r>
        <w:t>应结合部门职责和年度工作任务，充分考虑项目预算安排，合理申报相关项目预算</w:t>
      </w:r>
      <w:r>
        <w:rPr>
          <w:rFonts w:hint="eastAsia"/>
        </w:rPr>
        <w:t>；另一方面，应做好年度基础信息统计，按照统一的时间节点、统计口径进行数据统计，保证部门预算资金完成情况、各汇总表、汇报情况数据一致，以提高预算编制的准确性。同时，预算调整程序应进一步规范，对需要调整的项目应</w:t>
      </w:r>
      <w:r>
        <w:t>严格按照相关制度和程序申请调整</w:t>
      </w:r>
      <w:r>
        <w:rPr>
          <w:rFonts w:hint="eastAsia"/>
        </w:rPr>
        <w:t>，做到有申请、有批复，保证预算调整程序合理、合规。</w:t>
      </w:r>
    </w:p>
    <w:p>
      <w:pPr>
        <w:pStyle w:val="2"/>
        <w:ind w:firstLine="643"/>
        <w:rPr>
          <w:rFonts w:hint="default" w:eastAsia="仿宋_GB2312" w:cs="Times New Roman"/>
          <w:b/>
          <w:bCs/>
          <w:lang w:val="en-US" w:eastAsia="zh-CN"/>
        </w:rPr>
      </w:pPr>
      <w:r>
        <w:rPr>
          <w:rFonts w:hint="eastAsia" w:cs="Times New Roman"/>
          <w:b/>
          <w:bCs/>
          <w:lang w:val="en-US" w:eastAsia="zh-CN"/>
        </w:rPr>
        <w:t>3</w:t>
      </w:r>
      <w:r>
        <w:rPr>
          <w:rFonts w:cs="Times New Roman"/>
          <w:b/>
          <w:bCs/>
        </w:rPr>
        <w:t>．</w:t>
      </w:r>
      <w:r>
        <w:rPr>
          <w:rFonts w:hint="eastAsia" w:cs="Times New Roman"/>
          <w:b/>
          <w:bCs/>
          <w:lang w:val="en-US" w:eastAsia="zh-CN"/>
        </w:rPr>
        <w:t>明确财务管理条款内容，严格履行财务监督管理职能</w:t>
      </w:r>
    </w:p>
    <w:p>
      <w:pPr>
        <w:pStyle w:val="10"/>
        <w:spacing w:after="0"/>
        <w:ind w:left="0" w:leftChars="0" w:firstLine="640"/>
        <w:rPr>
          <w:rFonts w:cs="Times New Roman"/>
          <w:szCs w:val="32"/>
        </w:rPr>
      </w:pPr>
      <w:r>
        <w:rPr>
          <w:rFonts w:hint="eastAsia"/>
          <w:lang w:val="en-US" w:eastAsia="zh-CN"/>
        </w:rPr>
        <w:t>一是建议按照《会计法》严格落实部门财务管理制度，确保财务管理制度内容准确、完整，避免因条款内容不明确引起不必要的财务纠纷；二是</w:t>
      </w:r>
      <w:r>
        <w:rPr>
          <w:rFonts w:hint="eastAsia"/>
        </w:rPr>
        <w:t>建议严格按照内部财务管理制度规定执行</w:t>
      </w:r>
      <w:r>
        <w:rPr>
          <w:rFonts w:hint="eastAsia" w:ascii="仿宋_GB2312" w:hAnsi="仿宋_GB2312" w:cs="仿宋_GB2312"/>
          <w:kern w:val="0"/>
          <w:szCs w:val="32"/>
        </w:rPr>
        <w:t>。一方面，应</w:t>
      </w:r>
      <w:r>
        <w:rPr>
          <w:rStyle w:val="28"/>
          <w:rFonts w:hint="eastAsia" w:ascii="仿宋_GB2312" w:hAnsi="仿宋_GB2312" w:cs="仿宋_GB2312"/>
          <w:b w:val="0"/>
          <w:bCs w:val="0"/>
          <w:szCs w:val="32"/>
          <w:shd w:val="clear" w:color="auto" w:fill="FFFFFF"/>
        </w:rPr>
        <w:t>充分发挥内外部监督的协同作用，促进单位“自我约束”机制的形成；另一方面，</w:t>
      </w:r>
      <w:r>
        <w:rPr>
          <w:rFonts w:hint="eastAsia" w:ascii="仿宋_GB2312" w:hAnsi="仿宋_GB2312" w:cs="仿宋_GB2312"/>
          <w:kern w:val="0"/>
          <w:szCs w:val="32"/>
        </w:rPr>
        <w:t>应</w:t>
      </w:r>
      <w:r>
        <w:rPr>
          <w:rStyle w:val="28"/>
          <w:rFonts w:hint="eastAsia" w:ascii="仿宋_GB2312" w:hAnsi="仿宋_GB2312" w:cs="仿宋_GB2312"/>
          <w:b w:val="0"/>
          <w:bCs w:val="0"/>
          <w:szCs w:val="32"/>
          <w:shd w:val="clear" w:color="auto" w:fill="FFFFFF"/>
        </w:rPr>
        <w:t>明确职责，</w:t>
      </w:r>
      <w:r>
        <w:rPr>
          <w:rFonts w:hint="eastAsia" w:ascii="仿宋_GB2312" w:hAnsi="仿宋_GB2312" w:cs="仿宋_GB2312"/>
          <w:szCs w:val="32"/>
          <w:shd w:val="clear" w:color="auto" w:fill="FFFFFF"/>
        </w:rPr>
        <w:t>管理系统和监督系统应各司其职、各负其责</w:t>
      </w:r>
      <w:r>
        <w:rPr>
          <w:rFonts w:hint="eastAsia" w:ascii="仿宋_GB2312" w:hAnsi="仿宋_GB2312" w:cs="仿宋_GB2312"/>
          <w:szCs w:val="32"/>
          <w:shd w:val="clear" w:color="auto" w:fill="FFFFFF"/>
          <w:lang w:eastAsia="zh-CN"/>
        </w:rPr>
        <w:t>，</w:t>
      </w:r>
      <w:r>
        <w:rPr>
          <w:rFonts w:hint="eastAsia"/>
          <w:lang w:val="en-US" w:eastAsia="zh-CN"/>
        </w:rPr>
        <w:t>在</w:t>
      </w:r>
      <w:r>
        <w:rPr>
          <w:rFonts w:hint="eastAsia"/>
        </w:rPr>
        <w:t>签订合同</w:t>
      </w:r>
      <w:r>
        <w:rPr>
          <w:rFonts w:hint="eastAsia"/>
          <w:lang w:val="en-US" w:eastAsia="zh-CN"/>
        </w:rPr>
        <w:t>方面</w:t>
      </w:r>
      <w:r>
        <w:rPr>
          <w:rFonts w:hint="eastAsia"/>
        </w:rPr>
        <w:t>，应按规定进行监督和检查，</w:t>
      </w:r>
      <w:r>
        <w:rPr>
          <w:rFonts w:hint="eastAsia"/>
          <w:lang w:val="en-US" w:eastAsia="zh-CN"/>
        </w:rPr>
        <w:t>对于</w:t>
      </w:r>
      <w:r>
        <w:rPr>
          <w:rFonts w:hint="eastAsia"/>
        </w:rPr>
        <w:t>签订不规范的合同，应及时进行整改并督促合同经办处室规范签订合同，以保障合同双方的合法权益。</w:t>
      </w:r>
    </w:p>
    <w:p>
      <w:pPr>
        <w:pStyle w:val="2"/>
        <w:ind w:firstLine="643"/>
        <w:rPr>
          <w:rFonts w:hint="default" w:eastAsia="仿宋_GB2312"/>
          <w:b/>
          <w:bCs/>
          <w:lang w:val="en-US" w:eastAsia="zh-CN"/>
        </w:rPr>
      </w:pPr>
      <w:r>
        <w:rPr>
          <w:rFonts w:hint="eastAsia" w:cs="Times New Roman"/>
          <w:b/>
          <w:bCs/>
          <w:lang w:val="en-US" w:eastAsia="zh-CN"/>
        </w:rPr>
        <w:t>4</w:t>
      </w:r>
      <w:r>
        <w:rPr>
          <w:rFonts w:cs="Times New Roman"/>
          <w:b/>
          <w:bCs/>
        </w:rPr>
        <w:t>．</w:t>
      </w:r>
      <w:r>
        <w:rPr>
          <w:rFonts w:hint="eastAsia" w:cs="Times New Roman"/>
          <w:b/>
          <w:bCs/>
          <w:lang w:val="en-US" w:eastAsia="zh-CN"/>
        </w:rPr>
        <w:t>加强固定资产管理，提高资产管理水平</w:t>
      </w:r>
    </w:p>
    <w:p>
      <w:pPr>
        <w:pStyle w:val="2"/>
        <w:keepNext w:val="0"/>
        <w:keepLines w:val="0"/>
        <w:pageBreakBefore w:val="0"/>
        <w:widowControl w:val="0"/>
        <w:kinsoku/>
        <w:wordWrap/>
        <w:overflowPunct/>
        <w:topLinePunct w:val="0"/>
        <w:autoSpaceDE/>
        <w:autoSpaceDN/>
        <w:bidi w:val="0"/>
        <w:adjustRightInd/>
        <w:snapToGrid/>
        <w:ind w:firstLine="640"/>
        <w:textAlignment w:val="auto"/>
      </w:pPr>
      <w:r>
        <w:rPr>
          <w:rFonts w:hint="eastAsia"/>
          <w:lang w:val="en-US" w:eastAsia="zh-CN"/>
        </w:rPr>
        <w:t>建议区卫健局</w:t>
      </w:r>
      <w:r>
        <w:rPr>
          <w:rFonts w:hint="eastAsia"/>
        </w:rPr>
        <w:t>财务部门</w:t>
      </w:r>
      <w:r>
        <w:rPr>
          <w:rFonts w:hint="eastAsia"/>
          <w:lang w:val="en-US" w:eastAsia="zh-CN"/>
        </w:rPr>
        <w:t>按照</w:t>
      </w:r>
      <w:r>
        <w:rPr>
          <w:rFonts w:hint="eastAsia"/>
          <w:lang w:eastAsia="zh-CN"/>
        </w:rPr>
        <w:t>《</w:t>
      </w:r>
      <w:r>
        <w:rPr>
          <w:rFonts w:hint="eastAsia"/>
          <w:lang w:val="en-US" w:eastAsia="zh-CN"/>
        </w:rPr>
        <w:t>国有资产管理内部控制制度</w:t>
      </w:r>
      <w:r>
        <w:rPr>
          <w:rFonts w:hint="eastAsia"/>
          <w:lang w:eastAsia="zh-CN"/>
        </w:rPr>
        <w:t>》</w:t>
      </w:r>
      <w:r>
        <w:rPr>
          <w:rFonts w:hint="eastAsia"/>
          <w:lang w:val="en-US" w:eastAsia="zh-CN"/>
        </w:rPr>
        <w:t>第五十三条“为保证固定资产的安全和完整，每年年末定期对固定资产进行一次全面的清查盘点，查明固定资产的是有数与账面数是否相等，固定资产的保管、使用、维修情况是否正常等。”</w:t>
      </w:r>
      <w:r>
        <w:rPr>
          <w:rFonts w:hint="eastAsia"/>
        </w:rPr>
        <w:t>定期</w:t>
      </w:r>
      <w:r>
        <w:rPr>
          <w:rFonts w:hint="eastAsia"/>
          <w:lang w:val="en-US" w:eastAsia="zh-CN"/>
        </w:rPr>
        <w:t>检查固定资产标签的完整性，存在缺失情况应及时更新并粘贴</w:t>
      </w:r>
      <w:r>
        <w:rPr>
          <w:rFonts w:hint="eastAsia"/>
        </w:rPr>
        <w:t>，确保固定资产账实相符。同时，明确资产使用责任人，强化资产使用责任，提高资产使用效率。</w:t>
      </w:r>
    </w:p>
    <w:p>
      <w:pPr>
        <w:pStyle w:val="10"/>
        <w:spacing w:after="0"/>
        <w:ind w:left="0" w:leftChars="0" w:firstLine="643"/>
        <w:rPr>
          <w:rFonts w:hint="default" w:eastAsia="仿宋_GB2312"/>
          <w:b/>
          <w:bCs/>
          <w:lang w:val="en-US" w:eastAsia="zh-CN"/>
        </w:rPr>
      </w:pPr>
      <w:r>
        <w:rPr>
          <w:rFonts w:hint="eastAsia"/>
          <w:b/>
          <w:bCs/>
          <w:lang w:val="en-US" w:eastAsia="zh-CN"/>
        </w:rPr>
        <w:t>5</w:t>
      </w:r>
      <w:r>
        <w:rPr>
          <w:b/>
          <w:bCs/>
        </w:rPr>
        <w:t>．</w:t>
      </w:r>
      <w:r>
        <w:rPr>
          <w:rFonts w:hint="eastAsia"/>
          <w:b/>
          <w:bCs/>
          <w:lang w:val="en-US" w:eastAsia="zh-CN"/>
        </w:rPr>
        <w:t>及时调整工作计划，确保重点工作及时保质完成</w:t>
      </w:r>
    </w:p>
    <w:p>
      <w:pPr>
        <w:keepNext w:val="0"/>
        <w:keepLines w:val="0"/>
        <w:pageBreakBefore w:val="0"/>
        <w:widowControl w:val="0"/>
        <w:kinsoku/>
        <w:wordWrap/>
        <w:overflowPunct/>
        <w:topLinePunct w:val="0"/>
        <w:autoSpaceDE/>
        <w:autoSpaceDN/>
        <w:bidi w:val="0"/>
        <w:adjustRightInd/>
        <w:snapToGrid/>
        <w:ind w:firstLine="586"/>
        <w:textAlignment w:val="auto"/>
        <w:rPr>
          <w:rFonts w:hint="eastAsia"/>
        </w:rPr>
      </w:pPr>
      <w:bookmarkStart w:id="74" w:name="_Toc10948"/>
      <w:bookmarkStart w:id="75" w:name="_Toc8609"/>
      <w:r>
        <w:rPr>
          <w:rFonts w:hint="eastAsia" w:ascii="Times New Roman" w:hAnsi="Times New Roman" w:eastAsia="仿宋_GB2312" w:cs="仿宋_GB2312"/>
          <w:kern w:val="0"/>
          <w:sz w:val="32"/>
          <w:szCs w:val="21"/>
          <w:lang w:val="en-US" w:eastAsia="zh-CN" w:bidi="ar-SA"/>
        </w:rPr>
        <w:t>建议该部门及时</w:t>
      </w:r>
      <w:r>
        <w:rPr>
          <w:rFonts w:hint="eastAsia" w:cs="仿宋_GB2312"/>
          <w:kern w:val="0"/>
          <w:sz w:val="32"/>
          <w:szCs w:val="21"/>
          <w:lang w:val="en-US" w:eastAsia="zh-CN" w:bidi="ar-SA"/>
        </w:rPr>
        <w:t>研究计划落实障碍，并</w:t>
      </w:r>
      <w:r>
        <w:rPr>
          <w:rFonts w:hint="eastAsia" w:ascii="Times New Roman" w:hAnsi="Times New Roman" w:eastAsia="仿宋_GB2312" w:cs="仿宋_GB2312"/>
          <w:kern w:val="0"/>
          <w:sz w:val="32"/>
          <w:szCs w:val="21"/>
          <w:lang w:val="en-US" w:eastAsia="zh-CN" w:bidi="ar-SA"/>
        </w:rPr>
        <w:t>调整</w:t>
      </w:r>
      <w:r>
        <w:rPr>
          <w:rFonts w:hint="eastAsia" w:cs="仿宋_GB2312"/>
          <w:kern w:val="0"/>
          <w:sz w:val="32"/>
          <w:szCs w:val="21"/>
          <w:lang w:val="en-US" w:eastAsia="zh-CN" w:bidi="ar-SA"/>
        </w:rPr>
        <w:t>工作计划，</w:t>
      </w:r>
      <w:r>
        <w:rPr>
          <w:rFonts w:hint="eastAsia"/>
        </w:rPr>
        <w:t>有针对性的制定应对措施和风险预案</w:t>
      </w:r>
      <w:r>
        <w:rPr>
          <w:rFonts w:hint="eastAsia"/>
          <w:lang w:eastAsia="zh-CN"/>
        </w:rPr>
        <w:t>，</w:t>
      </w:r>
      <w:r>
        <w:rPr>
          <w:rFonts w:hint="eastAsia" w:cs="仿宋_GB2312"/>
          <w:kern w:val="0"/>
          <w:sz w:val="32"/>
          <w:szCs w:val="21"/>
          <w:lang w:val="en-US" w:eastAsia="zh-CN" w:bidi="ar-SA"/>
        </w:rPr>
        <w:t>研究</w:t>
      </w:r>
      <w:r>
        <w:rPr>
          <w:rFonts w:hint="eastAsia" w:ascii="Times New Roman" w:hAnsi="Times New Roman" w:eastAsia="仿宋_GB2312" w:cs="仿宋_GB2312"/>
          <w:kern w:val="0"/>
          <w:sz w:val="32"/>
          <w:szCs w:val="21"/>
          <w:lang w:val="en-US" w:eastAsia="zh-CN" w:bidi="ar-SA"/>
        </w:rPr>
        <w:t>问题对策，破解难题，提高工作效率</w:t>
      </w:r>
      <w:r>
        <w:rPr>
          <w:rFonts w:hint="eastAsia"/>
        </w:rPr>
        <w:t>，保证计划顺利落实。</w:t>
      </w:r>
    </w:p>
    <w:p>
      <w:pPr>
        <w:pStyle w:val="2"/>
        <w:ind w:firstLine="643"/>
        <w:outlineLvl w:val="2"/>
        <w:rPr>
          <w:rFonts w:hint="default" w:ascii="仿宋_GB2312" w:hAnsi="仿宋_GB2312" w:eastAsia="仿宋_GB2312"/>
          <w:szCs w:val="32"/>
          <w:lang w:val="en-US" w:eastAsia="zh-CN"/>
        </w:rPr>
      </w:pPr>
      <w:r>
        <w:rPr>
          <w:rFonts w:hint="eastAsia" w:cs="Times New Roman"/>
          <w:b/>
          <w:bCs/>
          <w:lang w:val="en-US" w:eastAsia="zh-CN"/>
        </w:rPr>
        <w:t>6</w:t>
      </w:r>
      <w:r>
        <w:rPr>
          <w:rFonts w:cs="Times New Roman"/>
          <w:b/>
          <w:bCs/>
        </w:rPr>
        <w:t>．</w:t>
      </w:r>
      <w:r>
        <w:rPr>
          <w:rFonts w:hint="eastAsia" w:cs="Times New Roman"/>
          <w:b/>
          <w:bCs/>
          <w:lang w:val="en-US" w:eastAsia="zh-CN"/>
        </w:rPr>
        <w:t>加强出生缺陷防治</w:t>
      </w:r>
    </w:p>
    <w:p>
      <w:pPr>
        <w:pStyle w:val="2"/>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一是建议相关责任单位增加孕前优生免费检查项目，增加试点婚检、增补叶酸联合的“一站式”服务站，实现孕前目标人群优生健康检查全覆盖；二是建议加强监督管理，规范防治服务，针对唐氏综合征、地中海贫血等严重出生缺陷及重点新生儿遗传代谢疾病，逐步制定和完善相关防治规范和指南；三是建议开展社区式服务和家庭式服务，及时登记孕初期人员信息，并按时回访。</w:t>
      </w:r>
    </w:p>
    <w:bookmarkEnd w:id="57"/>
    <w:bookmarkEnd w:id="58"/>
    <w:bookmarkEnd w:id="59"/>
    <w:bookmarkEnd w:id="72"/>
    <w:bookmarkEnd w:id="73"/>
    <w:bookmarkEnd w:id="74"/>
    <w:bookmarkEnd w:id="75"/>
    <w:p>
      <w:pPr>
        <w:pStyle w:val="4"/>
        <w:rPr>
          <w:rFonts w:hint="default"/>
          <w:lang w:val="en-US"/>
        </w:rPr>
      </w:pPr>
    </w:p>
    <w:sectPr>
      <w:headerReference r:id="rId3" w:type="default"/>
      <w:footerReference r:id="rId4" w:type="default"/>
      <w:pgSz w:w="11850" w:h="16783"/>
      <w:pgMar w:top="1440" w:right="1800" w:bottom="1440" w:left="1800" w:header="851" w:footer="992" w:gutter="0"/>
      <w:pgNumType w:fmt="numberInDash"/>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B54B70-0AD1-4485-AD1C-6D642826796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E05B1D0-433F-4346-A267-AC609FCE7943}"/>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embedRegular r:id="rId3" w:fontKey="{CA11F0C6-CE64-4696-90A4-0B0E53ACEBD5}"/>
  </w:font>
  <w:font w:name="楷体_GB2312">
    <w:panose1 w:val="02010609030101010101"/>
    <w:charset w:val="86"/>
    <w:family w:val="modern"/>
    <w:pitch w:val="default"/>
    <w:sig w:usb0="00000001" w:usb1="080E0000" w:usb2="00000000" w:usb3="00000000" w:csb0="00040000" w:csb1="00000000"/>
  </w:font>
  <w:font w:name="方正仿宋_GB2312">
    <w:altName w:val="仿宋"/>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422"/>
        <w:tab w:val="clear" w:pos="4153"/>
        <w:tab w:val="clear" w:pos="8306"/>
      </w:tabs>
      <w:spacing w:line="240" w:lineRule="auto"/>
      <w:ind w:firstLine="0" w:firstLineChars="0"/>
      <w:rPr>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- 69 -</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ntT3MVAgAAFQ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ntT3MVAgAAFQQAAA4AAAAAAAAA&#10;AQAgAAAAHwEAAGRycy9lMm9Eb2MueG1sUEsFBgAAAAAGAAYAWQEAAKYFAAAAAA==&#10;">
              <v:fill on="f" focussize="0,0"/>
              <v:stroke on="f" weight="0.5pt"/>
              <v:imagedata o:title=""/>
              <o:lock v:ext="edit" aspectratio="f"/>
              <v:textbox inset="0mm,0mm,0mm,0mm" style="mso-fit-shape-to-text:t;">
                <w:txbxContent>
                  <w:p>
                    <w:pPr>
                      <w:pStyle w:val="15"/>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- 69 -</w:t>
                    </w:r>
                    <w:r>
                      <w:rPr>
                        <w:sz w:val="24"/>
                        <w:szCs w:val="24"/>
                      </w:rPr>
                      <w:fldChar w:fldCharType="end"/>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spacing w:line="240" w:lineRule="auto"/>
                            <w:ind w:firstLine="0" w:firstLineChars="0"/>
                            <w:rPr>
                              <w:sz w:val="2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AcitjSwAQAA&#10;TQMAAA4AAAAAAAAAAQAgAAAAHgEAAGRycy9lMm9Eb2MueG1sUEsFBgAAAAAGAAYAWQEAAEAFAAAA&#10;AA==&#10;">
              <v:fill on="f" focussize="0,0"/>
              <v:stroke on="f"/>
              <v:imagedata o:title=""/>
              <o:lock v:ext="edit" aspectratio="f"/>
              <v:textbox inset="0mm,0mm,0mm,0mm" style="mso-fit-shape-to-text:t;">
                <w:txbxContent>
                  <w:p>
                    <w:pPr>
                      <w:pStyle w:val="15"/>
                      <w:spacing w:line="240" w:lineRule="auto"/>
                      <w:ind w:firstLine="0" w:firstLineChars="0"/>
                      <w:rPr>
                        <w:sz w:val="2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ind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0"/>
  <w:bordersDoNotSurroundFooter w:val="0"/>
  <w:doNotTrackMoves/>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62"/>
    <w:rsid w:val="0000213B"/>
    <w:rsid w:val="0000246D"/>
    <w:rsid w:val="0000299C"/>
    <w:rsid w:val="00003948"/>
    <w:rsid w:val="000045CE"/>
    <w:rsid w:val="000074BC"/>
    <w:rsid w:val="00007A36"/>
    <w:rsid w:val="00010590"/>
    <w:rsid w:val="0001118E"/>
    <w:rsid w:val="00012190"/>
    <w:rsid w:val="000131DB"/>
    <w:rsid w:val="00013A80"/>
    <w:rsid w:val="00016226"/>
    <w:rsid w:val="00016B64"/>
    <w:rsid w:val="000231DD"/>
    <w:rsid w:val="00023827"/>
    <w:rsid w:val="00023F4D"/>
    <w:rsid w:val="00024C58"/>
    <w:rsid w:val="0002689B"/>
    <w:rsid w:val="00027898"/>
    <w:rsid w:val="0003043D"/>
    <w:rsid w:val="00031634"/>
    <w:rsid w:val="00031F8E"/>
    <w:rsid w:val="0003263E"/>
    <w:rsid w:val="000338A3"/>
    <w:rsid w:val="00035808"/>
    <w:rsid w:val="00036A82"/>
    <w:rsid w:val="00036E09"/>
    <w:rsid w:val="00037B45"/>
    <w:rsid w:val="00037E50"/>
    <w:rsid w:val="000402EC"/>
    <w:rsid w:val="000411BC"/>
    <w:rsid w:val="0004230D"/>
    <w:rsid w:val="000427CC"/>
    <w:rsid w:val="00045AD4"/>
    <w:rsid w:val="00046972"/>
    <w:rsid w:val="00046A41"/>
    <w:rsid w:val="00047680"/>
    <w:rsid w:val="00047CA0"/>
    <w:rsid w:val="000504F5"/>
    <w:rsid w:val="00051A72"/>
    <w:rsid w:val="00051DC2"/>
    <w:rsid w:val="00052358"/>
    <w:rsid w:val="00052C06"/>
    <w:rsid w:val="00053FF8"/>
    <w:rsid w:val="000540E1"/>
    <w:rsid w:val="00055802"/>
    <w:rsid w:val="00056201"/>
    <w:rsid w:val="000577D5"/>
    <w:rsid w:val="0006049C"/>
    <w:rsid w:val="00062C44"/>
    <w:rsid w:val="00063615"/>
    <w:rsid w:val="000641CC"/>
    <w:rsid w:val="00065ACD"/>
    <w:rsid w:val="00066467"/>
    <w:rsid w:val="000665F6"/>
    <w:rsid w:val="00070505"/>
    <w:rsid w:val="0007054B"/>
    <w:rsid w:val="00073EA4"/>
    <w:rsid w:val="00074D2D"/>
    <w:rsid w:val="0007713C"/>
    <w:rsid w:val="00080957"/>
    <w:rsid w:val="00080CBB"/>
    <w:rsid w:val="00081135"/>
    <w:rsid w:val="0008133D"/>
    <w:rsid w:val="0008184B"/>
    <w:rsid w:val="00083E45"/>
    <w:rsid w:val="0008479F"/>
    <w:rsid w:val="00085F14"/>
    <w:rsid w:val="00087872"/>
    <w:rsid w:val="00087DF3"/>
    <w:rsid w:val="00090ABD"/>
    <w:rsid w:val="00091B18"/>
    <w:rsid w:val="000937DC"/>
    <w:rsid w:val="00093CCB"/>
    <w:rsid w:val="00094123"/>
    <w:rsid w:val="0009571D"/>
    <w:rsid w:val="0009640E"/>
    <w:rsid w:val="000A0772"/>
    <w:rsid w:val="000A1649"/>
    <w:rsid w:val="000A5713"/>
    <w:rsid w:val="000A5E88"/>
    <w:rsid w:val="000A67D7"/>
    <w:rsid w:val="000A699E"/>
    <w:rsid w:val="000A72FC"/>
    <w:rsid w:val="000A78ED"/>
    <w:rsid w:val="000B05C7"/>
    <w:rsid w:val="000B1C20"/>
    <w:rsid w:val="000B340E"/>
    <w:rsid w:val="000B412D"/>
    <w:rsid w:val="000B53FC"/>
    <w:rsid w:val="000B66DA"/>
    <w:rsid w:val="000C0D05"/>
    <w:rsid w:val="000C1B94"/>
    <w:rsid w:val="000C4725"/>
    <w:rsid w:val="000C4854"/>
    <w:rsid w:val="000C5ACF"/>
    <w:rsid w:val="000C5D97"/>
    <w:rsid w:val="000C755F"/>
    <w:rsid w:val="000C793A"/>
    <w:rsid w:val="000C7B54"/>
    <w:rsid w:val="000C7EBA"/>
    <w:rsid w:val="000D0030"/>
    <w:rsid w:val="000D066E"/>
    <w:rsid w:val="000D07A4"/>
    <w:rsid w:val="000D1189"/>
    <w:rsid w:val="000D2DED"/>
    <w:rsid w:val="000D3218"/>
    <w:rsid w:val="000D5B6B"/>
    <w:rsid w:val="000D6A1B"/>
    <w:rsid w:val="000D718C"/>
    <w:rsid w:val="000E0CB7"/>
    <w:rsid w:val="000E1727"/>
    <w:rsid w:val="000E18F7"/>
    <w:rsid w:val="000E21B4"/>
    <w:rsid w:val="000E2AA6"/>
    <w:rsid w:val="000E4ECC"/>
    <w:rsid w:val="000E5C7C"/>
    <w:rsid w:val="000E612A"/>
    <w:rsid w:val="000E6D11"/>
    <w:rsid w:val="000F0CE5"/>
    <w:rsid w:val="000F1575"/>
    <w:rsid w:val="000F2A86"/>
    <w:rsid w:val="000F4B45"/>
    <w:rsid w:val="000F5094"/>
    <w:rsid w:val="000F5C07"/>
    <w:rsid w:val="000F6439"/>
    <w:rsid w:val="000F7AD4"/>
    <w:rsid w:val="001008C7"/>
    <w:rsid w:val="001019CD"/>
    <w:rsid w:val="00106A6F"/>
    <w:rsid w:val="00106E9C"/>
    <w:rsid w:val="001074D7"/>
    <w:rsid w:val="00107507"/>
    <w:rsid w:val="001079C3"/>
    <w:rsid w:val="001129F5"/>
    <w:rsid w:val="0011332C"/>
    <w:rsid w:val="00113524"/>
    <w:rsid w:val="00113AA8"/>
    <w:rsid w:val="00114057"/>
    <w:rsid w:val="00115910"/>
    <w:rsid w:val="0011617B"/>
    <w:rsid w:val="0012113F"/>
    <w:rsid w:val="00122800"/>
    <w:rsid w:val="0012341F"/>
    <w:rsid w:val="0012361E"/>
    <w:rsid w:val="0012368A"/>
    <w:rsid w:val="001271AC"/>
    <w:rsid w:val="00130539"/>
    <w:rsid w:val="00130790"/>
    <w:rsid w:val="001320F8"/>
    <w:rsid w:val="00134417"/>
    <w:rsid w:val="00135480"/>
    <w:rsid w:val="001354E7"/>
    <w:rsid w:val="001370A6"/>
    <w:rsid w:val="0013763B"/>
    <w:rsid w:val="00140064"/>
    <w:rsid w:val="00140566"/>
    <w:rsid w:val="00140F69"/>
    <w:rsid w:val="00141F19"/>
    <w:rsid w:val="00143A8D"/>
    <w:rsid w:val="00143CEA"/>
    <w:rsid w:val="00146C4D"/>
    <w:rsid w:val="001521EA"/>
    <w:rsid w:val="0015252C"/>
    <w:rsid w:val="00152D2A"/>
    <w:rsid w:val="00152F83"/>
    <w:rsid w:val="001530C6"/>
    <w:rsid w:val="00154ACA"/>
    <w:rsid w:val="001612EB"/>
    <w:rsid w:val="00161718"/>
    <w:rsid w:val="00161BC6"/>
    <w:rsid w:val="00162988"/>
    <w:rsid w:val="00162E67"/>
    <w:rsid w:val="00167566"/>
    <w:rsid w:val="001706BF"/>
    <w:rsid w:val="0017116F"/>
    <w:rsid w:val="00171C64"/>
    <w:rsid w:val="00171E32"/>
    <w:rsid w:val="001723D5"/>
    <w:rsid w:val="001725B9"/>
    <w:rsid w:val="00173C1A"/>
    <w:rsid w:val="0017491C"/>
    <w:rsid w:val="00174A36"/>
    <w:rsid w:val="001760F8"/>
    <w:rsid w:val="00177AB7"/>
    <w:rsid w:val="0018102D"/>
    <w:rsid w:val="00181C12"/>
    <w:rsid w:val="00183F8E"/>
    <w:rsid w:val="00184160"/>
    <w:rsid w:val="00185AF2"/>
    <w:rsid w:val="00185AFA"/>
    <w:rsid w:val="001862DD"/>
    <w:rsid w:val="00186E0D"/>
    <w:rsid w:val="00190B09"/>
    <w:rsid w:val="00191BB3"/>
    <w:rsid w:val="0019279B"/>
    <w:rsid w:val="00192B88"/>
    <w:rsid w:val="0019474D"/>
    <w:rsid w:val="0019616C"/>
    <w:rsid w:val="001A00F7"/>
    <w:rsid w:val="001A1C3D"/>
    <w:rsid w:val="001A249C"/>
    <w:rsid w:val="001A28B3"/>
    <w:rsid w:val="001A649D"/>
    <w:rsid w:val="001A69C7"/>
    <w:rsid w:val="001A78E2"/>
    <w:rsid w:val="001B078E"/>
    <w:rsid w:val="001B2233"/>
    <w:rsid w:val="001B38EC"/>
    <w:rsid w:val="001B56AC"/>
    <w:rsid w:val="001B670A"/>
    <w:rsid w:val="001C40B5"/>
    <w:rsid w:val="001C4213"/>
    <w:rsid w:val="001C5340"/>
    <w:rsid w:val="001C5647"/>
    <w:rsid w:val="001D07A2"/>
    <w:rsid w:val="001D5112"/>
    <w:rsid w:val="001E2F72"/>
    <w:rsid w:val="001E339F"/>
    <w:rsid w:val="001E3A07"/>
    <w:rsid w:val="001E3A35"/>
    <w:rsid w:val="001E6925"/>
    <w:rsid w:val="001F09E7"/>
    <w:rsid w:val="001F0DEF"/>
    <w:rsid w:val="001F1A11"/>
    <w:rsid w:val="001F2369"/>
    <w:rsid w:val="001F3BAA"/>
    <w:rsid w:val="001F47B8"/>
    <w:rsid w:val="001F4E54"/>
    <w:rsid w:val="001F59CD"/>
    <w:rsid w:val="001F650E"/>
    <w:rsid w:val="00200764"/>
    <w:rsid w:val="00201E37"/>
    <w:rsid w:val="00204629"/>
    <w:rsid w:val="0020698A"/>
    <w:rsid w:val="00210771"/>
    <w:rsid w:val="0021237A"/>
    <w:rsid w:val="00213671"/>
    <w:rsid w:val="002145CB"/>
    <w:rsid w:val="00214892"/>
    <w:rsid w:val="002150A9"/>
    <w:rsid w:val="0021512E"/>
    <w:rsid w:val="00216B29"/>
    <w:rsid w:val="00217BED"/>
    <w:rsid w:val="00217E9F"/>
    <w:rsid w:val="002204EA"/>
    <w:rsid w:val="0022097F"/>
    <w:rsid w:val="00222EEC"/>
    <w:rsid w:val="00222F45"/>
    <w:rsid w:val="00224468"/>
    <w:rsid w:val="00225CE0"/>
    <w:rsid w:val="002301CF"/>
    <w:rsid w:val="00231C15"/>
    <w:rsid w:val="00233ED0"/>
    <w:rsid w:val="00235271"/>
    <w:rsid w:val="00235553"/>
    <w:rsid w:val="00237BF8"/>
    <w:rsid w:val="002402F9"/>
    <w:rsid w:val="00241D60"/>
    <w:rsid w:val="00244BF8"/>
    <w:rsid w:val="00245304"/>
    <w:rsid w:val="00246B5E"/>
    <w:rsid w:val="00250449"/>
    <w:rsid w:val="00250A5D"/>
    <w:rsid w:val="00250CEC"/>
    <w:rsid w:val="0025189C"/>
    <w:rsid w:val="002532FB"/>
    <w:rsid w:val="00253369"/>
    <w:rsid w:val="00256A2C"/>
    <w:rsid w:val="00257862"/>
    <w:rsid w:val="00257D97"/>
    <w:rsid w:val="00257EA0"/>
    <w:rsid w:val="00260F42"/>
    <w:rsid w:val="00261632"/>
    <w:rsid w:val="00261A51"/>
    <w:rsid w:val="00263E8C"/>
    <w:rsid w:val="00264B77"/>
    <w:rsid w:val="00267E18"/>
    <w:rsid w:val="00267F83"/>
    <w:rsid w:val="00271BA2"/>
    <w:rsid w:val="00272A17"/>
    <w:rsid w:val="00273E78"/>
    <w:rsid w:val="002747C4"/>
    <w:rsid w:val="00275162"/>
    <w:rsid w:val="00275365"/>
    <w:rsid w:val="0027563C"/>
    <w:rsid w:val="00276887"/>
    <w:rsid w:val="00277C08"/>
    <w:rsid w:val="0028332E"/>
    <w:rsid w:val="00285162"/>
    <w:rsid w:val="00286058"/>
    <w:rsid w:val="00290DC8"/>
    <w:rsid w:val="002915DE"/>
    <w:rsid w:val="002953CB"/>
    <w:rsid w:val="00295B23"/>
    <w:rsid w:val="00296A7B"/>
    <w:rsid w:val="002A082D"/>
    <w:rsid w:val="002A0FAD"/>
    <w:rsid w:val="002A17EE"/>
    <w:rsid w:val="002A4576"/>
    <w:rsid w:val="002A55C8"/>
    <w:rsid w:val="002A5CC0"/>
    <w:rsid w:val="002A66A8"/>
    <w:rsid w:val="002A6EC5"/>
    <w:rsid w:val="002A76F0"/>
    <w:rsid w:val="002A7EF6"/>
    <w:rsid w:val="002B00E7"/>
    <w:rsid w:val="002B382A"/>
    <w:rsid w:val="002B5B42"/>
    <w:rsid w:val="002B5D88"/>
    <w:rsid w:val="002B616D"/>
    <w:rsid w:val="002C050C"/>
    <w:rsid w:val="002C2A10"/>
    <w:rsid w:val="002C2A74"/>
    <w:rsid w:val="002C30BC"/>
    <w:rsid w:val="002C3299"/>
    <w:rsid w:val="002C39D4"/>
    <w:rsid w:val="002C3ECA"/>
    <w:rsid w:val="002C5091"/>
    <w:rsid w:val="002C529C"/>
    <w:rsid w:val="002C74AE"/>
    <w:rsid w:val="002D01D6"/>
    <w:rsid w:val="002D3E46"/>
    <w:rsid w:val="002D7176"/>
    <w:rsid w:val="002E1513"/>
    <w:rsid w:val="002E22F1"/>
    <w:rsid w:val="002E37CE"/>
    <w:rsid w:val="002E4746"/>
    <w:rsid w:val="002E69AB"/>
    <w:rsid w:val="002E7EEA"/>
    <w:rsid w:val="002F0D80"/>
    <w:rsid w:val="002F1665"/>
    <w:rsid w:val="002F2165"/>
    <w:rsid w:val="002F3469"/>
    <w:rsid w:val="002F64D1"/>
    <w:rsid w:val="002F6CA2"/>
    <w:rsid w:val="002F700A"/>
    <w:rsid w:val="0030182C"/>
    <w:rsid w:val="00301FE5"/>
    <w:rsid w:val="00302530"/>
    <w:rsid w:val="003041FD"/>
    <w:rsid w:val="003046FE"/>
    <w:rsid w:val="003057CE"/>
    <w:rsid w:val="00310943"/>
    <w:rsid w:val="00311413"/>
    <w:rsid w:val="00313E7F"/>
    <w:rsid w:val="003141E1"/>
    <w:rsid w:val="00314A9E"/>
    <w:rsid w:val="00315D62"/>
    <w:rsid w:val="00316DA7"/>
    <w:rsid w:val="00317EF7"/>
    <w:rsid w:val="00321787"/>
    <w:rsid w:val="00321CC1"/>
    <w:rsid w:val="0032235A"/>
    <w:rsid w:val="00322EAD"/>
    <w:rsid w:val="00323351"/>
    <w:rsid w:val="00323B09"/>
    <w:rsid w:val="003248E2"/>
    <w:rsid w:val="00326C58"/>
    <w:rsid w:val="00326C83"/>
    <w:rsid w:val="00331443"/>
    <w:rsid w:val="0033186A"/>
    <w:rsid w:val="00332591"/>
    <w:rsid w:val="0033260A"/>
    <w:rsid w:val="00333428"/>
    <w:rsid w:val="003334D5"/>
    <w:rsid w:val="00334854"/>
    <w:rsid w:val="00334E0A"/>
    <w:rsid w:val="0033719B"/>
    <w:rsid w:val="00337972"/>
    <w:rsid w:val="003400CC"/>
    <w:rsid w:val="003401A3"/>
    <w:rsid w:val="003412A3"/>
    <w:rsid w:val="00341D63"/>
    <w:rsid w:val="00345B83"/>
    <w:rsid w:val="00350C7A"/>
    <w:rsid w:val="00353663"/>
    <w:rsid w:val="0035487A"/>
    <w:rsid w:val="003561E8"/>
    <w:rsid w:val="00357B95"/>
    <w:rsid w:val="00357CD6"/>
    <w:rsid w:val="00361ACE"/>
    <w:rsid w:val="00361F51"/>
    <w:rsid w:val="003626D0"/>
    <w:rsid w:val="00365790"/>
    <w:rsid w:val="00366719"/>
    <w:rsid w:val="00367A00"/>
    <w:rsid w:val="00367BCB"/>
    <w:rsid w:val="003704C6"/>
    <w:rsid w:val="00370DC0"/>
    <w:rsid w:val="00372DCF"/>
    <w:rsid w:val="00372E01"/>
    <w:rsid w:val="003750FC"/>
    <w:rsid w:val="00375299"/>
    <w:rsid w:val="0037560A"/>
    <w:rsid w:val="00377EC3"/>
    <w:rsid w:val="0038045C"/>
    <w:rsid w:val="0038197D"/>
    <w:rsid w:val="00381E67"/>
    <w:rsid w:val="00382ADA"/>
    <w:rsid w:val="00383726"/>
    <w:rsid w:val="0038728E"/>
    <w:rsid w:val="00392245"/>
    <w:rsid w:val="00393D3C"/>
    <w:rsid w:val="003941DA"/>
    <w:rsid w:val="003948D4"/>
    <w:rsid w:val="00396BC7"/>
    <w:rsid w:val="00397365"/>
    <w:rsid w:val="003974F3"/>
    <w:rsid w:val="003A0C2F"/>
    <w:rsid w:val="003A1219"/>
    <w:rsid w:val="003A1F8C"/>
    <w:rsid w:val="003A306A"/>
    <w:rsid w:val="003A45A3"/>
    <w:rsid w:val="003A5E7E"/>
    <w:rsid w:val="003A7735"/>
    <w:rsid w:val="003A7A80"/>
    <w:rsid w:val="003A7E73"/>
    <w:rsid w:val="003B049E"/>
    <w:rsid w:val="003B1A1E"/>
    <w:rsid w:val="003B25C2"/>
    <w:rsid w:val="003B2B37"/>
    <w:rsid w:val="003B7491"/>
    <w:rsid w:val="003B7F59"/>
    <w:rsid w:val="003C2290"/>
    <w:rsid w:val="003C2F02"/>
    <w:rsid w:val="003C3285"/>
    <w:rsid w:val="003C3517"/>
    <w:rsid w:val="003C35AA"/>
    <w:rsid w:val="003C36F9"/>
    <w:rsid w:val="003C49EE"/>
    <w:rsid w:val="003C5560"/>
    <w:rsid w:val="003C631A"/>
    <w:rsid w:val="003C6933"/>
    <w:rsid w:val="003C6B67"/>
    <w:rsid w:val="003C7217"/>
    <w:rsid w:val="003D00DD"/>
    <w:rsid w:val="003D0C37"/>
    <w:rsid w:val="003D3217"/>
    <w:rsid w:val="003D32EB"/>
    <w:rsid w:val="003D7665"/>
    <w:rsid w:val="003E2731"/>
    <w:rsid w:val="003E30C7"/>
    <w:rsid w:val="003E56A5"/>
    <w:rsid w:val="003E6441"/>
    <w:rsid w:val="003E71C5"/>
    <w:rsid w:val="003F00EE"/>
    <w:rsid w:val="003F016D"/>
    <w:rsid w:val="003F32FC"/>
    <w:rsid w:val="003F35E6"/>
    <w:rsid w:val="003F4C53"/>
    <w:rsid w:val="003F5C49"/>
    <w:rsid w:val="003F6F30"/>
    <w:rsid w:val="003F7368"/>
    <w:rsid w:val="003F7863"/>
    <w:rsid w:val="00401167"/>
    <w:rsid w:val="00402156"/>
    <w:rsid w:val="00403713"/>
    <w:rsid w:val="004047F1"/>
    <w:rsid w:val="00406943"/>
    <w:rsid w:val="00410F9D"/>
    <w:rsid w:val="00411475"/>
    <w:rsid w:val="00412381"/>
    <w:rsid w:val="004131E7"/>
    <w:rsid w:val="004157C2"/>
    <w:rsid w:val="0041704D"/>
    <w:rsid w:val="00417FE2"/>
    <w:rsid w:val="004209D9"/>
    <w:rsid w:val="00421EC9"/>
    <w:rsid w:val="00422FCA"/>
    <w:rsid w:val="00427806"/>
    <w:rsid w:val="0042781A"/>
    <w:rsid w:val="00427E47"/>
    <w:rsid w:val="00430547"/>
    <w:rsid w:val="00430FD5"/>
    <w:rsid w:val="00431813"/>
    <w:rsid w:val="004329A0"/>
    <w:rsid w:val="004352B1"/>
    <w:rsid w:val="00435652"/>
    <w:rsid w:val="004377A0"/>
    <w:rsid w:val="00440FC9"/>
    <w:rsid w:val="00440FFF"/>
    <w:rsid w:val="0044111F"/>
    <w:rsid w:val="00441E63"/>
    <w:rsid w:val="0044372D"/>
    <w:rsid w:val="00445FEC"/>
    <w:rsid w:val="00446BE0"/>
    <w:rsid w:val="00447477"/>
    <w:rsid w:val="004556D5"/>
    <w:rsid w:val="0045599D"/>
    <w:rsid w:val="004572D3"/>
    <w:rsid w:val="004616E7"/>
    <w:rsid w:val="00461D3A"/>
    <w:rsid w:val="004623A6"/>
    <w:rsid w:val="00471F99"/>
    <w:rsid w:val="00473DC2"/>
    <w:rsid w:val="00474505"/>
    <w:rsid w:val="00474B78"/>
    <w:rsid w:val="0047557B"/>
    <w:rsid w:val="004767E4"/>
    <w:rsid w:val="00476CE8"/>
    <w:rsid w:val="004770AE"/>
    <w:rsid w:val="004770DA"/>
    <w:rsid w:val="00480492"/>
    <w:rsid w:val="00480F45"/>
    <w:rsid w:val="00481B50"/>
    <w:rsid w:val="00484DF3"/>
    <w:rsid w:val="004916AA"/>
    <w:rsid w:val="00492077"/>
    <w:rsid w:val="0049271F"/>
    <w:rsid w:val="004928E8"/>
    <w:rsid w:val="00492CE2"/>
    <w:rsid w:val="00493123"/>
    <w:rsid w:val="004950C8"/>
    <w:rsid w:val="00495A30"/>
    <w:rsid w:val="00496B39"/>
    <w:rsid w:val="00497E7B"/>
    <w:rsid w:val="004A10AF"/>
    <w:rsid w:val="004A599E"/>
    <w:rsid w:val="004A6ECC"/>
    <w:rsid w:val="004B0311"/>
    <w:rsid w:val="004B1DB0"/>
    <w:rsid w:val="004B310F"/>
    <w:rsid w:val="004B55FB"/>
    <w:rsid w:val="004B585C"/>
    <w:rsid w:val="004B6630"/>
    <w:rsid w:val="004C0279"/>
    <w:rsid w:val="004C222B"/>
    <w:rsid w:val="004C31FE"/>
    <w:rsid w:val="004C4C03"/>
    <w:rsid w:val="004C51C1"/>
    <w:rsid w:val="004C527C"/>
    <w:rsid w:val="004C79E7"/>
    <w:rsid w:val="004C7AF7"/>
    <w:rsid w:val="004D298F"/>
    <w:rsid w:val="004D333C"/>
    <w:rsid w:val="004D4335"/>
    <w:rsid w:val="004D485F"/>
    <w:rsid w:val="004D7297"/>
    <w:rsid w:val="004D7453"/>
    <w:rsid w:val="004E0811"/>
    <w:rsid w:val="004E1B6F"/>
    <w:rsid w:val="004E43D5"/>
    <w:rsid w:val="004E5115"/>
    <w:rsid w:val="004E65B9"/>
    <w:rsid w:val="004E65D1"/>
    <w:rsid w:val="004E68CC"/>
    <w:rsid w:val="004E6D42"/>
    <w:rsid w:val="004E7371"/>
    <w:rsid w:val="004E7A3A"/>
    <w:rsid w:val="004F0E70"/>
    <w:rsid w:val="004F1565"/>
    <w:rsid w:val="004F197F"/>
    <w:rsid w:val="004F2E11"/>
    <w:rsid w:val="004F332E"/>
    <w:rsid w:val="004F3ED2"/>
    <w:rsid w:val="004F41BC"/>
    <w:rsid w:val="004F4783"/>
    <w:rsid w:val="004F515D"/>
    <w:rsid w:val="004F61E0"/>
    <w:rsid w:val="004F7B14"/>
    <w:rsid w:val="004F7C01"/>
    <w:rsid w:val="005002BC"/>
    <w:rsid w:val="0050106C"/>
    <w:rsid w:val="0050440B"/>
    <w:rsid w:val="0050454F"/>
    <w:rsid w:val="00505284"/>
    <w:rsid w:val="00505293"/>
    <w:rsid w:val="00506283"/>
    <w:rsid w:val="0050713A"/>
    <w:rsid w:val="00507CE4"/>
    <w:rsid w:val="005120F6"/>
    <w:rsid w:val="00513C5B"/>
    <w:rsid w:val="0051618E"/>
    <w:rsid w:val="00517E6C"/>
    <w:rsid w:val="0052273D"/>
    <w:rsid w:val="00523865"/>
    <w:rsid w:val="005269F7"/>
    <w:rsid w:val="00527562"/>
    <w:rsid w:val="005313FA"/>
    <w:rsid w:val="005325DF"/>
    <w:rsid w:val="0053275E"/>
    <w:rsid w:val="005367CB"/>
    <w:rsid w:val="00540E0B"/>
    <w:rsid w:val="00541BBC"/>
    <w:rsid w:val="005420BC"/>
    <w:rsid w:val="00542F95"/>
    <w:rsid w:val="00543111"/>
    <w:rsid w:val="005437A3"/>
    <w:rsid w:val="00544E1D"/>
    <w:rsid w:val="00546F7D"/>
    <w:rsid w:val="00550559"/>
    <w:rsid w:val="005516C9"/>
    <w:rsid w:val="00553DA3"/>
    <w:rsid w:val="005550C6"/>
    <w:rsid w:val="00556E3B"/>
    <w:rsid w:val="00556EB1"/>
    <w:rsid w:val="005576C5"/>
    <w:rsid w:val="00560B58"/>
    <w:rsid w:val="00560FB8"/>
    <w:rsid w:val="005611EF"/>
    <w:rsid w:val="0056141A"/>
    <w:rsid w:val="00561E21"/>
    <w:rsid w:val="005639BF"/>
    <w:rsid w:val="0056507D"/>
    <w:rsid w:val="00565A20"/>
    <w:rsid w:val="00566CE2"/>
    <w:rsid w:val="00567896"/>
    <w:rsid w:val="00572ACF"/>
    <w:rsid w:val="00572FBB"/>
    <w:rsid w:val="0057370B"/>
    <w:rsid w:val="00573BD1"/>
    <w:rsid w:val="00573C57"/>
    <w:rsid w:val="00573C6E"/>
    <w:rsid w:val="0057546B"/>
    <w:rsid w:val="00575864"/>
    <w:rsid w:val="0057612C"/>
    <w:rsid w:val="005762C7"/>
    <w:rsid w:val="0057743A"/>
    <w:rsid w:val="005775DF"/>
    <w:rsid w:val="00581564"/>
    <w:rsid w:val="00582484"/>
    <w:rsid w:val="0058692F"/>
    <w:rsid w:val="005870AE"/>
    <w:rsid w:val="00587F3A"/>
    <w:rsid w:val="00590FCB"/>
    <w:rsid w:val="00591107"/>
    <w:rsid w:val="005923AA"/>
    <w:rsid w:val="00595D5C"/>
    <w:rsid w:val="00596B14"/>
    <w:rsid w:val="005974EA"/>
    <w:rsid w:val="005A01C0"/>
    <w:rsid w:val="005A03AA"/>
    <w:rsid w:val="005A1F83"/>
    <w:rsid w:val="005A2AE2"/>
    <w:rsid w:val="005A2AE8"/>
    <w:rsid w:val="005A3352"/>
    <w:rsid w:val="005A4BA8"/>
    <w:rsid w:val="005A5D93"/>
    <w:rsid w:val="005A5F62"/>
    <w:rsid w:val="005A6488"/>
    <w:rsid w:val="005B06D4"/>
    <w:rsid w:val="005B0F78"/>
    <w:rsid w:val="005B110A"/>
    <w:rsid w:val="005B4165"/>
    <w:rsid w:val="005B5521"/>
    <w:rsid w:val="005B56CE"/>
    <w:rsid w:val="005B5835"/>
    <w:rsid w:val="005C00AF"/>
    <w:rsid w:val="005C0902"/>
    <w:rsid w:val="005C0E63"/>
    <w:rsid w:val="005C1194"/>
    <w:rsid w:val="005C626F"/>
    <w:rsid w:val="005C7249"/>
    <w:rsid w:val="005D1621"/>
    <w:rsid w:val="005D2E96"/>
    <w:rsid w:val="005D2F7B"/>
    <w:rsid w:val="005D3921"/>
    <w:rsid w:val="005D466B"/>
    <w:rsid w:val="005D65E8"/>
    <w:rsid w:val="005D68FD"/>
    <w:rsid w:val="005D7955"/>
    <w:rsid w:val="005D7FD3"/>
    <w:rsid w:val="005E132D"/>
    <w:rsid w:val="005E397B"/>
    <w:rsid w:val="005E41EE"/>
    <w:rsid w:val="005E548B"/>
    <w:rsid w:val="005E7BA9"/>
    <w:rsid w:val="005F0DB7"/>
    <w:rsid w:val="005F1B5C"/>
    <w:rsid w:val="005F4B38"/>
    <w:rsid w:val="005F513C"/>
    <w:rsid w:val="00600430"/>
    <w:rsid w:val="00602026"/>
    <w:rsid w:val="006021B4"/>
    <w:rsid w:val="00603B16"/>
    <w:rsid w:val="00604E70"/>
    <w:rsid w:val="00604F5E"/>
    <w:rsid w:val="0061084C"/>
    <w:rsid w:val="00610D15"/>
    <w:rsid w:val="006110EB"/>
    <w:rsid w:val="00612964"/>
    <w:rsid w:val="00615D45"/>
    <w:rsid w:val="00615EFF"/>
    <w:rsid w:val="00622103"/>
    <w:rsid w:val="00623D40"/>
    <w:rsid w:val="00625A93"/>
    <w:rsid w:val="00626F8D"/>
    <w:rsid w:val="00630071"/>
    <w:rsid w:val="0063102C"/>
    <w:rsid w:val="0063222B"/>
    <w:rsid w:val="00633E65"/>
    <w:rsid w:val="006345D1"/>
    <w:rsid w:val="00634AA3"/>
    <w:rsid w:val="006357B4"/>
    <w:rsid w:val="00636D9A"/>
    <w:rsid w:val="00637D8F"/>
    <w:rsid w:val="00640670"/>
    <w:rsid w:val="006409AF"/>
    <w:rsid w:val="006410FE"/>
    <w:rsid w:val="006419A6"/>
    <w:rsid w:val="00642617"/>
    <w:rsid w:val="006426E7"/>
    <w:rsid w:val="00642C43"/>
    <w:rsid w:val="00642E04"/>
    <w:rsid w:val="00642E83"/>
    <w:rsid w:val="006437ED"/>
    <w:rsid w:val="006439CA"/>
    <w:rsid w:val="006445E2"/>
    <w:rsid w:val="00646B9A"/>
    <w:rsid w:val="0065034E"/>
    <w:rsid w:val="00650B97"/>
    <w:rsid w:val="00650CF8"/>
    <w:rsid w:val="006513C8"/>
    <w:rsid w:val="006552BE"/>
    <w:rsid w:val="006555BF"/>
    <w:rsid w:val="00655BE0"/>
    <w:rsid w:val="006561AC"/>
    <w:rsid w:val="0065714B"/>
    <w:rsid w:val="0066020C"/>
    <w:rsid w:val="0066251A"/>
    <w:rsid w:val="00663DFF"/>
    <w:rsid w:val="00664138"/>
    <w:rsid w:val="006646F5"/>
    <w:rsid w:val="00665237"/>
    <w:rsid w:val="00666A3D"/>
    <w:rsid w:val="00667A3D"/>
    <w:rsid w:val="006726EB"/>
    <w:rsid w:val="00672A4F"/>
    <w:rsid w:val="00674881"/>
    <w:rsid w:val="00676340"/>
    <w:rsid w:val="00677143"/>
    <w:rsid w:val="006778FF"/>
    <w:rsid w:val="00681B62"/>
    <w:rsid w:val="00683B3D"/>
    <w:rsid w:val="0068507E"/>
    <w:rsid w:val="00685366"/>
    <w:rsid w:val="00686005"/>
    <w:rsid w:val="00687399"/>
    <w:rsid w:val="00690C9E"/>
    <w:rsid w:val="00690F9C"/>
    <w:rsid w:val="00691261"/>
    <w:rsid w:val="00691AD9"/>
    <w:rsid w:val="00692D7D"/>
    <w:rsid w:val="00694005"/>
    <w:rsid w:val="0069734C"/>
    <w:rsid w:val="006A061D"/>
    <w:rsid w:val="006A07CD"/>
    <w:rsid w:val="006A18A7"/>
    <w:rsid w:val="006A2252"/>
    <w:rsid w:val="006A3DD4"/>
    <w:rsid w:val="006A6B33"/>
    <w:rsid w:val="006B02B7"/>
    <w:rsid w:val="006B0CAD"/>
    <w:rsid w:val="006B2EFF"/>
    <w:rsid w:val="006B30BB"/>
    <w:rsid w:val="006B335B"/>
    <w:rsid w:val="006B38D4"/>
    <w:rsid w:val="006B4A28"/>
    <w:rsid w:val="006C27FC"/>
    <w:rsid w:val="006C2CF9"/>
    <w:rsid w:val="006C60FF"/>
    <w:rsid w:val="006D0458"/>
    <w:rsid w:val="006D05B9"/>
    <w:rsid w:val="006D22B9"/>
    <w:rsid w:val="006D3290"/>
    <w:rsid w:val="006D3733"/>
    <w:rsid w:val="006D4A0A"/>
    <w:rsid w:val="006D6F9C"/>
    <w:rsid w:val="006D7561"/>
    <w:rsid w:val="006D7589"/>
    <w:rsid w:val="006D7DBE"/>
    <w:rsid w:val="006E0ABE"/>
    <w:rsid w:val="006E2062"/>
    <w:rsid w:val="006E2528"/>
    <w:rsid w:val="006E2876"/>
    <w:rsid w:val="006E50A6"/>
    <w:rsid w:val="006E5DEC"/>
    <w:rsid w:val="006E6CB7"/>
    <w:rsid w:val="006E6F95"/>
    <w:rsid w:val="006E72A7"/>
    <w:rsid w:val="006E74B3"/>
    <w:rsid w:val="006E7C6D"/>
    <w:rsid w:val="006F0EC4"/>
    <w:rsid w:val="006F14E2"/>
    <w:rsid w:val="006F3598"/>
    <w:rsid w:val="006F36F6"/>
    <w:rsid w:val="006F3AD4"/>
    <w:rsid w:val="006F54EC"/>
    <w:rsid w:val="00700A02"/>
    <w:rsid w:val="007010FF"/>
    <w:rsid w:val="00701FF3"/>
    <w:rsid w:val="00702D87"/>
    <w:rsid w:val="0070335E"/>
    <w:rsid w:val="0070348F"/>
    <w:rsid w:val="00703F59"/>
    <w:rsid w:val="00704389"/>
    <w:rsid w:val="00704484"/>
    <w:rsid w:val="00705B1D"/>
    <w:rsid w:val="007070A2"/>
    <w:rsid w:val="00707F98"/>
    <w:rsid w:val="00710397"/>
    <w:rsid w:val="00710E16"/>
    <w:rsid w:val="0071149A"/>
    <w:rsid w:val="00711738"/>
    <w:rsid w:val="00712F8C"/>
    <w:rsid w:val="00713B14"/>
    <w:rsid w:val="007160C4"/>
    <w:rsid w:val="00717B19"/>
    <w:rsid w:val="0072001A"/>
    <w:rsid w:val="00720175"/>
    <w:rsid w:val="00721854"/>
    <w:rsid w:val="007222F7"/>
    <w:rsid w:val="0072273B"/>
    <w:rsid w:val="00723BE8"/>
    <w:rsid w:val="00724A3C"/>
    <w:rsid w:val="00724D21"/>
    <w:rsid w:val="0072542E"/>
    <w:rsid w:val="007255EE"/>
    <w:rsid w:val="00725C08"/>
    <w:rsid w:val="0072786E"/>
    <w:rsid w:val="0072798F"/>
    <w:rsid w:val="00730755"/>
    <w:rsid w:val="0073126F"/>
    <w:rsid w:val="007313ED"/>
    <w:rsid w:val="007320FF"/>
    <w:rsid w:val="00732173"/>
    <w:rsid w:val="00734D32"/>
    <w:rsid w:val="007356A2"/>
    <w:rsid w:val="00737998"/>
    <w:rsid w:val="00741BE1"/>
    <w:rsid w:val="00741C2C"/>
    <w:rsid w:val="00743DEE"/>
    <w:rsid w:val="00746C01"/>
    <w:rsid w:val="007476C7"/>
    <w:rsid w:val="00750241"/>
    <w:rsid w:val="007506A7"/>
    <w:rsid w:val="00750803"/>
    <w:rsid w:val="00750C34"/>
    <w:rsid w:val="0075158B"/>
    <w:rsid w:val="007541CD"/>
    <w:rsid w:val="00755991"/>
    <w:rsid w:val="00762399"/>
    <w:rsid w:val="007623DE"/>
    <w:rsid w:val="00762472"/>
    <w:rsid w:val="0076360C"/>
    <w:rsid w:val="00764770"/>
    <w:rsid w:val="00764FCD"/>
    <w:rsid w:val="0076537A"/>
    <w:rsid w:val="00765B55"/>
    <w:rsid w:val="0076772A"/>
    <w:rsid w:val="00770644"/>
    <w:rsid w:val="007717BA"/>
    <w:rsid w:val="00775353"/>
    <w:rsid w:val="007774E8"/>
    <w:rsid w:val="0077760D"/>
    <w:rsid w:val="00777C71"/>
    <w:rsid w:val="00781160"/>
    <w:rsid w:val="00781258"/>
    <w:rsid w:val="007817EC"/>
    <w:rsid w:val="007826EB"/>
    <w:rsid w:val="007857DD"/>
    <w:rsid w:val="00785F2D"/>
    <w:rsid w:val="00785FC1"/>
    <w:rsid w:val="00790EF1"/>
    <w:rsid w:val="007914B0"/>
    <w:rsid w:val="00791FDE"/>
    <w:rsid w:val="00792C48"/>
    <w:rsid w:val="0079321B"/>
    <w:rsid w:val="00794896"/>
    <w:rsid w:val="00795C24"/>
    <w:rsid w:val="007961C0"/>
    <w:rsid w:val="007A0AC9"/>
    <w:rsid w:val="007A51CF"/>
    <w:rsid w:val="007A7415"/>
    <w:rsid w:val="007B0531"/>
    <w:rsid w:val="007B0955"/>
    <w:rsid w:val="007B15BE"/>
    <w:rsid w:val="007B2446"/>
    <w:rsid w:val="007B2F3F"/>
    <w:rsid w:val="007B326D"/>
    <w:rsid w:val="007B3621"/>
    <w:rsid w:val="007B36D1"/>
    <w:rsid w:val="007B3A0F"/>
    <w:rsid w:val="007B42A0"/>
    <w:rsid w:val="007B4A1A"/>
    <w:rsid w:val="007B4A75"/>
    <w:rsid w:val="007B4CC0"/>
    <w:rsid w:val="007B5877"/>
    <w:rsid w:val="007B5C11"/>
    <w:rsid w:val="007B5FE8"/>
    <w:rsid w:val="007C0AE5"/>
    <w:rsid w:val="007C1D66"/>
    <w:rsid w:val="007C395F"/>
    <w:rsid w:val="007C691D"/>
    <w:rsid w:val="007D0C94"/>
    <w:rsid w:val="007D3192"/>
    <w:rsid w:val="007D3710"/>
    <w:rsid w:val="007D398B"/>
    <w:rsid w:val="007E1452"/>
    <w:rsid w:val="007E1656"/>
    <w:rsid w:val="007E1938"/>
    <w:rsid w:val="007E1A27"/>
    <w:rsid w:val="007E24E7"/>
    <w:rsid w:val="007E4497"/>
    <w:rsid w:val="007E59B5"/>
    <w:rsid w:val="007F0F87"/>
    <w:rsid w:val="007F441D"/>
    <w:rsid w:val="007F505F"/>
    <w:rsid w:val="007F5B3D"/>
    <w:rsid w:val="007F6E8A"/>
    <w:rsid w:val="007F7F43"/>
    <w:rsid w:val="00800A3A"/>
    <w:rsid w:val="00800B5B"/>
    <w:rsid w:val="008014F0"/>
    <w:rsid w:val="00802C5A"/>
    <w:rsid w:val="00803DFA"/>
    <w:rsid w:val="008042A4"/>
    <w:rsid w:val="008056A2"/>
    <w:rsid w:val="00806B07"/>
    <w:rsid w:val="00811CD7"/>
    <w:rsid w:val="00813C1A"/>
    <w:rsid w:val="00814E37"/>
    <w:rsid w:val="00815622"/>
    <w:rsid w:val="0081581A"/>
    <w:rsid w:val="00822B45"/>
    <w:rsid w:val="00822DBC"/>
    <w:rsid w:val="00822E53"/>
    <w:rsid w:val="008248C1"/>
    <w:rsid w:val="00825352"/>
    <w:rsid w:val="00825E54"/>
    <w:rsid w:val="00826028"/>
    <w:rsid w:val="0082778D"/>
    <w:rsid w:val="00831A34"/>
    <w:rsid w:val="00832C14"/>
    <w:rsid w:val="00832DB4"/>
    <w:rsid w:val="0083413A"/>
    <w:rsid w:val="00834F81"/>
    <w:rsid w:val="008362C4"/>
    <w:rsid w:val="008375A5"/>
    <w:rsid w:val="008378F0"/>
    <w:rsid w:val="008379E7"/>
    <w:rsid w:val="008401CC"/>
    <w:rsid w:val="0084258A"/>
    <w:rsid w:val="008430C2"/>
    <w:rsid w:val="00843C1C"/>
    <w:rsid w:val="00844DC6"/>
    <w:rsid w:val="008456C8"/>
    <w:rsid w:val="0084593D"/>
    <w:rsid w:val="00846F9C"/>
    <w:rsid w:val="00847CBC"/>
    <w:rsid w:val="00852328"/>
    <w:rsid w:val="0085376D"/>
    <w:rsid w:val="00853DAF"/>
    <w:rsid w:val="0085432B"/>
    <w:rsid w:val="00854915"/>
    <w:rsid w:val="00854E82"/>
    <w:rsid w:val="008572DC"/>
    <w:rsid w:val="008611A0"/>
    <w:rsid w:val="00861635"/>
    <w:rsid w:val="00862689"/>
    <w:rsid w:val="008629F5"/>
    <w:rsid w:val="00864465"/>
    <w:rsid w:val="00864999"/>
    <w:rsid w:val="008668E4"/>
    <w:rsid w:val="008670C4"/>
    <w:rsid w:val="00871EB0"/>
    <w:rsid w:val="00872EB4"/>
    <w:rsid w:val="0087501C"/>
    <w:rsid w:val="008768F0"/>
    <w:rsid w:val="00877AEC"/>
    <w:rsid w:val="0088052D"/>
    <w:rsid w:val="00881D2E"/>
    <w:rsid w:val="00882B87"/>
    <w:rsid w:val="00883CD2"/>
    <w:rsid w:val="0088525F"/>
    <w:rsid w:val="008859B1"/>
    <w:rsid w:val="00885A7B"/>
    <w:rsid w:val="00885E4A"/>
    <w:rsid w:val="008905D6"/>
    <w:rsid w:val="008906AF"/>
    <w:rsid w:val="008909DE"/>
    <w:rsid w:val="008910FE"/>
    <w:rsid w:val="0089146F"/>
    <w:rsid w:val="0089160B"/>
    <w:rsid w:val="00892107"/>
    <w:rsid w:val="00892565"/>
    <w:rsid w:val="00893A08"/>
    <w:rsid w:val="0089502A"/>
    <w:rsid w:val="0089561A"/>
    <w:rsid w:val="00895C8B"/>
    <w:rsid w:val="008A1CCD"/>
    <w:rsid w:val="008A3470"/>
    <w:rsid w:val="008A3D03"/>
    <w:rsid w:val="008A4303"/>
    <w:rsid w:val="008A7173"/>
    <w:rsid w:val="008A7296"/>
    <w:rsid w:val="008B0F40"/>
    <w:rsid w:val="008B1156"/>
    <w:rsid w:val="008B14B7"/>
    <w:rsid w:val="008B2764"/>
    <w:rsid w:val="008B320A"/>
    <w:rsid w:val="008B4BDE"/>
    <w:rsid w:val="008B5FE8"/>
    <w:rsid w:val="008B729C"/>
    <w:rsid w:val="008B7D0E"/>
    <w:rsid w:val="008C1605"/>
    <w:rsid w:val="008C20F5"/>
    <w:rsid w:val="008C3FBD"/>
    <w:rsid w:val="008C4513"/>
    <w:rsid w:val="008C52AB"/>
    <w:rsid w:val="008C7D84"/>
    <w:rsid w:val="008D0284"/>
    <w:rsid w:val="008D0EC6"/>
    <w:rsid w:val="008D1DAA"/>
    <w:rsid w:val="008D2765"/>
    <w:rsid w:val="008D2BFF"/>
    <w:rsid w:val="008D6F1C"/>
    <w:rsid w:val="008D7615"/>
    <w:rsid w:val="008E03B3"/>
    <w:rsid w:val="008E0822"/>
    <w:rsid w:val="008E220B"/>
    <w:rsid w:val="008E55C2"/>
    <w:rsid w:val="008E5C83"/>
    <w:rsid w:val="008E68F6"/>
    <w:rsid w:val="008F010F"/>
    <w:rsid w:val="008F0784"/>
    <w:rsid w:val="008F0BBB"/>
    <w:rsid w:val="008F1BB1"/>
    <w:rsid w:val="008F2A92"/>
    <w:rsid w:val="008F3572"/>
    <w:rsid w:val="008F559A"/>
    <w:rsid w:val="008F585B"/>
    <w:rsid w:val="008F7190"/>
    <w:rsid w:val="008F7968"/>
    <w:rsid w:val="009000DB"/>
    <w:rsid w:val="00901204"/>
    <w:rsid w:val="00901F97"/>
    <w:rsid w:val="00905960"/>
    <w:rsid w:val="009074EC"/>
    <w:rsid w:val="0091028A"/>
    <w:rsid w:val="009104EF"/>
    <w:rsid w:val="009105E3"/>
    <w:rsid w:val="00912D44"/>
    <w:rsid w:val="0091341C"/>
    <w:rsid w:val="00915532"/>
    <w:rsid w:val="009169FA"/>
    <w:rsid w:val="009177F5"/>
    <w:rsid w:val="00917CE7"/>
    <w:rsid w:val="00921D1C"/>
    <w:rsid w:val="0092295C"/>
    <w:rsid w:val="0093109E"/>
    <w:rsid w:val="0093299B"/>
    <w:rsid w:val="00932D52"/>
    <w:rsid w:val="00932F87"/>
    <w:rsid w:val="009357F5"/>
    <w:rsid w:val="00936825"/>
    <w:rsid w:val="00936C94"/>
    <w:rsid w:val="00936D80"/>
    <w:rsid w:val="0094098B"/>
    <w:rsid w:val="00941D77"/>
    <w:rsid w:val="00941E49"/>
    <w:rsid w:val="009421E4"/>
    <w:rsid w:val="009423BB"/>
    <w:rsid w:val="00944165"/>
    <w:rsid w:val="00944934"/>
    <w:rsid w:val="00944948"/>
    <w:rsid w:val="00945612"/>
    <w:rsid w:val="00945F1B"/>
    <w:rsid w:val="00946666"/>
    <w:rsid w:val="009467CE"/>
    <w:rsid w:val="009509DF"/>
    <w:rsid w:val="00950C68"/>
    <w:rsid w:val="00950DCA"/>
    <w:rsid w:val="00953A44"/>
    <w:rsid w:val="00953A4D"/>
    <w:rsid w:val="00955D16"/>
    <w:rsid w:val="00955F06"/>
    <w:rsid w:val="00956D98"/>
    <w:rsid w:val="00956F6D"/>
    <w:rsid w:val="00963304"/>
    <w:rsid w:val="00963E25"/>
    <w:rsid w:val="00966C5F"/>
    <w:rsid w:val="00967639"/>
    <w:rsid w:val="00970626"/>
    <w:rsid w:val="0097099F"/>
    <w:rsid w:val="00970E5E"/>
    <w:rsid w:val="0097247E"/>
    <w:rsid w:val="00972B1B"/>
    <w:rsid w:val="00976E6A"/>
    <w:rsid w:val="0097754C"/>
    <w:rsid w:val="00977E20"/>
    <w:rsid w:val="009810B6"/>
    <w:rsid w:val="0098136E"/>
    <w:rsid w:val="0098185E"/>
    <w:rsid w:val="0098419A"/>
    <w:rsid w:val="0098427E"/>
    <w:rsid w:val="00984BBB"/>
    <w:rsid w:val="00984C9D"/>
    <w:rsid w:val="00986FE4"/>
    <w:rsid w:val="00990CB2"/>
    <w:rsid w:val="00991D50"/>
    <w:rsid w:val="0099346F"/>
    <w:rsid w:val="00993AD9"/>
    <w:rsid w:val="0099413A"/>
    <w:rsid w:val="00995DD4"/>
    <w:rsid w:val="00996EDE"/>
    <w:rsid w:val="00997576"/>
    <w:rsid w:val="009A0756"/>
    <w:rsid w:val="009A23ED"/>
    <w:rsid w:val="009A39DD"/>
    <w:rsid w:val="009A6C29"/>
    <w:rsid w:val="009A6FF9"/>
    <w:rsid w:val="009A7A1A"/>
    <w:rsid w:val="009B08E0"/>
    <w:rsid w:val="009B2AF9"/>
    <w:rsid w:val="009B2CE4"/>
    <w:rsid w:val="009B5661"/>
    <w:rsid w:val="009B6065"/>
    <w:rsid w:val="009B6DD2"/>
    <w:rsid w:val="009C02A3"/>
    <w:rsid w:val="009C28DD"/>
    <w:rsid w:val="009C2BC5"/>
    <w:rsid w:val="009C2DBC"/>
    <w:rsid w:val="009C30D4"/>
    <w:rsid w:val="009C4196"/>
    <w:rsid w:val="009C4E40"/>
    <w:rsid w:val="009C4E4D"/>
    <w:rsid w:val="009C4FB6"/>
    <w:rsid w:val="009C5182"/>
    <w:rsid w:val="009C6020"/>
    <w:rsid w:val="009C7109"/>
    <w:rsid w:val="009C7D54"/>
    <w:rsid w:val="009D34DA"/>
    <w:rsid w:val="009D47B4"/>
    <w:rsid w:val="009D5038"/>
    <w:rsid w:val="009D5A9F"/>
    <w:rsid w:val="009D6173"/>
    <w:rsid w:val="009E0DD8"/>
    <w:rsid w:val="009E4DD8"/>
    <w:rsid w:val="009E54B9"/>
    <w:rsid w:val="009E7B57"/>
    <w:rsid w:val="009F0362"/>
    <w:rsid w:val="009F0803"/>
    <w:rsid w:val="009F08FA"/>
    <w:rsid w:val="009F0E04"/>
    <w:rsid w:val="009F3DC6"/>
    <w:rsid w:val="009F3DE8"/>
    <w:rsid w:val="009F467C"/>
    <w:rsid w:val="009F7902"/>
    <w:rsid w:val="00A008A2"/>
    <w:rsid w:val="00A01DE6"/>
    <w:rsid w:val="00A02317"/>
    <w:rsid w:val="00A03788"/>
    <w:rsid w:val="00A03D55"/>
    <w:rsid w:val="00A053D5"/>
    <w:rsid w:val="00A05934"/>
    <w:rsid w:val="00A05E3D"/>
    <w:rsid w:val="00A0692E"/>
    <w:rsid w:val="00A06D1F"/>
    <w:rsid w:val="00A07683"/>
    <w:rsid w:val="00A1013B"/>
    <w:rsid w:val="00A121B7"/>
    <w:rsid w:val="00A12E9D"/>
    <w:rsid w:val="00A12EBC"/>
    <w:rsid w:val="00A14736"/>
    <w:rsid w:val="00A16118"/>
    <w:rsid w:val="00A177F9"/>
    <w:rsid w:val="00A17B73"/>
    <w:rsid w:val="00A214C4"/>
    <w:rsid w:val="00A22627"/>
    <w:rsid w:val="00A228F4"/>
    <w:rsid w:val="00A22918"/>
    <w:rsid w:val="00A24284"/>
    <w:rsid w:val="00A26405"/>
    <w:rsid w:val="00A26A42"/>
    <w:rsid w:val="00A26C2E"/>
    <w:rsid w:val="00A309CF"/>
    <w:rsid w:val="00A31112"/>
    <w:rsid w:val="00A31283"/>
    <w:rsid w:val="00A32A00"/>
    <w:rsid w:val="00A32C06"/>
    <w:rsid w:val="00A32C25"/>
    <w:rsid w:val="00A34EEE"/>
    <w:rsid w:val="00A3506F"/>
    <w:rsid w:val="00A35CB3"/>
    <w:rsid w:val="00A35F9C"/>
    <w:rsid w:val="00A37594"/>
    <w:rsid w:val="00A379E1"/>
    <w:rsid w:val="00A37EB1"/>
    <w:rsid w:val="00A40BF4"/>
    <w:rsid w:val="00A40ED5"/>
    <w:rsid w:val="00A42D5C"/>
    <w:rsid w:val="00A45AAC"/>
    <w:rsid w:val="00A514BE"/>
    <w:rsid w:val="00A53AA1"/>
    <w:rsid w:val="00A53C9A"/>
    <w:rsid w:val="00A54E69"/>
    <w:rsid w:val="00A550C6"/>
    <w:rsid w:val="00A5557D"/>
    <w:rsid w:val="00A55B4A"/>
    <w:rsid w:val="00A56582"/>
    <w:rsid w:val="00A57849"/>
    <w:rsid w:val="00A57E2D"/>
    <w:rsid w:val="00A64205"/>
    <w:rsid w:val="00A652D3"/>
    <w:rsid w:val="00A65C37"/>
    <w:rsid w:val="00A660E5"/>
    <w:rsid w:val="00A663E8"/>
    <w:rsid w:val="00A66901"/>
    <w:rsid w:val="00A67924"/>
    <w:rsid w:val="00A67FDB"/>
    <w:rsid w:val="00A72AA6"/>
    <w:rsid w:val="00A749C1"/>
    <w:rsid w:val="00A75BC4"/>
    <w:rsid w:val="00A76AB5"/>
    <w:rsid w:val="00A77FD8"/>
    <w:rsid w:val="00A81688"/>
    <w:rsid w:val="00A826ED"/>
    <w:rsid w:val="00A853EA"/>
    <w:rsid w:val="00A914D5"/>
    <w:rsid w:val="00A92BFC"/>
    <w:rsid w:val="00A935CA"/>
    <w:rsid w:val="00A941E6"/>
    <w:rsid w:val="00A95BF4"/>
    <w:rsid w:val="00A9623E"/>
    <w:rsid w:val="00A969C1"/>
    <w:rsid w:val="00AA3A8C"/>
    <w:rsid w:val="00AA4242"/>
    <w:rsid w:val="00AA46B2"/>
    <w:rsid w:val="00AA4981"/>
    <w:rsid w:val="00AA52EC"/>
    <w:rsid w:val="00AA5AFD"/>
    <w:rsid w:val="00AA69E7"/>
    <w:rsid w:val="00AA75D5"/>
    <w:rsid w:val="00AA7EF5"/>
    <w:rsid w:val="00AB033D"/>
    <w:rsid w:val="00AB13E2"/>
    <w:rsid w:val="00AB1DBD"/>
    <w:rsid w:val="00AB27B1"/>
    <w:rsid w:val="00AB2E0E"/>
    <w:rsid w:val="00AB3A58"/>
    <w:rsid w:val="00AB521A"/>
    <w:rsid w:val="00AB600D"/>
    <w:rsid w:val="00AC162B"/>
    <w:rsid w:val="00AC217F"/>
    <w:rsid w:val="00AC26D3"/>
    <w:rsid w:val="00AC2B64"/>
    <w:rsid w:val="00AC3097"/>
    <w:rsid w:val="00AC443D"/>
    <w:rsid w:val="00AC5B3F"/>
    <w:rsid w:val="00AC7BE0"/>
    <w:rsid w:val="00AD0FCD"/>
    <w:rsid w:val="00AD1FD4"/>
    <w:rsid w:val="00AD4ED3"/>
    <w:rsid w:val="00AD6842"/>
    <w:rsid w:val="00AD6CFD"/>
    <w:rsid w:val="00AE1078"/>
    <w:rsid w:val="00AE129C"/>
    <w:rsid w:val="00AE318C"/>
    <w:rsid w:val="00AE770E"/>
    <w:rsid w:val="00AF02EE"/>
    <w:rsid w:val="00AF1827"/>
    <w:rsid w:val="00AF20BB"/>
    <w:rsid w:val="00AF26C3"/>
    <w:rsid w:val="00AF60E3"/>
    <w:rsid w:val="00AF623C"/>
    <w:rsid w:val="00AF666B"/>
    <w:rsid w:val="00AF6E8A"/>
    <w:rsid w:val="00B00B18"/>
    <w:rsid w:val="00B03483"/>
    <w:rsid w:val="00B04B2B"/>
    <w:rsid w:val="00B0549D"/>
    <w:rsid w:val="00B0550D"/>
    <w:rsid w:val="00B06DD5"/>
    <w:rsid w:val="00B1073F"/>
    <w:rsid w:val="00B1127E"/>
    <w:rsid w:val="00B13919"/>
    <w:rsid w:val="00B14E39"/>
    <w:rsid w:val="00B16599"/>
    <w:rsid w:val="00B1777C"/>
    <w:rsid w:val="00B17B72"/>
    <w:rsid w:val="00B206AD"/>
    <w:rsid w:val="00B20B42"/>
    <w:rsid w:val="00B21805"/>
    <w:rsid w:val="00B22A1E"/>
    <w:rsid w:val="00B23C2C"/>
    <w:rsid w:val="00B23D92"/>
    <w:rsid w:val="00B252F4"/>
    <w:rsid w:val="00B2587B"/>
    <w:rsid w:val="00B260E5"/>
    <w:rsid w:val="00B26351"/>
    <w:rsid w:val="00B30FBB"/>
    <w:rsid w:val="00B3225E"/>
    <w:rsid w:val="00B32647"/>
    <w:rsid w:val="00B32F42"/>
    <w:rsid w:val="00B33583"/>
    <w:rsid w:val="00B33E9B"/>
    <w:rsid w:val="00B345B4"/>
    <w:rsid w:val="00B34B22"/>
    <w:rsid w:val="00B34C7E"/>
    <w:rsid w:val="00B34E6E"/>
    <w:rsid w:val="00B35439"/>
    <w:rsid w:val="00B3774B"/>
    <w:rsid w:val="00B37A2C"/>
    <w:rsid w:val="00B4002E"/>
    <w:rsid w:val="00B403CE"/>
    <w:rsid w:val="00B404D1"/>
    <w:rsid w:val="00B40EDA"/>
    <w:rsid w:val="00B40F9A"/>
    <w:rsid w:val="00B411D8"/>
    <w:rsid w:val="00B42B5E"/>
    <w:rsid w:val="00B42C58"/>
    <w:rsid w:val="00B42E08"/>
    <w:rsid w:val="00B439D2"/>
    <w:rsid w:val="00B45635"/>
    <w:rsid w:val="00B45D10"/>
    <w:rsid w:val="00B461D8"/>
    <w:rsid w:val="00B464D3"/>
    <w:rsid w:val="00B46805"/>
    <w:rsid w:val="00B46F02"/>
    <w:rsid w:val="00B50785"/>
    <w:rsid w:val="00B50F21"/>
    <w:rsid w:val="00B511D7"/>
    <w:rsid w:val="00B51217"/>
    <w:rsid w:val="00B53060"/>
    <w:rsid w:val="00B5650C"/>
    <w:rsid w:val="00B56EF6"/>
    <w:rsid w:val="00B62408"/>
    <w:rsid w:val="00B62B7B"/>
    <w:rsid w:val="00B6524A"/>
    <w:rsid w:val="00B66D0E"/>
    <w:rsid w:val="00B6712D"/>
    <w:rsid w:val="00B67C3B"/>
    <w:rsid w:val="00B70D54"/>
    <w:rsid w:val="00B7247D"/>
    <w:rsid w:val="00B73593"/>
    <w:rsid w:val="00B77641"/>
    <w:rsid w:val="00B802B6"/>
    <w:rsid w:val="00B80B07"/>
    <w:rsid w:val="00B80E28"/>
    <w:rsid w:val="00B81A33"/>
    <w:rsid w:val="00B81E0D"/>
    <w:rsid w:val="00B82759"/>
    <w:rsid w:val="00B8305F"/>
    <w:rsid w:val="00B85FEA"/>
    <w:rsid w:val="00B8793D"/>
    <w:rsid w:val="00B90714"/>
    <w:rsid w:val="00B91019"/>
    <w:rsid w:val="00B92AF3"/>
    <w:rsid w:val="00B948E1"/>
    <w:rsid w:val="00B96E3D"/>
    <w:rsid w:val="00BA183E"/>
    <w:rsid w:val="00BA26CA"/>
    <w:rsid w:val="00BA3710"/>
    <w:rsid w:val="00BA416F"/>
    <w:rsid w:val="00BA4D70"/>
    <w:rsid w:val="00BA6B91"/>
    <w:rsid w:val="00BA7895"/>
    <w:rsid w:val="00BA7A7C"/>
    <w:rsid w:val="00BA7EB8"/>
    <w:rsid w:val="00BB0775"/>
    <w:rsid w:val="00BB0899"/>
    <w:rsid w:val="00BB2C10"/>
    <w:rsid w:val="00BB502C"/>
    <w:rsid w:val="00BB5F07"/>
    <w:rsid w:val="00BB5F24"/>
    <w:rsid w:val="00BB7A6E"/>
    <w:rsid w:val="00BC034E"/>
    <w:rsid w:val="00BC0FFB"/>
    <w:rsid w:val="00BC1380"/>
    <w:rsid w:val="00BC2EAF"/>
    <w:rsid w:val="00BC2F0F"/>
    <w:rsid w:val="00BC2F8D"/>
    <w:rsid w:val="00BC4579"/>
    <w:rsid w:val="00BC4A22"/>
    <w:rsid w:val="00BC4A35"/>
    <w:rsid w:val="00BC663D"/>
    <w:rsid w:val="00BC6A91"/>
    <w:rsid w:val="00BD20E4"/>
    <w:rsid w:val="00BD39F8"/>
    <w:rsid w:val="00BD5560"/>
    <w:rsid w:val="00BE1AC5"/>
    <w:rsid w:val="00BE678A"/>
    <w:rsid w:val="00BF0667"/>
    <w:rsid w:val="00BF1D48"/>
    <w:rsid w:val="00BF50A5"/>
    <w:rsid w:val="00BF51E0"/>
    <w:rsid w:val="00BF5C1F"/>
    <w:rsid w:val="00BF66C9"/>
    <w:rsid w:val="00BF6C94"/>
    <w:rsid w:val="00BF7F21"/>
    <w:rsid w:val="00C00551"/>
    <w:rsid w:val="00C008DC"/>
    <w:rsid w:val="00C0121D"/>
    <w:rsid w:val="00C013A4"/>
    <w:rsid w:val="00C028FF"/>
    <w:rsid w:val="00C02CAB"/>
    <w:rsid w:val="00C037C7"/>
    <w:rsid w:val="00C047AF"/>
    <w:rsid w:val="00C05E01"/>
    <w:rsid w:val="00C127F6"/>
    <w:rsid w:val="00C12B42"/>
    <w:rsid w:val="00C12B7D"/>
    <w:rsid w:val="00C14568"/>
    <w:rsid w:val="00C14856"/>
    <w:rsid w:val="00C168BC"/>
    <w:rsid w:val="00C16EC4"/>
    <w:rsid w:val="00C17C40"/>
    <w:rsid w:val="00C20CFA"/>
    <w:rsid w:val="00C20DDC"/>
    <w:rsid w:val="00C20EE8"/>
    <w:rsid w:val="00C2155B"/>
    <w:rsid w:val="00C21E68"/>
    <w:rsid w:val="00C22C7D"/>
    <w:rsid w:val="00C22C9F"/>
    <w:rsid w:val="00C2350F"/>
    <w:rsid w:val="00C23A5F"/>
    <w:rsid w:val="00C23D8D"/>
    <w:rsid w:val="00C2438B"/>
    <w:rsid w:val="00C24FEA"/>
    <w:rsid w:val="00C2503D"/>
    <w:rsid w:val="00C262E9"/>
    <w:rsid w:val="00C264A3"/>
    <w:rsid w:val="00C272D6"/>
    <w:rsid w:val="00C30074"/>
    <w:rsid w:val="00C3012F"/>
    <w:rsid w:val="00C303A6"/>
    <w:rsid w:val="00C3063F"/>
    <w:rsid w:val="00C30944"/>
    <w:rsid w:val="00C31766"/>
    <w:rsid w:val="00C31E9F"/>
    <w:rsid w:val="00C32952"/>
    <w:rsid w:val="00C32CBC"/>
    <w:rsid w:val="00C32F02"/>
    <w:rsid w:val="00C33C4F"/>
    <w:rsid w:val="00C347C0"/>
    <w:rsid w:val="00C36062"/>
    <w:rsid w:val="00C3749D"/>
    <w:rsid w:val="00C407E3"/>
    <w:rsid w:val="00C414B9"/>
    <w:rsid w:val="00C4217C"/>
    <w:rsid w:val="00C42635"/>
    <w:rsid w:val="00C4540D"/>
    <w:rsid w:val="00C4585F"/>
    <w:rsid w:val="00C46013"/>
    <w:rsid w:val="00C47F15"/>
    <w:rsid w:val="00C52DD1"/>
    <w:rsid w:val="00C57CA9"/>
    <w:rsid w:val="00C602FA"/>
    <w:rsid w:val="00C6247D"/>
    <w:rsid w:val="00C6454A"/>
    <w:rsid w:val="00C64AE6"/>
    <w:rsid w:val="00C655B4"/>
    <w:rsid w:val="00C67C15"/>
    <w:rsid w:val="00C67FFC"/>
    <w:rsid w:val="00C70541"/>
    <w:rsid w:val="00C7418A"/>
    <w:rsid w:val="00C75B9F"/>
    <w:rsid w:val="00C76694"/>
    <w:rsid w:val="00C76908"/>
    <w:rsid w:val="00C776EC"/>
    <w:rsid w:val="00C82A6E"/>
    <w:rsid w:val="00C87CD3"/>
    <w:rsid w:val="00C87D36"/>
    <w:rsid w:val="00C90CFD"/>
    <w:rsid w:val="00C90D56"/>
    <w:rsid w:val="00C92128"/>
    <w:rsid w:val="00C923F3"/>
    <w:rsid w:val="00C95297"/>
    <w:rsid w:val="00C961D9"/>
    <w:rsid w:val="00C96E70"/>
    <w:rsid w:val="00CA11E3"/>
    <w:rsid w:val="00CA14D7"/>
    <w:rsid w:val="00CA39AA"/>
    <w:rsid w:val="00CA742F"/>
    <w:rsid w:val="00CA7B96"/>
    <w:rsid w:val="00CB2476"/>
    <w:rsid w:val="00CB2B77"/>
    <w:rsid w:val="00CB2E36"/>
    <w:rsid w:val="00CB4832"/>
    <w:rsid w:val="00CB76E1"/>
    <w:rsid w:val="00CC107C"/>
    <w:rsid w:val="00CC167D"/>
    <w:rsid w:val="00CC21CB"/>
    <w:rsid w:val="00CC2E89"/>
    <w:rsid w:val="00CC5570"/>
    <w:rsid w:val="00CC5929"/>
    <w:rsid w:val="00CC5A3C"/>
    <w:rsid w:val="00CD03DC"/>
    <w:rsid w:val="00CD1F51"/>
    <w:rsid w:val="00CD6BB5"/>
    <w:rsid w:val="00CD7BCA"/>
    <w:rsid w:val="00CE0DFF"/>
    <w:rsid w:val="00CE1068"/>
    <w:rsid w:val="00CE127F"/>
    <w:rsid w:val="00CE22F0"/>
    <w:rsid w:val="00CE2E43"/>
    <w:rsid w:val="00CE3463"/>
    <w:rsid w:val="00CE457D"/>
    <w:rsid w:val="00CE4A32"/>
    <w:rsid w:val="00CE53FE"/>
    <w:rsid w:val="00CE71D7"/>
    <w:rsid w:val="00CF0037"/>
    <w:rsid w:val="00CF0605"/>
    <w:rsid w:val="00CF073C"/>
    <w:rsid w:val="00CF0DE8"/>
    <w:rsid w:val="00CF21CB"/>
    <w:rsid w:val="00CF44FA"/>
    <w:rsid w:val="00CF6318"/>
    <w:rsid w:val="00D00986"/>
    <w:rsid w:val="00D00E82"/>
    <w:rsid w:val="00D01B96"/>
    <w:rsid w:val="00D054B2"/>
    <w:rsid w:val="00D06295"/>
    <w:rsid w:val="00D100F0"/>
    <w:rsid w:val="00D105A2"/>
    <w:rsid w:val="00D12858"/>
    <w:rsid w:val="00D132D5"/>
    <w:rsid w:val="00D1360E"/>
    <w:rsid w:val="00D136AA"/>
    <w:rsid w:val="00D14189"/>
    <w:rsid w:val="00D1528A"/>
    <w:rsid w:val="00D157CD"/>
    <w:rsid w:val="00D201C1"/>
    <w:rsid w:val="00D2073F"/>
    <w:rsid w:val="00D217DF"/>
    <w:rsid w:val="00D21DD6"/>
    <w:rsid w:val="00D21F08"/>
    <w:rsid w:val="00D231B2"/>
    <w:rsid w:val="00D23E86"/>
    <w:rsid w:val="00D25F45"/>
    <w:rsid w:val="00D277F6"/>
    <w:rsid w:val="00D30606"/>
    <w:rsid w:val="00D32ADA"/>
    <w:rsid w:val="00D33584"/>
    <w:rsid w:val="00D34A47"/>
    <w:rsid w:val="00D36105"/>
    <w:rsid w:val="00D36EFB"/>
    <w:rsid w:val="00D37167"/>
    <w:rsid w:val="00D4085C"/>
    <w:rsid w:val="00D41005"/>
    <w:rsid w:val="00D41B81"/>
    <w:rsid w:val="00D41FB1"/>
    <w:rsid w:val="00D42CB0"/>
    <w:rsid w:val="00D430D3"/>
    <w:rsid w:val="00D439E7"/>
    <w:rsid w:val="00D448E2"/>
    <w:rsid w:val="00D451E4"/>
    <w:rsid w:val="00D45975"/>
    <w:rsid w:val="00D4682C"/>
    <w:rsid w:val="00D471C3"/>
    <w:rsid w:val="00D50600"/>
    <w:rsid w:val="00D50C77"/>
    <w:rsid w:val="00D51DBC"/>
    <w:rsid w:val="00D54310"/>
    <w:rsid w:val="00D55698"/>
    <w:rsid w:val="00D572D6"/>
    <w:rsid w:val="00D6187F"/>
    <w:rsid w:val="00D64901"/>
    <w:rsid w:val="00D65580"/>
    <w:rsid w:val="00D6739E"/>
    <w:rsid w:val="00D6759F"/>
    <w:rsid w:val="00D706BF"/>
    <w:rsid w:val="00D77599"/>
    <w:rsid w:val="00D776E7"/>
    <w:rsid w:val="00D80BCC"/>
    <w:rsid w:val="00D83C7D"/>
    <w:rsid w:val="00D844A3"/>
    <w:rsid w:val="00D84DD8"/>
    <w:rsid w:val="00D85C6F"/>
    <w:rsid w:val="00D86A84"/>
    <w:rsid w:val="00D93748"/>
    <w:rsid w:val="00D9465E"/>
    <w:rsid w:val="00D94FBE"/>
    <w:rsid w:val="00D95975"/>
    <w:rsid w:val="00D960B6"/>
    <w:rsid w:val="00D96B7E"/>
    <w:rsid w:val="00D9710C"/>
    <w:rsid w:val="00D97576"/>
    <w:rsid w:val="00D97B0D"/>
    <w:rsid w:val="00DA03A8"/>
    <w:rsid w:val="00DA0693"/>
    <w:rsid w:val="00DA0E60"/>
    <w:rsid w:val="00DA1D29"/>
    <w:rsid w:val="00DA1DC2"/>
    <w:rsid w:val="00DA1ECA"/>
    <w:rsid w:val="00DA2874"/>
    <w:rsid w:val="00DA410E"/>
    <w:rsid w:val="00DA4A9D"/>
    <w:rsid w:val="00DA5E0D"/>
    <w:rsid w:val="00DA6105"/>
    <w:rsid w:val="00DA6ACF"/>
    <w:rsid w:val="00DA70A9"/>
    <w:rsid w:val="00DB0EFA"/>
    <w:rsid w:val="00DB380E"/>
    <w:rsid w:val="00DB51C9"/>
    <w:rsid w:val="00DB543E"/>
    <w:rsid w:val="00DB547A"/>
    <w:rsid w:val="00DB5ADA"/>
    <w:rsid w:val="00DB7E75"/>
    <w:rsid w:val="00DB7F5B"/>
    <w:rsid w:val="00DC09F8"/>
    <w:rsid w:val="00DC0B65"/>
    <w:rsid w:val="00DC370D"/>
    <w:rsid w:val="00DC3C45"/>
    <w:rsid w:val="00DC4A71"/>
    <w:rsid w:val="00DC5732"/>
    <w:rsid w:val="00DC778E"/>
    <w:rsid w:val="00DC7C31"/>
    <w:rsid w:val="00DD1349"/>
    <w:rsid w:val="00DD28C9"/>
    <w:rsid w:val="00DD2AAA"/>
    <w:rsid w:val="00DD44FB"/>
    <w:rsid w:val="00DD70D2"/>
    <w:rsid w:val="00DD7287"/>
    <w:rsid w:val="00DD7F28"/>
    <w:rsid w:val="00DE1E68"/>
    <w:rsid w:val="00DE21E3"/>
    <w:rsid w:val="00DE2E02"/>
    <w:rsid w:val="00DE3479"/>
    <w:rsid w:val="00DE44F0"/>
    <w:rsid w:val="00DE73A5"/>
    <w:rsid w:val="00DE7962"/>
    <w:rsid w:val="00DF22BE"/>
    <w:rsid w:val="00DF288F"/>
    <w:rsid w:val="00DF2A35"/>
    <w:rsid w:val="00DF2D1F"/>
    <w:rsid w:val="00DF4104"/>
    <w:rsid w:val="00DF5A64"/>
    <w:rsid w:val="00DF777B"/>
    <w:rsid w:val="00E00635"/>
    <w:rsid w:val="00E06284"/>
    <w:rsid w:val="00E07343"/>
    <w:rsid w:val="00E0783F"/>
    <w:rsid w:val="00E1016D"/>
    <w:rsid w:val="00E14593"/>
    <w:rsid w:val="00E15730"/>
    <w:rsid w:val="00E2115C"/>
    <w:rsid w:val="00E218E2"/>
    <w:rsid w:val="00E21A74"/>
    <w:rsid w:val="00E22E28"/>
    <w:rsid w:val="00E244E3"/>
    <w:rsid w:val="00E2614E"/>
    <w:rsid w:val="00E26463"/>
    <w:rsid w:val="00E276E0"/>
    <w:rsid w:val="00E27B1B"/>
    <w:rsid w:val="00E27B1E"/>
    <w:rsid w:val="00E30E53"/>
    <w:rsid w:val="00E315F0"/>
    <w:rsid w:val="00E33944"/>
    <w:rsid w:val="00E35E81"/>
    <w:rsid w:val="00E36521"/>
    <w:rsid w:val="00E372BA"/>
    <w:rsid w:val="00E40F7B"/>
    <w:rsid w:val="00E41D68"/>
    <w:rsid w:val="00E42D41"/>
    <w:rsid w:val="00E42F16"/>
    <w:rsid w:val="00E43000"/>
    <w:rsid w:val="00E4454B"/>
    <w:rsid w:val="00E448F2"/>
    <w:rsid w:val="00E5156A"/>
    <w:rsid w:val="00E52EC7"/>
    <w:rsid w:val="00E53502"/>
    <w:rsid w:val="00E5423B"/>
    <w:rsid w:val="00E549C8"/>
    <w:rsid w:val="00E55405"/>
    <w:rsid w:val="00E577E3"/>
    <w:rsid w:val="00E60154"/>
    <w:rsid w:val="00E62E54"/>
    <w:rsid w:val="00E6397C"/>
    <w:rsid w:val="00E65BF7"/>
    <w:rsid w:val="00E67F60"/>
    <w:rsid w:val="00E725BD"/>
    <w:rsid w:val="00E730EA"/>
    <w:rsid w:val="00E74F66"/>
    <w:rsid w:val="00E759B8"/>
    <w:rsid w:val="00E81C17"/>
    <w:rsid w:val="00E820F7"/>
    <w:rsid w:val="00E83311"/>
    <w:rsid w:val="00E85302"/>
    <w:rsid w:val="00E85517"/>
    <w:rsid w:val="00E9019D"/>
    <w:rsid w:val="00E90340"/>
    <w:rsid w:val="00E9166B"/>
    <w:rsid w:val="00E9233D"/>
    <w:rsid w:val="00E9375B"/>
    <w:rsid w:val="00E951CC"/>
    <w:rsid w:val="00E97385"/>
    <w:rsid w:val="00E97B4F"/>
    <w:rsid w:val="00EA0284"/>
    <w:rsid w:val="00EA2C4E"/>
    <w:rsid w:val="00EA6EF2"/>
    <w:rsid w:val="00EA74B8"/>
    <w:rsid w:val="00EB00B6"/>
    <w:rsid w:val="00EB2891"/>
    <w:rsid w:val="00EB3E72"/>
    <w:rsid w:val="00EB6F7C"/>
    <w:rsid w:val="00EC24A8"/>
    <w:rsid w:val="00EC31A7"/>
    <w:rsid w:val="00EC411C"/>
    <w:rsid w:val="00EC464E"/>
    <w:rsid w:val="00EC4974"/>
    <w:rsid w:val="00EC4CEB"/>
    <w:rsid w:val="00EC6A65"/>
    <w:rsid w:val="00EC6C47"/>
    <w:rsid w:val="00ED064F"/>
    <w:rsid w:val="00ED356B"/>
    <w:rsid w:val="00ED49B0"/>
    <w:rsid w:val="00ED5AA0"/>
    <w:rsid w:val="00ED78C5"/>
    <w:rsid w:val="00EE0204"/>
    <w:rsid w:val="00EE0D9F"/>
    <w:rsid w:val="00EE1B46"/>
    <w:rsid w:val="00EE1CC0"/>
    <w:rsid w:val="00EE3487"/>
    <w:rsid w:val="00EE588D"/>
    <w:rsid w:val="00EE5993"/>
    <w:rsid w:val="00EE68DF"/>
    <w:rsid w:val="00EF27E2"/>
    <w:rsid w:val="00EF353D"/>
    <w:rsid w:val="00EF3652"/>
    <w:rsid w:val="00EF3EA0"/>
    <w:rsid w:val="00F00905"/>
    <w:rsid w:val="00F012E4"/>
    <w:rsid w:val="00F02D88"/>
    <w:rsid w:val="00F0719A"/>
    <w:rsid w:val="00F1014B"/>
    <w:rsid w:val="00F12151"/>
    <w:rsid w:val="00F1322E"/>
    <w:rsid w:val="00F13A34"/>
    <w:rsid w:val="00F147F0"/>
    <w:rsid w:val="00F21A87"/>
    <w:rsid w:val="00F238CB"/>
    <w:rsid w:val="00F255B2"/>
    <w:rsid w:val="00F2583D"/>
    <w:rsid w:val="00F25DA6"/>
    <w:rsid w:val="00F27325"/>
    <w:rsid w:val="00F303AD"/>
    <w:rsid w:val="00F307DF"/>
    <w:rsid w:val="00F30916"/>
    <w:rsid w:val="00F30F2B"/>
    <w:rsid w:val="00F32424"/>
    <w:rsid w:val="00F326C0"/>
    <w:rsid w:val="00F32B4C"/>
    <w:rsid w:val="00F34460"/>
    <w:rsid w:val="00F345CC"/>
    <w:rsid w:val="00F363B4"/>
    <w:rsid w:val="00F377F5"/>
    <w:rsid w:val="00F37E9A"/>
    <w:rsid w:val="00F40592"/>
    <w:rsid w:val="00F45CAA"/>
    <w:rsid w:val="00F474F0"/>
    <w:rsid w:val="00F4797A"/>
    <w:rsid w:val="00F5016E"/>
    <w:rsid w:val="00F513CD"/>
    <w:rsid w:val="00F515D6"/>
    <w:rsid w:val="00F53696"/>
    <w:rsid w:val="00F53893"/>
    <w:rsid w:val="00F56BA7"/>
    <w:rsid w:val="00F57976"/>
    <w:rsid w:val="00F57D8F"/>
    <w:rsid w:val="00F6172C"/>
    <w:rsid w:val="00F623C7"/>
    <w:rsid w:val="00F63A38"/>
    <w:rsid w:val="00F6469E"/>
    <w:rsid w:val="00F654B5"/>
    <w:rsid w:val="00F65B26"/>
    <w:rsid w:val="00F66558"/>
    <w:rsid w:val="00F6682B"/>
    <w:rsid w:val="00F67C20"/>
    <w:rsid w:val="00F70E85"/>
    <w:rsid w:val="00F71545"/>
    <w:rsid w:val="00F71CD5"/>
    <w:rsid w:val="00F72329"/>
    <w:rsid w:val="00F7254F"/>
    <w:rsid w:val="00F732DE"/>
    <w:rsid w:val="00F74F7C"/>
    <w:rsid w:val="00F75A4C"/>
    <w:rsid w:val="00F80926"/>
    <w:rsid w:val="00F81147"/>
    <w:rsid w:val="00F84AF9"/>
    <w:rsid w:val="00F866AE"/>
    <w:rsid w:val="00F86991"/>
    <w:rsid w:val="00F874E3"/>
    <w:rsid w:val="00F879EE"/>
    <w:rsid w:val="00F87CE3"/>
    <w:rsid w:val="00F902CF"/>
    <w:rsid w:val="00F9304B"/>
    <w:rsid w:val="00F9624F"/>
    <w:rsid w:val="00F97607"/>
    <w:rsid w:val="00FA0D0A"/>
    <w:rsid w:val="00FA11DC"/>
    <w:rsid w:val="00FA17B6"/>
    <w:rsid w:val="00FA2159"/>
    <w:rsid w:val="00FA2DDB"/>
    <w:rsid w:val="00FA4A03"/>
    <w:rsid w:val="00FA6215"/>
    <w:rsid w:val="00FB0986"/>
    <w:rsid w:val="00FB22A3"/>
    <w:rsid w:val="00FB2CAD"/>
    <w:rsid w:val="00FB3A05"/>
    <w:rsid w:val="00FB3AA7"/>
    <w:rsid w:val="00FB70FF"/>
    <w:rsid w:val="00FB7B12"/>
    <w:rsid w:val="00FC27CC"/>
    <w:rsid w:val="00FC3CC6"/>
    <w:rsid w:val="00FC3EC8"/>
    <w:rsid w:val="00FC43DF"/>
    <w:rsid w:val="00FC6DA9"/>
    <w:rsid w:val="00FD0ED3"/>
    <w:rsid w:val="00FD1223"/>
    <w:rsid w:val="00FD1C8F"/>
    <w:rsid w:val="00FD4C9B"/>
    <w:rsid w:val="00FD7D96"/>
    <w:rsid w:val="00FD7EC0"/>
    <w:rsid w:val="00FE08D6"/>
    <w:rsid w:val="00FE10A0"/>
    <w:rsid w:val="00FE65E7"/>
    <w:rsid w:val="00FE6BD7"/>
    <w:rsid w:val="00FE7C35"/>
    <w:rsid w:val="00FF00BA"/>
    <w:rsid w:val="00FF0477"/>
    <w:rsid w:val="00FF0689"/>
    <w:rsid w:val="00FF110A"/>
    <w:rsid w:val="00FF1E7C"/>
    <w:rsid w:val="00FF36D6"/>
    <w:rsid w:val="00FF4BA7"/>
    <w:rsid w:val="00FF5164"/>
    <w:rsid w:val="00FF6601"/>
    <w:rsid w:val="00FF7045"/>
    <w:rsid w:val="00FF7BB9"/>
    <w:rsid w:val="010D2909"/>
    <w:rsid w:val="01253DF7"/>
    <w:rsid w:val="01260A7E"/>
    <w:rsid w:val="01290F8C"/>
    <w:rsid w:val="01337A88"/>
    <w:rsid w:val="0167664B"/>
    <w:rsid w:val="01752390"/>
    <w:rsid w:val="01851064"/>
    <w:rsid w:val="01851951"/>
    <w:rsid w:val="01851D2A"/>
    <w:rsid w:val="01871E0D"/>
    <w:rsid w:val="0198434F"/>
    <w:rsid w:val="019F3A12"/>
    <w:rsid w:val="01A54DF8"/>
    <w:rsid w:val="01B3112B"/>
    <w:rsid w:val="01B76970"/>
    <w:rsid w:val="01B77E89"/>
    <w:rsid w:val="01C87957"/>
    <w:rsid w:val="01D423BD"/>
    <w:rsid w:val="01D93634"/>
    <w:rsid w:val="01E97331"/>
    <w:rsid w:val="01ED25C2"/>
    <w:rsid w:val="01F22879"/>
    <w:rsid w:val="01FF588A"/>
    <w:rsid w:val="02065F8B"/>
    <w:rsid w:val="02082D40"/>
    <w:rsid w:val="020B2903"/>
    <w:rsid w:val="0212298A"/>
    <w:rsid w:val="021E6BEC"/>
    <w:rsid w:val="02313C07"/>
    <w:rsid w:val="02341621"/>
    <w:rsid w:val="023C67CF"/>
    <w:rsid w:val="0240294F"/>
    <w:rsid w:val="02430A91"/>
    <w:rsid w:val="024711E6"/>
    <w:rsid w:val="024B0384"/>
    <w:rsid w:val="024E0F57"/>
    <w:rsid w:val="0258211B"/>
    <w:rsid w:val="02590620"/>
    <w:rsid w:val="025B0824"/>
    <w:rsid w:val="025B76ED"/>
    <w:rsid w:val="025C4760"/>
    <w:rsid w:val="026253E4"/>
    <w:rsid w:val="0265697C"/>
    <w:rsid w:val="02673E70"/>
    <w:rsid w:val="02682E10"/>
    <w:rsid w:val="026E4185"/>
    <w:rsid w:val="027721FA"/>
    <w:rsid w:val="027D6F1D"/>
    <w:rsid w:val="02842F0F"/>
    <w:rsid w:val="02887934"/>
    <w:rsid w:val="028F6631"/>
    <w:rsid w:val="029215C9"/>
    <w:rsid w:val="0295592C"/>
    <w:rsid w:val="029A7094"/>
    <w:rsid w:val="029E0217"/>
    <w:rsid w:val="029F6FD9"/>
    <w:rsid w:val="02A73D25"/>
    <w:rsid w:val="02AC47B2"/>
    <w:rsid w:val="02AD0EDB"/>
    <w:rsid w:val="02AF7896"/>
    <w:rsid w:val="02B46C51"/>
    <w:rsid w:val="02B5403A"/>
    <w:rsid w:val="02B87EED"/>
    <w:rsid w:val="02B97340"/>
    <w:rsid w:val="02BA576F"/>
    <w:rsid w:val="02C114CB"/>
    <w:rsid w:val="02CC2557"/>
    <w:rsid w:val="02CE2DAF"/>
    <w:rsid w:val="02D0275F"/>
    <w:rsid w:val="02E02AB6"/>
    <w:rsid w:val="02FF2FCE"/>
    <w:rsid w:val="030E686C"/>
    <w:rsid w:val="031376A4"/>
    <w:rsid w:val="031751AA"/>
    <w:rsid w:val="0328562E"/>
    <w:rsid w:val="032A718F"/>
    <w:rsid w:val="032E32EE"/>
    <w:rsid w:val="0340534D"/>
    <w:rsid w:val="03412A2D"/>
    <w:rsid w:val="03437C78"/>
    <w:rsid w:val="0355270F"/>
    <w:rsid w:val="03637736"/>
    <w:rsid w:val="037146C5"/>
    <w:rsid w:val="038125D7"/>
    <w:rsid w:val="03885544"/>
    <w:rsid w:val="038A5301"/>
    <w:rsid w:val="039445F6"/>
    <w:rsid w:val="03A82C93"/>
    <w:rsid w:val="03AC0D7F"/>
    <w:rsid w:val="03B60A8C"/>
    <w:rsid w:val="03C1490B"/>
    <w:rsid w:val="03D44D5A"/>
    <w:rsid w:val="03D86E2C"/>
    <w:rsid w:val="03F81731"/>
    <w:rsid w:val="0400693F"/>
    <w:rsid w:val="0401608D"/>
    <w:rsid w:val="04146F90"/>
    <w:rsid w:val="04254D77"/>
    <w:rsid w:val="042A02BB"/>
    <w:rsid w:val="04355381"/>
    <w:rsid w:val="04396D6A"/>
    <w:rsid w:val="043A6BCE"/>
    <w:rsid w:val="044516FF"/>
    <w:rsid w:val="0446473C"/>
    <w:rsid w:val="045446D3"/>
    <w:rsid w:val="045678D6"/>
    <w:rsid w:val="045A1F4F"/>
    <w:rsid w:val="045B3BAE"/>
    <w:rsid w:val="045B6598"/>
    <w:rsid w:val="04696703"/>
    <w:rsid w:val="046B7259"/>
    <w:rsid w:val="046F4583"/>
    <w:rsid w:val="047A2C4E"/>
    <w:rsid w:val="047C7352"/>
    <w:rsid w:val="048D426C"/>
    <w:rsid w:val="048F2C02"/>
    <w:rsid w:val="049C2A99"/>
    <w:rsid w:val="049D4E62"/>
    <w:rsid w:val="049D702F"/>
    <w:rsid w:val="04AD6AF3"/>
    <w:rsid w:val="04B81977"/>
    <w:rsid w:val="04B93B33"/>
    <w:rsid w:val="04C17F0F"/>
    <w:rsid w:val="04D30407"/>
    <w:rsid w:val="04DC6A60"/>
    <w:rsid w:val="04EE44E4"/>
    <w:rsid w:val="04F72BE0"/>
    <w:rsid w:val="0500776E"/>
    <w:rsid w:val="05015561"/>
    <w:rsid w:val="05095804"/>
    <w:rsid w:val="05207C87"/>
    <w:rsid w:val="0521052B"/>
    <w:rsid w:val="052D6605"/>
    <w:rsid w:val="05307CB9"/>
    <w:rsid w:val="05350CB9"/>
    <w:rsid w:val="053A7DB3"/>
    <w:rsid w:val="05414BDD"/>
    <w:rsid w:val="05420955"/>
    <w:rsid w:val="05456E48"/>
    <w:rsid w:val="0557391A"/>
    <w:rsid w:val="055D6E72"/>
    <w:rsid w:val="056D5406"/>
    <w:rsid w:val="05724346"/>
    <w:rsid w:val="05803087"/>
    <w:rsid w:val="05825B30"/>
    <w:rsid w:val="058F28EC"/>
    <w:rsid w:val="05900EA7"/>
    <w:rsid w:val="059251CE"/>
    <w:rsid w:val="05951094"/>
    <w:rsid w:val="05AC70B6"/>
    <w:rsid w:val="05B0598A"/>
    <w:rsid w:val="05C10EF1"/>
    <w:rsid w:val="05C80E85"/>
    <w:rsid w:val="05D412BE"/>
    <w:rsid w:val="05D77182"/>
    <w:rsid w:val="05DA4336"/>
    <w:rsid w:val="05E60878"/>
    <w:rsid w:val="05F278C0"/>
    <w:rsid w:val="05FA7C6D"/>
    <w:rsid w:val="06085C67"/>
    <w:rsid w:val="0609794A"/>
    <w:rsid w:val="061C7D11"/>
    <w:rsid w:val="06210B82"/>
    <w:rsid w:val="06236868"/>
    <w:rsid w:val="0630281D"/>
    <w:rsid w:val="063F4335"/>
    <w:rsid w:val="065957F2"/>
    <w:rsid w:val="065B0306"/>
    <w:rsid w:val="065E6DFF"/>
    <w:rsid w:val="068168DB"/>
    <w:rsid w:val="06847E72"/>
    <w:rsid w:val="06964C4E"/>
    <w:rsid w:val="069C562E"/>
    <w:rsid w:val="069E3122"/>
    <w:rsid w:val="069E7751"/>
    <w:rsid w:val="06B10943"/>
    <w:rsid w:val="06C2792C"/>
    <w:rsid w:val="06C40035"/>
    <w:rsid w:val="06C87F02"/>
    <w:rsid w:val="06CD6FB5"/>
    <w:rsid w:val="06D71D49"/>
    <w:rsid w:val="06D8522E"/>
    <w:rsid w:val="06DB364E"/>
    <w:rsid w:val="06E35B01"/>
    <w:rsid w:val="06EC479A"/>
    <w:rsid w:val="06EC648E"/>
    <w:rsid w:val="070A5864"/>
    <w:rsid w:val="071A5784"/>
    <w:rsid w:val="07295738"/>
    <w:rsid w:val="073467FB"/>
    <w:rsid w:val="074545CB"/>
    <w:rsid w:val="075918FB"/>
    <w:rsid w:val="076E01F1"/>
    <w:rsid w:val="07746B8A"/>
    <w:rsid w:val="07755E9B"/>
    <w:rsid w:val="077C7BB6"/>
    <w:rsid w:val="07850D81"/>
    <w:rsid w:val="078E1A70"/>
    <w:rsid w:val="07B35EF0"/>
    <w:rsid w:val="07B93AF1"/>
    <w:rsid w:val="07BB48AC"/>
    <w:rsid w:val="07C95042"/>
    <w:rsid w:val="07D2507E"/>
    <w:rsid w:val="07D30570"/>
    <w:rsid w:val="07D667B5"/>
    <w:rsid w:val="07DD06DB"/>
    <w:rsid w:val="07DF5991"/>
    <w:rsid w:val="08051CD2"/>
    <w:rsid w:val="08075F22"/>
    <w:rsid w:val="0808613A"/>
    <w:rsid w:val="080F2287"/>
    <w:rsid w:val="08145726"/>
    <w:rsid w:val="08150285"/>
    <w:rsid w:val="08174964"/>
    <w:rsid w:val="08191CED"/>
    <w:rsid w:val="082539CE"/>
    <w:rsid w:val="08395682"/>
    <w:rsid w:val="08444086"/>
    <w:rsid w:val="084F5B26"/>
    <w:rsid w:val="085B72A8"/>
    <w:rsid w:val="085F3D4B"/>
    <w:rsid w:val="086B44D8"/>
    <w:rsid w:val="086F6713"/>
    <w:rsid w:val="08803F64"/>
    <w:rsid w:val="088537BF"/>
    <w:rsid w:val="088C189B"/>
    <w:rsid w:val="088D2FC7"/>
    <w:rsid w:val="08956793"/>
    <w:rsid w:val="08964158"/>
    <w:rsid w:val="08B562AA"/>
    <w:rsid w:val="08B90E10"/>
    <w:rsid w:val="08C272DB"/>
    <w:rsid w:val="08F56ABF"/>
    <w:rsid w:val="08F86F42"/>
    <w:rsid w:val="091214F7"/>
    <w:rsid w:val="0912357B"/>
    <w:rsid w:val="09180A53"/>
    <w:rsid w:val="09191B83"/>
    <w:rsid w:val="091C7B2C"/>
    <w:rsid w:val="09272B67"/>
    <w:rsid w:val="092E214D"/>
    <w:rsid w:val="09316A62"/>
    <w:rsid w:val="0936365B"/>
    <w:rsid w:val="09376F75"/>
    <w:rsid w:val="093910AA"/>
    <w:rsid w:val="09401EFF"/>
    <w:rsid w:val="09413E2C"/>
    <w:rsid w:val="094B563E"/>
    <w:rsid w:val="094F57BD"/>
    <w:rsid w:val="09504CD9"/>
    <w:rsid w:val="09535C63"/>
    <w:rsid w:val="095C617A"/>
    <w:rsid w:val="096609C9"/>
    <w:rsid w:val="09792945"/>
    <w:rsid w:val="09796BC5"/>
    <w:rsid w:val="097E236D"/>
    <w:rsid w:val="097E61CE"/>
    <w:rsid w:val="09896233"/>
    <w:rsid w:val="099F5A36"/>
    <w:rsid w:val="09A21FD0"/>
    <w:rsid w:val="09A50817"/>
    <w:rsid w:val="09E65D1C"/>
    <w:rsid w:val="09EA19F9"/>
    <w:rsid w:val="09EF2B44"/>
    <w:rsid w:val="09F1282C"/>
    <w:rsid w:val="09F17407"/>
    <w:rsid w:val="09F84611"/>
    <w:rsid w:val="09FC4CF4"/>
    <w:rsid w:val="0A046AEE"/>
    <w:rsid w:val="0A067082"/>
    <w:rsid w:val="0A0A1506"/>
    <w:rsid w:val="0A116C11"/>
    <w:rsid w:val="0A1635B1"/>
    <w:rsid w:val="0A187576"/>
    <w:rsid w:val="0A1D5B3F"/>
    <w:rsid w:val="0A2264BE"/>
    <w:rsid w:val="0A252E2E"/>
    <w:rsid w:val="0A275093"/>
    <w:rsid w:val="0A33031A"/>
    <w:rsid w:val="0A3836F5"/>
    <w:rsid w:val="0A3B3A28"/>
    <w:rsid w:val="0A5B7F43"/>
    <w:rsid w:val="0A643197"/>
    <w:rsid w:val="0A794FFA"/>
    <w:rsid w:val="0A8607FD"/>
    <w:rsid w:val="0A935C8F"/>
    <w:rsid w:val="0A99412A"/>
    <w:rsid w:val="0A9C3A9F"/>
    <w:rsid w:val="0AA5104A"/>
    <w:rsid w:val="0AA84C78"/>
    <w:rsid w:val="0AAE0EAB"/>
    <w:rsid w:val="0AB20693"/>
    <w:rsid w:val="0AB570A3"/>
    <w:rsid w:val="0AE14C18"/>
    <w:rsid w:val="0AE22285"/>
    <w:rsid w:val="0AEE1E8C"/>
    <w:rsid w:val="0AFF277E"/>
    <w:rsid w:val="0B076D10"/>
    <w:rsid w:val="0B097B68"/>
    <w:rsid w:val="0B110718"/>
    <w:rsid w:val="0B1327CC"/>
    <w:rsid w:val="0B1918D3"/>
    <w:rsid w:val="0B231B4E"/>
    <w:rsid w:val="0B313D01"/>
    <w:rsid w:val="0B3515D2"/>
    <w:rsid w:val="0B371E59"/>
    <w:rsid w:val="0B476C48"/>
    <w:rsid w:val="0B4F3913"/>
    <w:rsid w:val="0B567534"/>
    <w:rsid w:val="0B92496E"/>
    <w:rsid w:val="0B9F77E9"/>
    <w:rsid w:val="0BB21F98"/>
    <w:rsid w:val="0BB32AF1"/>
    <w:rsid w:val="0BB4424D"/>
    <w:rsid w:val="0BB667AE"/>
    <w:rsid w:val="0BCD5D17"/>
    <w:rsid w:val="0BD37556"/>
    <w:rsid w:val="0BDA145F"/>
    <w:rsid w:val="0BDB4E09"/>
    <w:rsid w:val="0BDF4F90"/>
    <w:rsid w:val="0BE4749E"/>
    <w:rsid w:val="0BE64742"/>
    <w:rsid w:val="0BF60867"/>
    <w:rsid w:val="0BF63C57"/>
    <w:rsid w:val="0BFE76B9"/>
    <w:rsid w:val="0C081E77"/>
    <w:rsid w:val="0C0B75CD"/>
    <w:rsid w:val="0C1C3A76"/>
    <w:rsid w:val="0C1F4E76"/>
    <w:rsid w:val="0C223D84"/>
    <w:rsid w:val="0C247636"/>
    <w:rsid w:val="0C2C450B"/>
    <w:rsid w:val="0C2D41A8"/>
    <w:rsid w:val="0C33432C"/>
    <w:rsid w:val="0C382C0B"/>
    <w:rsid w:val="0C470E9A"/>
    <w:rsid w:val="0C4D4D22"/>
    <w:rsid w:val="0C520958"/>
    <w:rsid w:val="0C577BB0"/>
    <w:rsid w:val="0C590FF7"/>
    <w:rsid w:val="0C6150E9"/>
    <w:rsid w:val="0C7C5792"/>
    <w:rsid w:val="0C9638DE"/>
    <w:rsid w:val="0C9B4C90"/>
    <w:rsid w:val="0C9B6FD3"/>
    <w:rsid w:val="0CC42345"/>
    <w:rsid w:val="0CCF02C1"/>
    <w:rsid w:val="0CD020F3"/>
    <w:rsid w:val="0CDE0C55"/>
    <w:rsid w:val="0CF676E5"/>
    <w:rsid w:val="0D0637A4"/>
    <w:rsid w:val="0D0875DA"/>
    <w:rsid w:val="0D0A45FE"/>
    <w:rsid w:val="0D1A6B2B"/>
    <w:rsid w:val="0D1F006D"/>
    <w:rsid w:val="0D354795"/>
    <w:rsid w:val="0D3D12F3"/>
    <w:rsid w:val="0D4D34F6"/>
    <w:rsid w:val="0D54347F"/>
    <w:rsid w:val="0D573A7D"/>
    <w:rsid w:val="0D5A52E8"/>
    <w:rsid w:val="0D634781"/>
    <w:rsid w:val="0D786B73"/>
    <w:rsid w:val="0D7C4896"/>
    <w:rsid w:val="0D82221E"/>
    <w:rsid w:val="0D8343D5"/>
    <w:rsid w:val="0D87575D"/>
    <w:rsid w:val="0D923CE8"/>
    <w:rsid w:val="0DA20366"/>
    <w:rsid w:val="0DA37377"/>
    <w:rsid w:val="0DA55A74"/>
    <w:rsid w:val="0DCF5CF7"/>
    <w:rsid w:val="0DD135AC"/>
    <w:rsid w:val="0DF468B0"/>
    <w:rsid w:val="0DFE346C"/>
    <w:rsid w:val="0E035D4C"/>
    <w:rsid w:val="0E082F90"/>
    <w:rsid w:val="0E0A4AA4"/>
    <w:rsid w:val="0E27592C"/>
    <w:rsid w:val="0E2A260F"/>
    <w:rsid w:val="0E3010C0"/>
    <w:rsid w:val="0E363C9B"/>
    <w:rsid w:val="0E3E22AD"/>
    <w:rsid w:val="0E4245F6"/>
    <w:rsid w:val="0E5677F8"/>
    <w:rsid w:val="0E576D6B"/>
    <w:rsid w:val="0E5D10CD"/>
    <w:rsid w:val="0E5E2A69"/>
    <w:rsid w:val="0E6156C5"/>
    <w:rsid w:val="0E6379EF"/>
    <w:rsid w:val="0E653C9F"/>
    <w:rsid w:val="0E6A132E"/>
    <w:rsid w:val="0E740D25"/>
    <w:rsid w:val="0E786BE8"/>
    <w:rsid w:val="0E7E70B7"/>
    <w:rsid w:val="0E9501D4"/>
    <w:rsid w:val="0EA77CFC"/>
    <w:rsid w:val="0EA926A2"/>
    <w:rsid w:val="0EB26C7E"/>
    <w:rsid w:val="0EB62852"/>
    <w:rsid w:val="0EBE2907"/>
    <w:rsid w:val="0EBF1BFE"/>
    <w:rsid w:val="0ED04398"/>
    <w:rsid w:val="0EDF1F77"/>
    <w:rsid w:val="0EE71680"/>
    <w:rsid w:val="0EE95521"/>
    <w:rsid w:val="0EEE64B4"/>
    <w:rsid w:val="0EFA3F55"/>
    <w:rsid w:val="0F03456B"/>
    <w:rsid w:val="0F104DEC"/>
    <w:rsid w:val="0F165F74"/>
    <w:rsid w:val="0F1904C6"/>
    <w:rsid w:val="0F1F09B4"/>
    <w:rsid w:val="0F1F5F17"/>
    <w:rsid w:val="0F2D7E3D"/>
    <w:rsid w:val="0F3A0C15"/>
    <w:rsid w:val="0F4D6BBB"/>
    <w:rsid w:val="0F6D4F5A"/>
    <w:rsid w:val="0F71340B"/>
    <w:rsid w:val="0F892E0D"/>
    <w:rsid w:val="0F9625EB"/>
    <w:rsid w:val="0FAD4AEB"/>
    <w:rsid w:val="0FAD6F62"/>
    <w:rsid w:val="0FC73CAD"/>
    <w:rsid w:val="0FCE7808"/>
    <w:rsid w:val="0FD5640D"/>
    <w:rsid w:val="0FD85DA4"/>
    <w:rsid w:val="0FF0283C"/>
    <w:rsid w:val="0FFF7AE3"/>
    <w:rsid w:val="100A0204"/>
    <w:rsid w:val="10286F60"/>
    <w:rsid w:val="10290F76"/>
    <w:rsid w:val="103021C4"/>
    <w:rsid w:val="103262DE"/>
    <w:rsid w:val="103C392A"/>
    <w:rsid w:val="104375EE"/>
    <w:rsid w:val="10441F6A"/>
    <w:rsid w:val="10492335"/>
    <w:rsid w:val="104B50A5"/>
    <w:rsid w:val="104E5A59"/>
    <w:rsid w:val="10794B7F"/>
    <w:rsid w:val="107A06FC"/>
    <w:rsid w:val="10886CC1"/>
    <w:rsid w:val="10910491"/>
    <w:rsid w:val="109A51CD"/>
    <w:rsid w:val="109C5D05"/>
    <w:rsid w:val="10AC52F2"/>
    <w:rsid w:val="10AE7EA4"/>
    <w:rsid w:val="10C167A9"/>
    <w:rsid w:val="10C420EC"/>
    <w:rsid w:val="10C7508F"/>
    <w:rsid w:val="10CA0937"/>
    <w:rsid w:val="10CA0D2A"/>
    <w:rsid w:val="10CA51B7"/>
    <w:rsid w:val="10D36A28"/>
    <w:rsid w:val="10D9348D"/>
    <w:rsid w:val="10DE6733"/>
    <w:rsid w:val="10E07A74"/>
    <w:rsid w:val="10E25BC9"/>
    <w:rsid w:val="10E27570"/>
    <w:rsid w:val="10F80ABE"/>
    <w:rsid w:val="110934A8"/>
    <w:rsid w:val="11282C55"/>
    <w:rsid w:val="113A325E"/>
    <w:rsid w:val="114B0803"/>
    <w:rsid w:val="115341A9"/>
    <w:rsid w:val="1163658A"/>
    <w:rsid w:val="1177192B"/>
    <w:rsid w:val="117B3FE2"/>
    <w:rsid w:val="118A17D4"/>
    <w:rsid w:val="11904BB6"/>
    <w:rsid w:val="11A267D5"/>
    <w:rsid w:val="11A80C54"/>
    <w:rsid w:val="11B365D2"/>
    <w:rsid w:val="11B65F74"/>
    <w:rsid w:val="11C45234"/>
    <w:rsid w:val="11D62CBC"/>
    <w:rsid w:val="11DD5FFD"/>
    <w:rsid w:val="11EF719D"/>
    <w:rsid w:val="12001431"/>
    <w:rsid w:val="12102BA9"/>
    <w:rsid w:val="12103449"/>
    <w:rsid w:val="121969B8"/>
    <w:rsid w:val="121B3FF0"/>
    <w:rsid w:val="12385866"/>
    <w:rsid w:val="123A32BE"/>
    <w:rsid w:val="12400BC8"/>
    <w:rsid w:val="1240666A"/>
    <w:rsid w:val="124F2BDA"/>
    <w:rsid w:val="125476F9"/>
    <w:rsid w:val="125860B8"/>
    <w:rsid w:val="125E4295"/>
    <w:rsid w:val="126441B4"/>
    <w:rsid w:val="126B178B"/>
    <w:rsid w:val="126C111F"/>
    <w:rsid w:val="12854DEB"/>
    <w:rsid w:val="12877985"/>
    <w:rsid w:val="12A10EEE"/>
    <w:rsid w:val="12A2362F"/>
    <w:rsid w:val="12A5221D"/>
    <w:rsid w:val="12A87ED9"/>
    <w:rsid w:val="12C92007"/>
    <w:rsid w:val="12CC24CD"/>
    <w:rsid w:val="12CD5D58"/>
    <w:rsid w:val="12D011CD"/>
    <w:rsid w:val="12DE0E24"/>
    <w:rsid w:val="12DF3349"/>
    <w:rsid w:val="12E06DD6"/>
    <w:rsid w:val="12E44DFC"/>
    <w:rsid w:val="13226F33"/>
    <w:rsid w:val="133625B2"/>
    <w:rsid w:val="133E641F"/>
    <w:rsid w:val="134E64CD"/>
    <w:rsid w:val="13517F36"/>
    <w:rsid w:val="136564BB"/>
    <w:rsid w:val="1374202B"/>
    <w:rsid w:val="13826F32"/>
    <w:rsid w:val="138C0708"/>
    <w:rsid w:val="138C7EC1"/>
    <w:rsid w:val="13992A27"/>
    <w:rsid w:val="13B051FF"/>
    <w:rsid w:val="13B726D7"/>
    <w:rsid w:val="13B80C91"/>
    <w:rsid w:val="13C06EAB"/>
    <w:rsid w:val="13C56CB7"/>
    <w:rsid w:val="13DD17BC"/>
    <w:rsid w:val="13DF3981"/>
    <w:rsid w:val="13E15123"/>
    <w:rsid w:val="13E62B62"/>
    <w:rsid w:val="13EB44B2"/>
    <w:rsid w:val="13FE42BD"/>
    <w:rsid w:val="140B0C0E"/>
    <w:rsid w:val="140E43B1"/>
    <w:rsid w:val="14166B88"/>
    <w:rsid w:val="14184758"/>
    <w:rsid w:val="141A39E9"/>
    <w:rsid w:val="142D4C47"/>
    <w:rsid w:val="1432292C"/>
    <w:rsid w:val="144535D2"/>
    <w:rsid w:val="145230F1"/>
    <w:rsid w:val="14533273"/>
    <w:rsid w:val="145E27FB"/>
    <w:rsid w:val="14773FB1"/>
    <w:rsid w:val="148C3568"/>
    <w:rsid w:val="1498291D"/>
    <w:rsid w:val="14AC6471"/>
    <w:rsid w:val="14C62E53"/>
    <w:rsid w:val="14E668FB"/>
    <w:rsid w:val="14E75C67"/>
    <w:rsid w:val="14F04E3A"/>
    <w:rsid w:val="14F42007"/>
    <w:rsid w:val="14FA1F55"/>
    <w:rsid w:val="14FD7F01"/>
    <w:rsid w:val="14FF1621"/>
    <w:rsid w:val="15161339"/>
    <w:rsid w:val="151A5836"/>
    <w:rsid w:val="151D4B8F"/>
    <w:rsid w:val="152142B0"/>
    <w:rsid w:val="15245145"/>
    <w:rsid w:val="153A1D6C"/>
    <w:rsid w:val="1541288F"/>
    <w:rsid w:val="154E295B"/>
    <w:rsid w:val="15570376"/>
    <w:rsid w:val="155B4FBC"/>
    <w:rsid w:val="155C1567"/>
    <w:rsid w:val="155E0228"/>
    <w:rsid w:val="15683010"/>
    <w:rsid w:val="156A52C5"/>
    <w:rsid w:val="156B401D"/>
    <w:rsid w:val="156D07C1"/>
    <w:rsid w:val="156E7B15"/>
    <w:rsid w:val="157E4EF3"/>
    <w:rsid w:val="157F244C"/>
    <w:rsid w:val="15891E1C"/>
    <w:rsid w:val="158B7012"/>
    <w:rsid w:val="15905CF4"/>
    <w:rsid w:val="15AB167C"/>
    <w:rsid w:val="15AE4893"/>
    <w:rsid w:val="15B17F1A"/>
    <w:rsid w:val="15BB0AA8"/>
    <w:rsid w:val="15BB66CD"/>
    <w:rsid w:val="15BD7649"/>
    <w:rsid w:val="15D3064A"/>
    <w:rsid w:val="15E0574A"/>
    <w:rsid w:val="15E613EF"/>
    <w:rsid w:val="15E90813"/>
    <w:rsid w:val="15F35DC4"/>
    <w:rsid w:val="15FE2A7B"/>
    <w:rsid w:val="16033240"/>
    <w:rsid w:val="16063FEC"/>
    <w:rsid w:val="160C1B0C"/>
    <w:rsid w:val="161B02B2"/>
    <w:rsid w:val="16203D59"/>
    <w:rsid w:val="16294003"/>
    <w:rsid w:val="162A34D1"/>
    <w:rsid w:val="16330C9C"/>
    <w:rsid w:val="163A2D0B"/>
    <w:rsid w:val="1641118A"/>
    <w:rsid w:val="164B0D8D"/>
    <w:rsid w:val="16640BA7"/>
    <w:rsid w:val="16660042"/>
    <w:rsid w:val="1666475A"/>
    <w:rsid w:val="166C6103"/>
    <w:rsid w:val="16713342"/>
    <w:rsid w:val="167E6B99"/>
    <w:rsid w:val="16802B6D"/>
    <w:rsid w:val="16807268"/>
    <w:rsid w:val="16863CF4"/>
    <w:rsid w:val="168D08D2"/>
    <w:rsid w:val="16961418"/>
    <w:rsid w:val="169B5396"/>
    <w:rsid w:val="16A65D12"/>
    <w:rsid w:val="16AB443F"/>
    <w:rsid w:val="16AD468D"/>
    <w:rsid w:val="16B55E80"/>
    <w:rsid w:val="16B67E88"/>
    <w:rsid w:val="16C07A78"/>
    <w:rsid w:val="16C2711A"/>
    <w:rsid w:val="16C91790"/>
    <w:rsid w:val="16C9563E"/>
    <w:rsid w:val="16D13608"/>
    <w:rsid w:val="16EC23ED"/>
    <w:rsid w:val="16FB05BA"/>
    <w:rsid w:val="16FF45E6"/>
    <w:rsid w:val="171F0F1C"/>
    <w:rsid w:val="17200CEE"/>
    <w:rsid w:val="172671BA"/>
    <w:rsid w:val="17314ADD"/>
    <w:rsid w:val="17344C41"/>
    <w:rsid w:val="173B524F"/>
    <w:rsid w:val="1742073D"/>
    <w:rsid w:val="17441CAB"/>
    <w:rsid w:val="17451D57"/>
    <w:rsid w:val="17457F73"/>
    <w:rsid w:val="175501C2"/>
    <w:rsid w:val="17570210"/>
    <w:rsid w:val="175871FF"/>
    <w:rsid w:val="177A6219"/>
    <w:rsid w:val="177C6CB0"/>
    <w:rsid w:val="177F1799"/>
    <w:rsid w:val="178E615F"/>
    <w:rsid w:val="1791082C"/>
    <w:rsid w:val="17936366"/>
    <w:rsid w:val="17A04693"/>
    <w:rsid w:val="17A24C31"/>
    <w:rsid w:val="17A532EB"/>
    <w:rsid w:val="17AF018A"/>
    <w:rsid w:val="17B864B0"/>
    <w:rsid w:val="17D33395"/>
    <w:rsid w:val="17D760E4"/>
    <w:rsid w:val="17EA5DB1"/>
    <w:rsid w:val="17F124EF"/>
    <w:rsid w:val="17F57CC2"/>
    <w:rsid w:val="17F9680B"/>
    <w:rsid w:val="18027600"/>
    <w:rsid w:val="1816057E"/>
    <w:rsid w:val="182D7836"/>
    <w:rsid w:val="18323AA2"/>
    <w:rsid w:val="183525D6"/>
    <w:rsid w:val="183F40AF"/>
    <w:rsid w:val="18493DA2"/>
    <w:rsid w:val="184B0DDC"/>
    <w:rsid w:val="18553591"/>
    <w:rsid w:val="185A407C"/>
    <w:rsid w:val="185E1732"/>
    <w:rsid w:val="18614004"/>
    <w:rsid w:val="186621BA"/>
    <w:rsid w:val="187C1DEA"/>
    <w:rsid w:val="188B41A0"/>
    <w:rsid w:val="18974A04"/>
    <w:rsid w:val="18A5689E"/>
    <w:rsid w:val="18AB5211"/>
    <w:rsid w:val="18B02587"/>
    <w:rsid w:val="18B24004"/>
    <w:rsid w:val="18B75B69"/>
    <w:rsid w:val="18CA7DDA"/>
    <w:rsid w:val="18CD145A"/>
    <w:rsid w:val="18D8702E"/>
    <w:rsid w:val="18DF75A6"/>
    <w:rsid w:val="18E02AC1"/>
    <w:rsid w:val="18F213EC"/>
    <w:rsid w:val="18F45560"/>
    <w:rsid w:val="18F80505"/>
    <w:rsid w:val="18F85B04"/>
    <w:rsid w:val="191324D7"/>
    <w:rsid w:val="191B53D4"/>
    <w:rsid w:val="19273F8E"/>
    <w:rsid w:val="192C53D6"/>
    <w:rsid w:val="192F072E"/>
    <w:rsid w:val="1937544C"/>
    <w:rsid w:val="19383B82"/>
    <w:rsid w:val="19392BFF"/>
    <w:rsid w:val="1944097A"/>
    <w:rsid w:val="195B5FA9"/>
    <w:rsid w:val="196262B4"/>
    <w:rsid w:val="199A0FEA"/>
    <w:rsid w:val="199F5B93"/>
    <w:rsid w:val="19A25090"/>
    <w:rsid w:val="19B70E71"/>
    <w:rsid w:val="19CC1D93"/>
    <w:rsid w:val="19E7472E"/>
    <w:rsid w:val="1A18073E"/>
    <w:rsid w:val="1A1B08D6"/>
    <w:rsid w:val="1A3071F3"/>
    <w:rsid w:val="1A3C27CF"/>
    <w:rsid w:val="1A432472"/>
    <w:rsid w:val="1A4A565B"/>
    <w:rsid w:val="1A555009"/>
    <w:rsid w:val="1A6547E5"/>
    <w:rsid w:val="1A731C46"/>
    <w:rsid w:val="1A734B7C"/>
    <w:rsid w:val="1A782894"/>
    <w:rsid w:val="1A7B2024"/>
    <w:rsid w:val="1A8D7D58"/>
    <w:rsid w:val="1A921DE6"/>
    <w:rsid w:val="1A92660E"/>
    <w:rsid w:val="1A9E38B7"/>
    <w:rsid w:val="1AB66772"/>
    <w:rsid w:val="1AC01A12"/>
    <w:rsid w:val="1AC23470"/>
    <w:rsid w:val="1AC73665"/>
    <w:rsid w:val="1AD26E22"/>
    <w:rsid w:val="1AD81515"/>
    <w:rsid w:val="1ADE0033"/>
    <w:rsid w:val="1AE0143C"/>
    <w:rsid w:val="1AFF2362"/>
    <w:rsid w:val="1B021A3C"/>
    <w:rsid w:val="1B03448C"/>
    <w:rsid w:val="1B1055A2"/>
    <w:rsid w:val="1B14613D"/>
    <w:rsid w:val="1B301C41"/>
    <w:rsid w:val="1B3022B8"/>
    <w:rsid w:val="1B3B5761"/>
    <w:rsid w:val="1B3B71E3"/>
    <w:rsid w:val="1B3D450C"/>
    <w:rsid w:val="1B4159DA"/>
    <w:rsid w:val="1B4524EB"/>
    <w:rsid w:val="1B4A063F"/>
    <w:rsid w:val="1B50078D"/>
    <w:rsid w:val="1B5C573F"/>
    <w:rsid w:val="1B617326"/>
    <w:rsid w:val="1B6B19F4"/>
    <w:rsid w:val="1B8003B1"/>
    <w:rsid w:val="1B8434D7"/>
    <w:rsid w:val="1B8776E1"/>
    <w:rsid w:val="1B887A7F"/>
    <w:rsid w:val="1B9379C9"/>
    <w:rsid w:val="1BB678E3"/>
    <w:rsid w:val="1BC2482B"/>
    <w:rsid w:val="1BC82458"/>
    <w:rsid w:val="1BCB3468"/>
    <w:rsid w:val="1BD81DB2"/>
    <w:rsid w:val="1BDB4770"/>
    <w:rsid w:val="1BE25074"/>
    <w:rsid w:val="1BEC0DE8"/>
    <w:rsid w:val="1BF00F5A"/>
    <w:rsid w:val="1BF9799D"/>
    <w:rsid w:val="1C097E1E"/>
    <w:rsid w:val="1C0B07A5"/>
    <w:rsid w:val="1C1A1BB6"/>
    <w:rsid w:val="1C1B46E3"/>
    <w:rsid w:val="1C1E1D73"/>
    <w:rsid w:val="1C222F39"/>
    <w:rsid w:val="1C2A10ED"/>
    <w:rsid w:val="1C3B7632"/>
    <w:rsid w:val="1C4E4504"/>
    <w:rsid w:val="1C5830CE"/>
    <w:rsid w:val="1C7C33A8"/>
    <w:rsid w:val="1C7E4728"/>
    <w:rsid w:val="1C8200AC"/>
    <w:rsid w:val="1C8C5B88"/>
    <w:rsid w:val="1C8D22C6"/>
    <w:rsid w:val="1C9D6F28"/>
    <w:rsid w:val="1CA25AE5"/>
    <w:rsid w:val="1CB225F8"/>
    <w:rsid w:val="1CB430BC"/>
    <w:rsid w:val="1CB74460"/>
    <w:rsid w:val="1CBE3ABB"/>
    <w:rsid w:val="1CCD7A98"/>
    <w:rsid w:val="1CD21B53"/>
    <w:rsid w:val="1CD92BA4"/>
    <w:rsid w:val="1CE03917"/>
    <w:rsid w:val="1CE075A5"/>
    <w:rsid w:val="1CE55B57"/>
    <w:rsid w:val="1CE95EF0"/>
    <w:rsid w:val="1CEA4B6F"/>
    <w:rsid w:val="1CF23DC1"/>
    <w:rsid w:val="1CF26757"/>
    <w:rsid w:val="1CF35DD4"/>
    <w:rsid w:val="1CFB3237"/>
    <w:rsid w:val="1D013F1B"/>
    <w:rsid w:val="1D071752"/>
    <w:rsid w:val="1D21493F"/>
    <w:rsid w:val="1D216713"/>
    <w:rsid w:val="1D231268"/>
    <w:rsid w:val="1D2668B0"/>
    <w:rsid w:val="1D3E3AF8"/>
    <w:rsid w:val="1D41794C"/>
    <w:rsid w:val="1D470B5E"/>
    <w:rsid w:val="1D4A12E7"/>
    <w:rsid w:val="1D52745D"/>
    <w:rsid w:val="1D5A255E"/>
    <w:rsid w:val="1D5F3D6B"/>
    <w:rsid w:val="1D612BB1"/>
    <w:rsid w:val="1D72720D"/>
    <w:rsid w:val="1D831EFC"/>
    <w:rsid w:val="1D8A2240"/>
    <w:rsid w:val="1D8B3C60"/>
    <w:rsid w:val="1D9A515A"/>
    <w:rsid w:val="1D9D5F39"/>
    <w:rsid w:val="1DA3080A"/>
    <w:rsid w:val="1DC16B57"/>
    <w:rsid w:val="1DCD6829"/>
    <w:rsid w:val="1DD213C2"/>
    <w:rsid w:val="1DD32B80"/>
    <w:rsid w:val="1DD42DD9"/>
    <w:rsid w:val="1DD97658"/>
    <w:rsid w:val="1DE91C38"/>
    <w:rsid w:val="1DF70EA7"/>
    <w:rsid w:val="1DF922B9"/>
    <w:rsid w:val="1E0130AB"/>
    <w:rsid w:val="1E024052"/>
    <w:rsid w:val="1E0642AF"/>
    <w:rsid w:val="1E09226F"/>
    <w:rsid w:val="1E0A45F4"/>
    <w:rsid w:val="1E24532F"/>
    <w:rsid w:val="1E27577A"/>
    <w:rsid w:val="1E2E6E55"/>
    <w:rsid w:val="1E312CE8"/>
    <w:rsid w:val="1E315951"/>
    <w:rsid w:val="1E3B4B25"/>
    <w:rsid w:val="1E4C1D18"/>
    <w:rsid w:val="1E4E418D"/>
    <w:rsid w:val="1E533A96"/>
    <w:rsid w:val="1E567169"/>
    <w:rsid w:val="1E5B55D1"/>
    <w:rsid w:val="1E5F7A21"/>
    <w:rsid w:val="1E7D212A"/>
    <w:rsid w:val="1E8560B3"/>
    <w:rsid w:val="1E93301A"/>
    <w:rsid w:val="1E9A1522"/>
    <w:rsid w:val="1E9E3FC4"/>
    <w:rsid w:val="1EA76820"/>
    <w:rsid w:val="1EBD23B3"/>
    <w:rsid w:val="1EBD2910"/>
    <w:rsid w:val="1EC05D13"/>
    <w:rsid w:val="1ED124A0"/>
    <w:rsid w:val="1ED3713F"/>
    <w:rsid w:val="1EDB71FB"/>
    <w:rsid w:val="1EE91BEE"/>
    <w:rsid w:val="1EF83421"/>
    <w:rsid w:val="1EF91E5D"/>
    <w:rsid w:val="1F014146"/>
    <w:rsid w:val="1F056337"/>
    <w:rsid w:val="1F113A8C"/>
    <w:rsid w:val="1F20665D"/>
    <w:rsid w:val="1F290E28"/>
    <w:rsid w:val="1F2A4D9B"/>
    <w:rsid w:val="1F2E555C"/>
    <w:rsid w:val="1F3377F1"/>
    <w:rsid w:val="1F3F1742"/>
    <w:rsid w:val="1F412773"/>
    <w:rsid w:val="1F55439C"/>
    <w:rsid w:val="1F573CEC"/>
    <w:rsid w:val="1F630A8E"/>
    <w:rsid w:val="1F766C8C"/>
    <w:rsid w:val="1F7C12E6"/>
    <w:rsid w:val="1F812875"/>
    <w:rsid w:val="1F905624"/>
    <w:rsid w:val="1F962605"/>
    <w:rsid w:val="1F977041"/>
    <w:rsid w:val="1F9B05C2"/>
    <w:rsid w:val="1FAE1BA7"/>
    <w:rsid w:val="1FAF7FBA"/>
    <w:rsid w:val="1FBC030E"/>
    <w:rsid w:val="1FC1195B"/>
    <w:rsid w:val="1FC2362C"/>
    <w:rsid w:val="1FDA40F5"/>
    <w:rsid w:val="1FE122AA"/>
    <w:rsid w:val="1FE626DC"/>
    <w:rsid w:val="1FE7454D"/>
    <w:rsid w:val="1FFE312A"/>
    <w:rsid w:val="20024894"/>
    <w:rsid w:val="200A00A3"/>
    <w:rsid w:val="200B10F4"/>
    <w:rsid w:val="200E4214"/>
    <w:rsid w:val="200F2D0D"/>
    <w:rsid w:val="20126662"/>
    <w:rsid w:val="2017170F"/>
    <w:rsid w:val="201808F8"/>
    <w:rsid w:val="201B7A23"/>
    <w:rsid w:val="201F4EC4"/>
    <w:rsid w:val="202240EC"/>
    <w:rsid w:val="2036570E"/>
    <w:rsid w:val="20383B87"/>
    <w:rsid w:val="204752ED"/>
    <w:rsid w:val="20477086"/>
    <w:rsid w:val="204B5BC4"/>
    <w:rsid w:val="204D6020"/>
    <w:rsid w:val="20564FB6"/>
    <w:rsid w:val="20694F2F"/>
    <w:rsid w:val="207940F6"/>
    <w:rsid w:val="208D172F"/>
    <w:rsid w:val="20977B06"/>
    <w:rsid w:val="2098335D"/>
    <w:rsid w:val="20995100"/>
    <w:rsid w:val="209A1F6B"/>
    <w:rsid w:val="209D3E70"/>
    <w:rsid w:val="209E5412"/>
    <w:rsid w:val="20A0364C"/>
    <w:rsid w:val="20A47A4E"/>
    <w:rsid w:val="20A53318"/>
    <w:rsid w:val="20A572CD"/>
    <w:rsid w:val="20AF0ABC"/>
    <w:rsid w:val="20B16B1C"/>
    <w:rsid w:val="20CD064C"/>
    <w:rsid w:val="20DE093C"/>
    <w:rsid w:val="20E06678"/>
    <w:rsid w:val="20E07240"/>
    <w:rsid w:val="20E37543"/>
    <w:rsid w:val="20F13A9D"/>
    <w:rsid w:val="20F80D29"/>
    <w:rsid w:val="21181456"/>
    <w:rsid w:val="21214638"/>
    <w:rsid w:val="21251D18"/>
    <w:rsid w:val="212F6044"/>
    <w:rsid w:val="21477AD2"/>
    <w:rsid w:val="21491A0D"/>
    <w:rsid w:val="214D10EA"/>
    <w:rsid w:val="215510C2"/>
    <w:rsid w:val="215A41EC"/>
    <w:rsid w:val="215C3B05"/>
    <w:rsid w:val="215C67DC"/>
    <w:rsid w:val="21667FCA"/>
    <w:rsid w:val="216E2620"/>
    <w:rsid w:val="2171176A"/>
    <w:rsid w:val="217A2A13"/>
    <w:rsid w:val="217C1AE7"/>
    <w:rsid w:val="2198225E"/>
    <w:rsid w:val="219A7FBE"/>
    <w:rsid w:val="219B5A3E"/>
    <w:rsid w:val="21A8456E"/>
    <w:rsid w:val="21B0580B"/>
    <w:rsid w:val="21BF237B"/>
    <w:rsid w:val="21C070BA"/>
    <w:rsid w:val="21C16188"/>
    <w:rsid w:val="21C62F02"/>
    <w:rsid w:val="21CD3C45"/>
    <w:rsid w:val="21CF04CF"/>
    <w:rsid w:val="21D42693"/>
    <w:rsid w:val="21D96C9F"/>
    <w:rsid w:val="21DB59D0"/>
    <w:rsid w:val="21E575F2"/>
    <w:rsid w:val="21EB1F77"/>
    <w:rsid w:val="21F31C61"/>
    <w:rsid w:val="21FC5622"/>
    <w:rsid w:val="22013181"/>
    <w:rsid w:val="2209617B"/>
    <w:rsid w:val="221448CA"/>
    <w:rsid w:val="22184DB8"/>
    <w:rsid w:val="22222361"/>
    <w:rsid w:val="2222327E"/>
    <w:rsid w:val="22266736"/>
    <w:rsid w:val="22397F77"/>
    <w:rsid w:val="223A3B07"/>
    <w:rsid w:val="22435A72"/>
    <w:rsid w:val="22563B27"/>
    <w:rsid w:val="226362F8"/>
    <w:rsid w:val="22697A20"/>
    <w:rsid w:val="22947F00"/>
    <w:rsid w:val="22963280"/>
    <w:rsid w:val="229C49AB"/>
    <w:rsid w:val="229C7D4E"/>
    <w:rsid w:val="229F3E15"/>
    <w:rsid w:val="22B0309F"/>
    <w:rsid w:val="22B0441C"/>
    <w:rsid w:val="22B42E9E"/>
    <w:rsid w:val="22B4345C"/>
    <w:rsid w:val="22B83694"/>
    <w:rsid w:val="22C017C3"/>
    <w:rsid w:val="22C43568"/>
    <w:rsid w:val="22C7749D"/>
    <w:rsid w:val="22D80BAC"/>
    <w:rsid w:val="22D913D2"/>
    <w:rsid w:val="22E06B8C"/>
    <w:rsid w:val="22E2333B"/>
    <w:rsid w:val="22EB04C4"/>
    <w:rsid w:val="22ED2CEB"/>
    <w:rsid w:val="22EE399C"/>
    <w:rsid w:val="22F30502"/>
    <w:rsid w:val="22FB64DC"/>
    <w:rsid w:val="230C5744"/>
    <w:rsid w:val="231826EC"/>
    <w:rsid w:val="232319AA"/>
    <w:rsid w:val="23254E7B"/>
    <w:rsid w:val="232C32FB"/>
    <w:rsid w:val="23312827"/>
    <w:rsid w:val="234A4F33"/>
    <w:rsid w:val="234D05DC"/>
    <w:rsid w:val="234D0E93"/>
    <w:rsid w:val="235637C8"/>
    <w:rsid w:val="235C6BCA"/>
    <w:rsid w:val="23616B18"/>
    <w:rsid w:val="236925BA"/>
    <w:rsid w:val="2394194A"/>
    <w:rsid w:val="2399778C"/>
    <w:rsid w:val="23A93C18"/>
    <w:rsid w:val="23AE5AF2"/>
    <w:rsid w:val="23B61AA3"/>
    <w:rsid w:val="23B94494"/>
    <w:rsid w:val="23BA3D3F"/>
    <w:rsid w:val="23E929C0"/>
    <w:rsid w:val="23F8162A"/>
    <w:rsid w:val="23F8411F"/>
    <w:rsid w:val="23F938F1"/>
    <w:rsid w:val="2400415F"/>
    <w:rsid w:val="241D07DE"/>
    <w:rsid w:val="242A7F4B"/>
    <w:rsid w:val="242F1CD7"/>
    <w:rsid w:val="243D548E"/>
    <w:rsid w:val="24421643"/>
    <w:rsid w:val="24495283"/>
    <w:rsid w:val="244D7999"/>
    <w:rsid w:val="245C23C2"/>
    <w:rsid w:val="246A7C4F"/>
    <w:rsid w:val="247D3BF7"/>
    <w:rsid w:val="249C52C7"/>
    <w:rsid w:val="249F08FB"/>
    <w:rsid w:val="24B065F2"/>
    <w:rsid w:val="24B35FE5"/>
    <w:rsid w:val="24C146AD"/>
    <w:rsid w:val="24C9591C"/>
    <w:rsid w:val="24CB5EAE"/>
    <w:rsid w:val="24CB6344"/>
    <w:rsid w:val="24E82A9F"/>
    <w:rsid w:val="24E91CD2"/>
    <w:rsid w:val="24F365BE"/>
    <w:rsid w:val="250220CB"/>
    <w:rsid w:val="250948E4"/>
    <w:rsid w:val="250A0607"/>
    <w:rsid w:val="252E4F5E"/>
    <w:rsid w:val="253E1C37"/>
    <w:rsid w:val="254072F9"/>
    <w:rsid w:val="254508EF"/>
    <w:rsid w:val="25595F06"/>
    <w:rsid w:val="256F0D79"/>
    <w:rsid w:val="257714DC"/>
    <w:rsid w:val="25785E98"/>
    <w:rsid w:val="257E1E6A"/>
    <w:rsid w:val="25823B9B"/>
    <w:rsid w:val="259979FB"/>
    <w:rsid w:val="25A15DCD"/>
    <w:rsid w:val="25A33FD1"/>
    <w:rsid w:val="25A44594"/>
    <w:rsid w:val="25A9033D"/>
    <w:rsid w:val="25B77212"/>
    <w:rsid w:val="25C71FDA"/>
    <w:rsid w:val="25CB5267"/>
    <w:rsid w:val="25CE21BA"/>
    <w:rsid w:val="25CF4D94"/>
    <w:rsid w:val="25DB759D"/>
    <w:rsid w:val="25E46341"/>
    <w:rsid w:val="25FC2366"/>
    <w:rsid w:val="262F503C"/>
    <w:rsid w:val="26387063"/>
    <w:rsid w:val="263E5EB7"/>
    <w:rsid w:val="2644195E"/>
    <w:rsid w:val="264A11C8"/>
    <w:rsid w:val="264C67FF"/>
    <w:rsid w:val="264F3544"/>
    <w:rsid w:val="266247BF"/>
    <w:rsid w:val="266F25EC"/>
    <w:rsid w:val="26723E21"/>
    <w:rsid w:val="267449F5"/>
    <w:rsid w:val="26774F0D"/>
    <w:rsid w:val="26862D9D"/>
    <w:rsid w:val="268A3A54"/>
    <w:rsid w:val="268C38B8"/>
    <w:rsid w:val="268C6D96"/>
    <w:rsid w:val="268F7ED2"/>
    <w:rsid w:val="26973341"/>
    <w:rsid w:val="269C2E6D"/>
    <w:rsid w:val="26AC1434"/>
    <w:rsid w:val="26B15127"/>
    <w:rsid w:val="26C66BFF"/>
    <w:rsid w:val="26DB59DC"/>
    <w:rsid w:val="26DC4090"/>
    <w:rsid w:val="26DF14FD"/>
    <w:rsid w:val="26E7356F"/>
    <w:rsid w:val="26EA0EB9"/>
    <w:rsid w:val="26EB7257"/>
    <w:rsid w:val="2704747E"/>
    <w:rsid w:val="2710065B"/>
    <w:rsid w:val="27121DFC"/>
    <w:rsid w:val="2729511E"/>
    <w:rsid w:val="273C3B82"/>
    <w:rsid w:val="273C62DC"/>
    <w:rsid w:val="273D1CC8"/>
    <w:rsid w:val="274C144A"/>
    <w:rsid w:val="27630692"/>
    <w:rsid w:val="276C3368"/>
    <w:rsid w:val="27814665"/>
    <w:rsid w:val="278F03AD"/>
    <w:rsid w:val="2795142A"/>
    <w:rsid w:val="27A12657"/>
    <w:rsid w:val="27A60918"/>
    <w:rsid w:val="27B84953"/>
    <w:rsid w:val="27BB0EB1"/>
    <w:rsid w:val="27BC7C24"/>
    <w:rsid w:val="27C15FD6"/>
    <w:rsid w:val="27C2359D"/>
    <w:rsid w:val="27CD47BF"/>
    <w:rsid w:val="27D25DFD"/>
    <w:rsid w:val="27D651A2"/>
    <w:rsid w:val="27DC1252"/>
    <w:rsid w:val="27E415DB"/>
    <w:rsid w:val="27EE55AA"/>
    <w:rsid w:val="27FA2ADB"/>
    <w:rsid w:val="28291251"/>
    <w:rsid w:val="282D6C0E"/>
    <w:rsid w:val="2832071B"/>
    <w:rsid w:val="2838287B"/>
    <w:rsid w:val="284B6673"/>
    <w:rsid w:val="2850065F"/>
    <w:rsid w:val="2851103C"/>
    <w:rsid w:val="2858216D"/>
    <w:rsid w:val="2864327B"/>
    <w:rsid w:val="286577A7"/>
    <w:rsid w:val="28685ABC"/>
    <w:rsid w:val="28797247"/>
    <w:rsid w:val="28825E78"/>
    <w:rsid w:val="288777E7"/>
    <w:rsid w:val="28886A8C"/>
    <w:rsid w:val="289356A0"/>
    <w:rsid w:val="2894683E"/>
    <w:rsid w:val="289659D3"/>
    <w:rsid w:val="28993516"/>
    <w:rsid w:val="289F53BD"/>
    <w:rsid w:val="28A033E4"/>
    <w:rsid w:val="28A05BA6"/>
    <w:rsid w:val="28A737DB"/>
    <w:rsid w:val="28A9241A"/>
    <w:rsid w:val="28AF0604"/>
    <w:rsid w:val="28B20EEE"/>
    <w:rsid w:val="28B50DA2"/>
    <w:rsid w:val="28B5751F"/>
    <w:rsid w:val="28BC4622"/>
    <w:rsid w:val="28C12546"/>
    <w:rsid w:val="28C51BDA"/>
    <w:rsid w:val="28CB1AFF"/>
    <w:rsid w:val="28D63020"/>
    <w:rsid w:val="28D923C5"/>
    <w:rsid w:val="28E077A5"/>
    <w:rsid w:val="28E103D5"/>
    <w:rsid w:val="28EE57FE"/>
    <w:rsid w:val="28F24932"/>
    <w:rsid w:val="28FD6415"/>
    <w:rsid w:val="29210795"/>
    <w:rsid w:val="29303B10"/>
    <w:rsid w:val="2932092C"/>
    <w:rsid w:val="294A3141"/>
    <w:rsid w:val="29512591"/>
    <w:rsid w:val="295C7296"/>
    <w:rsid w:val="29600A3F"/>
    <w:rsid w:val="296626EE"/>
    <w:rsid w:val="29691478"/>
    <w:rsid w:val="29783E7F"/>
    <w:rsid w:val="29814220"/>
    <w:rsid w:val="29866183"/>
    <w:rsid w:val="2992125E"/>
    <w:rsid w:val="29A31C75"/>
    <w:rsid w:val="29A60404"/>
    <w:rsid w:val="29AA4DCD"/>
    <w:rsid w:val="29B26E5E"/>
    <w:rsid w:val="29B57FFC"/>
    <w:rsid w:val="29B8646B"/>
    <w:rsid w:val="29BA5280"/>
    <w:rsid w:val="29C17963"/>
    <w:rsid w:val="29C90E1C"/>
    <w:rsid w:val="29D001E1"/>
    <w:rsid w:val="29D76319"/>
    <w:rsid w:val="29E24A48"/>
    <w:rsid w:val="29E45D7C"/>
    <w:rsid w:val="29E837E7"/>
    <w:rsid w:val="29F04278"/>
    <w:rsid w:val="29F96009"/>
    <w:rsid w:val="29FD3BC2"/>
    <w:rsid w:val="2A014862"/>
    <w:rsid w:val="2A02410F"/>
    <w:rsid w:val="2A0961B0"/>
    <w:rsid w:val="2A162A28"/>
    <w:rsid w:val="2A19773F"/>
    <w:rsid w:val="2A1D1D36"/>
    <w:rsid w:val="2A212424"/>
    <w:rsid w:val="2A2314BA"/>
    <w:rsid w:val="2A231646"/>
    <w:rsid w:val="2A356225"/>
    <w:rsid w:val="2A3D494D"/>
    <w:rsid w:val="2A401C01"/>
    <w:rsid w:val="2A406F25"/>
    <w:rsid w:val="2A4C1ACF"/>
    <w:rsid w:val="2A4D1F76"/>
    <w:rsid w:val="2A5457AF"/>
    <w:rsid w:val="2A5E3D39"/>
    <w:rsid w:val="2A600853"/>
    <w:rsid w:val="2A6C5706"/>
    <w:rsid w:val="2A714E05"/>
    <w:rsid w:val="2A735D0F"/>
    <w:rsid w:val="2A8076DD"/>
    <w:rsid w:val="2A825249"/>
    <w:rsid w:val="2A8D0646"/>
    <w:rsid w:val="2A922886"/>
    <w:rsid w:val="2A926E3C"/>
    <w:rsid w:val="2A9C36EE"/>
    <w:rsid w:val="2A9F299C"/>
    <w:rsid w:val="2AA111B4"/>
    <w:rsid w:val="2AA82C7B"/>
    <w:rsid w:val="2AB179CF"/>
    <w:rsid w:val="2AD153DE"/>
    <w:rsid w:val="2AD54F2E"/>
    <w:rsid w:val="2AD96D51"/>
    <w:rsid w:val="2ADC1583"/>
    <w:rsid w:val="2AE32BCB"/>
    <w:rsid w:val="2AE47E03"/>
    <w:rsid w:val="2AED0A3F"/>
    <w:rsid w:val="2AED67C8"/>
    <w:rsid w:val="2AF753CD"/>
    <w:rsid w:val="2AFC278E"/>
    <w:rsid w:val="2AFE1FA0"/>
    <w:rsid w:val="2B007E18"/>
    <w:rsid w:val="2B044872"/>
    <w:rsid w:val="2B0817CB"/>
    <w:rsid w:val="2B27444F"/>
    <w:rsid w:val="2B2D001B"/>
    <w:rsid w:val="2B473027"/>
    <w:rsid w:val="2B4E5FA2"/>
    <w:rsid w:val="2B587904"/>
    <w:rsid w:val="2B720CF4"/>
    <w:rsid w:val="2B725B1F"/>
    <w:rsid w:val="2B75552E"/>
    <w:rsid w:val="2B780748"/>
    <w:rsid w:val="2B845F61"/>
    <w:rsid w:val="2B8D69EB"/>
    <w:rsid w:val="2B8E236D"/>
    <w:rsid w:val="2B941DF2"/>
    <w:rsid w:val="2BA43FD1"/>
    <w:rsid w:val="2BB11F76"/>
    <w:rsid w:val="2BBD28F9"/>
    <w:rsid w:val="2BC04A07"/>
    <w:rsid w:val="2BC07A9D"/>
    <w:rsid w:val="2BC32DB5"/>
    <w:rsid w:val="2BC85BEB"/>
    <w:rsid w:val="2BCA0CE3"/>
    <w:rsid w:val="2BE302D5"/>
    <w:rsid w:val="2BF7669D"/>
    <w:rsid w:val="2C01091E"/>
    <w:rsid w:val="2C0174DE"/>
    <w:rsid w:val="2C09374A"/>
    <w:rsid w:val="2C1F02B2"/>
    <w:rsid w:val="2C2C7C26"/>
    <w:rsid w:val="2C312AFD"/>
    <w:rsid w:val="2C326FF0"/>
    <w:rsid w:val="2C4722CF"/>
    <w:rsid w:val="2C4F1051"/>
    <w:rsid w:val="2C525042"/>
    <w:rsid w:val="2C631261"/>
    <w:rsid w:val="2C763499"/>
    <w:rsid w:val="2C7D62A8"/>
    <w:rsid w:val="2C8268F6"/>
    <w:rsid w:val="2C842315"/>
    <w:rsid w:val="2C8631D0"/>
    <w:rsid w:val="2C970A80"/>
    <w:rsid w:val="2C983FF8"/>
    <w:rsid w:val="2C9B42BA"/>
    <w:rsid w:val="2C9E3182"/>
    <w:rsid w:val="2CA574B8"/>
    <w:rsid w:val="2CAF79F1"/>
    <w:rsid w:val="2CB171F3"/>
    <w:rsid w:val="2CB46C0B"/>
    <w:rsid w:val="2CC54F8D"/>
    <w:rsid w:val="2CE73BCE"/>
    <w:rsid w:val="2CF65981"/>
    <w:rsid w:val="2CFD4753"/>
    <w:rsid w:val="2D0776EC"/>
    <w:rsid w:val="2D0C3673"/>
    <w:rsid w:val="2D0F1160"/>
    <w:rsid w:val="2D10136A"/>
    <w:rsid w:val="2D1D084A"/>
    <w:rsid w:val="2D1F3ACD"/>
    <w:rsid w:val="2D212193"/>
    <w:rsid w:val="2D36305F"/>
    <w:rsid w:val="2D5A0349"/>
    <w:rsid w:val="2D5F219A"/>
    <w:rsid w:val="2D7231E0"/>
    <w:rsid w:val="2D8F4C2D"/>
    <w:rsid w:val="2D944EAA"/>
    <w:rsid w:val="2DA42C07"/>
    <w:rsid w:val="2DB77ECA"/>
    <w:rsid w:val="2DCA020A"/>
    <w:rsid w:val="2DCA6AC7"/>
    <w:rsid w:val="2DD73CF8"/>
    <w:rsid w:val="2DD7532A"/>
    <w:rsid w:val="2DDD0AD0"/>
    <w:rsid w:val="2DE46023"/>
    <w:rsid w:val="2DF11FFD"/>
    <w:rsid w:val="2DF1216C"/>
    <w:rsid w:val="2DF439B8"/>
    <w:rsid w:val="2E030BF2"/>
    <w:rsid w:val="2E0410EB"/>
    <w:rsid w:val="2E1911F1"/>
    <w:rsid w:val="2E1A135C"/>
    <w:rsid w:val="2E1D33E7"/>
    <w:rsid w:val="2E224E44"/>
    <w:rsid w:val="2E390D39"/>
    <w:rsid w:val="2E3C13C5"/>
    <w:rsid w:val="2E4102CC"/>
    <w:rsid w:val="2E4876D8"/>
    <w:rsid w:val="2E4B79A5"/>
    <w:rsid w:val="2E5B05F7"/>
    <w:rsid w:val="2E60618E"/>
    <w:rsid w:val="2E6244CB"/>
    <w:rsid w:val="2E677B08"/>
    <w:rsid w:val="2E6B0C57"/>
    <w:rsid w:val="2E6E7A47"/>
    <w:rsid w:val="2E6F0919"/>
    <w:rsid w:val="2E7B43B7"/>
    <w:rsid w:val="2EA64500"/>
    <w:rsid w:val="2EB568F4"/>
    <w:rsid w:val="2EB5746A"/>
    <w:rsid w:val="2EBC5630"/>
    <w:rsid w:val="2EC06674"/>
    <w:rsid w:val="2EC9394B"/>
    <w:rsid w:val="2ECC017A"/>
    <w:rsid w:val="2EDB5428"/>
    <w:rsid w:val="2EE313D3"/>
    <w:rsid w:val="2EE55CA8"/>
    <w:rsid w:val="2EFA4D7A"/>
    <w:rsid w:val="2F272D3F"/>
    <w:rsid w:val="2F2C07B3"/>
    <w:rsid w:val="2F313790"/>
    <w:rsid w:val="2F334A13"/>
    <w:rsid w:val="2F366076"/>
    <w:rsid w:val="2F431036"/>
    <w:rsid w:val="2F484FB5"/>
    <w:rsid w:val="2F561AA7"/>
    <w:rsid w:val="2F605320"/>
    <w:rsid w:val="2F761997"/>
    <w:rsid w:val="2F985C24"/>
    <w:rsid w:val="2FA15F20"/>
    <w:rsid w:val="2FA3146D"/>
    <w:rsid w:val="2FB7288B"/>
    <w:rsid w:val="2FC149F1"/>
    <w:rsid w:val="2FC91507"/>
    <w:rsid w:val="2FCF02C4"/>
    <w:rsid w:val="2FD3094A"/>
    <w:rsid w:val="2FDD3298"/>
    <w:rsid w:val="2FE2395D"/>
    <w:rsid w:val="2FF07386"/>
    <w:rsid w:val="2FF6355B"/>
    <w:rsid w:val="3002545D"/>
    <w:rsid w:val="30055866"/>
    <w:rsid w:val="300E3868"/>
    <w:rsid w:val="30145468"/>
    <w:rsid w:val="301D68DA"/>
    <w:rsid w:val="30281554"/>
    <w:rsid w:val="30334766"/>
    <w:rsid w:val="30350778"/>
    <w:rsid w:val="30364370"/>
    <w:rsid w:val="30404F4E"/>
    <w:rsid w:val="304148E2"/>
    <w:rsid w:val="304B0D21"/>
    <w:rsid w:val="3050794A"/>
    <w:rsid w:val="305D61C1"/>
    <w:rsid w:val="305F752B"/>
    <w:rsid w:val="30604BF3"/>
    <w:rsid w:val="306072AD"/>
    <w:rsid w:val="306660CE"/>
    <w:rsid w:val="30672CED"/>
    <w:rsid w:val="306C0A88"/>
    <w:rsid w:val="306E11E7"/>
    <w:rsid w:val="307A4F2A"/>
    <w:rsid w:val="307B6793"/>
    <w:rsid w:val="3081473A"/>
    <w:rsid w:val="30884E86"/>
    <w:rsid w:val="309B0401"/>
    <w:rsid w:val="309C7CE8"/>
    <w:rsid w:val="30A75FD2"/>
    <w:rsid w:val="30B272B1"/>
    <w:rsid w:val="30C3455D"/>
    <w:rsid w:val="30DE72BF"/>
    <w:rsid w:val="30E134EE"/>
    <w:rsid w:val="30F2320C"/>
    <w:rsid w:val="31006F01"/>
    <w:rsid w:val="31025966"/>
    <w:rsid w:val="310C0C74"/>
    <w:rsid w:val="31211D28"/>
    <w:rsid w:val="31226168"/>
    <w:rsid w:val="31403A98"/>
    <w:rsid w:val="314201FA"/>
    <w:rsid w:val="314738D4"/>
    <w:rsid w:val="314775BB"/>
    <w:rsid w:val="31545DCF"/>
    <w:rsid w:val="31557C54"/>
    <w:rsid w:val="315901DC"/>
    <w:rsid w:val="315F1FAD"/>
    <w:rsid w:val="31694572"/>
    <w:rsid w:val="317F1A9B"/>
    <w:rsid w:val="3193659E"/>
    <w:rsid w:val="31A46252"/>
    <w:rsid w:val="31A70615"/>
    <w:rsid w:val="31AE56EC"/>
    <w:rsid w:val="31B07757"/>
    <w:rsid w:val="31D13921"/>
    <w:rsid w:val="31DA2FAB"/>
    <w:rsid w:val="31DF4E0E"/>
    <w:rsid w:val="31E73EFE"/>
    <w:rsid w:val="31F415ED"/>
    <w:rsid w:val="32124E65"/>
    <w:rsid w:val="321975ED"/>
    <w:rsid w:val="321A772E"/>
    <w:rsid w:val="321C5AFF"/>
    <w:rsid w:val="321D1A7E"/>
    <w:rsid w:val="322E4E59"/>
    <w:rsid w:val="32311F4E"/>
    <w:rsid w:val="324E27DA"/>
    <w:rsid w:val="32740C18"/>
    <w:rsid w:val="327537CF"/>
    <w:rsid w:val="32786570"/>
    <w:rsid w:val="32A4395F"/>
    <w:rsid w:val="32AB5EF4"/>
    <w:rsid w:val="32AE247A"/>
    <w:rsid w:val="32B20E3E"/>
    <w:rsid w:val="32B50D3D"/>
    <w:rsid w:val="32B96A8A"/>
    <w:rsid w:val="32BF1659"/>
    <w:rsid w:val="32BF314E"/>
    <w:rsid w:val="32C013BC"/>
    <w:rsid w:val="32E72853"/>
    <w:rsid w:val="32EC6CA0"/>
    <w:rsid w:val="32FD35AC"/>
    <w:rsid w:val="33100395"/>
    <w:rsid w:val="33121D46"/>
    <w:rsid w:val="332144AC"/>
    <w:rsid w:val="3322723F"/>
    <w:rsid w:val="334F735E"/>
    <w:rsid w:val="33526CB3"/>
    <w:rsid w:val="33613FD8"/>
    <w:rsid w:val="3362607F"/>
    <w:rsid w:val="336F30AE"/>
    <w:rsid w:val="337A1C31"/>
    <w:rsid w:val="33816306"/>
    <w:rsid w:val="33817130"/>
    <w:rsid w:val="33835477"/>
    <w:rsid w:val="33884BBF"/>
    <w:rsid w:val="338B4B99"/>
    <w:rsid w:val="338F2B13"/>
    <w:rsid w:val="33990CA5"/>
    <w:rsid w:val="339A6000"/>
    <w:rsid w:val="339C5244"/>
    <w:rsid w:val="33A10F86"/>
    <w:rsid w:val="33B2196E"/>
    <w:rsid w:val="33C31A1A"/>
    <w:rsid w:val="33C97413"/>
    <w:rsid w:val="33CA715A"/>
    <w:rsid w:val="33CB20E5"/>
    <w:rsid w:val="33CC4A85"/>
    <w:rsid w:val="33D03727"/>
    <w:rsid w:val="33D468FB"/>
    <w:rsid w:val="33E13252"/>
    <w:rsid w:val="33E84979"/>
    <w:rsid w:val="33EA29F1"/>
    <w:rsid w:val="33F33059"/>
    <w:rsid w:val="33F50291"/>
    <w:rsid w:val="33F80EB7"/>
    <w:rsid w:val="34027C48"/>
    <w:rsid w:val="341030EC"/>
    <w:rsid w:val="34171C31"/>
    <w:rsid w:val="3431726E"/>
    <w:rsid w:val="34395227"/>
    <w:rsid w:val="34413248"/>
    <w:rsid w:val="34474D82"/>
    <w:rsid w:val="34490581"/>
    <w:rsid w:val="345914C3"/>
    <w:rsid w:val="345B083B"/>
    <w:rsid w:val="345F7D5C"/>
    <w:rsid w:val="34612E70"/>
    <w:rsid w:val="34690C7F"/>
    <w:rsid w:val="346F7B5C"/>
    <w:rsid w:val="34783B31"/>
    <w:rsid w:val="347D0352"/>
    <w:rsid w:val="348A6279"/>
    <w:rsid w:val="34947FFB"/>
    <w:rsid w:val="34993629"/>
    <w:rsid w:val="34A319C2"/>
    <w:rsid w:val="34A57543"/>
    <w:rsid w:val="34A80AF0"/>
    <w:rsid w:val="34AF02A1"/>
    <w:rsid w:val="34AF5EF3"/>
    <w:rsid w:val="34B378D0"/>
    <w:rsid w:val="34B55C49"/>
    <w:rsid w:val="34BC3507"/>
    <w:rsid w:val="34BF618A"/>
    <w:rsid w:val="34BF6E9F"/>
    <w:rsid w:val="34C71ACB"/>
    <w:rsid w:val="34CA1241"/>
    <w:rsid w:val="34D214E5"/>
    <w:rsid w:val="34D672AD"/>
    <w:rsid w:val="34E348F0"/>
    <w:rsid w:val="34EF55B3"/>
    <w:rsid w:val="34F03B1C"/>
    <w:rsid w:val="34F04F5E"/>
    <w:rsid w:val="34F75EB2"/>
    <w:rsid w:val="34FD35EA"/>
    <w:rsid w:val="350C2BCA"/>
    <w:rsid w:val="35140648"/>
    <w:rsid w:val="35192639"/>
    <w:rsid w:val="351B1C42"/>
    <w:rsid w:val="352A5665"/>
    <w:rsid w:val="35320EE2"/>
    <w:rsid w:val="3532309D"/>
    <w:rsid w:val="354C77EE"/>
    <w:rsid w:val="354D014D"/>
    <w:rsid w:val="354F0F58"/>
    <w:rsid w:val="35587DFE"/>
    <w:rsid w:val="35605607"/>
    <w:rsid w:val="35651C1F"/>
    <w:rsid w:val="356D7F95"/>
    <w:rsid w:val="356E3FAE"/>
    <w:rsid w:val="35700F00"/>
    <w:rsid w:val="3574319D"/>
    <w:rsid w:val="35781846"/>
    <w:rsid w:val="3588054C"/>
    <w:rsid w:val="358F2E9E"/>
    <w:rsid w:val="35A97A1B"/>
    <w:rsid w:val="35B25C2D"/>
    <w:rsid w:val="35B9332B"/>
    <w:rsid w:val="35B93A39"/>
    <w:rsid w:val="35E846AB"/>
    <w:rsid w:val="35F34EED"/>
    <w:rsid w:val="35FC3A5A"/>
    <w:rsid w:val="35FD5757"/>
    <w:rsid w:val="36092355"/>
    <w:rsid w:val="360C32D0"/>
    <w:rsid w:val="360D7A29"/>
    <w:rsid w:val="360E449F"/>
    <w:rsid w:val="361E2EA4"/>
    <w:rsid w:val="36202623"/>
    <w:rsid w:val="36391F18"/>
    <w:rsid w:val="364676ED"/>
    <w:rsid w:val="36492BBC"/>
    <w:rsid w:val="365D7682"/>
    <w:rsid w:val="3666159A"/>
    <w:rsid w:val="36706DB4"/>
    <w:rsid w:val="36733068"/>
    <w:rsid w:val="36747565"/>
    <w:rsid w:val="367E1FCC"/>
    <w:rsid w:val="367E4AAC"/>
    <w:rsid w:val="36837CF1"/>
    <w:rsid w:val="36873D1B"/>
    <w:rsid w:val="368D238A"/>
    <w:rsid w:val="36A81300"/>
    <w:rsid w:val="36B357CC"/>
    <w:rsid w:val="36BA3894"/>
    <w:rsid w:val="36BD1A95"/>
    <w:rsid w:val="36C804C2"/>
    <w:rsid w:val="36CE5723"/>
    <w:rsid w:val="36D3584B"/>
    <w:rsid w:val="36EC795C"/>
    <w:rsid w:val="36F631DB"/>
    <w:rsid w:val="36F73204"/>
    <w:rsid w:val="37046A93"/>
    <w:rsid w:val="37086EC3"/>
    <w:rsid w:val="37087EA9"/>
    <w:rsid w:val="370E2347"/>
    <w:rsid w:val="3725239E"/>
    <w:rsid w:val="373A6168"/>
    <w:rsid w:val="37437D3A"/>
    <w:rsid w:val="374C2060"/>
    <w:rsid w:val="375012C7"/>
    <w:rsid w:val="37525602"/>
    <w:rsid w:val="375A02D5"/>
    <w:rsid w:val="376442A3"/>
    <w:rsid w:val="376F3CAE"/>
    <w:rsid w:val="376F5652"/>
    <w:rsid w:val="377436AA"/>
    <w:rsid w:val="37764F44"/>
    <w:rsid w:val="377D0C08"/>
    <w:rsid w:val="377D7817"/>
    <w:rsid w:val="37927BFF"/>
    <w:rsid w:val="37957116"/>
    <w:rsid w:val="3796354C"/>
    <w:rsid w:val="37A62A35"/>
    <w:rsid w:val="37A80C26"/>
    <w:rsid w:val="37BE09B1"/>
    <w:rsid w:val="37C74F60"/>
    <w:rsid w:val="37D12B93"/>
    <w:rsid w:val="37DF7F73"/>
    <w:rsid w:val="37E361CC"/>
    <w:rsid w:val="37E46BB3"/>
    <w:rsid w:val="37F165EE"/>
    <w:rsid w:val="37F4419E"/>
    <w:rsid w:val="37F67164"/>
    <w:rsid w:val="37F93995"/>
    <w:rsid w:val="3800759E"/>
    <w:rsid w:val="380935D7"/>
    <w:rsid w:val="38215D1C"/>
    <w:rsid w:val="38216EFD"/>
    <w:rsid w:val="382A0A33"/>
    <w:rsid w:val="383212CE"/>
    <w:rsid w:val="38486AF2"/>
    <w:rsid w:val="384E31DC"/>
    <w:rsid w:val="38507ED4"/>
    <w:rsid w:val="38553063"/>
    <w:rsid w:val="385A1016"/>
    <w:rsid w:val="38623A11"/>
    <w:rsid w:val="386559A7"/>
    <w:rsid w:val="387920FE"/>
    <w:rsid w:val="38816EE6"/>
    <w:rsid w:val="388D0A75"/>
    <w:rsid w:val="389B4D70"/>
    <w:rsid w:val="38B67DFB"/>
    <w:rsid w:val="38B86E89"/>
    <w:rsid w:val="38B959F5"/>
    <w:rsid w:val="38BC51D3"/>
    <w:rsid w:val="38BE0C1D"/>
    <w:rsid w:val="38C17AD4"/>
    <w:rsid w:val="38C200A2"/>
    <w:rsid w:val="38C26285"/>
    <w:rsid w:val="38C57152"/>
    <w:rsid w:val="38D47B05"/>
    <w:rsid w:val="38D615DC"/>
    <w:rsid w:val="38F10F34"/>
    <w:rsid w:val="390B1291"/>
    <w:rsid w:val="391111BD"/>
    <w:rsid w:val="39144F54"/>
    <w:rsid w:val="39171D3E"/>
    <w:rsid w:val="39191D5E"/>
    <w:rsid w:val="391D123F"/>
    <w:rsid w:val="39314695"/>
    <w:rsid w:val="395812E1"/>
    <w:rsid w:val="395C628D"/>
    <w:rsid w:val="395D299C"/>
    <w:rsid w:val="3964334E"/>
    <w:rsid w:val="397A54D3"/>
    <w:rsid w:val="397C7747"/>
    <w:rsid w:val="397F37F5"/>
    <w:rsid w:val="397F6242"/>
    <w:rsid w:val="39824992"/>
    <w:rsid w:val="39873EA7"/>
    <w:rsid w:val="398F081F"/>
    <w:rsid w:val="39943021"/>
    <w:rsid w:val="39952241"/>
    <w:rsid w:val="39953DE4"/>
    <w:rsid w:val="39975BB8"/>
    <w:rsid w:val="399C0364"/>
    <w:rsid w:val="39AE1098"/>
    <w:rsid w:val="39B73506"/>
    <w:rsid w:val="39CE119C"/>
    <w:rsid w:val="39D5787F"/>
    <w:rsid w:val="39E201B2"/>
    <w:rsid w:val="39F80790"/>
    <w:rsid w:val="39F970A6"/>
    <w:rsid w:val="3A011695"/>
    <w:rsid w:val="3A013B90"/>
    <w:rsid w:val="3A0563A1"/>
    <w:rsid w:val="3A086452"/>
    <w:rsid w:val="3A0A3F39"/>
    <w:rsid w:val="3A0E4C49"/>
    <w:rsid w:val="3A201A45"/>
    <w:rsid w:val="3A2308B9"/>
    <w:rsid w:val="3A2356EF"/>
    <w:rsid w:val="3A273340"/>
    <w:rsid w:val="3A3248B4"/>
    <w:rsid w:val="3A3C799C"/>
    <w:rsid w:val="3A432B86"/>
    <w:rsid w:val="3A483146"/>
    <w:rsid w:val="3A4C5C06"/>
    <w:rsid w:val="3A5A2385"/>
    <w:rsid w:val="3A7518A6"/>
    <w:rsid w:val="3A823A0E"/>
    <w:rsid w:val="3A8655B8"/>
    <w:rsid w:val="3A8B0885"/>
    <w:rsid w:val="3A8B490F"/>
    <w:rsid w:val="3A8D1A8F"/>
    <w:rsid w:val="3A8D4550"/>
    <w:rsid w:val="3A977D2B"/>
    <w:rsid w:val="3A9914A2"/>
    <w:rsid w:val="3ABE7E01"/>
    <w:rsid w:val="3ABF3650"/>
    <w:rsid w:val="3AC13399"/>
    <w:rsid w:val="3ADB3B86"/>
    <w:rsid w:val="3ADD05F7"/>
    <w:rsid w:val="3AE21C75"/>
    <w:rsid w:val="3AE65734"/>
    <w:rsid w:val="3AF1713E"/>
    <w:rsid w:val="3AFB065E"/>
    <w:rsid w:val="3B07029B"/>
    <w:rsid w:val="3B12077D"/>
    <w:rsid w:val="3B1221E2"/>
    <w:rsid w:val="3B163810"/>
    <w:rsid w:val="3B173BEA"/>
    <w:rsid w:val="3B226BC3"/>
    <w:rsid w:val="3B256493"/>
    <w:rsid w:val="3B2B3784"/>
    <w:rsid w:val="3B322D90"/>
    <w:rsid w:val="3B381BF8"/>
    <w:rsid w:val="3B3E3FE3"/>
    <w:rsid w:val="3B4367AF"/>
    <w:rsid w:val="3B4A30C1"/>
    <w:rsid w:val="3B5609E9"/>
    <w:rsid w:val="3B5A2C17"/>
    <w:rsid w:val="3B617B91"/>
    <w:rsid w:val="3B637EC4"/>
    <w:rsid w:val="3B6C6FB4"/>
    <w:rsid w:val="3B714A7A"/>
    <w:rsid w:val="3B831C68"/>
    <w:rsid w:val="3B88636F"/>
    <w:rsid w:val="3B8F2CF0"/>
    <w:rsid w:val="3B9B4192"/>
    <w:rsid w:val="3BA031D2"/>
    <w:rsid w:val="3BA07830"/>
    <w:rsid w:val="3BB01A4C"/>
    <w:rsid w:val="3BB332BF"/>
    <w:rsid w:val="3BCD4CA0"/>
    <w:rsid w:val="3BEA58A3"/>
    <w:rsid w:val="3BEE0056"/>
    <w:rsid w:val="3BF3065C"/>
    <w:rsid w:val="3BF51CFC"/>
    <w:rsid w:val="3BFB6C96"/>
    <w:rsid w:val="3BFC7544"/>
    <w:rsid w:val="3C003FE6"/>
    <w:rsid w:val="3C015EA2"/>
    <w:rsid w:val="3C0D6313"/>
    <w:rsid w:val="3C180BB1"/>
    <w:rsid w:val="3C1D758F"/>
    <w:rsid w:val="3C2A1EFC"/>
    <w:rsid w:val="3C2C6FFE"/>
    <w:rsid w:val="3C35305B"/>
    <w:rsid w:val="3C570D55"/>
    <w:rsid w:val="3C587B24"/>
    <w:rsid w:val="3C5A57B4"/>
    <w:rsid w:val="3C660704"/>
    <w:rsid w:val="3C681149"/>
    <w:rsid w:val="3C7E3D23"/>
    <w:rsid w:val="3C901337"/>
    <w:rsid w:val="3C95060C"/>
    <w:rsid w:val="3CA30E75"/>
    <w:rsid w:val="3CA55D83"/>
    <w:rsid w:val="3CA7389B"/>
    <w:rsid w:val="3CB42A40"/>
    <w:rsid w:val="3CBA17B1"/>
    <w:rsid w:val="3CBE2754"/>
    <w:rsid w:val="3CC656E6"/>
    <w:rsid w:val="3CC666F0"/>
    <w:rsid w:val="3CC72C54"/>
    <w:rsid w:val="3CD10036"/>
    <w:rsid w:val="3CF95746"/>
    <w:rsid w:val="3CFB2484"/>
    <w:rsid w:val="3D005B70"/>
    <w:rsid w:val="3D084BE3"/>
    <w:rsid w:val="3D160B10"/>
    <w:rsid w:val="3D20212D"/>
    <w:rsid w:val="3D2B5DB9"/>
    <w:rsid w:val="3D2C5514"/>
    <w:rsid w:val="3D2F19FF"/>
    <w:rsid w:val="3D43374E"/>
    <w:rsid w:val="3D466FC1"/>
    <w:rsid w:val="3D557E53"/>
    <w:rsid w:val="3D581EB2"/>
    <w:rsid w:val="3D626E28"/>
    <w:rsid w:val="3D845BE5"/>
    <w:rsid w:val="3D8B7178"/>
    <w:rsid w:val="3D95446E"/>
    <w:rsid w:val="3DA5594C"/>
    <w:rsid w:val="3DAA735A"/>
    <w:rsid w:val="3DB55F1B"/>
    <w:rsid w:val="3DBC2142"/>
    <w:rsid w:val="3DC136FE"/>
    <w:rsid w:val="3DC24E99"/>
    <w:rsid w:val="3DCD17E9"/>
    <w:rsid w:val="3DCE19E2"/>
    <w:rsid w:val="3DCF6D5D"/>
    <w:rsid w:val="3DD6134E"/>
    <w:rsid w:val="3DDE36D4"/>
    <w:rsid w:val="3DE73294"/>
    <w:rsid w:val="3DF476AF"/>
    <w:rsid w:val="3E084CB6"/>
    <w:rsid w:val="3E172953"/>
    <w:rsid w:val="3E196AE3"/>
    <w:rsid w:val="3E484585"/>
    <w:rsid w:val="3E500D16"/>
    <w:rsid w:val="3E534F31"/>
    <w:rsid w:val="3E5B41EF"/>
    <w:rsid w:val="3E60515E"/>
    <w:rsid w:val="3E6567FE"/>
    <w:rsid w:val="3E6A3DB1"/>
    <w:rsid w:val="3E701152"/>
    <w:rsid w:val="3E7C0299"/>
    <w:rsid w:val="3E87392E"/>
    <w:rsid w:val="3E8A3776"/>
    <w:rsid w:val="3E8C7DD5"/>
    <w:rsid w:val="3E901ECA"/>
    <w:rsid w:val="3EAD5E2A"/>
    <w:rsid w:val="3EB029FD"/>
    <w:rsid w:val="3EB050B1"/>
    <w:rsid w:val="3EB50BB7"/>
    <w:rsid w:val="3EB72CA8"/>
    <w:rsid w:val="3EB73628"/>
    <w:rsid w:val="3ECE34D3"/>
    <w:rsid w:val="3ED8368D"/>
    <w:rsid w:val="3ED91EAE"/>
    <w:rsid w:val="3EE03C85"/>
    <w:rsid w:val="3EEA36B6"/>
    <w:rsid w:val="3EEF0631"/>
    <w:rsid w:val="3F002631"/>
    <w:rsid w:val="3F010963"/>
    <w:rsid w:val="3F045F5D"/>
    <w:rsid w:val="3F0E20D9"/>
    <w:rsid w:val="3F17719B"/>
    <w:rsid w:val="3F185C24"/>
    <w:rsid w:val="3F406123"/>
    <w:rsid w:val="3F4169A6"/>
    <w:rsid w:val="3F474356"/>
    <w:rsid w:val="3F47563C"/>
    <w:rsid w:val="3F603DE6"/>
    <w:rsid w:val="3F645766"/>
    <w:rsid w:val="3F6B031A"/>
    <w:rsid w:val="3F715821"/>
    <w:rsid w:val="3F733556"/>
    <w:rsid w:val="3F8B722B"/>
    <w:rsid w:val="3F943BF2"/>
    <w:rsid w:val="3FA4300C"/>
    <w:rsid w:val="3FA51449"/>
    <w:rsid w:val="3FAA746E"/>
    <w:rsid w:val="3FAE4CF9"/>
    <w:rsid w:val="3FAE5D19"/>
    <w:rsid w:val="3FC074F3"/>
    <w:rsid w:val="3FC11742"/>
    <w:rsid w:val="3FC2016E"/>
    <w:rsid w:val="3FC67352"/>
    <w:rsid w:val="3FE07B15"/>
    <w:rsid w:val="3FEC6361"/>
    <w:rsid w:val="3FEE4C00"/>
    <w:rsid w:val="400F6E1A"/>
    <w:rsid w:val="40134DCB"/>
    <w:rsid w:val="401F2128"/>
    <w:rsid w:val="401F63D2"/>
    <w:rsid w:val="40263A76"/>
    <w:rsid w:val="402A48E0"/>
    <w:rsid w:val="402A67CC"/>
    <w:rsid w:val="402A7865"/>
    <w:rsid w:val="403246E3"/>
    <w:rsid w:val="403625B3"/>
    <w:rsid w:val="403B7876"/>
    <w:rsid w:val="404462B8"/>
    <w:rsid w:val="4045710E"/>
    <w:rsid w:val="40461B48"/>
    <w:rsid w:val="40545237"/>
    <w:rsid w:val="405458BB"/>
    <w:rsid w:val="405B1649"/>
    <w:rsid w:val="4071523C"/>
    <w:rsid w:val="40717EDB"/>
    <w:rsid w:val="407274BD"/>
    <w:rsid w:val="407778A2"/>
    <w:rsid w:val="40860DCA"/>
    <w:rsid w:val="40A356D1"/>
    <w:rsid w:val="40A65ADB"/>
    <w:rsid w:val="40BA2165"/>
    <w:rsid w:val="40C35B96"/>
    <w:rsid w:val="40D27AF3"/>
    <w:rsid w:val="40D9351E"/>
    <w:rsid w:val="40DA7A19"/>
    <w:rsid w:val="40DD4B86"/>
    <w:rsid w:val="40DF4F23"/>
    <w:rsid w:val="40EE6A1A"/>
    <w:rsid w:val="40F73B87"/>
    <w:rsid w:val="40F95C76"/>
    <w:rsid w:val="40FB4B98"/>
    <w:rsid w:val="410237BA"/>
    <w:rsid w:val="4103443C"/>
    <w:rsid w:val="41107BEF"/>
    <w:rsid w:val="411D7679"/>
    <w:rsid w:val="41367DB2"/>
    <w:rsid w:val="4145352A"/>
    <w:rsid w:val="415916A4"/>
    <w:rsid w:val="415D0299"/>
    <w:rsid w:val="416D42F9"/>
    <w:rsid w:val="41792E5F"/>
    <w:rsid w:val="418C413A"/>
    <w:rsid w:val="418D5A42"/>
    <w:rsid w:val="41AE2C73"/>
    <w:rsid w:val="41B24DCB"/>
    <w:rsid w:val="41C53AEF"/>
    <w:rsid w:val="41C55FD8"/>
    <w:rsid w:val="41CE3503"/>
    <w:rsid w:val="41D02BD4"/>
    <w:rsid w:val="41E23384"/>
    <w:rsid w:val="41E425ED"/>
    <w:rsid w:val="41F55704"/>
    <w:rsid w:val="420146C8"/>
    <w:rsid w:val="420D5BE6"/>
    <w:rsid w:val="420F5EB3"/>
    <w:rsid w:val="42117688"/>
    <w:rsid w:val="421E0AD0"/>
    <w:rsid w:val="42200E17"/>
    <w:rsid w:val="4226363B"/>
    <w:rsid w:val="422A402D"/>
    <w:rsid w:val="42445879"/>
    <w:rsid w:val="424837EE"/>
    <w:rsid w:val="424957B3"/>
    <w:rsid w:val="4256564A"/>
    <w:rsid w:val="4258479E"/>
    <w:rsid w:val="425A2731"/>
    <w:rsid w:val="425E0C69"/>
    <w:rsid w:val="426079BB"/>
    <w:rsid w:val="426500C5"/>
    <w:rsid w:val="42793C5E"/>
    <w:rsid w:val="429530B6"/>
    <w:rsid w:val="429904BB"/>
    <w:rsid w:val="42A462F1"/>
    <w:rsid w:val="42BC0599"/>
    <w:rsid w:val="42CF5FE7"/>
    <w:rsid w:val="42D22AA6"/>
    <w:rsid w:val="42D83E7E"/>
    <w:rsid w:val="42E92573"/>
    <w:rsid w:val="42EF719F"/>
    <w:rsid w:val="42F33DFD"/>
    <w:rsid w:val="42FE0C72"/>
    <w:rsid w:val="43071AFA"/>
    <w:rsid w:val="43155CA8"/>
    <w:rsid w:val="431674D6"/>
    <w:rsid w:val="43175897"/>
    <w:rsid w:val="432221D7"/>
    <w:rsid w:val="432C6BB4"/>
    <w:rsid w:val="434228EF"/>
    <w:rsid w:val="434C04FE"/>
    <w:rsid w:val="434D7B88"/>
    <w:rsid w:val="43630AF6"/>
    <w:rsid w:val="436357F3"/>
    <w:rsid w:val="43736A98"/>
    <w:rsid w:val="43762C3B"/>
    <w:rsid w:val="43883CE3"/>
    <w:rsid w:val="438A6503"/>
    <w:rsid w:val="43A32A1E"/>
    <w:rsid w:val="43A5194F"/>
    <w:rsid w:val="43BE4A6F"/>
    <w:rsid w:val="43C057D6"/>
    <w:rsid w:val="43CC37C2"/>
    <w:rsid w:val="43D204F0"/>
    <w:rsid w:val="440566DC"/>
    <w:rsid w:val="440B040A"/>
    <w:rsid w:val="441E5AA6"/>
    <w:rsid w:val="44236F98"/>
    <w:rsid w:val="4426209A"/>
    <w:rsid w:val="44290B12"/>
    <w:rsid w:val="442B24FC"/>
    <w:rsid w:val="442E1814"/>
    <w:rsid w:val="44316B7A"/>
    <w:rsid w:val="444733D9"/>
    <w:rsid w:val="444D5CF3"/>
    <w:rsid w:val="44597F8A"/>
    <w:rsid w:val="445A7C84"/>
    <w:rsid w:val="44656AD1"/>
    <w:rsid w:val="446C224A"/>
    <w:rsid w:val="446E0079"/>
    <w:rsid w:val="4470616E"/>
    <w:rsid w:val="44882514"/>
    <w:rsid w:val="44904F31"/>
    <w:rsid w:val="44966970"/>
    <w:rsid w:val="449A613E"/>
    <w:rsid w:val="44A54DEF"/>
    <w:rsid w:val="44A972E2"/>
    <w:rsid w:val="44B13D2B"/>
    <w:rsid w:val="44C246B5"/>
    <w:rsid w:val="44D36ABF"/>
    <w:rsid w:val="44D65E32"/>
    <w:rsid w:val="44E14299"/>
    <w:rsid w:val="44E22B82"/>
    <w:rsid w:val="44ED4131"/>
    <w:rsid w:val="44F302A4"/>
    <w:rsid w:val="44F90014"/>
    <w:rsid w:val="4501544B"/>
    <w:rsid w:val="45040B79"/>
    <w:rsid w:val="45304F61"/>
    <w:rsid w:val="45454FF4"/>
    <w:rsid w:val="45457D59"/>
    <w:rsid w:val="454A3D45"/>
    <w:rsid w:val="455821EE"/>
    <w:rsid w:val="45614A4E"/>
    <w:rsid w:val="456A3F69"/>
    <w:rsid w:val="456B7CC4"/>
    <w:rsid w:val="456F7DC4"/>
    <w:rsid w:val="45703414"/>
    <w:rsid w:val="45783D00"/>
    <w:rsid w:val="457D4345"/>
    <w:rsid w:val="458612F6"/>
    <w:rsid w:val="458B4614"/>
    <w:rsid w:val="458C51D8"/>
    <w:rsid w:val="45916367"/>
    <w:rsid w:val="45C648B0"/>
    <w:rsid w:val="45EF4CC6"/>
    <w:rsid w:val="45FB0541"/>
    <w:rsid w:val="45FF5412"/>
    <w:rsid w:val="460F51CE"/>
    <w:rsid w:val="46324A65"/>
    <w:rsid w:val="463509F8"/>
    <w:rsid w:val="46390D71"/>
    <w:rsid w:val="46406D87"/>
    <w:rsid w:val="4644433B"/>
    <w:rsid w:val="4648621C"/>
    <w:rsid w:val="46713943"/>
    <w:rsid w:val="46762251"/>
    <w:rsid w:val="467F1ABB"/>
    <w:rsid w:val="46882A59"/>
    <w:rsid w:val="46892A08"/>
    <w:rsid w:val="46A56838"/>
    <w:rsid w:val="46C474F4"/>
    <w:rsid w:val="46C66505"/>
    <w:rsid w:val="46C930DD"/>
    <w:rsid w:val="470728EF"/>
    <w:rsid w:val="470F340B"/>
    <w:rsid w:val="47195080"/>
    <w:rsid w:val="47200695"/>
    <w:rsid w:val="47252777"/>
    <w:rsid w:val="472D1FE8"/>
    <w:rsid w:val="473F5A16"/>
    <w:rsid w:val="47460641"/>
    <w:rsid w:val="47480533"/>
    <w:rsid w:val="47541221"/>
    <w:rsid w:val="475F5966"/>
    <w:rsid w:val="477C45EB"/>
    <w:rsid w:val="47891198"/>
    <w:rsid w:val="47891A47"/>
    <w:rsid w:val="478B63D6"/>
    <w:rsid w:val="47A57F86"/>
    <w:rsid w:val="47AB15D9"/>
    <w:rsid w:val="47C13B30"/>
    <w:rsid w:val="47C377E4"/>
    <w:rsid w:val="47C4564A"/>
    <w:rsid w:val="47CA32CC"/>
    <w:rsid w:val="47CA3DAA"/>
    <w:rsid w:val="47D93EF5"/>
    <w:rsid w:val="47E027CA"/>
    <w:rsid w:val="47E063D1"/>
    <w:rsid w:val="47EC79ED"/>
    <w:rsid w:val="48031A0C"/>
    <w:rsid w:val="48034F38"/>
    <w:rsid w:val="480C143B"/>
    <w:rsid w:val="48136C18"/>
    <w:rsid w:val="48186875"/>
    <w:rsid w:val="482367DE"/>
    <w:rsid w:val="482F1912"/>
    <w:rsid w:val="48353997"/>
    <w:rsid w:val="484451D9"/>
    <w:rsid w:val="48461FDB"/>
    <w:rsid w:val="4852006C"/>
    <w:rsid w:val="48586D04"/>
    <w:rsid w:val="485E5AE7"/>
    <w:rsid w:val="485F1104"/>
    <w:rsid w:val="486A52BA"/>
    <w:rsid w:val="486B4B23"/>
    <w:rsid w:val="48716BD2"/>
    <w:rsid w:val="48786122"/>
    <w:rsid w:val="487A20A2"/>
    <w:rsid w:val="487C4054"/>
    <w:rsid w:val="4883227E"/>
    <w:rsid w:val="488773D8"/>
    <w:rsid w:val="489747FC"/>
    <w:rsid w:val="48B059DB"/>
    <w:rsid w:val="48B53E1A"/>
    <w:rsid w:val="48B64FBF"/>
    <w:rsid w:val="48B74F00"/>
    <w:rsid w:val="48B761A8"/>
    <w:rsid w:val="48B901C6"/>
    <w:rsid w:val="48C15551"/>
    <w:rsid w:val="48C2414E"/>
    <w:rsid w:val="48C956A4"/>
    <w:rsid w:val="48C964F8"/>
    <w:rsid w:val="48D34BFB"/>
    <w:rsid w:val="48D51A29"/>
    <w:rsid w:val="48DA439B"/>
    <w:rsid w:val="48E227D9"/>
    <w:rsid w:val="48E35B0C"/>
    <w:rsid w:val="48FE488D"/>
    <w:rsid w:val="49087217"/>
    <w:rsid w:val="49090B99"/>
    <w:rsid w:val="491B336A"/>
    <w:rsid w:val="492334B2"/>
    <w:rsid w:val="492B0D5F"/>
    <w:rsid w:val="492C00DF"/>
    <w:rsid w:val="492C7666"/>
    <w:rsid w:val="492E0CB6"/>
    <w:rsid w:val="492E681D"/>
    <w:rsid w:val="49322D46"/>
    <w:rsid w:val="49363129"/>
    <w:rsid w:val="493C3527"/>
    <w:rsid w:val="4944713B"/>
    <w:rsid w:val="49513EDF"/>
    <w:rsid w:val="49587164"/>
    <w:rsid w:val="497F5A12"/>
    <w:rsid w:val="4997094F"/>
    <w:rsid w:val="49AB031C"/>
    <w:rsid w:val="49AF3038"/>
    <w:rsid w:val="49C91137"/>
    <w:rsid w:val="49CA571E"/>
    <w:rsid w:val="49CF080C"/>
    <w:rsid w:val="49D40F3D"/>
    <w:rsid w:val="49D43B5B"/>
    <w:rsid w:val="49DB77A3"/>
    <w:rsid w:val="49E676E7"/>
    <w:rsid w:val="49F04D0D"/>
    <w:rsid w:val="49F54412"/>
    <w:rsid w:val="49F83659"/>
    <w:rsid w:val="4A1177C0"/>
    <w:rsid w:val="4A175C43"/>
    <w:rsid w:val="4A184392"/>
    <w:rsid w:val="4A32436D"/>
    <w:rsid w:val="4A33648D"/>
    <w:rsid w:val="4A412870"/>
    <w:rsid w:val="4A543ACD"/>
    <w:rsid w:val="4A6068AF"/>
    <w:rsid w:val="4A62742F"/>
    <w:rsid w:val="4A6A0011"/>
    <w:rsid w:val="4A6C6AA1"/>
    <w:rsid w:val="4A8E1D20"/>
    <w:rsid w:val="4A8E4931"/>
    <w:rsid w:val="4AA56D32"/>
    <w:rsid w:val="4AA60FC1"/>
    <w:rsid w:val="4AB03516"/>
    <w:rsid w:val="4AB11C9E"/>
    <w:rsid w:val="4AB23605"/>
    <w:rsid w:val="4AC30D5B"/>
    <w:rsid w:val="4ACD4A77"/>
    <w:rsid w:val="4AD24265"/>
    <w:rsid w:val="4AD46AD1"/>
    <w:rsid w:val="4AE17821"/>
    <w:rsid w:val="4AED4624"/>
    <w:rsid w:val="4AEF3BC3"/>
    <w:rsid w:val="4AF132A6"/>
    <w:rsid w:val="4B003A12"/>
    <w:rsid w:val="4B1F1A7A"/>
    <w:rsid w:val="4B336FF6"/>
    <w:rsid w:val="4B343695"/>
    <w:rsid w:val="4B3A34E9"/>
    <w:rsid w:val="4B3C4365"/>
    <w:rsid w:val="4B4874B8"/>
    <w:rsid w:val="4B734C78"/>
    <w:rsid w:val="4B770E83"/>
    <w:rsid w:val="4B8415A7"/>
    <w:rsid w:val="4B873DDB"/>
    <w:rsid w:val="4B8C38B6"/>
    <w:rsid w:val="4B921D7C"/>
    <w:rsid w:val="4B9F478F"/>
    <w:rsid w:val="4BA20036"/>
    <w:rsid w:val="4BA72034"/>
    <w:rsid w:val="4BAC6155"/>
    <w:rsid w:val="4BAF1780"/>
    <w:rsid w:val="4BB537FD"/>
    <w:rsid w:val="4BBF18E2"/>
    <w:rsid w:val="4BC86505"/>
    <w:rsid w:val="4BCE2FD7"/>
    <w:rsid w:val="4BD26CA4"/>
    <w:rsid w:val="4BEA315D"/>
    <w:rsid w:val="4BFC055D"/>
    <w:rsid w:val="4C0B60E6"/>
    <w:rsid w:val="4C155E3A"/>
    <w:rsid w:val="4C446C7F"/>
    <w:rsid w:val="4C4F5AC1"/>
    <w:rsid w:val="4C554674"/>
    <w:rsid w:val="4C6F232A"/>
    <w:rsid w:val="4C83766E"/>
    <w:rsid w:val="4C865DA3"/>
    <w:rsid w:val="4C983B0E"/>
    <w:rsid w:val="4CA45DD9"/>
    <w:rsid w:val="4CAA624E"/>
    <w:rsid w:val="4CAF7EB1"/>
    <w:rsid w:val="4CD15040"/>
    <w:rsid w:val="4CD96B66"/>
    <w:rsid w:val="4CE97757"/>
    <w:rsid w:val="4CF35A9D"/>
    <w:rsid w:val="4CF434EC"/>
    <w:rsid w:val="4CF64221"/>
    <w:rsid w:val="4CF67F98"/>
    <w:rsid w:val="4D0A0F76"/>
    <w:rsid w:val="4D0B7C04"/>
    <w:rsid w:val="4D0C56C7"/>
    <w:rsid w:val="4D0D20CC"/>
    <w:rsid w:val="4D10194D"/>
    <w:rsid w:val="4D1A6035"/>
    <w:rsid w:val="4D1D3281"/>
    <w:rsid w:val="4D272503"/>
    <w:rsid w:val="4D291E5D"/>
    <w:rsid w:val="4D2B2E52"/>
    <w:rsid w:val="4D2B5B86"/>
    <w:rsid w:val="4D315DE2"/>
    <w:rsid w:val="4D3B7CD7"/>
    <w:rsid w:val="4D4C53DA"/>
    <w:rsid w:val="4D5A12BE"/>
    <w:rsid w:val="4D6D4997"/>
    <w:rsid w:val="4D6F56EB"/>
    <w:rsid w:val="4D710A64"/>
    <w:rsid w:val="4D7B4C1C"/>
    <w:rsid w:val="4D8468C1"/>
    <w:rsid w:val="4D8A10EF"/>
    <w:rsid w:val="4D9D31C3"/>
    <w:rsid w:val="4DA82B5E"/>
    <w:rsid w:val="4DAA7020"/>
    <w:rsid w:val="4DB42AFD"/>
    <w:rsid w:val="4DBD2145"/>
    <w:rsid w:val="4DCC33D4"/>
    <w:rsid w:val="4DD120A1"/>
    <w:rsid w:val="4DD32972"/>
    <w:rsid w:val="4DD36E45"/>
    <w:rsid w:val="4DD96DDC"/>
    <w:rsid w:val="4DDD6919"/>
    <w:rsid w:val="4DE16D91"/>
    <w:rsid w:val="4DF5788F"/>
    <w:rsid w:val="4DF7507C"/>
    <w:rsid w:val="4E0068F7"/>
    <w:rsid w:val="4E091C7D"/>
    <w:rsid w:val="4E091C98"/>
    <w:rsid w:val="4E1306AF"/>
    <w:rsid w:val="4E154638"/>
    <w:rsid w:val="4E341221"/>
    <w:rsid w:val="4E3A1E82"/>
    <w:rsid w:val="4E4478A8"/>
    <w:rsid w:val="4E4B4065"/>
    <w:rsid w:val="4E560AB0"/>
    <w:rsid w:val="4E5A5FD3"/>
    <w:rsid w:val="4E6339E7"/>
    <w:rsid w:val="4E665390"/>
    <w:rsid w:val="4E6D77BB"/>
    <w:rsid w:val="4E826527"/>
    <w:rsid w:val="4E8731EB"/>
    <w:rsid w:val="4E8E2A31"/>
    <w:rsid w:val="4E925D6A"/>
    <w:rsid w:val="4E980638"/>
    <w:rsid w:val="4EB22B15"/>
    <w:rsid w:val="4EB449BD"/>
    <w:rsid w:val="4EB54177"/>
    <w:rsid w:val="4EBA748B"/>
    <w:rsid w:val="4ED66AF1"/>
    <w:rsid w:val="4ED94392"/>
    <w:rsid w:val="4ED94842"/>
    <w:rsid w:val="4EDD7F4B"/>
    <w:rsid w:val="4EEB06E4"/>
    <w:rsid w:val="4EEB102F"/>
    <w:rsid w:val="4EEC6EBB"/>
    <w:rsid w:val="4EF205DF"/>
    <w:rsid w:val="4EF55FC6"/>
    <w:rsid w:val="4F0071A9"/>
    <w:rsid w:val="4F011A5E"/>
    <w:rsid w:val="4F056203"/>
    <w:rsid w:val="4F3D63F0"/>
    <w:rsid w:val="4F837733"/>
    <w:rsid w:val="4F8D6518"/>
    <w:rsid w:val="4F987412"/>
    <w:rsid w:val="4FA442F9"/>
    <w:rsid w:val="4FC52C2C"/>
    <w:rsid w:val="4FC8764C"/>
    <w:rsid w:val="4FCA46AB"/>
    <w:rsid w:val="4FCC7803"/>
    <w:rsid w:val="4FDB6562"/>
    <w:rsid w:val="50014064"/>
    <w:rsid w:val="500768ED"/>
    <w:rsid w:val="5008263B"/>
    <w:rsid w:val="502B12F8"/>
    <w:rsid w:val="502E6EEB"/>
    <w:rsid w:val="5041264D"/>
    <w:rsid w:val="5049248B"/>
    <w:rsid w:val="504B5D01"/>
    <w:rsid w:val="506E192E"/>
    <w:rsid w:val="507A4018"/>
    <w:rsid w:val="508602E1"/>
    <w:rsid w:val="508C34C9"/>
    <w:rsid w:val="508D255D"/>
    <w:rsid w:val="50CC1B06"/>
    <w:rsid w:val="50DD5CE3"/>
    <w:rsid w:val="50DF1BFA"/>
    <w:rsid w:val="50F33368"/>
    <w:rsid w:val="50FA0345"/>
    <w:rsid w:val="5103764A"/>
    <w:rsid w:val="510B6597"/>
    <w:rsid w:val="510F62D3"/>
    <w:rsid w:val="511745DD"/>
    <w:rsid w:val="51185A5F"/>
    <w:rsid w:val="51227A5A"/>
    <w:rsid w:val="51273EEC"/>
    <w:rsid w:val="51274036"/>
    <w:rsid w:val="512F73EF"/>
    <w:rsid w:val="51322BC6"/>
    <w:rsid w:val="513B73E6"/>
    <w:rsid w:val="515354C3"/>
    <w:rsid w:val="51560CE1"/>
    <w:rsid w:val="51614926"/>
    <w:rsid w:val="516449F2"/>
    <w:rsid w:val="5169029A"/>
    <w:rsid w:val="516B61DD"/>
    <w:rsid w:val="51753069"/>
    <w:rsid w:val="518A27E8"/>
    <w:rsid w:val="519D1C73"/>
    <w:rsid w:val="519D570A"/>
    <w:rsid w:val="51A51B4C"/>
    <w:rsid w:val="51BB5C5B"/>
    <w:rsid w:val="51C55721"/>
    <w:rsid w:val="51C616A3"/>
    <w:rsid w:val="51CF7227"/>
    <w:rsid w:val="51E64245"/>
    <w:rsid w:val="51EA3B00"/>
    <w:rsid w:val="51F567BC"/>
    <w:rsid w:val="51F57190"/>
    <w:rsid w:val="520922A5"/>
    <w:rsid w:val="52122ECB"/>
    <w:rsid w:val="521A0658"/>
    <w:rsid w:val="522A4A15"/>
    <w:rsid w:val="5231496E"/>
    <w:rsid w:val="52465159"/>
    <w:rsid w:val="52492E12"/>
    <w:rsid w:val="524A2CE4"/>
    <w:rsid w:val="52523CB4"/>
    <w:rsid w:val="52533903"/>
    <w:rsid w:val="525A78AF"/>
    <w:rsid w:val="52621F46"/>
    <w:rsid w:val="52694826"/>
    <w:rsid w:val="526A1815"/>
    <w:rsid w:val="52707C00"/>
    <w:rsid w:val="52715FA8"/>
    <w:rsid w:val="52770E8E"/>
    <w:rsid w:val="52781A03"/>
    <w:rsid w:val="527F2575"/>
    <w:rsid w:val="528330D9"/>
    <w:rsid w:val="52854447"/>
    <w:rsid w:val="528A56A4"/>
    <w:rsid w:val="52A41957"/>
    <w:rsid w:val="52AC31A7"/>
    <w:rsid w:val="52C353B0"/>
    <w:rsid w:val="52CB606F"/>
    <w:rsid w:val="52CC346F"/>
    <w:rsid w:val="52CF17D0"/>
    <w:rsid w:val="52D162B4"/>
    <w:rsid w:val="52D972DB"/>
    <w:rsid w:val="52DA1966"/>
    <w:rsid w:val="52E248F7"/>
    <w:rsid w:val="52E3097E"/>
    <w:rsid w:val="52EA3FBE"/>
    <w:rsid w:val="52EC2141"/>
    <w:rsid w:val="52FD367E"/>
    <w:rsid w:val="53001E88"/>
    <w:rsid w:val="53006E60"/>
    <w:rsid w:val="53023B17"/>
    <w:rsid w:val="53037BD4"/>
    <w:rsid w:val="532B4250"/>
    <w:rsid w:val="532B6D52"/>
    <w:rsid w:val="53306A29"/>
    <w:rsid w:val="5334260C"/>
    <w:rsid w:val="533D44F9"/>
    <w:rsid w:val="53571160"/>
    <w:rsid w:val="53596F75"/>
    <w:rsid w:val="535E4059"/>
    <w:rsid w:val="535F0E66"/>
    <w:rsid w:val="53673CBA"/>
    <w:rsid w:val="537F1DCB"/>
    <w:rsid w:val="538F781D"/>
    <w:rsid w:val="53907F02"/>
    <w:rsid w:val="5392321B"/>
    <w:rsid w:val="53964F99"/>
    <w:rsid w:val="539D3111"/>
    <w:rsid w:val="539F2A2E"/>
    <w:rsid w:val="53A807FB"/>
    <w:rsid w:val="53AB40C9"/>
    <w:rsid w:val="53B151D5"/>
    <w:rsid w:val="53B152D6"/>
    <w:rsid w:val="53B3001F"/>
    <w:rsid w:val="53B838C1"/>
    <w:rsid w:val="53BA4553"/>
    <w:rsid w:val="53BA7571"/>
    <w:rsid w:val="53CB6318"/>
    <w:rsid w:val="53D146DA"/>
    <w:rsid w:val="53D7714D"/>
    <w:rsid w:val="53EE6F97"/>
    <w:rsid w:val="53EF7C22"/>
    <w:rsid w:val="53F04C79"/>
    <w:rsid w:val="53F26F3F"/>
    <w:rsid w:val="53F6397E"/>
    <w:rsid w:val="53FB195E"/>
    <w:rsid w:val="54083C6D"/>
    <w:rsid w:val="54092413"/>
    <w:rsid w:val="540B1189"/>
    <w:rsid w:val="540E4D82"/>
    <w:rsid w:val="54162262"/>
    <w:rsid w:val="541865C7"/>
    <w:rsid w:val="541B1EF2"/>
    <w:rsid w:val="54257784"/>
    <w:rsid w:val="542D15CF"/>
    <w:rsid w:val="542E6FF7"/>
    <w:rsid w:val="543065DD"/>
    <w:rsid w:val="544B219B"/>
    <w:rsid w:val="544C0E93"/>
    <w:rsid w:val="544D69C2"/>
    <w:rsid w:val="5459414D"/>
    <w:rsid w:val="54744381"/>
    <w:rsid w:val="547E6A52"/>
    <w:rsid w:val="5488085A"/>
    <w:rsid w:val="548F4754"/>
    <w:rsid w:val="549B3537"/>
    <w:rsid w:val="549B4C8C"/>
    <w:rsid w:val="549F7BA1"/>
    <w:rsid w:val="54AA1599"/>
    <w:rsid w:val="54B10716"/>
    <w:rsid w:val="54B27366"/>
    <w:rsid w:val="54B34681"/>
    <w:rsid w:val="54B63BAC"/>
    <w:rsid w:val="54B645CD"/>
    <w:rsid w:val="54BE5325"/>
    <w:rsid w:val="54C011AB"/>
    <w:rsid w:val="54C85D2D"/>
    <w:rsid w:val="54CC6EEF"/>
    <w:rsid w:val="54D47B61"/>
    <w:rsid w:val="54D82E33"/>
    <w:rsid w:val="54E36752"/>
    <w:rsid w:val="54E65A92"/>
    <w:rsid w:val="54E6666D"/>
    <w:rsid w:val="54F66080"/>
    <w:rsid w:val="54F96753"/>
    <w:rsid w:val="54FA18DA"/>
    <w:rsid w:val="54FD0277"/>
    <w:rsid w:val="54FD0883"/>
    <w:rsid w:val="55052A0A"/>
    <w:rsid w:val="55080DC9"/>
    <w:rsid w:val="550E2E20"/>
    <w:rsid w:val="550E6D1A"/>
    <w:rsid w:val="55121CC5"/>
    <w:rsid w:val="55134F0A"/>
    <w:rsid w:val="551841DA"/>
    <w:rsid w:val="551D2387"/>
    <w:rsid w:val="553D1308"/>
    <w:rsid w:val="553E488C"/>
    <w:rsid w:val="55453F63"/>
    <w:rsid w:val="555A0717"/>
    <w:rsid w:val="55650A5E"/>
    <w:rsid w:val="55705D78"/>
    <w:rsid w:val="55714637"/>
    <w:rsid w:val="558162FA"/>
    <w:rsid w:val="55907522"/>
    <w:rsid w:val="559A340F"/>
    <w:rsid w:val="55A005AF"/>
    <w:rsid w:val="55A44F90"/>
    <w:rsid w:val="55A65729"/>
    <w:rsid w:val="55B73894"/>
    <w:rsid w:val="55B84132"/>
    <w:rsid w:val="55C4677E"/>
    <w:rsid w:val="55C766D3"/>
    <w:rsid w:val="55CB7B37"/>
    <w:rsid w:val="55D811B9"/>
    <w:rsid w:val="55DD3159"/>
    <w:rsid w:val="55E225B4"/>
    <w:rsid w:val="55E4443E"/>
    <w:rsid w:val="56054767"/>
    <w:rsid w:val="560E7014"/>
    <w:rsid w:val="56166717"/>
    <w:rsid w:val="56300BDF"/>
    <w:rsid w:val="56342C48"/>
    <w:rsid w:val="563C3FC7"/>
    <w:rsid w:val="565B59A2"/>
    <w:rsid w:val="565C17FF"/>
    <w:rsid w:val="56671231"/>
    <w:rsid w:val="566A051D"/>
    <w:rsid w:val="567D25FD"/>
    <w:rsid w:val="56837EA1"/>
    <w:rsid w:val="56877681"/>
    <w:rsid w:val="56973BFC"/>
    <w:rsid w:val="56A45DB2"/>
    <w:rsid w:val="56A87F57"/>
    <w:rsid w:val="56AB2678"/>
    <w:rsid w:val="56B66461"/>
    <w:rsid w:val="56C05E3A"/>
    <w:rsid w:val="56C55F1E"/>
    <w:rsid w:val="56C6705F"/>
    <w:rsid w:val="56C75748"/>
    <w:rsid w:val="56CF2E78"/>
    <w:rsid w:val="56D928B7"/>
    <w:rsid w:val="56D93013"/>
    <w:rsid w:val="56E61181"/>
    <w:rsid w:val="56EF1627"/>
    <w:rsid w:val="57276D6B"/>
    <w:rsid w:val="573551EA"/>
    <w:rsid w:val="5747512E"/>
    <w:rsid w:val="57551CB4"/>
    <w:rsid w:val="575A37CB"/>
    <w:rsid w:val="575A635B"/>
    <w:rsid w:val="576B7684"/>
    <w:rsid w:val="576C3168"/>
    <w:rsid w:val="576D5571"/>
    <w:rsid w:val="5778776D"/>
    <w:rsid w:val="578261E1"/>
    <w:rsid w:val="578275CC"/>
    <w:rsid w:val="578A3874"/>
    <w:rsid w:val="5792354F"/>
    <w:rsid w:val="579459BA"/>
    <w:rsid w:val="579F0EE3"/>
    <w:rsid w:val="57B1064B"/>
    <w:rsid w:val="57B75734"/>
    <w:rsid w:val="57C55332"/>
    <w:rsid w:val="57C57414"/>
    <w:rsid w:val="57CA5BAB"/>
    <w:rsid w:val="57CD405E"/>
    <w:rsid w:val="57CD6633"/>
    <w:rsid w:val="57E07344"/>
    <w:rsid w:val="57E20910"/>
    <w:rsid w:val="57E900AD"/>
    <w:rsid w:val="57EB5894"/>
    <w:rsid w:val="57EB5D85"/>
    <w:rsid w:val="57F14E4F"/>
    <w:rsid w:val="581144CA"/>
    <w:rsid w:val="58262ED9"/>
    <w:rsid w:val="582C3EE9"/>
    <w:rsid w:val="58397CCD"/>
    <w:rsid w:val="583B199F"/>
    <w:rsid w:val="5851170C"/>
    <w:rsid w:val="58860FE4"/>
    <w:rsid w:val="588F32C0"/>
    <w:rsid w:val="58947284"/>
    <w:rsid w:val="58994A62"/>
    <w:rsid w:val="58A30293"/>
    <w:rsid w:val="58AA174C"/>
    <w:rsid w:val="58B75B74"/>
    <w:rsid w:val="58C71AA2"/>
    <w:rsid w:val="58CA6235"/>
    <w:rsid w:val="58D04489"/>
    <w:rsid w:val="58D6023D"/>
    <w:rsid w:val="58DF6346"/>
    <w:rsid w:val="58E253EC"/>
    <w:rsid w:val="58E510E4"/>
    <w:rsid w:val="58EA1B90"/>
    <w:rsid w:val="590038E8"/>
    <w:rsid w:val="590269CB"/>
    <w:rsid w:val="591C3C52"/>
    <w:rsid w:val="591D2688"/>
    <w:rsid w:val="592A5AC8"/>
    <w:rsid w:val="59307300"/>
    <w:rsid w:val="59325BCA"/>
    <w:rsid w:val="593D2972"/>
    <w:rsid w:val="593F13B3"/>
    <w:rsid w:val="59485BE0"/>
    <w:rsid w:val="59492A19"/>
    <w:rsid w:val="595355D5"/>
    <w:rsid w:val="59761C8A"/>
    <w:rsid w:val="597E17AC"/>
    <w:rsid w:val="59896FA3"/>
    <w:rsid w:val="59993917"/>
    <w:rsid w:val="599B354B"/>
    <w:rsid w:val="59A52769"/>
    <w:rsid w:val="59A91881"/>
    <w:rsid w:val="59AC0597"/>
    <w:rsid w:val="59C31CAA"/>
    <w:rsid w:val="59C801FD"/>
    <w:rsid w:val="59D727DD"/>
    <w:rsid w:val="59E50A34"/>
    <w:rsid w:val="59E61B6D"/>
    <w:rsid w:val="59EB3E39"/>
    <w:rsid w:val="59FA7804"/>
    <w:rsid w:val="59FB57DB"/>
    <w:rsid w:val="5A03783C"/>
    <w:rsid w:val="5A154146"/>
    <w:rsid w:val="5A2B4B4E"/>
    <w:rsid w:val="5A2C1135"/>
    <w:rsid w:val="5A437D78"/>
    <w:rsid w:val="5A4D59C7"/>
    <w:rsid w:val="5A4E48B1"/>
    <w:rsid w:val="5A55664F"/>
    <w:rsid w:val="5A5F0055"/>
    <w:rsid w:val="5A616504"/>
    <w:rsid w:val="5A645A09"/>
    <w:rsid w:val="5A88357B"/>
    <w:rsid w:val="5A887604"/>
    <w:rsid w:val="5A8940FF"/>
    <w:rsid w:val="5A8B561C"/>
    <w:rsid w:val="5AA33751"/>
    <w:rsid w:val="5AAD174D"/>
    <w:rsid w:val="5AB90488"/>
    <w:rsid w:val="5AB95466"/>
    <w:rsid w:val="5AC37E83"/>
    <w:rsid w:val="5ACB1136"/>
    <w:rsid w:val="5AD20B7B"/>
    <w:rsid w:val="5AD52408"/>
    <w:rsid w:val="5AD676B5"/>
    <w:rsid w:val="5ADC70B6"/>
    <w:rsid w:val="5ADF7EAE"/>
    <w:rsid w:val="5AEC35E8"/>
    <w:rsid w:val="5AFD24FB"/>
    <w:rsid w:val="5B083574"/>
    <w:rsid w:val="5B162CD2"/>
    <w:rsid w:val="5B165413"/>
    <w:rsid w:val="5B254602"/>
    <w:rsid w:val="5B3F47A9"/>
    <w:rsid w:val="5B40129A"/>
    <w:rsid w:val="5B6713AA"/>
    <w:rsid w:val="5B7478FF"/>
    <w:rsid w:val="5B7661AC"/>
    <w:rsid w:val="5B776203"/>
    <w:rsid w:val="5BB61B6D"/>
    <w:rsid w:val="5BC077A2"/>
    <w:rsid w:val="5BD07B8B"/>
    <w:rsid w:val="5BE66267"/>
    <w:rsid w:val="5BEA3132"/>
    <w:rsid w:val="5BF35042"/>
    <w:rsid w:val="5BF52D95"/>
    <w:rsid w:val="5BF574F1"/>
    <w:rsid w:val="5BFA3A8C"/>
    <w:rsid w:val="5BFB7B84"/>
    <w:rsid w:val="5C09228B"/>
    <w:rsid w:val="5C0B49BC"/>
    <w:rsid w:val="5C164E4D"/>
    <w:rsid w:val="5C296A61"/>
    <w:rsid w:val="5C344D58"/>
    <w:rsid w:val="5C3D0394"/>
    <w:rsid w:val="5C416601"/>
    <w:rsid w:val="5C454FC4"/>
    <w:rsid w:val="5C480D26"/>
    <w:rsid w:val="5C4B3F8B"/>
    <w:rsid w:val="5C536E91"/>
    <w:rsid w:val="5C5715E4"/>
    <w:rsid w:val="5C5B2DA6"/>
    <w:rsid w:val="5C640885"/>
    <w:rsid w:val="5C64578B"/>
    <w:rsid w:val="5C6548A1"/>
    <w:rsid w:val="5C7A18D8"/>
    <w:rsid w:val="5C7A3A92"/>
    <w:rsid w:val="5C8E1EC2"/>
    <w:rsid w:val="5C94729F"/>
    <w:rsid w:val="5CA5045C"/>
    <w:rsid w:val="5CA668B9"/>
    <w:rsid w:val="5CA700F3"/>
    <w:rsid w:val="5CAA2AC4"/>
    <w:rsid w:val="5CAE2708"/>
    <w:rsid w:val="5CB556B2"/>
    <w:rsid w:val="5CC423B4"/>
    <w:rsid w:val="5CD06892"/>
    <w:rsid w:val="5CD51BB7"/>
    <w:rsid w:val="5CD646A2"/>
    <w:rsid w:val="5CD800EA"/>
    <w:rsid w:val="5CE2317E"/>
    <w:rsid w:val="5CF01985"/>
    <w:rsid w:val="5CF11B71"/>
    <w:rsid w:val="5CF31074"/>
    <w:rsid w:val="5CFB55FC"/>
    <w:rsid w:val="5D2016A4"/>
    <w:rsid w:val="5D266841"/>
    <w:rsid w:val="5D2C3BD0"/>
    <w:rsid w:val="5D317280"/>
    <w:rsid w:val="5D337389"/>
    <w:rsid w:val="5D3758AE"/>
    <w:rsid w:val="5D3810F3"/>
    <w:rsid w:val="5D3D6F1A"/>
    <w:rsid w:val="5D497881"/>
    <w:rsid w:val="5D585D4E"/>
    <w:rsid w:val="5D5E7E67"/>
    <w:rsid w:val="5D6209F7"/>
    <w:rsid w:val="5D6330A5"/>
    <w:rsid w:val="5D6D2AD0"/>
    <w:rsid w:val="5D7F44B9"/>
    <w:rsid w:val="5D83630F"/>
    <w:rsid w:val="5D847D06"/>
    <w:rsid w:val="5D8C34A9"/>
    <w:rsid w:val="5D8E0364"/>
    <w:rsid w:val="5D9A14FF"/>
    <w:rsid w:val="5D9B4C8B"/>
    <w:rsid w:val="5DA665D9"/>
    <w:rsid w:val="5DB03951"/>
    <w:rsid w:val="5DB833DB"/>
    <w:rsid w:val="5DB92458"/>
    <w:rsid w:val="5DB97ACE"/>
    <w:rsid w:val="5DBA30D0"/>
    <w:rsid w:val="5DBA40F5"/>
    <w:rsid w:val="5DC5784F"/>
    <w:rsid w:val="5DC65416"/>
    <w:rsid w:val="5DD6234B"/>
    <w:rsid w:val="5DD65DF5"/>
    <w:rsid w:val="5DDB61C0"/>
    <w:rsid w:val="5DDC46ED"/>
    <w:rsid w:val="5DDD22C3"/>
    <w:rsid w:val="5DE35721"/>
    <w:rsid w:val="5DE35DC2"/>
    <w:rsid w:val="5E1142B8"/>
    <w:rsid w:val="5E13331B"/>
    <w:rsid w:val="5E16231E"/>
    <w:rsid w:val="5E1B43E7"/>
    <w:rsid w:val="5E267560"/>
    <w:rsid w:val="5E3C5C0C"/>
    <w:rsid w:val="5E4B200C"/>
    <w:rsid w:val="5E50296E"/>
    <w:rsid w:val="5E51600F"/>
    <w:rsid w:val="5E534358"/>
    <w:rsid w:val="5E5472DA"/>
    <w:rsid w:val="5E5B420E"/>
    <w:rsid w:val="5E614B45"/>
    <w:rsid w:val="5E7254B2"/>
    <w:rsid w:val="5E725B16"/>
    <w:rsid w:val="5E7871CC"/>
    <w:rsid w:val="5E7C3BF4"/>
    <w:rsid w:val="5E865C28"/>
    <w:rsid w:val="5E8A1ACB"/>
    <w:rsid w:val="5E9769B4"/>
    <w:rsid w:val="5EA34ABF"/>
    <w:rsid w:val="5EA66061"/>
    <w:rsid w:val="5EAE1007"/>
    <w:rsid w:val="5EC15BB9"/>
    <w:rsid w:val="5EE469D6"/>
    <w:rsid w:val="5EE532CF"/>
    <w:rsid w:val="5EFA56E6"/>
    <w:rsid w:val="5F0028FE"/>
    <w:rsid w:val="5F0403BA"/>
    <w:rsid w:val="5F0F5EC4"/>
    <w:rsid w:val="5F180F48"/>
    <w:rsid w:val="5F2713FC"/>
    <w:rsid w:val="5F2903BA"/>
    <w:rsid w:val="5F290AF9"/>
    <w:rsid w:val="5F2A4D95"/>
    <w:rsid w:val="5F305B36"/>
    <w:rsid w:val="5F3B21AE"/>
    <w:rsid w:val="5F3C0FA0"/>
    <w:rsid w:val="5F40580B"/>
    <w:rsid w:val="5F432A23"/>
    <w:rsid w:val="5F4C4825"/>
    <w:rsid w:val="5F68706A"/>
    <w:rsid w:val="5F745C2C"/>
    <w:rsid w:val="5F7731DF"/>
    <w:rsid w:val="5F825002"/>
    <w:rsid w:val="5FA078E9"/>
    <w:rsid w:val="5FA620D9"/>
    <w:rsid w:val="5FA6768D"/>
    <w:rsid w:val="5FA904CB"/>
    <w:rsid w:val="5FAB71C6"/>
    <w:rsid w:val="5FAD2120"/>
    <w:rsid w:val="5FAE15ED"/>
    <w:rsid w:val="5FC64AA8"/>
    <w:rsid w:val="5FC7344E"/>
    <w:rsid w:val="5FC9042A"/>
    <w:rsid w:val="5FE23065"/>
    <w:rsid w:val="5FE33528"/>
    <w:rsid w:val="5FE87FFE"/>
    <w:rsid w:val="5FF340C0"/>
    <w:rsid w:val="5FFA2936"/>
    <w:rsid w:val="6008413B"/>
    <w:rsid w:val="600C0056"/>
    <w:rsid w:val="601E51AA"/>
    <w:rsid w:val="602E226C"/>
    <w:rsid w:val="6041145F"/>
    <w:rsid w:val="6065381C"/>
    <w:rsid w:val="60653D77"/>
    <w:rsid w:val="60695CF1"/>
    <w:rsid w:val="607619B6"/>
    <w:rsid w:val="60773285"/>
    <w:rsid w:val="60784F81"/>
    <w:rsid w:val="607A7C0C"/>
    <w:rsid w:val="607F7176"/>
    <w:rsid w:val="6087060F"/>
    <w:rsid w:val="6090080D"/>
    <w:rsid w:val="60A118DB"/>
    <w:rsid w:val="60A37F70"/>
    <w:rsid w:val="60A93611"/>
    <w:rsid w:val="60BD67D4"/>
    <w:rsid w:val="60CC4127"/>
    <w:rsid w:val="60D24114"/>
    <w:rsid w:val="60D24E95"/>
    <w:rsid w:val="60D57D73"/>
    <w:rsid w:val="60E57ADA"/>
    <w:rsid w:val="60F81CEF"/>
    <w:rsid w:val="60FB1996"/>
    <w:rsid w:val="60FE768D"/>
    <w:rsid w:val="61060711"/>
    <w:rsid w:val="611452BD"/>
    <w:rsid w:val="61185488"/>
    <w:rsid w:val="613262C5"/>
    <w:rsid w:val="61354397"/>
    <w:rsid w:val="613C73B4"/>
    <w:rsid w:val="61431614"/>
    <w:rsid w:val="61547F9F"/>
    <w:rsid w:val="615B5526"/>
    <w:rsid w:val="618B3DE2"/>
    <w:rsid w:val="619051F9"/>
    <w:rsid w:val="61906182"/>
    <w:rsid w:val="61975281"/>
    <w:rsid w:val="61A36CAF"/>
    <w:rsid w:val="61B30EF8"/>
    <w:rsid w:val="61BD0398"/>
    <w:rsid w:val="61D86D67"/>
    <w:rsid w:val="61F10DE2"/>
    <w:rsid w:val="61F124CA"/>
    <w:rsid w:val="61F464D2"/>
    <w:rsid w:val="61F57B94"/>
    <w:rsid w:val="62061293"/>
    <w:rsid w:val="6208029C"/>
    <w:rsid w:val="62105645"/>
    <w:rsid w:val="621A5A4F"/>
    <w:rsid w:val="6228471A"/>
    <w:rsid w:val="62287A9D"/>
    <w:rsid w:val="623817E8"/>
    <w:rsid w:val="62487569"/>
    <w:rsid w:val="625444D1"/>
    <w:rsid w:val="62640245"/>
    <w:rsid w:val="62651384"/>
    <w:rsid w:val="626C3F04"/>
    <w:rsid w:val="626F4673"/>
    <w:rsid w:val="6278067A"/>
    <w:rsid w:val="627B3AD4"/>
    <w:rsid w:val="62822EE4"/>
    <w:rsid w:val="62847139"/>
    <w:rsid w:val="62936C6A"/>
    <w:rsid w:val="629C0FBF"/>
    <w:rsid w:val="62B57492"/>
    <w:rsid w:val="62C81E63"/>
    <w:rsid w:val="62CB411B"/>
    <w:rsid w:val="62D2418E"/>
    <w:rsid w:val="62E30DD0"/>
    <w:rsid w:val="62EC2007"/>
    <w:rsid w:val="62F42E15"/>
    <w:rsid w:val="63096563"/>
    <w:rsid w:val="630C237A"/>
    <w:rsid w:val="63194EB7"/>
    <w:rsid w:val="631C6D91"/>
    <w:rsid w:val="632255C0"/>
    <w:rsid w:val="632E409B"/>
    <w:rsid w:val="63392BA5"/>
    <w:rsid w:val="633D5AF8"/>
    <w:rsid w:val="634331F7"/>
    <w:rsid w:val="63444B5F"/>
    <w:rsid w:val="634951DE"/>
    <w:rsid w:val="634B42F2"/>
    <w:rsid w:val="63504FAC"/>
    <w:rsid w:val="63536EAC"/>
    <w:rsid w:val="636F3F92"/>
    <w:rsid w:val="637667E7"/>
    <w:rsid w:val="63890AF7"/>
    <w:rsid w:val="63946CA1"/>
    <w:rsid w:val="639A3B0C"/>
    <w:rsid w:val="63A64670"/>
    <w:rsid w:val="63AB5874"/>
    <w:rsid w:val="63AD78B4"/>
    <w:rsid w:val="63B87AAD"/>
    <w:rsid w:val="63BF7B77"/>
    <w:rsid w:val="63C45B06"/>
    <w:rsid w:val="63CC63FA"/>
    <w:rsid w:val="63CE7039"/>
    <w:rsid w:val="63EE00E8"/>
    <w:rsid w:val="63F0111A"/>
    <w:rsid w:val="63F20A6E"/>
    <w:rsid w:val="640539D9"/>
    <w:rsid w:val="64134DDB"/>
    <w:rsid w:val="641C3690"/>
    <w:rsid w:val="642F4F13"/>
    <w:rsid w:val="64300246"/>
    <w:rsid w:val="6431645E"/>
    <w:rsid w:val="643542AA"/>
    <w:rsid w:val="643E6470"/>
    <w:rsid w:val="6443473D"/>
    <w:rsid w:val="645072AF"/>
    <w:rsid w:val="645A3348"/>
    <w:rsid w:val="64621A8A"/>
    <w:rsid w:val="64647EEE"/>
    <w:rsid w:val="64663D9C"/>
    <w:rsid w:val="646E321A"/>
    <w:rsid w:val="646E467A"/>
    <w:rsid w:val="647013CB"/>
    <w:rsid w:val="647621CE"/>
    <w:rsid w:val="64862559"/>
    <w:rsid w:val="648C0148"/>
    <w:rsid w:val="649504C8"/>
    <w:rsid w:val="64966989"/>
    <w:rsid w:val="649F3152"/>
    <w:rsid w:val="64A25D36"/>
    <w:rsid w:val="64B87B87"/>
    <w:rsid w:val="64C00939"/>
    <w:rsid w:val="64C11F7B"/>
    <w:rsid w:val="64D37921"/>
    <w:rsid w:val="64D60F71"/>
    <w:rsid w:val="64E1289F"/>
    <w:rsid w:val="64E71F22"/>
    <w:rsid w:val="64F66C7D"/>
    <w:rsid w:val="64F77F78"/>
    <w:rsid w:val="64F81365"/>
    <w:rsid w:val="64FA540C"/>
    <w:rsid w:val="64FB253B"/>
    <w:rsid w:val="64FF1601"/>
    <w:rsid w:val="65104CC4"/>
    <w:rsid w:val="65143350"/>
    <w:rsid w:val="651F2F9B"/>
    <w:rsid w:val="652734F2"/>
    <w:rsid w:val="65284F32"/>
    <w:rsid w:val="652E3EE8"/>
    <w:rsid w:val="65326819"/>
    <w:rsid w:val="653E71FC"/>
    <w:rsid w:val="65410E9E"/>
    <w:rsid w:val="65557D23"/>
    <w:rsid w:val="65582BAC"/>
    <w:rsid w:val="65635B35"/>
    <w:rsid w:val="6568631E"/>
    <w:rsid w:val="656D1433"/>
    <w:rsid w:val="657579FB"/>
    <w:rsid w:val="657C5D28"/>
    <w:rsid w:val="658A17AE"/>
    <w:rsid w:val="658D1581"/>
    <w:rsid w:val="65965770"/>
    <w:rsid w:val="65972275"/>
    <w:rsid w:val="659D05C5"/>
    <w:rsid w:val="65A73F91"/>
    <w:rsid w:val="65AD20C1"/>
    <w:rsid w:val="65B31874"/>
    <w:rsid w:val="65EB03E5"/>
    <w:rsid w:val="65FE50E5"/>
    <w:rsid w:val="660A00D8"/>
    <w:rsid w:val="661348C3"/>
    <w:rsid w:val="661D5CFE"/>
    <w:rsid w:val="661D6FC7"/>
    <w:rsid w:val="66244055"/>
    <w:rsid w:val="66282B85"/>
    <w:rsid w:val="66307063"/>
    <w:rsid w:val="66323B40"/>
    <w:rsid w:val="66372DCA"/>
    <w:rsid w:val="663965AD"/>
    <w:rsid w:val="663B3371"/>
    <w:rsid w:val="6656506F"/>
    <w:rsid w:val="665E0409"/>
    <w:rsid w:val="6662005E"/>
    <w:rsid w:val="66627DC6"/>
    <w:rsid w:val="66682304"/>
    <w:rsid w:val="66776228"/>
    <w:rsid w:val="667F661D"/>
    <w:rsid w:val="66914D81"/>
    <w:rsid w:val="6698398C"/>
    <w:rsid w:val="66A22F5A"/>
    <w:rsid w:val="66B44747"/>
    <w:rsid w:val="66B56B05"/>
    <w:rsid w:val="66BB2606"/>
    <w:rsid w:val="66CD6845"/>
    <w:rsid w:val="66D04850"/>
    <w:rsid w:val="66D73695"/>
    <w:rsid w:val="66D813DC"/>
    <w:rsid w:val="66DD162E"/>
    <w:rsid w:val="66E1420D"/>
    <w:rsid w:val="66E52557"/>
    <w:rsid w:val="66E94FBE"/>
    <w:rsid w:val="67093033"/>
    <w:rsid w:val="67221C28"/>
    <w:rsid w:val="67265B1E"/>
    <w:rsid w:val="672B1E6C"/>
    <w:rsid w:val="67322BFE"/>
    <w:rsid w:val="674211DC"/>
    <w:rsid w:val="674866C5"/>
    <w:rsid w:val="675817C3"/>
    <w:rsid w:val="675C2338"/>
    <w:rsid w:val="675E2AB1"/>
    <w:rsid w:val="67647686"/>
    <w:rsid w:val="67684861"/>
    <w:rsid w:val="676E0D14"/>
    <w:rsid w:val="67760631"/>
    <w:rsid w:val="677E6E9A"/>
    <w:rsid w:val="678811A2"/>
    <w:rsid w:val="679016DE"/>
    <w:rsid w:val="67952755"/>
    <w:rsid w:val="67955A25"/>
    <w:rsid w:val="679A5002"/>
    <w:rsid w:val="679A601C"/>
    <w:rsid w:val="679B4067"/>
    <w:rsid w:val="67A84211"/>
    <w:rsid w:val="67B15B1C"/>
    <w:rsid w:val="67B4515D"/>
    <w:rsid w:val="67B45E90"/>
    <w:rsid w:val="67B90EB3"/>
    <w:rsid w:val="67BA0798"/>
    <w:rsid w:val="67BB5E42"/>
    <w:rsid w:val="67BF1AA7"/>
    <w:rsid w:val="67D060F9"/>
    <w:rsid w:val="67D22427"/>
    <w:rsid w:val="67D60AAA"/>
    <w:rsid w:val="67D972F6"/>
    <w:rsid w:val="67DE4B9F"/>
    <w:rsid w:val="67E00E8D"/>
    <w:rsid w:val="67E0242D"/>
    <w:rsid w:val="67F3577B"/>
    <w:rsid w:val="67F84239"/>
    <w:rsid w:val="68016665"/>
    <w:rsid w:val="681159AD"/>
    <w:rsid w:val="68134C19"/>
    <w:rsid w:val="681D30FC"/>
    <w:rsid w:val="68304D35"/>
    <w:rsid w:val="683326E9"/>
    <w:rsid w:val="684B09F0"/>
    <w:rsid w:val="685215C4"/>
    <w:rsid w:val="68610741"/>
    <w:rsid w:val="68676C68"/>
    <w:rsid w:val="68691387"/>
    <w:rsid w:val="686A7146"/>
    <w:rsid w:val="686B620F"/>
    <w:rsid w:val="68716385"/>
    <w:rsid w:val="687535FF"/>
    <w:rsid w:val="687901AD"/>
    <w:rsid w:val="6879295B"/>
    <w:rsid w:val="687B0BFD"/>
    <w:rsid w:val="687F5547"/>
    <w:rsid w:val="68813401"/>
    <w:rsid w:val="68860462"/>
    <w:rsid w:val="6886690D"/>
    <w:rsid w:val="688E3090"/>
    <w:rsid w:val="68965B2F"/>
    <w:rsid w:val="689C0613"/>
    <w:rsid w:val="689E6C52"/>
    <w:rsid w:val="68A075F6"/>
    <w:rsid w:val="68AB3E3A"/>
    <w:rsid w:val="68B46872"/>
    <w:rsid w:val="68BD6B12"/>
    <w:rsid w:val="68BE11C6"/>
    <w:rsid w:val="68CC75F5"/>
    <w:rsid w:val="68D73842"/>
    <w:rsid w:val="68D75B85"/>
    <w:rsid w:val="68E135D8"/>
    <w:rsid w:val="68E32BAD"/>
    <w:rsid w:val="68F03582"/>
    <w:rsid w:val="68F42FB8"/>
    <w:rsid w:val="68FC462C"/>
    <w:rsid w:val="68FC5E08"/>
    <w:rsid w:val="69051369"/>
    <w:rsid w:val="69150F38"/>
    <w:rsid w:val="691A6B1E"/>
    <w:rsid w:val="691E18F6"/>
    <w:rsid w:val="6932590B"/>
    <w:rsid w:val="69336331"/>
    <w:rsid w:val="693D1261"/>
    <w:rsid w:val="694455FE"/>
    <w:rsid w:val="694648FC"/>
    <w:rsid w:val="69506432"/>
    <w:rsid w:val="69577348"/>
    <w:rsid w:val="695929E7"/>
    <w:rsid w:val="695B3518"/>
    <w:rsid w:val="696822CB"/>
    <w:rsid w:val="696A237A"/>
    <w:rsid w:val="698811DA"/>
    <w:rsid w:val="69A67782"/>
    <w:rsid w:val="69A90860"/>
    <w:rsid w:val="69B01D0C"/>
    <w:rsid w:val="69BD3DEF"/>
    <w:rsid w:val="69C03462"/>
    <w:rsid w:val="69C070E8"/>
    <w:rsid w:val="69CB0036"/>
    <w:rsid w:val="69DC75F5"/>
    <w:rsid w:val="69DD5716"/>
    <w:rsid w:val="69E04105"/>
    <w:rsid w:val="69EE46E4"/>
    <w:rsid w:val="6A060C5F"/>
    <w:rsid w:val="6A1074DC"/>
    <w:rsid w:val="6A2C7AC4"/>
    <w:rsid w:val="6A346E91"/>
    <w:rsid w:val="6A3F7FB0"/>
    <w:rsid w:val="6A4D7B96"/>
    <w:rsid w:val="6A572B00"/>
    <w:rsid w:val="6A643AE0"/>
    <w:rsid w:val="6A6A1AD3"/>
    <w:rsid w:val="6A6D10DD"/>
    <w:rsid w:val="6A734426"/>
    <w:rsid w:val="6A7E6B06"/>
    <w:rsid w:val="6A81596A"/>
    <w:rsid w:val="6A817103"/>
    <w:rsid w:val="6A8F5828"/>
    <w:rsid w:val="6A92103D"/>
    <w:rsid w:val="6A9E6CC4"/>
    <w:rsid w:val="6A9F4215"/>
    <w:rsid w:val="6AA700A6"/>
    <w:rsid w:val="6AA77F19"/>
    <w:rsid w:val="6AA83901"/>
    <w:rsid w:val="6AB37579"/>
    <w:rsid w:val="6AC4543C"/>
    <w:rsid w:val="6AC97655"/>
    <w:rsid w:val="6AD7124C"/>
    <w:rsid w:val="6ADC4965"/>
    <w:rsid w:val="6AE22164"/>
    <w:rsid w:val="6AE90536"/>
    <w:rsid w:val="6AF541AA"/>
    <w:rsid w:val="6B04398B"/>
    <w:rsid w:val="6B0C1555"/>
    <w:rsid w:val="6B130A23"/>
    <w:rsid w:val="6B132BFC"/>
    <w:rsid w:val="6B1771EC"/>
    <w:rsid w:val="6B1A08F1"/>
    <w:rsid w:val="6B240A54"/>
    <w:rsid w:val="6B2E1D77"/>
    <w:rsid w:val="6B2E460F"/>
    <w:rsid w:val="6B32613A"/>
    <w:rsid w:val="6B3D0668"/>
    <w:rsid w:val="6B4171E3"/>
    <w:rsid w:val="6B444C59"/>
    <w:rsid w:val="6B65668B"/>
    <w:rsid w:val="6B730521"/>
    <w:rsid w:val="6B7510CB"/>
    <w:rsid w:val="6B892286"/>
    <w:rsid w:val="6B9635EB"/>
    <w:rsid w:val="6BC03667"/>
    <w:rsid w:val="6BCF0A30"/>
    <w:rsid w:val="6BD9313E"/>
    <w:rsid w:val="6BD94E98"/>
    <w:rsid w:val="6BDB1038"/>
    <w:rsid w:val="6BDD3C2A"/>
    <w:rsid w:val="6BE07C46"/>
    <w:rsid w:val="6BF804B4"/>
    <w:rsid w:val="6BFF3FBE"/>
    <w:rsid w:val="6BFF6C4F"/>
    <w:rsid w:val="6C230FD0"/>
    <w:rsid w:val="6C260071"/>
    <w:rsid w:val="6C2C4720"/>
    <w:rsid w:val="6C2E5B87"/>
    <w:rsid w:val="6C387ED9"/>
    <w:rsid w:val="6C392370"/>
    <w:rsid w:val="6C3C04FA"/>
    <w:rsid w:val="6C427261"/>
    <w:rsid w:val="6C465112"/>
    <w:rsid w:val="6C4C42E0"/>
    <w:rsid w:val="6C50171A"/>
    <w:rsid w:val="6C575136"/>
    <w:rsid w:val="6C59167B"/>
    <w:rsid w:val="6C607F32"/>
    <w:rsid w:val="6C7A72F0"/>
    <w:rsid w:val="6C7B055F"/>
    <w:rsid w:val="6C7F6279"/>
    <w:rsid w:val="6C8F1E40"/>
    <w:rsid w:val="6C996BA4"/>
    <w:rsid w:val="6CA73FDD"/>
    <w:rsid w:val="6CAD625E"/>
    <w:rsid w:val="6CC978AA"/>
    <w:rsid w:val="6CD05D1B"/>
    <w:rsid w:val="6CD746C9"/>
    <w:rsid w:val="6CD916C4"/>
    <w:rsid w:val="6CDD42BB"/>
    <w:rsid w:val="6CDF7E97"/>
    <w:rsid w:val="6CE55DC5"/>
    <w:rsid w:val="6CFD6A31"/>
    <w:rsid w:val="6CFE306A"/>
    <w:rsid w:val="6D042B9B"/>
    <w:rsid w:val="6D0855BF"/>
    <w:rsid w:val="6D0C3578"/>
    <w:rsid w:val="6D131C6D"/>
    <w:rsid w:val="6D196AA4"/>
    <w:rsid w:val="6D1A19C3"/>
    <w:rsid w:val="6D263CBF"/>
    <w:rsid w:val="6D2763D5"/>
    <w:rsid w:val="6D286213"/>
    <w:rsid w:val="6D2A5D1D"/>
    <w:rsid w:val="6D2C4C39"/>
    <w:rsid w:val="6D3E0F96"/>
    <w:rsid w:val="6D3E7DE8"/>
    <w:rsid w:val="6D455041"/>
    <w:rsid w:val="6D4B1A74"/>
    <w:rsid w:val="6D5366E5"/>
    <w:rsid w:val="6D536ADF"/>
    <w:rsid w:val="6D5A56E8"/>
    <w:rsid w:val="6D6A0BD3"/>
    <w:rsid w:val="6D6C5DE4"/>
    <w:rsid w:val="6D7A6611"/>
    <w:rsid w:val="6D7C7C17"/>
    <w:rsid w:val="6D7D5E0D"/>
    <w:rsid w:val="6D7E5860"/>
    <w:rsid w:val="6D861C84"/>
    <w:rsid w:val="6D8D35AB"/>
    <w:rsid w:val="6D8D5D21"/>
    <w:rsid w:val="6D9042EF"/>
    <w:rsid w:val="6D911D40"/>
    <w:rsid w:val="6D962C6C"/>
    <w:rsid w:val="6DA155CB"/>
    <w:rsid w:val="6DA65F3B"/>
    <w:rsid w:val="6DA94485"/>
    <w:rsid w:val="6DB622EF"/>
    <w:rsid w:val="6DBD3508"/>
    <w:rsid w:val="6DC040FA"/>
    <w:rsid w:val="6DCB26B8"/>
    <w:rsid w:val="6DCB3CA9"/>
    <w:rsid w:val="6DE0051E"/>
    <w:rsid w:val="6DE973FC"/>
    <w:rsid w:val="6DF03880"/>
    <w:rsid w:val="6DF313C7"/>
    <w:rsid w:val="6E03576A"/>
    <w:rsid w:val="6E0702EA"/>
    <w:rsid w:val="6E1B7C19"/>
    <w:rsid w:val="6E213FE0"/>
    <w:rsid w:val="6E3261E4"/>
    <w:rsid w:val="6E330BD5"/>
    <w:rsid w:val="6E442548"/>
    <w:rsid w:val="6E4F7AD6"/>
    <w:rsid w:val="6E683C61"/>
    <w:rsid w:val="6E7A62C0"/>
    <w:rsid w:val="6E7F7E90"/>
    <w:rsid w:val="6E873DC0"/>
    <w:rsid w:val="6E897D74"/>
    <w:rsid w:val="6E8E2CF2"/>
    <w:rsid w:val="6E9005E8"/>
    <w:rsid w:val="6E9260BB"/>
    <w:rsid w:val="6E930AEE"/>
    <w:rsid w:val="6E9D7B5E"/>
    <w:rsid w:val="6EB31CB3"/>
    <w:rsid w:val="6ED719F5"/>
    <w:rsid w:val="6EE1357E"/>
    <w:rsid w:val="6EE32A83"/>
    <w:rsid w:val="6EE72CB1"/>
    <w:rsid w:val="6EE75F65"/>
    <w:rsid w:val="6EEA7A05"/>
    <w:rsid w:val="6EF4384E"/>
    <w:rsid w:val="6EFE10CB"/>
    <w:rsid w:val="6F000519"/>
    <w:rsid w:val="6F0072DD"/>
    <w:rsid w:val="6F061B70"/>
    <w:rsid w:val="6F0D1709"/>
    <w:rsid w:val="6F0F36BC"/>
    <w:rsid w:val="6F24577D"/>
    <w:rsid w:val="6F2C6E35"/>
    <w:rsid w:val="6F3B29B7"/>
    <w:rsid w:val="6F3F0B57"/>
    <w:rsid w:val="6F4122EE"/>
    <w:rsid w:val="6F42061C"/>
    <w:rsid w:val="6F4F1741"/>
    <w:rsid w:val="6F77095D"/>
    <w:rsid w:val="6F77600F"/>
    <w:rsid w:val="6F7A6C2D"/>
    <w:rsid w:val="6F7B3560"/>
    <w:rsid w:val="6F835C9D"/>
    <w:rsid w:val="6F916DD5"/>
    <w:rsid w:val="6FA37821"/>
    <w:rsid w:val="6FB859C6"/>
    <w:rsid w:val="6FC766A3"/>
    <w:rsid w:val="6FD22285"/>
    <w:rsid w:val="6FDC45E0"/>
    <w:rsid w:val="6FE37AD8"/>
    <w:rsid w:val="6FED33A0"/>
    <w:rsid w:val="6FFA5FC9"/>
    <w:rsid w:val="6FFC7FFF"/>
    <w:rsid w:val="700329B4"/>
    <w:rsid w:val="700448D2"/>
    <w:rsid w:val="70064C75"/>
    <w:rsid w:val="70153289"/>
    <w:rsid w:val="701B0B24"/>
    <w:rsid w:val="701C210E"/>
    <w:rsid w:val="701E41D9"/>
    <w:rsid w:val="702075F0"/>
    <w:rsid w:val="70267ED9"/>
    <w:rsid w:val="70283625"/>
    <w:rsid w:val="70340943"/>
    <w:rsid w:val="70357CF1"/>
    <w:rsid w:val="703A5DBE"/>
    <w:rsid w:val="703E78A6"/>
    <w:rsid w:val="70437113"/>
    <w:rsid w:val="7045765F"/>
    <w:rsid w:val="705771CF"/>
    <w:rsid w:val="705F2402"/>
    <w:rsid w:val="70625804"/>
    <w:rsid w:val="707006B6"/>
    <w:rsid w:val="70710FEE"/>
    <w:rsid w:val="707235EC"/>
    <w:rsid w:val="707F3050"/>
    <w:rsid w:val="70815E21"/>
    <w:rsid w:val="708C6CDB"/>
    <w:rsid w:val="70944B5E"/>
    <w:rsid w:val="70971EB2"/>
    <w:rsid w:val="709854E0"/>
    <w:rsid w:val="709F39D9"/>
    <w:rsid w:val="70B33B5B"/>
    <w:rsid w:val="70B66F21"/>
    <w:rsid w:val="70B92007"/>
    <w:rsid w:val="70BC6707"/>
    <w:rsid w:val="70C231F7"/>
    <w:rsid w:val="70C9063C"/>
    <w:rsid w:val="70CB0849"/>
    <w:rsid w:val="70CC624A"/>
    <w:rsid w:val="70CD1DA8"/>
    <w:rsid w:val="70E86B93"/>
    <w:rsid w:val="70EE7029"/>
    <w:rsid w:val="710F5473"/>
    <w:rsid w:val="711B66FC"/>
    <w:rsid w:val="711C387C"/>
    <w:rsid w:val="713232FE"/>
    <w:rsid w:val="713D5558"/>
    <w:rsid w:val="71432BD7"/>
    <w:rsid w:val="7145361F"/>
    <w:rsid w:val="714D1D1E"/>
    <w:rsid w:val="715003F5"/>
    <w:rsid w:val="716F426E"/>
    <w:rsid w:val="71705B60"/>
    <w:rsid w:val="71731EAF"/>
    <w:rsid w:val="71747254"/>
    <w:rsid w:val="717505A5"/>
    <w:rsid w:val="717D1578"/>
    <w:rsid w:val="717E7AC3"/>
    <w:rsid w:val="718943A0"/>
    <w:rsid w:val="71966ECC"/>
    <w:rsid w:val="71980CE3"/>
    <w:rsid w:val="71AA124C"/>
    <w:rsid w:val="71B61A51"/>
    <w:rsid w:val="71C754AF"/>
    <w:rsid w:val="71C77C9D"/>
    <w:rsid w:val="71CF5385"/>
    <w:rsid w:val="71DD187F"/>
    <w:rsid w:val="71DE6588"/>
    <w:rsid w:val="71E90067"/>
    <w:rsid w:val="72025FF4"/>
    <w:rsid w:val="72055994"/>
    <w:rsid w:val="72195714"/>
    <w:rsid w:val="72200773"/>
    <w:rsid w:val="72213176"/>
    <w:rsid w:val="722F2BA3"/>
    <w:rsid w:val="7230748B"/>
    <w:rsid w:val="7231775D"/>
    <w:rsid w:val="72446A9A"/>
    <w:rsid w:val="724B1115"/>
    <w:rsid w:val="725F1AD3"/>
    <w:rsid w:val="726B79A3"/>
    <w:rsid w:val="72717D7A"/>
    <w:rsid w:val="727D3626"/>
    <w:rsid w:val="728A29DA"/>
    <w:rsid w:val="72961336"/>
    <w:rsid w:val="729D4255"/>
    <w:rsid w:val="729F1DAB"/>
    <w:rsid w:val="72AC539D"/>
    <w:rsid w:val="72BE12D7"/>
    <w:rsid w:val="72C023FD"/>
    <w:rsid w:val="72C303F8"/>
    <w:rsid w:val="72CB2C9F"/>
    <w:rsid w:val="72EA1CD2"/>
    <w:rsid w:val="72F46897"/>
    <w:rsid w:val="73071B35"/>
    <w:rsid w:val="732D37E9"/>
    <w:rsid w:val="733117AE"/>
    <w:rsid w:val="733957B5"/>
    <w:rsid w:val="734A3A56"/>
    <w:rsid w:val="734B13CB"/>
    <w:rsid w:val="7350672D"/>
    <w:rsid w:val="735F5B1D"/>
    <w:rsid w:val="73604E4A"/>
    <w:rsid w:val="737877FF"/>
    <w:rsid w:val="738C2405"/>
    <w:rsid w:val="73A15899"/>
    <w:rsid w:val="73A218C3"/>
    <w:rsid w:val="73C75D6E"/>
    <w:rsid w:val="73E81781"/>
    <w:rsid w:val="73F87DBF"/>
    <w:rsid w:val="73FE120D"/>
    <w:rsid w:val="740A410D"/>
    <w:rsid w:val="740D5069"/>
    <w:rsid w:val="740E516A"/>
    <w:rsid w:val="740F1285"/>
    <w:rsid w:val="741059F8"/>
    <w:rsid w:val="7415578F"/>
    <w:rsid w:val="74293EC2"/>
    <w:rsid w:val="742B7A72"/>
    <w:rsid w:val="7437502F"/>
    <w:rsid w:val="743F4D52"/>
    <w:rsid w:val="74547FF1"/>
    <w:rsid w:val="74566E05"/>
    <w:rsid w:val="74593A24"/>
    <w:rsid w:val="74613CBA"/>
    <w:rsid w:val="74664A0E"/>
    <w:rsid w:val="747C603F"/>
    <w:rsid w:val="748128C0"/>
    <w:rsid w:val="7484142B"/>
    <w:rsid w:val="748A3C02"/>
    <w:rsid w:val="748C1581"/>
    <w:rsid w:val="748C40E3"/>
    <w:rsid w:val="748F15F6"/>
    <w:rsid w:val="749314E7"/>
    <w:rsid w:val="74980B6B"/>
    <w:rsid w:val="74997523"/>
    <w:rsid w:val="74A04F9F"/>
    <w:rsid w:val="74B00114"/>
    <w:rsid w:val="74B03655"/>
    <w:rsid w:val="74D0149F"/>
    <w:rsid w:val="74E41A53"/>
    <w:rsid w:val="74E42826"/>
    <w:rsid w:val="74F109BC"/>
    <w:rsid w:val="74F17787"/>
    <w:rsid w:val="74FB0FB0"/>
    <w:rsid w:val="7506084E"/>
    <w:rsid w:val="750633E7"/>
    <w:rsid w:val="751430CA"/>
    <w:rsid w:val="751A44C1"/>
    <w:rsid w:val="751F21DD"/>
    <w:rsid w:val="75224975"/>
    <w:rsid w:val="75237010"/>
    <w:rsid w:val="752D585A"/>
    <w:rsid w:val="75345293"/>
    <w:rsid w:val="75362BC1"/>
    <w:rsid w:val="75516A41"/>
    <w:rsid w:val="75581483"/>
    <w:rsid w:val="75600FD2"/>
    <w:rsid w:val="75785E46"/>
    <w:rsid w:val="757D26E2"/>
    <w:rsid w:val="758A6861"/>
    <w:rsid w:val="759770D3"/>
    <w:rsid w:val="75987E18"/>
    <w:rsid w:val="759C6F9E"/>
    <w:rsid w:val="759F6D9F"/>
    <w:rsid w:val="75AE26A5"/>
    <w:rsid w:val="75B04D88"/>
    <w:rsid w:val="75B25AE6"/>
    <w:rsid w:val="75D94035"/>
    <w:rsid w:val="75DE52FA"/>
    <w:rsid w:val="75E36C9A"/>
    <w:rsid w:val="75E645E7"/>
    <w:rsid w:val="75E77060"/>
    <w:rsid w:val="75E97CC8"/>
    <w:rsid w:val="75EB14F5"/>
    <w:rsid w:val="75F44586"/>
    <w:rsid w:val="75F905C4"/>
    <w:rsid w:val="75FC4BCC"/>
    <w:rsid w:val="760A65B7"/>
    <w:rsid w:val="76187830"/>
    <w:rsid w:val="761F7284"/>
    <w:rsid w:val="76413F84"/>
    <w:rsid w:val="7641488B"/>
    <w:rsid w:val="76454F8D"/>
    <w:rsid w:val="764A1C44"/>
    <w:rsid w:val="764A2E18"/>
    <w:rsid w:val="76565A70"/>
    <w:rsid w:val="7657246C"/>
    <w:rsid w:val="765D3466"/>
    <w:rsid w:val="766A6268"/>
    <w:rsid w:val="766C19F4"/>
    <w:rsid w:val="766C3E9C"/>
    <w:rsid w:val="766E385E"/>
    <w:rsid w:val="7673030D"/>
    <w:rsid w:val="76740EAE"/>
    <w:rsid w:val="767B3139"/>
    <w:rsid w:val="76845EDA"/>
    <w:rsid w:val="76852540"/>
    <w:rsid w:val="7691335D"/>
    <w:rsid w:val="769518D3"/>
    <w:rsid w:val="76A04B24"/>
    <w:rsid w:val="76C2286F"/>
    <w:rsid w:val="76C87E26"/>
    <w:rsid w:val="76CF4BFF"/>
    <w:rsid w:val="76D64AC4"/>
    <w:rsid w:val="76F51EE9"/>
    <w:rsid w:val="76F80E7B"/>
    <w:rsid w:val="76F8254F"/>
    <w:rsid w:val="76F84ADF"/>
    <w:rsid w:val="76FD7C57"/>
    <w:rsid w:val="77003110"/>
    <w:rsid w:val="7707783E"/>
    <w:rsid w:val="77097CCC"/>
    <w:rsid w:val="77272311"/>
    <w:rsid w:val="772805AD"/>
    <w:rsid w:val="772B7BEE"/>
    <w:rsid w:val="772C3FC1"/>
    <w:rsid w:val="772E524B"/>
    <w:rsid w:val="773B6C08"/>
    <w:rsid w:val="7742728A"/>
    <w:rsid w:val="7749725A"/>
    <w:rsid w:val="774D244D"/>
    <w:rsid w:val="775725F5"/>
    <w:rsid w:val="775938DE"/>
    <w:rsid w:val="775A13AB"/>
    <w:rsid w:val="775B32F1"/>
    <w:rsid w:val="77656103"/>
    <w:rsid w:val="77672662"/>
    <w:rsid w:val="77685617"/>
    <w:rsid w:val="777B4164"/>
    <w:rsid w:val="777E7186"/>
    <w:rsid w:val="777F71D1"/>
    <w:rsid w:val="77921283"/>
    <w:rsid w:val="77983AE5"/>
    <w:rsid w:val="77AB5F7C"/>
    <w:rsid w:val="77C56CE8"/>
    <w:rsid w:val="77C8272F"/>
    <w:rsid w:val="77CC2C82"/>
    <w:rsid w:val="77D2563E"/>
    <w:rsid w:val="77DF27F8"/>
    <w:rsid w:val="77ED1750"/>
    <w:rsid w:val="77F82ECB"/>
    <w:rsid w:val="78030435"/>
    <w:rsid w:val="781A1D12"/>
    <w:rsid w:val="78327A26"/>
    <w:rsid w:val="78331999"/>
    <w:rsid w:val="78496EB8"/>
    <w:rsid w:val="784E60FD"/>
    <w:rsid w:val="785343B5"/>
    <w:rsid w:val="785972C8"/>
    <w:rsid w:val="785A6087"/>
    <w:rsid w:val="78612059"/>
    <w:rsid w:val="786433D3"/>
    <w:rsid w:val="786D2ABF"/>
    <w:rsid w:val="787518CA"/>
    <w:rsid w:val="78864BD7"/>
    <w:rsid w:val="788E150B"/>
    <w:rsid w:val="78901DD5"/>
    <w:rsid w:val="789E3AF5"/>
    <w:rsid w:val="78A77A69"/>
    <w:rsid w:val="78B27115"/>
    <w:rsid w:val="78B73D1C"/>
    <w:rsid w:val="78C46E41"/>
    <w:rsid w:val="78C80CFF"/>
    <w:rsid w:val="78CC4362"/>
    <w:rsid w:val="78CE645B"/>
    <w:rsid w:val="78D034AF"/>
    <w:rsid w:val="78D34DF0"/>
    <w:rsid w:val="78EC4051"/>
    <w:rsid w:val="78F50AD1"/>
    <w:rsid w:val="78FB2A93"/>
    <w:rsid w:val="790062F7"/>
    <w:rsid w:val="79142BD3"/>
    <w:rsid w:val="792211FC"/>
    <w:rsid w:val="793019BE"/>
    <w:rsid w:val="79367F22"/>
    <w:rsid w:val="793A3D9C"/>
    <w:rsid w:val="79453A93"/>
    <w:rsid w:val="7945409B"/>
    <w:rsid w:val="796164E1"/>
    <w:rsid w:val="7964674A"/>
    <w:rsid w:val="796E5F6C"/>
    <w:rsid w:val="79702758"/>
    <w:rsid w:val="79957007"/>
    <w:rsid w:val="7996547F"/>
    <w:rsid w:val="79966E2D"/>
    <w:rsid w:val="79A13848"/>
    <w:rsid w:val="79AE10BC"/>
    <w:rsid w:val="79AE619D"/>
    <w:rsid w:val="79B722A8"/>
    <w:rsid w:val="79BD54FC"/>
    <w:rsid w:val="79BF4718"/>
    <w:rsid w:val="79E07954"/>
    <w:rsid w:val="79E10AE7"/>
    <w:rsid w:val="79F04B8B"/>
    <w:rsid w:val="79F53705"/>
    <w:rsid w:val="7A056D26"/>
    <w:rsid w:val="7A0A33D5"/>
    <w:rsid w:val="7A0B599C"/>
    <w:rsid w:val="7A1B68D2"/>
    <w:rsid w:val="7A227219"/>
    <w:rsid w:val="7A29176D"/>
    <w:rsid w:val="7A306A5A"/>
    <w:rsid w:val="7A3855D3"/>
    <w:rsid w:val="7A456F30"/>
    <w:rsid w:val="7A477545"/>
    <w:rsid w:val="7A510064"/>
    <w:rsid w:val="7A615BD1"/>
    <w:rsid w:val="7A617E0B"/>
    <w:rsid w:val="7A6B6871"/>
    <w:rsid w:val="7A732442"/>
    <w:rsid w:val="7A830994"/>
    <w:rsid w:val="7A874603"/>
    <w:rsid w:val="7AA60F09"/>
    <w:rsid w:val="7AA760FA"/>
    <w:rsid w:val="7AA764FC"/>
    <w:rsid w:val="7AB17380"/>
    <w:rsid w:val="7AB24E3B"/>
    <w:rsid w:val="7AB81A7F"/>
    <w:rsid w:val="7ABE5D90"/>
    <w:rsid w:val="7AC127CA"/>
    <w:rsid w:val="7AC4299D"/>
    <w:rsid w:val="7AC7425B"/>
    <w:rsid w:val="7ADA3433"/>
    <w:rsid w:val="7AE34B6C"/>
    <w:rsid w:val="7AEF54C2"/>
    <w:rsid w:val="7AF17894"/>
    <w:rsid w:val="7AF77127"/>
    <w:rsid w:val="7AF94763"/>
    <w:rsid w:val="7AFF6C2B"/>
    <w:rsid w:val="7B031C6C"/>
    <w:rsid w:val="7B0708CD"/>
    <w:rsid w:val="7B070C2B"/>
    <w:rsid w:val="7B0C68D7"/>
    <w:rsid w:val="7B142C38"/>
    <w:rsid w:val="7B1E08C2"/>
    <w:rsid w:val="7B3760BD"/>
    <w:rsid w:val="7B376C75"/>
    <w:rsid w:val="7B4569F9"/>
    <w:rsid w:val="7B4A02A5"/>
    <w:rsid w:val="7B4B1A7B"/>
    <w:rsid w:val="7B624EDB"/>
    <w:rsid w:val="7B6B741C"/>
    <w:rsid w:val="7B6D3C2F"/>
    <w:rsid w:val="7B8F13C3"/>
    <w:rsid w:val="7BA02EE3"/>
    <w:rsid w:val="7BA718C0"/>
    <w:rsid w:val="7BAA3853"/>
    <w:rsid w:val="7BCE13A9"/>
    <w:rsid w:val="7BD03254"/>
    <w:rsid w:val="7BDA77CE"/>
    <w:rsid w:val="7BE31FD9"/>
    <w:rsid w:val="7BE64E22"/>
    <w:rsid w:val="7BED1ABE"/>
    <w:rsid w:val="7BFB0D5A"/>
    <w:rsid w:val="7BFF09C7"/>
    <w:rsid w:val="7C1042F0"/>
    <w:rsid w:val="7C137E53"/>
    <w:rsid w:val="7C16061B"/>
    <w:rsid w:val="7C1606BD"/>
    <w:rsid w:val="7C18065A"/>
    <w:rsid w:val="7C256512"/>
    <w:rsid w:val="7C341349"/>
    <w:rsid w:val="7C35240E"/>
    <w:rsid w:val="7C387BDF"/>
    <w:rsid w:val="7C3F01E5"/>
    <w:rsid w:val="7C4A2092"/>
    <w:rsid w:val="7C57305A"/>
    <w:rsid w:val="7C6172FA"/>
    <w:rsid w:val="7C667DCE"/>
    <w:rsid w:val="7C6C5383"/>
    <w:rsid w:val="7C6D2210"/>
    <w:rsid w:val="7C790158"/>
    <w:rsid w:val="7C7D5370"/>
    <w:rsid w:val="7C806ED3"/>
    <w:rsid w:val="7C8264AA"/>
    <w:rsid w:val="7C835A11"/>
    <w:rsid w:val="7C8D13F9"/>
    <w:rsid w:val="7C935937"/>
    <w:rsid w:val="7CA82551"/>
    <w:rsid w:val="7CAB286D"/>
    <w:rsid w:val="7CB152DD"/>
    <w:rsid w:val="7CB80501"/>
    <w:rsid w:val="7CDD7F2B"/>
    <w:rsid w:val="7CE7623A"/>
    <w:rsid w:val="7CEA0919"/>
    <w:rsid w:val="7CFD7E0A"/>
    <w:rsid w:val="7D0A487F"/>
    <w:rsid w:val="7D132C87"/>
    <w:rsid w:val="7D1C0F8C"/>
    <w:rsid w:val="7D212FC1"/>
    <w:rsid w:val="7D2F70E2"/>
    <w:rsid w:val="7D3003C9"/>
    <w:rsid w:val="7D313800"/>
    <w:rsid w:val="7D3503A9"/>
    <w:rsid w:val="7D485CC2"/>
    <w:rsid w:val="7D670E39"/>
    <w:rsid w:val="7D7C7DBC"/>
    <w:rsid w:val="7D912F80"/>
    <w:rsid w:val="7D951EDB"/>
    <w:rsid w:val="7D9771A9"/>
    <w:rsid w:val="7D977B39"/>
    <w:rsid w:val="7DA34239"/>
    <w:rsid w:val="7DB94ADC"/>
    <w:rsid w:val="7DCB631B"/>
    <w:rsid w:val="7DDC21AA"/>
    <w:rsid w:val="7DE05561"/>
    <w:rsid w:val="7DE33889"/>
    <w:rsid w:val="7DE85C65"/>
    <w:rsid w:val="7DEF2EFB"/>
    <w:rsid w:val="7DF01222"/>
    <w:rsid w:val="7DF376FD"/>
    <w:rsid w:val="7E0377D4"/>
    <w:rsid w:val="7E107C69"/>
    <w:rsid w:val="7E121286"/>
    <w:rsid w:val="7E142A46"/>
    <w:rsid w:val="7E203DD8"/>
    <w:rsid w:val="7E364D61"/>
    <w:rsid w:val="7E3D2BB2"/>
    <w:rsid w:val="7E456EA1"/>
    <w:rsid w:val="7E4E0E1F"/>
    <w:rsid w:val="7E641133"/>
    <w:rsid w:val="7E6D1C92"/>
    <w:rsid w:val="7E766198"/>
    <w:rsid w:val="7E8268A7"/>
    <w:rsid w:val="7E842EBE"/>
    <w:rsid w:val="7E865096"/>
    <w:rsid w:val="7E8B20A4"/>
    <w:rsid w:val="7EA242E1"/>
    <w:rsid w:val="7EA852D4"/>
    <w:rsid w:val="7EB105D2"/>
    <w:rsid w:val="7EBC3482"/>
    <w:rsid w:val="7ED9524B"/>
    <w:rsid w:val="7EE26AAE"/>
    <w:rsid w:val="7EE813E8"/>
    <w:rsid w:val="7EF006E1"/>
    <w:rsid w:val="7EFD6B69"/>
    <w:rsid w:val="7F07608C"/>
    <w:rsid w:val="7F1702C6"/>
    <w:rsid w:val="7F20274B"/>
    <w:rsid w:val="7F231056"/>
    <w:rsid w:val="7F28723C"/>
    <w:rsid w:val="7F2E0EBA"/>
    <w:rsid w:val="7F397D56"/>
    <w:rsid w:val="7F4546ED"/>
    <w:rsid w:val="7F502424"/>
    <w:rsid w:val="7F503893"/>
    <w:rsid w:val="7F666690"/>
    <w:rsid w:val="7F6874D0"/>
    <w:rsid w:val="7F6A2679"/>
    <w:rsid w:val="7F6B0F2F"/>
    <w:rsid w:val="7F7F12C0"/>
    <w:rsid w:val="7F8D6867"/>
    <w:rsid w:val="7F924B25"/>
    <w:rsid w:val="7FA04E62"/>
    <w:rsid w:val="7FA5217A"/>
    <w:rsid w:val="7FA62343"/>
    <w:rsid w:val="7FC93C27"/>
    <w:rsid w:val="7FCA2730"/>
    <w:rsid w:val="7FD65919"/>
    <w:rsid w:val="7FD9157F"/>
    <w:rsid w:val="7FF27734"/>
    <w:rsid w:val="7FF87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nhideWhenUsed="0" w:uiPriority="0" w:semiHidden="0" w:name="index 9"/>
    <w:lsdException w:qFormat="1" w:unhideWhenUsed="0"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link w:val="35"/>
    <w:qFormat/>
    <w:uiPriority w:val="0"/>
    <w:pPr>
      <w:keepNext/>
      <w:keepLines/>
      <w:spacing w:before="120" w:after="120"/>
      <w:ind w:firstLine="200"/>
      <w:outlineLvl w:val="0"/>
    </w:pPr>
    <w:rPr>
      <w:rFonts w:eastAsia="黑体"/>
      <w:bCs/>
      <w:kern w:val="44"/>
      <w:szCs w:val="44"/>
    </w:rPr>
  </w:style>
  <w:style w:type="paragraph" w:styleId="4">
    <w:name w:val="heading 2"/>
    <w:basedOn w:val="1"/>
    <w:next w:val="1"/>
    <w:link w:val="36"/>
    <w:qFormat/>
    <w:uiPriority w:val="0"/>
    <w:pPr>
      <w:keepNext/>
      <w:keepLines/>
      <w:spacing w:before="120" w:after="60"/>
      <w:ind w:firstLine="200"/>
      <w:outlineLvl w:val="1"/>
    </w:pPr>
    <w:rPr>
      <w:rFonts w:ascii="等线 Light" w:hAnsi="等线 Light" w:eastAsia="楷体"/>
      <w:b/>
      <w:bCs/>
      <w:szCs w:val="32"/>
    </w:rPr>
  </w:style>
  <w:style w:type="paragraph" w:styleId="5">
    <w:name w:val="heading 3"/>
    <w:basedOn w:val="1"/>
    <w:next w:val="1"/>
    <w:link w:val="38"/>
    <w:qFormat/>
    <w:uiPriority w:val="0"/>
    <w:pPr>
      <w:keepNext/>
      <w:keepLines/>
      <w:spacing w:before="260" w:after="260" w:line="416" w:lineRule="auto"/>
      <w:outlineLvl w:val="2"/>
    </w:pPr>
    <w:rPr>
      <w:b/>
      <w:bCs/>
      <w:szCs w:val="32"/>
    </w:rPr>
  </w:style>
  <w:style w:type="paragraph" w:styleId="6">
    <w:name w:val="heading 4"/>
    <w:basedOn w:val="1"/>
    <w:next w:val="1"/>
    <w:link w:val="54"/>
    <w:qFormat/>
    <w:uiPriority w:val="0"/>
    <w:pPr>
      <w:keepNext/>
      <w:keepLines/>
      <w:ind w:firstLine="200"/>
      <w:outlineLvl w:val="3"/>
    </w:pPr>
    <w:rPr>
      <w:rFonts w:ascii="Arial" w:hAnsi="Arial" w:eastAsia="楷体_GB2312"/>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556"/>
    </w:pPr>
    <w:rPr>
      <w:rFonts w:cs="仿宋_GB2312"/>
      <w:kern w:val="0"/>
    </w:rPr>
  </w:style>
  <w:style w:type="paragraph" w:styleId="7">
    <w:name w:val="Document Map"/>
    <w:basedOn w:val="1"/>
    <w:link w:val="51"/>
    <w:semiHidden/>
    <w:qFormat/>
    <w:uiPriority w:val="0"/>
    <w:pPr>
      <w:shd w:val="clear" w:color="auto" w:fill="000080"/>
    </w:pPr>
  </w:style>
  <w:style w:type="paragraph" w:styleId="8">
    <w:name w:val="annotation text"/>
    <w:basedOn w:val="1"/>
    <w:link w:val="52"/>
    <w:qFormat/>
    <w:uiPriority w:val="0"/>
    <w:pPr>
      <w:ind w:firstLine="643"/>
      <w:jc w:val="left"/>
    </w:pPr>
    <w:rPr>
      <w:rFonts w:eastAsia="方正仿宋_GB2312"/>
    </w:rPr>
  </w:style>
  <w:style w:type="paragraph" w:styleId="9">
    <w:name w:val="Body Text"/>
    <w:basedOn w:val="1"/>
    <w:link w:val="39"/>
    <w:qFormat/>
    <w:uiPriority w:val="0"/>
    <w:pPr>
      <w:spacing w:after="120"/>
    </w:pPr>
  </w:style>
  <w:style w:type="paragraph" w:styleId="10">
    <w:name w:val="Body Text Indent"/>
    <w:basedOn w:val="1"/>
    <w:qFormat/>
    <w:uiPriority w:val="0"/>
    <w:pPr>
      <w:spacing w:after="120"/>
      <w:ind w:left="420" w:leftChars="200"/>
    </w:pPr>
  </w:style>
  <w:style w:type="paragraph" w:styleId="11">
    <w:name w:val="toc 3"/>
    <w:basedOn w:val="1"/>
    <w:next w:val="1"/>
    <w:unhideWhenUsed/>
    <w:qFormat/>
    <w:uiPriority w:val="39"/>
    <w:pPr>
      <w:widowControl/>
      <w:spacing w:after="100" w:line="276" w:lineRule="auto"/>
      <w:ind w:left="440"/>
      <w:jc w:val="left"/>
    </w:pPr>
    <w:rPr>
      <w:rFonts w:ascii="Calibri" w:hAnsi="Calibri" w:eastAsia="宋体"/>
      <w:kern w:val="0"/>
      <w:sz w:val="22"/>
      <w:szCs w:val="22"/>
    </w:rPr>
  </w:style>
  <w:style w:type="paragraph" w:styleId="12">
    <w:name w:val="Date"/>
    <w:basedOn w:val="1"/>
    <w:next w:val="1"/>
    <w:link w:val="68"/>
    <w:qFormat/>
    <w:uiPriority w:val="0"/>
    <w:pPr>
      <w:ind w:left="100" w:leftChars="2500"/>
    </w:pPr>
  </w:style>
  <w:style w:type="paragraph" w:styleId="13">
    <w:name w:val="Body Text Indent 2"/>
    <w:basedOn w:val="1"/>
    <w:link w:val="42"/>
    <w:qFormat/>
    <w:uiPriority w:val="0"/>
    <w:pPr>
      <w:spacing w:after="120" w:line="480" w:lineRule="auto"/>
      <w:ind w:left="420" w:leftChars="200"/>
    </w:pPr>
  </w:style>
  <w:style w:type="paragraph" w:styleId="14">
    <w:name w:val="Balloon Text"/>
    <w:basedOn w:val="1"/>
    <w:link w:val="46"/>
    <w:qFormat/>
    <w:uiPriority w:val="0"/>
    <w:rPr>
      <w:sz w:val="18"/>
      <w:szCs w:val="18"/>
    </w:rPr>
  </w:style>
  <w:style w:type="paragraph" w:styleId="15">
    <w:name w:val="footer"/>
    <w:basedOn w:val="1"/>
    <w:link w:val="40"/>
    <w:qFormat/>
    <w:uiPriority w:val="99"/>
    <w:pPr>
      <w:tabs>
        <w:tab w:val="center" w:pos="4153"/>
        <w:tab w:val="right" w:pos="8306"/>
      </w:tabs>
      <w:snapToGrid w:val="0"/>
      <w:jc w:val="left"/>
    </w:pPr>
    <w:rPr>
      <w:sz w:val="18"/>
      <w:szCs w:val="18"/>
    </w:rPr>
  </w:style>
  <w:style w:type="paragraph" w:styleId="16">
    <w:name w:val="header"/>
    <w:basedOn w:val="1"/>
    <w:link w:val="44"/>
    <w:semiHidden/>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ind w:firstLine="200"/>
    </w:pPr>
    <w:rPr>
      <w:rFonts w:eastAsia="黑体"/>
      <w:sz w:val="22"/>
    </w:rPr>
  </w:style>
  <w:style w:type="paragraph" w:styleId="18">
    <w:name w:val="Subtitle"/>
    <w:basedOn w:val="1"/>
    <w:next w:val="1"/>
    <w:link w:val="50"/>
    <w:qFormat/>
    <w:uiPriority w:val="0"/>
    <w:pPr>
      <w:spacing w:before="120" w:after="60"/>
      <w:ind w:firstLine="200"/>
      <w:jc w:val="left"/>
      <w:outlineLvl w:val="1"/>
    </w:pPr>
    <w:rPr>
      <w:rFonts w:ascii="Cambria" w:hAnsi="Cambria" w:eastAsia="楷体"/>
      <w:b/>
      <w:bCs/>
      <w:kern w:val="28"/>
      <w:szCs w:val="32"/>
    </w:rPr>
  </w:style>
  <w:style w:type="paragraph" w:styleId="19">
    <w:name w:val="footnote text"/>
    <w:basedOn w:val="1"/>
    <w:link w:val="47"/>
    <w:qFormat/>
    <w:uiPriority w:val="0"/>
    <w:pPr>
      <w:snapToGrid w:val="0"/>
      <w:jc w:val="left"/>
    </w:pPr>
    <w:rPr>
      <w:sz w:val="18"/>
      <w:szCs w:val="18"/>
    </w:rPr>
  </w:style>
  <w:style w:type="paragraph" w:styleId="20">
    <w:name w:val="index 9"/>
    <w:basedOn w:val="1"/>
    <w:next w:val="1"/>
    <w:qFormat/>
    <w:uiPriority w:val="0"/>
    <w:pPr>
      <w:ind w:left="3360"/>
    </w:pPr>
  </w:style>
  <w:style w:type="paragraph" w:styleId="21">
    <w:name w:val="toc 2"/>
    <w:basedOn w:val="1"/>
    <w:next w:val="1"/>
    <w:unhideWhenUsed/>
    <w:qFormat/>
    <w:uiPriority w:val="39"/>
    <w:pPr>
      <w:widowControl/>
      <w:ind w:left="221" w:firstLine="200"/>
      <w:jc w:val="left"/>
    </w:pPr>
    <w:rPr>
      <w:rFonts w:ascii="Calibri" w:hAnsi="Calibri"/>
      <w:kern w:val="0"/>
      <w:szCs w:val="22"/>
    </w:rPr>
  </w:style>
  <w:style w:type="paragraph" w:styleId="22">
    <w:name w:val="Body Text 2"/>
    <w:basedOn w:val="1"/>
    <w:link w:val="49"/>
    <w:qFormat/>
    <w:uiPriority w:val="0"/>
    <w:pPr>
      <w:spacing w:after="120" w:line="480" w:lineRule="auto"/>
    </w:pPr>
  </w:style>
  <w:style w:type="paragraph" w:styleId="23">
    <w:name w:val="Normal (Web)"/>
    <w:basedOn w:val="1"/>
    <w:next w:val="20"/>
    <w:qFormat/>
    <w:uiPriority w:val="99"/>
    <w:pPr>
      <w:spacing w:before="100" w:beforeAutospacing="1" w:after="100" w:afterAutospacing="1"/>
      <w:jc w:val="left"/>
    </w:pPr>
    <w:rPr>
      <w:kern w:val="0"/>
      <w:sz w:val="24"/>
    </w:rPr>
  </w:style>
  <w:style w:type="paragraph" w:styleId="24">
    <w:name w:val="Title"/>
    <w:basedOn w:val="1"/>
    <w:next w:val="1"/>
    <w:link w:val="45"/>
    <w:qFormat/>
    <w:uiPriority w:val="0"/>
    <w:pPr>
      <w:spacing w:before="240" w:after="60"/>
      <w:jc w:val="center"/>
      <w:outlineLvl w:val="0"/>
    </w:pPr>
    <w:rPr>
      <w:rFonts w:ascii="Cambria" w:hAnsi="Cambria"/>
      <w:b/>
      <w:bCs/>
      <w:szCs w:val="32"/>
    </w:rPr>
  </w:style>
  <w:style w:type="table" w:styleId="26">
    <w:name w:val="Table Grid"/>
    <w:basedOn w:val="25"/>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0"/>
    <w:rPr>
      <w:rFonts w:cs="Times New Roman"/>
      <w:b/>
      <w:bCs/>
    </w:rPr>
  </w:style>
  <w:style w:type="character" w:styleId="29">
    <w:name w:val="page number"/>
    <w:qFormat/>
    <w:uiPriority w:val="0"/>
    <w:rPr>
      <w:rFonts w:cs="Times New Roman"/>
    </w:rPr>
  </w:style>
  <w:style w:type="character" w:styleId="30">
    <w:name w:val="FollowedHyperlink"/>
    <w:qFormat/>
    <w:uiPriority w:val="0"/>
    <w:rPr>
      <w:color w:val="222222"/>
      <w:u w:val="none"/>
    </w:rPr>
  </w:style>
  <w:style w:type="character" w:styleId="31">
    <w:name w:val="Emphasis"/>
    <w:qFormat/>
    <w:uiPriority w:val="0"/>
    <w:rPr>
      <w:rFonts w:ascii="Times New Roman" w:hAnsi="Times New Roman" w:eastAsia="黑体"/>
      <w:iCs/>
      <w:sz w:val="24"/>
    </w:rPr>
  </w:style>
  <w:style w:type="character" w:styleId="32">
    <w:name w:val="Hyperlink"/>
    <w:qFormat/>
    <w:uiPriority w:val="99"/>
    <w:rPr>
      <w:rFonts w:cs="Times New Roman"/>
      <w:color w:val="0000FF"/>
      <w:u w:val="single"/>
    </w:rPr>
  </w:style>
  <w:style w:type="character" w:styleId="33">
    <w:name w:val="annotation reference"/>
    <w:qFormat/>
    <w:uiPriority w:val="0"/>
    <w:rPr>
      <w:sz w:val="21"/>
      <w:szCs w:val="21"/>
    </w:rPr>
  </w:style>
  <w:style w:type="character" w:styleId="34">
    <w:name w:val="footnote reference"/>
    <w:qFormat/>
    <w:uiPriority w:val="0"/>
    <w:rPr>
      <w:vertAlign w:val="superscript"/>
    </w:rPr>
  </w:style>
  <w:style w:type="character" w:customStyle="1" w:styleId="35">
    <w:name w:val="标题 1 Char"/>
    <w:link w:val="3"/>
    <w:qFormat/>
    <w:uiPriority w:val="0"/>
    <w:rPr>
      <w:rFonts w:ascii="Times New Roman" w:hAnsi="Times New Roman" w:eastAsia="黑体" w:cs="Calibri"/>
      <w:bCs/>
      <w:kern w:val="44"/>
      <w:sz w:val="32"/>
      <w:szCs w:val="44"/>
    </w:rPr>
  </w:style>
  <w:style w:type="character" w:customStyle="1" w:styleId="36">
    <w:name w:val="标题 2 Char"/>
    <w:link w:val="4"/>
    <w:qFormat/>
    <w:uiPriority w:val="0"/>
    <w:rPr>
      <w:rFonts w:ascii="等线 Light" w:hAnsi="等线 Light" w:eastAsia="楷体"/>
      <w:b/>
      <w:bCs/>
      <w:kern w:val="2"/>
      <w:sz w:val="32"/>
      <w:szCs w:val="32"/>
    </w:rPr>
  </w:style>
  <w:style w:type="paragraph" w:customStyle="1" w:styleId="37">
    <w:name w:val="正文-公1"/>
    <w:basedOn w:val="1"/>
    <w:next w:val="23"/>
    <w:qFormat/>
    <w:uiPriority w:val="0"/>
    <w:pPr>
      <w:ind w:firstLine="200"/>
    </w:pPr>
    <w:rPr>
      <w:color w:val="000000"/>
    </w:rPr>
  </w:style>
  <w:style w:type="character" w:customStyle="1" w:styleId="38">
    <w:name w:val="标题 3 Char"/>
    <w:link w:val="5"/>
    <w:qFormat/>
    <w:uiPriority w:val="0"/>
    <w:rPr>
      <w:rFonts w:ascii="Calibri" w:hAnsi="Calibri" w:cs="Calibri"/>
      <w:b/>
      <w:bCs/>
      <w:kern w:val="2"/>
      <w:sz w:val="32"/>
      <w:szCs w:val="32"/>
    </w:rPr>
  </w:style>
  <w:style w:type="character" w:customStyle="1" w:styleId="39">
    <w:name w:val="正文文本 Char"/>
    <w:link w:val="9"/>
    <w:semiHidden/>
    <w:qFormat/>
    <w:locked/>
    <w:uiPriority w:val="0"/>
    <w:rPr>
      <w:rFonts w:eastAsia="宋体"/>
      <w:kern w:val="2"/>
      <w:sz w:val="21"/>
      <w:szCs w:val="21"/>
      <w:lang w:val="en-US" w:eastAsia="zh-CN" w:bidi="ar-SA"/>
    </w:rPr>
  </w:style>
  <w:style w:type="character" w:customStyle="1" w:styleId="40">
    <w:name w:val="页脚 Char1"/>
    <w:link w:val="15"/>
    <w:semiHidden/>
    <w:qFormat/>
    <w:locked/>
    <w:uiPriority w:val="0"/>
    <w:rPr>
      <w:rFonts w:ascii="Calibri" w:hAnsi="Calibri" w:eastAsia="宋体" w:cs="Calibri"/>
      <w:kern w:val="2"/>
      <w:sz w:val="18"/>
      <w:szCs w:val="18"/>
      <w:lang w:val="en-US" w:eastAsia="zh-CN" w:bidi="ar-SA"/>
    </w:rPr>
  </w:style>
  <w:style w:type="character" w:customStyle="1" w:styleId="41">
    <w:name w:val="页脚 Char"/>
    <w:qFormat/>
    <w:uiPriority w:val="99"/>
    <w:rPr>
      <w:rFonts w:eastAsia="Calibri"/>
      <w:sz w:val="21"/>
    </w:rPr>
  </w:style>
  <w:style w:type="character" w:customStyle="1" w:styleId="42">
    <w:name w:val="正文文本缩进 2 Char"/>
    <w:link w:val="13"/>
    <w:semiHidden/>
    <w:qFormat/>
    <w:locked/>
    <w:uiPriority w:val="0"/>
    <w:rPr>
      <w:rFonts w:ascii="Calibri" w:hAnsi="Calibri" w:eastAsia="宋体" w:cs="Calibri"/>
      <w:kern w:val="2"/>
      <w:sz w:val="21"/>
      <w:szCs w:val="21"/>
      <w:lang w:val="en-US" w:eastAsia="zh-CN" w:bidi="ar-SA"/>
    </w:rPr>
  </w:style>
  <w:style w:type="character" w:customStyle="1" w:styleId="43">
    <w:name w:val="Char Char3"/>
    <w:qFormat/>
    <w:uiPriority w:val="0"/>
    <w:rPr>
      <w:rFonts w:ascii="Calibri" w:hAnsi="Calibri" w:eastAsia="宋体" w:cs="Calibri"/>
      <w:kern w:val="2"/>
      <w:sz w:val="18"/>
      <w:szCs w:val="18"/>
      <w:lang w:val="en-US" w:eastAsia="zh-CN"/>
    </w:rPr>
  </w:style>
  <w:style w:type="character" w:customStyle="1" w:styleId="44">
    <w:name w:val="页眉 Char"/>
    <w:link w:val="16"/>
    <w:semiHidden/>
    <w:qFormat/>
    <w:locked/>
    <w:uiPriority w:val="0"/>
    <w:rPr>
      <w:rFonts w:ascii="Calibri" w:hAnsi="Calibri" w:eastAsia="宋体" w:cs="Calibri"/>
      <w:kern w:val="2"/>
      <w:sz w:val="18"/>
      <w:szCs w:val="18"/>
      <w:lang w:val="en-US" w:eastAsia="zh-CN" w:bidi="ar-SA"/>
    </w:rPr>
  </w:style>
  <w:style w:type="character" w:customStyle="1" w:styleId="45">
    <w:name w:val="标题 Char"/>
    <w:link w:val="24"/>
    <w:qFormat/>
    <w:uiPriority w:val="0"/>
    <w:rPr>
      <w:rFonts w:ascii="Cambria" w:hAnsi="Cambria" w:cs="Times New Roman"/>
      <w:b/>
      <w:bCs/>
      <w:kern w:val="2"/>
      <w:sz w:val="32"/>
      <w:szCs w:val="32"/>
    </w:rPr>
  </w:style>
  <w:style w:type="character" w:customStyle="1" w:styleId="46">
    <w:name w:val="批注框文本 Char"/>
    <w:link w:val="14"/>
    <w:qFormat/>
    <w:uiPriority w:val="0"/>
    <w:rPr>
      <w:rFonts w:ascii="Calibri" w:hAnsi="Calibri" w:cs="Calibri"/>
      <w:kern w:val="2"/>
      <w:sz w:val="18"/>
      <w:szCs w:val="18"/>
    </w:rPr>
  </w:style>
  <w:style w:type="character" w:customStyle="1" w:styleId="47">
    <w:name w:val="脚注文本 Char"/>
    <w:link w:val="19"/>
    <w:qFormat/>
    <w:uiPriority w:val="0"/>
    <w:rPr>
      <w:rFonts w:ascii="Calibri" w:hAnsi="Calibri" w:cs="Calibri"/>
      <w:kern w:val="2"/>
      <w:sz w:val="18"/>
      <w:szCs w:val="18"/>
    </w:rPr>
  </w:style>
  <w:style w:type="character" w:customStyle="1" w:styleId="48">
    <w:name w:val="font41"/>
    <w:basedOn w:val="27"/>
    <w:qFormat/>
    <w:uiPriority w:val="0"/>
    <w:rPr>
      <w:rFonts w:ascii="仿宋_GB2312" w:eastAsia="仿宋_GB2312" w:cs="仿宋_GB2312"/>
      <w:color w:val="000000"/>
      <w:sz w:val="24"/>
      <w:szCs w:val="24"/>
      <w:u w:val="none"/>
    </w:rPr>
  </w:style>
  <w:style w:type="character" w:customStyle="1" w:styleId="49">
    <w:name w:val="正文文本 2 Char"/>
    <w:link w:val="22"/>
    <w:semiHidden/>
    <w:qFormat/>
    <w:locked/>
    <w:uiPriority w:val="0"/>
    <w:rPr>
      <w:rFonts w:eastAsia="宋体"/>
      <w:kern w:val="2"/>
      <w:sz w:val="21"/>
      <w:szCs w:val="21"/>
      <w:lang w:val="en-US" w:eastAsia="zh-CN" w:bidi="ar-SA"/>
    </w:rPr>
  </w:style>
  <w:style w:type="character" w:customStyle="1" w:styleId="50">
    <w:name w:val="副标题 Char"/>
    <w:link w:val="18"/>
    <w:qFormat/>
    <w:uiPriority w:val="0"/>
    <w:rPr>
      <w:rFonts w:ascii="Cambria" w:hAnsi="Cambria" w:eastAsia="楷体" w:cs="Times New Roman"/>
      <w:b/>
      <w:bCs/>
      <w:kern w:val="28"/>
      <w:sz w:val="32"/>
      <w:szCs w:val="32"/>
    </w:rPr>
  </w:style>
  <w:style w:type="character" w:customStyle="1" w:styleId="51">
    <w:name w:val="文档结构图 Char"/>
    <w:link w:val="7"/>
    <w:semiHidden/>
    <w:qFormat/>
    <w:locked/>
    <w:uiPriority w:val="0"/>
    <w:rPr>
      <w:rFonts w:ascii="Calibri" w:hAnsi="Calibri" w:eastAsia="宋体" w:cs="Calibri"/>
      <w:kern w:val="2"/>
      <w:sz w:val="21"/>
      <w:szCs w:val="21"/>
      <w:lang w:val="en-US" w:eastAsia="zh-CN" w:bidi="ar-SA"/>
    </w:rPr>
  </w:style>
  <w:style w:type="character" w:customStyle="1" w:styleId="52">
    <w:name w:val="批注文字 Char"/>
    <w:link w:val="8"/>
    <w:qFormat/>
    <w:uiPriority w:val="0"/>
    <w:rPr>
      <w:rFonts w:ascii="Calibri" w:hAnsi="Calibri" w:eastAsia="方正仿宋_GB2312" w:cs="Calibri"/>
      <w:kern w:val="2"/>
      <w:sz w:val="32"/>
      <w:szCs w:val="21"/>
    </w:rPr>
  </w:style>
  <w:style w:type="character" w:customStyle="1" w:styleId="53">
    <w:name w:val="Char Char2"/>
    <w:qFormat/>
    <w:uiPriority w:val="0"/>
    <w:rPr>
      <w:rFonts w:ascii="Calibri" w:hAnsi="Calibri" w:eastAsia="宋体" w:cs="Calibri"/>
      <w:kern w:val="2"/>
      <w:sz w:val="18"/>
      <w:szCs w:val="18"/>
      <w:lang w:val="en-US" w:eastAsia="zh-CN"/>
    </w:rPr>
  </w:style>
  <w:style w:type="character" w:customStyle="1" w:styleId="54">
    <w:name w:val="标题 4 Char"/>
    <w:link w:val="6"/>
    <w:qFormat/>
    <w:uiPriority w:val="0"/>
    <w:rPr>
      <w:rFonts w:ascii="Arial" w:hAnsi="Arial" w:eastAsia="楷体_GB2312" w:cs="Calibri"/>
      <w:kern w:val="2"/>
      <w:sz w:val="32"/>
      <w:szCs w:val="21"/>
    </w:rPr>
  </w:style>
  <w:style w:type="paragraph" w:customStyle="1" w:styleId="55">
    <w:name w:val="报告正文"/>
    <w:basedOn w:val="1"/>
    <w:next w:val="10"/>
    <w:link w:val="63"/>
    <w:qFormat/>
    <w:uiPriority w:val="0"/>
    <w:pPr>
      <w:ind w:firstLine="643"/>
    </w:pPr>
  </w:style>
  <w:style w:type="paragraph" w:customStyle="1" w:styleId="56">
    <w:name w:val="TOC 标题1"/>
    <w:basedOn w:val="3"/>
    <w:next w:val="1"/>
    <w:qFormat/>
    <w:uiPriority w:val="39"/>
    <w:pPr>
      <w:widowControl/>
      <w:spacing w:before="480" w:after="0" w:line="276" w:lineRule="auto"/>
      <w:ind w:firstLine="0" w:firstLineChars="0"/>
      <w:jc w:val="left"/>
      <w:outlineLvl w:val="9"/>
    </w:pPr>
    <w:rPr>
      <w:rFonts w:ascii="Cambria" w:hAnsi="Cambria" w:eastAsia="宋体"/>
      <w:b/>
      <w:color w:val="365F91"/>
      <w:kern w:val="0"/>
      <w:sz w:val="28"/>
      <w:szCs w:val="28"/>
    </w:rPr>
  </w:style>
  <w:style w:type="paragraph" w:customStyle="1" w:styleId="5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8">
    <w:name w:val="表头"/>
    <w:basedOn w:val="1"/>
    <w:qFormat/>
    <w:uiPriority w:val="0"/>
    <w:pPr>
      <w:spacing w:line="240" w:lineRule="auto"/>
      <w:ind w:firstLine="0" w:firstLineChars="0"/>
      <w:jc w:val="center"/>
    </w:pPr>
    <w:rPr>
      <w:rFonts w:eastAsia="黑体"/>
      <w:sz w:val="24"/>
    </w:rPr>
  </w:style>
  <w:style w:type="paragraph" w:customStyle="1" w:styleId="59">
    <w:name w:val="WPSOffice手动目录 1"/>
    <w:qFormat/>
    <w:uiPriority w:val="0"/>
    <w:rPr>
      <w:rFonts w:ascii="Times New Roman" w:hAnsi="Times New Roman" w:eastAsia="宋体" w:cs="Times New Roman"/>
      <w:lang w:val="en-US" w:eastAsia="zh-CN" w:bidi="ar-SA"/>
    </w:rPr>
  </w:style>
  <w:style w:type="paragraph" w:customStyle="1" w:styleId="60">
    <w:name w:val="表格标题"/>
    <w:basedOn w:val="1"/>
    <w:qFormat/>
    <w:uiPriority w:val="0"/>
    <w:pPr>
      <w:spacing w:before="120" w:after="60"/>
      <w:jc w:val="center"/>
    </w:pPr>
    <w:rPr>
      <w:rFonts w:eastAsia="黑体"/>
      <w:kern w:val="0"/>
      <w:sz w:val="24"/>
      <w:szCs w:val="28"/>
    </w:rPr>
  </w:style>
  <w:style w:type="paragraph" w:customStyle="1" w:styleId="61">
    <w:name w:val="列出段落1"/>
    <w:basedOn w:val="1"/>
    <w:qFormat/>
    <w:uiPriority w:val="99"/>
    <w:pPr>
      <w:ind w:firstLine="420"/>
    </w:pPr>
    <w:rPr>
      <w:rFonts w:eastAsia="方正仿宋_GB2312"/>
    </w:rPr>
  </w:style>
  <w:style w:type="table" w:customStyle="1" w:styleId="62">
    <w:name w:val="网格型1"/>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63">
    <w:name w:val="报告正文 Char"/>
    <w:link w:val="55"/>
    <w:qFormat/>
    <w:uiPriority w:val="0"/>
  </w:style>
  <w:style w:type="paragraph" w:customStyle="1" w:styleId="64">
    <w:name w:val="TOC 标题2"/>
    <w:basedOn w:val="3"/>
    <w:next w:val="1"/>
    <w:unhideWhenUsed/>
    <w:qFormat/>
    <w:uiPriority w:val="39"/>
    <w:pPr>
      <w:widowControl/>
      <w:spacing w:before="240" w:after="0" w:line="259" w:lineRule="auto"/>
      <w:ind w:firstLine="0" w:firstLineChars="0"/>
      <w:jc w:val="left"/>
      <w:outlineLvl w:val="9"/>
    </w:pPr>
    <w:rPr>
      <w:rFonts w:ascii="Calibri Light" w:hAnsi="Calibri Light" w:eastAsia="宋体"/>
      <w:bCs w:val="0"/>
      <w:color w:val="2E74B5"/>
      <w:kern w:val="0"/>
      <w:szCs w:val="32"/>
    </w:rPr>
  </w:style>
  <w:style w:type="character" w:customStyle="1" w:styleId="65">
    <w:name w:val="font21"/>
    <w:basedOn w:val="27"/>
    <w:qFormat/>
    <w:uiPriority w:val="0"/>
    <w:rPr>
      <w:rFonts w:hint="eastAsia" w:ascii="宋体" w:hAnsi="宋体" w:eastAsia="宋体" w:cs="宋体"/>
      <w:color w:val="000000"/>
      <w:sz w:val="20"/>
      <w:szCs w:val="20"/>
      <w:u w:val="none"/>
    </w:rPr>
  </w:style>
  <w:style w:type="character" w:customStyle="1" w:styleId="66">
    <w:name w:val="font01"/>
    <w:basedOn w:val="27"/>
    <w:qFormat/>
    <w:uiPriority w:val="0"/>
    <w:rPr>
      <w:rFonts w:hint="eastAsia" w:ascii="宋体" w:hAnsi="宋体" w:eastAsia="宋体" w:cs="宋体"/>
      <w:color w:val="000000"/>
      <w:sz w:val="20"/>
      <w:szCs w:val="20"/>
      <w:u w:val="none"/>
    </w:rPr>
  </w:style>
  <w:style w:type="paragraph" w:styleId="67">
    <w:name w:val="List Paragraph"/>
    <w:basedOn w:val="1"/>
    <w:qFormat/>
    <w:uiPriority w:val="99"/>
    <w:pPr>
      <w:ind w:firstLine="420"/>
    </w:pPr>
  </w:style>
  <w:style w:type="character" w:customStyle="1" w:styleId="68">
    <w:name w:val="日期 Char"/>
    <w:basedOn w:val="27"/>
    <w:link w:val="12"/>
    <w:qFormat/>
    <w:uiPriority w:val="0"/>
    <w:rPr>
      <w:rFonts w:ascii="Times New Roman" w:hAnsi="Times New Roman" w:eastAsia="仿宋_GB2312"/>
      <w:kern w:val="2"/>
      <w:sz w:val="32"/>
      <w:szCs w:val="21"/>
    </w:rPr>
  </w:style>
  <w:style w:type="paragraph" w:customStyle="1" w:styleId="69">
    <w:name w:val="TOC 标题3"/>
    <w:basedOn w:val="3"/>
    <w:next w:val="1"/>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b/>
      <w:color w:val="2F5597" w:themeColor="accent1" w:themeShade="BF"/>
      <w:kern w:val="0"/>
      <w:sz w:val="28"/>
      <w:szCs w:val="28"/>
    </w:rPr>
  </w:style>
  <w:style w:type="table" w:customStyle="1" w:styleId="70">
    <w:name w:val="网格型2"/>
    <w:basedOn w:val="25"/>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1">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72">
    <w:name w:val="正文（表后）"/>
    <w:basedOn w:val="1"/>
    <w:qFormat/>
    <w:uiPriority w:val="0"/>
    <w:pPr>
      <w:spacing w:before="60"/>
      <w:ind w:firstLine="586"/>
    </w:pPr>
  </w:style>
  <w:style w:type="table" w:customStyle="1" w:styleId="73">
    <w:name w:val="网格型18"/>
    <w:basedOn w:val="25"/>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4">
    <w:name w:val="网格型11"/>
    <w:basedOn w:val="2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经典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5B35B-8897-443F-AB41-728254E58E0D}">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65</Pages>
  <Words>5816</Words>
  <Characters>33156</Characters>
  <Lines>276</Lines>
  <Paragraphs>77</Paragraphs>
  <TotalTime>13</TotalTime>
  <ScaleCrop>false</ScaleCrop>
  <LinksUpToDate>false</LinksUpToDate>
  <CharactersWithSpaces>38895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2020-04-20T01:28:00Z</dcterms:created>
  <dc:creator>微软用户</dc:creator>
  <cp:lastModifiedBy>YYY</cp:lastModifiedBy>
  <cp:lastPrinted>2021-12-16T10:46:00Z</cp:lastPrinted>
  <dcterms:modified xsi:type="dcterms:W3CDTF">2022-08-10T10:43:28Z</dcterms:modified>
  <dc:title>附件1：贵阳市财政支出绩效评价共性指标框架</dc:title>
  <cp:revision>395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92009C8819D0473B98D1931062EBDA41</vt:lpwstr>
  </property>
</Properties>
</file>