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ind w:firstLine="0" w:firstLineChars="0"/>
        <w:jc w:val="center"/>
        <w:rPr>
          <w:rFonts w:hint="default" w:ascii="方正小标宋简体" w:eastAsia="方正小标宋简体"/>
          <w:bCs/>
          <w:sz w:val="36"/>
          <w:lang w:val="en-US" w:eastAsia="zh-CN"/>
        </w:rPr>
      </w:pPr>
      <w:bookmarkStart w:id="0" w:name="_Toc32607"/>
      <w:bookmarkStart w:id="1" w:name="_Toc27199"/>
      <w:bookmarkStart w:id="2" w:name="_Toc21432039"/>
      <w:bookmarkStart w:id="3" w:name="_Toc22362"/>
      <w:bookmarkStart w:id="4" w:name="_Toc21432356"/>
      <w:bookmarkStart w:id="5" w:name="_Toc21431918"/>
      <w:r>
        <w:rPr>
          <w:rFonts w:hint="eastAsia" w:ascii="方正小标宋简体" w:eastAsia="方正小标宋简体"/>
          <w:bCs/>
          <w:sz w:val="36"/>
        </w:rPr>
        <w:t>云岩区</w:t>
      </w:r>
      <w:r>
        <w:rPr>
          <w:rFonts w:hint="eastAsia" w:ascii="方正小标宋简体" w:eastAsia="方正小标宋简体"/>
          <w:bCs/>
          <w:sz w:val="36"/>
          <w:lang w:val="en-US" w:eastAsia="zh-CN"/>
        </w:rPr>
        <w:t>文昌阁街道办事处</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eastAsia="方正小标宋简体"/>
          <w:bCs/>
          <w:sz w:val="36"/>
        </w:rPr>
      </w:pPr>
      <w:bookmarkStart w:id="6" w:name="_Toc38272008"/>
      <w:bookmarkStart w:id="7" w:name="_Toc37258141"/>
      <w:bookmarkStart w:id="8" w:name="_Toc38269660"/>
      <w:r>
        <w:rPr>
          <w:rFonts w:hint="eastAsia" w:ascii="方正小标宋简体" w:eastAsia="方正小标宋简体"/>
          <w:bCs/>
          <w:sz w:val="36"/>
        </w:rPr>
        <w:t>20</w:t>
      </w:r>
      <w:r>
        <w:rPr>
          <w:rFonts w:hint="eastAsia" w:ascii="方正小标宋简体" w:eastAsia="方正小标宋简体"/>
          <w:bCs/>
          <w:sz w:val="36"/>
          <w:lang w:val="en-US" w:eastAsia="zh-CN"/>
        </w:rPr>
        <w:t>20</w:t>
      </w:r>
      <w:r>
        <w:rPr>
          <w:rFonts w:hint="eastAsia" w:ascii="方正小标宋简体" w:eastAsia="方正小标宋简体"/>
          <w:bCs/>
          <w:sz w:val="36"/>
        </w:rPr>
        <w:t>年部门整体支出绩效评价报告</w:t>
      </w:r>
      <w:bookmarkEnd w:id="0"/>
      <w:bookmarkEnd w:id="1"/>
      <w:bookmarkEnd w:id="2"/>
      <w:bookmarkEnd w:id="3"/>
      <w:bookmarkEnd w:id="4"/>
      <w:bookmarkEnd w:id="5"/>
      <w:bookmarkEnd w:id="6"/>
      <w:bookmarkEnd w:id="7"/>
      <w:bookmarkEnd w:id="8"/>
    </w:p>
    <w:p>
      <w:pPr>
        <w:pStyle w:val="4"/>
        <w:ind w:left="0" w:leftChars="0" w:firstLine="0" w:firstLineChars="0"/>
        <w:rPr>
          <w:rFonts w:hint="eastAsia"/>
        </w:rPr>
      </w:pPr>
    </w:p>
    <w:p>
      <w:pPr>
        <w:pStyle w:val="3"/>
        <w:bidi w:val="0"/>
      </w:pPr>
      <w:bookmarkStart w:id="9" w:name="_Toc1644"/>
      <w:bookmarkStart w:id="10" w:name="_Toc9367"/>
      <w:bookmarkStart w:id="11" w:name="_Toc1524"/>
      <w:bookmarkStart w:id="12" w:name="_Toc41579771"/>
      <w:r>
        <w:rPr>
          <w:rFonts w:hint="eastAsia"/>
        </w:rPr>
        <w:t>一、基本情况</w:t>
      </w:r>
      <w:bookmarkEnd w:id="9"/>
      <w:bookmarkEnd w:id="10"/>
      <w:bookmarkEnd w:id="11"/>
      <w:bookmarkEnd w:id="12"/>
    </w:p>
    <w:p>
      <w:pPr>
        <w:pStyle w:val="4"/>
        <w:bidi w:val="0"/>
      </w:pPr>
      <w:bookmarkStart w:id="13" w:name="_Toc4908"/>
      <w:bookmarkStart w:id="14" w:name="_Toc41579772"/>
      <w:bookmarkStart w:id="15" w:name="_Toc6100"/>
      <w:bookmarkStart w:id="16" w:name="_Toc20665"/>
      <w:r>
        <w:rPr>
          <w:rFonts w:hint="eastAsia"/>
        </w:rPr>
        <w:t>（一）部门概况</w:t>
      </w:r>
      <w:bookmarkEnd w:id="13"/>
      <w:bookmarkEnd w:id="14"/>
      <w:bookmarkEnd w:id="15"/>
      <w:bookmarkEnd w:id="16"/>
    </w:p>
    <w:p>
      <w:pPr>
        <w:pStyle w:val="2"/>
        <w:ind w:firstLine="643"/>
        <w:rPr>
          <w:b/>
        </w:rPr>
      </w:pPr>
      <w:r>
        <w:rPr>
          <w:rFonts w:hint="eastAsia"/>
          <w:b/>
        </w:rPr>
        <w:t>1</w:t>
      </w:r>
      <w:r>
        <w:rPr>
          <w:rFonts w:hint="eastAsia"/>
          <w:b/>
          <w:bCs/>
          <w:spacing w:val="6"/>
          <w:szCs w:val="32"/>
        </w:rPr>
        <w:t>．</w:t>
      </w:r>
      <w:r>
        <w:rPr>
          <w:rFonts w:hint="eastAsia"/>
          <w:b/>
        </w:rPr>
        <w:t>部门简介</w:t>
      </w:r>
    </w:p>
    <w:p>
      <w:pPr>
        <w:pStyle w:val="2"/>
        <w:ind w:firstLine="643"/>
        <w:rPr>
          <w:rFonts w:hint="eastAsia"/>
          <w:lang w:val="en-US" w:eastAsia="zh-CN"/>
        </w:rPr>
      </w:pPr>
      <w:r>
        <w:rPr>
          <w:rFonts w:hint="eastAsia"/>
          <w:lang w:val="en-US" w:eastAsia="zh-CN"/>
        </w:rPr>
        <w:t>文昌阁街道办事处于2020年2月挂牌成立（由原中华、中东、东山3个社区服务中心合并而成），辖区面积2.203平方公里，东临东山豪力新村，南达月亮岩路，西至中华中路，北抵仙鹅路。现辖12个社区居委会，共30078户，66913人（其中常住人口47706人，流动人口19207人），地处贵阳市的核心区，喷水池—大十字老牌商圈。文昌阁街道办事处是区人民政府的派出机构，受区人民政府的直接领导，行使区人民政府赋予的权力，负责辖区经济建设、城市管理、社会服务等行政管理工作。</w:t>
      </w:r>
    </w:p>
    <w:p>
      <w:pPr>
        <w:pStyle w:val="2"/>
        <w:ind w:firstLine="643"/>
        <w:rPr>
          <w:b/>
        </w:rPr>
      </w:pPr>
      <w:r>
        <w:rPr>
          <w:rFonts w:hint="eastAsia"/>
          <w:b/>
        </w:rPr>
        <w:t>2</w:t>
      </w:r>
      <w:r>
        <w:rPr>
          <w:rFonts w:hint="eastAsia"/>
          <w:b/>
          <w:bCs/>
          <w:spacing w:val="6"/>
          <w:szCs w:val="32"/>
        </w:rPr>
        <w:t>．</w:t>
      </w:r>
      <w:r>
        <w:rPr>
          <w:rFonts w:hint="eastAsia"/>
          <w:b/>
        </w:rPr>
        <w:t>部门主要职能</w:t>
      </w:r>
    </w:p>
    <w:p>
      <w:pPr>
        <w:ind w:firstLine="640"/>
        <w:rPr>
          <w:rFonts w:hint="eastAsia"/>
          <w:lang w:val="en-US" w:eastAsia="zh-CN"/>
        </w:rPr>
      </w:pPr>
      <w:r>
        <w:rPr>
          <w:rFonts w:hint="eastAsia"/>
          <w:lang w:val="en-US" w:eastAsia="zh-CN"/>
        </w:rPr>
        <w:t>（1）贯彻执行党和国家的路线、方针、政策、法律、法规和上级党委、政府及街道党工委的决定、决议；</w:t>
      </w:r>
    </w:p>
    <w:p>
      <w:pPr>
        <w:ind w:firstLine="640"/>
        <w:rPr>
          <w:rFonts w:hint="eastAsia"/>
          <w:lang w:val="en-US" w:eastAsia="zh-CN"/>
        </w:rPr>
      </w:pPr>
      <w:r>
        <w:rPr>
          <w:rFonts w:hint="eastAsia"/>
          <w:lang w:val="en-US" w:eastAsia="zh-CN"/>
        </w:rPr>
        <w:t>（2）执行区域的经济和社会发展计划、财政预算，负责本区域科技、教育、文化、卫生健康、体育、民政、司法、安全生产管理、食品药品安全、生态建设、村镇建设、农林、水务、劳动保障、应急管理、社会稳定和营商环境建设等公共管理服务工作；</w:t>
      </w:r>
    </w:p>
    <w:p>
      <w:pPr>
        <w:ind w:firstLine="640"/>
        <w:rPr>
          <w:rFonts w:hint="eastAsia"/>
          <w:lang w:val="en-US" w:eastAsia="zh-CN"/>
        </w:rPr>
      </w:pPr>
      <w:r>
        <w:rPr>
          <w:rFonts w:hint="eastAsia"/>
          <w:lang w:val="en-US" w:eastAsia="zh-CN"/>
        </w:rPr>
        <w:t>（3）指导、支持和帮助居民委员会和居民依法开展自治活动；</w:t>
      </w:r>
    </w:p>
    <w:p>
      <w:pPr>
        <w:ind w:firstLine="640"/>
        <w:rPr>
          <w:rFonts w:hint="eastAsia"/>
          <w:lang w:val="en-US" w:eastAsia="zh-CN"/>
        </w:rPr>
      </w:pPr>
      <w:r>
        <w:rPr>
          <w:rFonts w:hint="eastAsia"/>
          <w:lang w:val="en-US" w:eastAsia="zh-CN"/>
        </w:rPr>
        <w:t>（4）承办区人民政府交办的其他工作任务。</w:t>
      </w:r>
    </w:p>
    <w:p>
      <w:pPr>
        <w:pStyle w:val="2"/>
        <w:ind w:firstLine="618"/>
        <w:rPr>
          <w:b/>
        </w:rPr>
      </w:pPr>
      <w:r>
        <w:rPr>
          <w:rFonts w:hint="eastAsia"/>
          <w:b/>
          <w:spacing w:val="-6"/>
          <w:szCs w:val="32"/>
        </w:rPr>
        <w:t>3</w:t>
      </w:r>
      <w:r>
        <w:rPr>
          <w:rFonts w:hint="eastAsia"/>
          <w:b/>
          <w:bCs/>
          <w:spacing w:val="6"/>
          <w:szCs w:val="32"/>
        </w:rPr>
        <w:t>．</w:t>
      </w:r>
      <w:r>
        <w:rPr>
          <w:rFonts w:hint="eastAsia"/>
          <w:b/>
        </w:rPr>
        <w:t>组织机构设置及人员情况</w:t>
      </w:r>
    </w:p>
    <w:p>
      <w:pPr>
        <w:ind w:firstLine="640"/>
        <w:rPr>
          <w:rFonts w:ascii="黑体" w:hAnsi="黑体" w:eastAsia="黑体"/>
          <w:bCs/>
          <w:sz w:val="24"/>
        </w:rPr>
      </w:pPr>
      <w:r>
        <w:rPr>
          <w:rFonts w:hint="eastAsia"/>
        </w:rPr>
        <w:t>（1）组织机构：根据《</w:t>
      </w:r>
      <w:r>
        <w:rPr>
          <w:rFonts w:hint="eastAsia"/>
          <w:lang w:val="en-US" w:eastAsia="zh-CN"/>
        </w:rPr>
        <w:t>中共云岩区委办公室 云岩区人民政府办公室关于印发〈中共贵阳市云岩区文昌阁街道工作委员会 贵阳市云岩区人民政府文昌阁街道办事处职能配置、内设机构和人员编制规定的通知〉</w:t>
      </w:r>
      <w:r>
        <w:rPr>
          <w:rFonts w:hint="eastAsia"/>
        </w:rPr>
        <w:t>》（</w:t>
      </w:r>
      <w:r>
        <w:rPr>
          <w:rFonts w:hint="eastAsia" w:ascii="仿宋_GB2312" w:hAnsi="仿宋_GB2312" w:cs="仿宋_GB2312"/>
          <w:spacing w:val="-6"/>
          <w:szCs w:val="32"/>
        </w:rPr>
        <w:t>云</w:t>
      </w:r>
      <w:r>
        <w:rPr>
          <w:rFonts w:hint="eastAsia" w:ascii="仿宋_GB2312" w:hAnsi="仿宋_GB2312" w:cs="仿宋_GB2312"/>
          <w:spacing w:val="-6"/>
          <w:szCs w:val="32"/>
          <w:lang w:val="en-US" w:eastAsia="zh-CN"/>
        </w:rPr>
        <w:t>委办字</w:t>
      </w:r>
      <w:r>
        <w:rPr>
          <w:spacing w:val="-6"/>
          <w:szCs w:val="32"/>
        </w:rPr>
        <w:t>〔20</w:t>
      </w:r>
      <w:r>
        <w:rPr>
          <w:rFonts w:hint="eastAsia"/>
          <w:spacing w:val="-6"/>
          <w:szCs w:val="32"/>
          <w:lang w:val="en-US" w:eastAsia="zh-CN"/>
        </w:rPr>
        <w:t>20</w:t>
      </w:r>
      <w:r>
        <w:rPr>
          <w:spacing w:val="-6"/>
          <w:szCs w:val="32"/>
        </w:rPr>
        <w:t>〕</w:t>
      </w:r>
      <w:r>
        <w:rPr>
          <w:rFonts w:hint="eastAsia"/>
          <w:spacing w:val="-6"/>
          <w:szCs w:val="32"/>
          <w:lang w:val="en-US" w:eastAsia="zh-CN"/>
        </w:rPr>
        <w:t>8</w:t>
      </w:r>
      <w:r>
        <w:rPr>
          <w:spacing w:val="-6"/>
          <w:szCs w:val="32"/>
        </w:rPr>
        <w:t>号</w:t>
      </w:r>
      <w:r>
        <w:t>）</w:t>
      </w:r>
      <w:r>
        <w:rPr>
          <w:rFonts w:hint="eastAsia" w:ascii="仿宋_GB2312" w:hAnsi="仿宋_GB2312" w:cs="仿宋_GB2312"/>
          <w:spacing w:val="-6"/>
          <w:szCs w:val="32"/>
        </w:rPr>
        <w:t>文件规定</w:t>
      </w:r>
      <w:r>
        <w:rPr>
          <w:rFonts w:hint="eastAsia" w:ascii="仿宋_GB2312" w:hAnsi="仿宋_GB2312" w:cs="仿宋_GB2312"/>
          <w:spacing w:val="-6"/>
          <w:szCs w:val="32"/>
          <w:lang w:eastAsia="zh-CN"/>
        </w:rPr>
        <w:t>，</w:t>
      </w:r>
      <w:r>
        <w:rPr>
          <w:rFonts w:hint="eastAsia" w:ascii="仿宋_GB2312" w:hAnsi="仿宋_GB2312" w:cs="仿宋_GB2312"/>
          <w:spacing w:val="-6"/>
          <w:szCs w:val="32"/>
          <w:lang w:val="en-US" w:eastAsia="zh-CN"/>
        </w:rPr>
        <w:t>文昌阁街道办</w:t>
      </w:r>
      <w:r>
        <w:rPr>
          <w:rFonts w:hint="eastAsia"/>
        </w:rPr>
        <w:t>各科室职能</w:t>
      </w:r>
      <w:r>
        <w:rPr>
          <w:rFonts w:hint="eastAsia"/>
          <w:lang w:val="en-US" w:eastAsia="zh-CN"/>
        </w:rPr>
        <w:t>职责见表1-1</w:t>
      </w:r>
      <w:r>
        <w:rPr>
          <w:rFonts w:hint="eastAsia"/>
        </w:rPr>
        <w:t>：</w:t>
      </w:r>
    </w:p>
    <w:p>
      <w:pPr>
        <w:pStyle w:val="31"/>
        <w:bidi w:val="0"/>
        <w:rPr>
          <w:rFonts w:hint="default" w:eastAsia="仿宋_GB2312"/>
          <w:vertAlign w:val="baseline"/>
          <w:lang w:val="en-US" w:eastAsia="zh-CN"/>
        </w:rPr>
      </w:pPr>
      <w:r>
        <w:rPr>
          <w:rFonts w:ascii="黑体" w:hAnsi="黑体" w:eastAsia="黑体"/>
          <w:bCs/>
          <w:sz w:val="24"/>
        </w:rPr>
        <w:t>表</w:t>
      </w:r>
      <w:r>
        <w:rPr>
          <w:rFonts w:eastAsia="黑体"/>
          <w:bCs/>
          <w:sz w:val="24"/>
        </w:rPr>
        <w:t>1-1：</w:t>
      </w:r>
      <w:r>
        <w:rPr>
          <w:rFonts w:hint="eastAsia" w:eastAsia="黑体"/>
          <w:bCs/>
          <w:sz w:val="24"/>
          <w:lang w:eastAsia="zh-CN"/>
        </w:rPr>
        <w:t>文昌阁街道办</w:t>
      </w:r>
      <w:r>
        <w:rPr>
          <w:rFonts w:hint="eastAsia" w:eastAsia="黑体"/>
          <w:bCs/>
          <w:sz w:val="24"/>
          <w:lang w:val="en-US" w:eastAsia="zh-CN"/>
        </w:rPr>
        <w:t>内设机构职能职责</w:t>
      </w:r>
    </w:p>
    <w:tbl>
      <w:tblPr>
        <w:tblStyle w:val="17"/>
        <w:tblW w:w="8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9"/>
        <w:gridCol w:w="6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blHeader/>
          <w:jc w:val="center"/>
        </w:trPr>
        <w:tc>
          <w:tcPr>
            <w:tcW w:w="182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bCs/>
                <w:sz w:val="21"/>
                <w:vertAlign w:val="baseline"/>
                <w:lang w:val="en-US" w:eastAsia="zh-CN"/>
              </w:rPr>
            </w:pPr>
            <w:r>
              <w:rPr>
                <w:rFonts w:hint="eastAsia" w:ascii="Times New Roman" w:hAnsi="Times New Roman" w:eastAsia="仿宋_GB2312"/>
                <w:b/>
                <w:bCs/>
                <w:sz w:val="21"/>
                <w:vertAlign w:val="baseline"/>
                <w:lang w:val="en-US" w:eastAsia="zh-CN"/>
              </w:rPr>
              <w:t>内设机构</w:t>
            </w:r>
          </w:p>
        </w:tc>
        <w:tc>
          <w:tcPr>
            <w:tcW w:w="687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bCs/>
                <w:sz w:val="21"/>
                <w:vertAlign w:val="baseline"/>
                <w:lang w:val="en-US" w:eastAsia="zh-CN"/>
              </w:rPr>
            </w:pPr>
            <w:r>
              <w:rPr>
                <w:rFonts w:hint="eastAsia" w:ascii="Times New Roman" w:hAnsi="Times New Roman" w:eastAsia="仿宋_GB2312"/>
                <w:b/>
                <w:bCs/>
                <w:sz w:val="21"/>
                <w:vertAlign w:val="baseline"/>
                <w:lang w:val="en-US" w:eastAsia="zh-CN"/>
              </w:rPr>
              <w:t>职能职责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82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sz w:val="21"/>
              </w:rPr>
            </w:pPr>
            <w:r>
              <w:rPr>
                <w:rFonts w:hint="eastAsia"/>
                <w:sz w:val="21"/>
              </w:rPr>
              <w:t>党政办公室</w:t>
            </w:r>
          </w:p>
        </w:tc>
        <w:tc>
          <w:tcPr>
            <w:tcW w:w="687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sz w:val="21"/>
              </w:rPr>
            </w:pPr>
            <w:r>
              <w:rPr>
                <w:rFonts w:hint="eastAsia"/>
                <w:sz w:val="21"/>
              </w:rPr>
              <w:t>负责综合协调、督查督办、机关党建、干部人事、文电、会务、信息、调研、对 外宣传、保密、档案、财务管理和核算等综合性工作；统筹街道工青妇工作。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82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sz w:val="21"/>
              </w:rPr>
              <w:t>公共安全办公室</w:t>
            </w:r>
          </w:p>
        </w:tc>
        <w:tc>
          <w:tcPr>
            <w:tcW w:w="687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仿宋_GB2312" w:cs="Times New Roman"/>
                <w:kern w:val="2"/>
                <w:sz w:val="21"/>
                <w:szCs w:val="21"/>
                <w:lang w:val="en-US" w:eastAsia="zh-CN" w:bidi="ar-SA"/>
              </w:rPr>
            </w:pPr>
            <w:r>
              <w:rPr>
                <w:rFonts w:hint="eastAsia"/>
                <w:sz w:val="21"/>
              </w:rPr>
              <w:t>负责人民武装、社会治安综合治理、平安建设、信访维稳、禁毒、反邪、国安、应急救援等工作；承担处理群众来信来访、反映社情民意、化解矛盾纠纷、加强人口管理等职能。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9" w:hRule="atLeast"/>
          <w:jc w:val="center"/>
        </w:trPr>
        <w:tc>
          <w:tcPr>
            <w:tcW w:w="182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sz w:val="21"/>
              </w:rPr>
            </w:pPr>
            <w:r>
              <w:rPr>
                <w:rFonts w:hint="eastAsia"/>
                <w:sz w:val="21"/>
              </w:rPr>
              <w:t>基层党建办公室</w:t>
            </w:r>
          </w:p>
        </w:tc>
        <w:tc>
          <w:tcPr>
            <w:tcW w:w="687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sz w:val="21"/>
              </w:rPr>
            </w:pPr>
            <w:r>
              <w:rPr>
                <w:rFonts w:hint="eastAsia"/>
                <w:sz w:val="21"/>
              </w:rPr>
              <w:t>负责做好区域党建日常组织、协调、联络和服务工作，为区域党组织、党员及单位、群众提供各类服务和资源保障；指导街道所属基层党组织做好党员发展、教育、管理等工作，负责做好流动党员接收、管理等事务；负责街道宣传、精神文明建设、文化体育、科普等工作；对口联系并承担人大、政协、统战、民族宗教、侨务、工商联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82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sz w:val="21"/>
              </w:rPr>
            </w:pPr>
            <w:r>
              <w:rPr>
                <w:rFonts w:hint="eastAsia"/>
                <w:sz w:val="21"/>
              </w:rPr>
              <w:t>公共管理办公室</w:t>
            </w:r>
          </w:p>
        </w:tc>
        <w:tc>
          <w:tcPr>
            <w:tcW w:w="687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sz w:val="21"/>
              </w:rPr>
            </w:pPr>
            <w:r>
              <w:rPr>
                <w:rFonts w:hint="eastAsia"/>
                <w:sz w:val="21"/>
              </w:rPr>
              <w:t>负责协助专业部门做好城市建设、征收拆迁、环境卫生、市容秩序、市政 设施管理及安全生产监督等工作；统筹辖区内派驻执法队伍和基层执法力量，加强综合协调和统一管理，组织开展日常执法活动。对巡查发现的辖区内物业监管、市场监管、安全生产监管等方面的问题进行统筹协调和督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82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sz w:val="21"/>
              </w:rPr>
            </w:pPr>
            <w:r>
              <w:rPr>
                <w:rFonts w:hint="eastAsia"/>
                <w:sz w:val="21"/>
              </w:rPr>
              <w:t>公共服务办公室</w:t>
            </w:r>
          </w:p>
        </w:tc>
        <w:tc>
          <w:tcPr>
            <w:tcW w:w="687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sz w:val="21"/>
              </w:rPr>
            </w:pPr>
            <w:r>
              <w:rPr>
                <w:rFonts w:hint="eastAsia"/>
                <w:sz w:val="21"/>
              </w:rPr>
              <w:t>负责基层自治、公共卫生与健康计生、民政事务、民生工程与服务、扶贫、救济、医疗保障、拥军优属、特殊群体服务、教育、红十字等工作；负责经济发展的协调服务；制定并实施区域经济发展规划和计划，开展营商环境建设；依照统计法规承担区域经济发展等数据的统计工作。</w:t>
            </w:r>
          </w:p>
        </w:tc>
      </w:tr>
    </w:tbl>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default" w:eastAsia="仿宋_GB2312"/>
          <w:lang w:val="en-US" w:eastAsia="zh-CN"/>
        </w:rPr>
      </w:pPr>
      <w:r>
        <w:rPr>
          <w:rFonts w:hint="eastAsia"/>
        </w:rPr>
        <w:t>（2）人员情况：</w:t>
      </w:r>
      <w:r>
        <w:rPr>
          <w:rFonts w:hint="eastAsia"/>
          <w:lang w:val="en-US" w:eastAsia="zh-CN"/>
        </w:rPr>
        <w:t>文昌阁街道党工委、办事处行政编制11名。设党政领导职数9名。其中党工委书记（武装部政治教导员）1名、办事处主任（党工委副书记）1名、人大工委主任1名、党工委副书记1名、纪工委书记（监察办公室主任）1名、组织委员1名、政法委员（武装部长）1名；办事处副主任2名。</w:t>
      </w:r>
    </w:p>
    <w:p>
      <w:pPr>
        <w:pStyle w:val="4"/>
        <w:bidi w:val="0"/>
        <w:rPr>
          <w:rFonts w:hint="eastAsia"/>
        </w:rPr>
      </w:pPr>
      <w:bookmarkStart w:id="17" w:name="_Toc3093"/>
      <w:bookmarkStart w:id="18" w:name="_Toc23048"/>
      <w:bookmarkStart w:id="19" w:name="_Toc41579773"/>
      <w:bookmarkStart w:id="20" w:name="_Toc14836"/>
      <w:r>
        <w:rPr>
          <w:rFonts w:hint="eastAsia"/>
          <w:lang w:eastAsia="zh-CN"/>
        </w:rPr>
        <w:t>（</w:t>
      </w:r>
      <w:r>
        <w:rPr>
          <w:rFonts w:hint="eastAsia"/>
          <w:lang w:val="en-US" w:eastAsia="zh-CN"/>
        </w:rPr>
        <w:t>二</w:t>
      </w:r>
      <w:r>
        <w:rPr>
          <w:rFonts w:hint="eastAsia"/>
          <w:lang w:eastAsia="zh-CN"/>
        </w:rPr>
        <w:t>）</w:t>
      </w:r>
      <w:r>
        <w:rPr>
          <w:rFonts w:hint="eastAsia"/>
        </w:rPr>
        <w:t>部门整体预算批复及支出安排情况</w:t>
      </w:r>
      <w:bookmarkEnd w:id="17"/>
      <w:bookmarkEnd w:id="18"/>
      <w:bookmarkEnd w:id="19"/>
      <w:bookmarkEnd w:id="20"/>
    </w:p>
    <w:p>
      <w:pPr>
        <w:bidi w:val="0"/>
        <w:rPr>
          <w:rFonts w:hint="eastAsia"/>
          <w:lang w:val="en-US" w:eastAsia="zh-CN"/>
        </w:rPr>
      </w:pPr>
      <w:r>
        <w:rPr>
          <w:rFonts w:hint="eastAsia"/>
          <w:lang w:val="en-US" w:eastAsia="zh-CN"/>
        </w:rPr>
        <w:t>文昌阁街道</w:t>
      </w:r>
      <w:r>
        <w:rPr>
          <w:rFonts w:hint="default"/>
          <w:lang w:val="en-US" w:eastAsia="zh-CN"/>
        </w:rPr>
        <w:t>经费由</w:t>
      </w:r>
      <w:r>
        <w:rPr>
          <w:rFonts w:hint="eastAsia"/>
          <w:lang w:val="en-US" w:eastAsia="zh-CN"/>
        </w:rPr>
        <w:t>区</w:t>
      </w:r>
      <w:r>
        <w:rPr>
          <w:rFonts w:hint="default"/>
          <w:lang w:val="en-US" w:eastAsia="zh-CN"/>
        </w:rPr>
        <w:t>财政全额预算管理，其收入主要</w:t>
      </w:r>
      <w:r>
        <w:rPr>
          <w:rFonts w:hint="eastAsia"/>
          <w:lang w:val="en-US" w:eastAsia="zh-CN"/>
        </w:rPr>
        <w:t>为</w:t>
      </w:r>
      <w:r>
        <w:rPr>
          <w:rFonts w:hint="default"/>
          <w:lang w:val="en-US" w:eastAsia="zh-CN"/>
        </w:rPr>
        <w:t>财政拨款收入</w:t>
      </w:r>
      <w:r>
        <w:rPr>
          <w:rFonts w:hint="eastAsia"/>
          <w:lang w:val="en-US" w:eastAsia="zh-CN"/>
        </w:rPr>
        <w:t>、</w:t>
      </w:r>
      <w:r>
        <w:rPr>
          <w:rFonts w:hint="default"/>
          <w:lang w:val="en-US" w:eastAsia="zh-CN"/>
        </w:rPr>
        <w:t>政府性基金预算财政拨款收入</w:t>
      </w:r>
      <w:r>
        <w:rPr>
          <w:rFonts w:hint="eastAsia"/>
          <w:lang w:val="en-US" w:eastAsia="zh-CN"/>
        </w:rPr>
        <w:t>和其他收入</w:t>
      </w:r>
      <w:r>
        <w:rPr>
          <w:rFonts w:hint="default"/>
          <w:lang w:val="en-US" w:eastAsia="zh-CN"/>
        </w:rPr>
        <w:t>。2020年</w:t>
      </w:r>
      <w:r>
        <w:rPr>
          <w:rFonts w:hint="eastAsia"/>
          <w:lang w:val="en-US" w:eastAsia="zh-CN"/>
        </w:rPr>
        <w:t>文昌阁街道办</w:t>
      </w:r>
      <w:r>
        <w:rPr>
          <w:rFonts w:hint="default"/>
          <w:lang w:val="en-US" w:eastAsia="zh-CN"/>
        </w:rPr>
        <w:t>收入构成明细详见表</w:t>
      </w:r>
      <w:r>
        <w:rPr>
          <w:rFonts w:hint="eastAsia"/>
          <w:lang w:val="en-US" w:eastAsia="zh-CN"/>
        </w:rPr>
        <w:t>1-2：</w:t>
      </w:r>
    </w:p>
    <w:p>
      <w:pPr>
        <w:pStyle w:val="31"/>
        <w:bidi w:val="0"/>
        <w:rPr>
          <w:rFonts w:hint="eastAsia"/>
          <w:lang w:val="en-US" w:eastAsia="zh-CN"/>
        </w:rPr>
      </w:pPr>
      <w:r>
        <w:rPr>
          <w:rFonts w:hint="eastAsia"/>
          <w:lang w:val="en-US" w:eastAsia="zh-CN"/>
        </w:rPr>
        <w:t>表</w:t>
      </w:r>
      <w:r>
        <w:rPr>
          <w:rFonts w:hint="default"/>
          <w:lang w:val="en-US" w:eastAsia="zh-CN"/>
        </w:rPr>
        <w:t>1</w:t>
      </w:r>
      <w:r>
        <w:rPr>
          <w:rFonts w:hint="eastAsia"/>
          <w:lang w:val="en-US" w:eastAsia="zh-CN"/>
        </w:rPr>
        <w:t>-2</w:t>
      </w:r>
      <w:r>
        <w:rPr>
          <w:rFonts w:hint="default"/>
          <w:lang w:val="en-US" w:eastAsia="zh-CN"/>
        </w:rPr>
        <w:t>：2020</w:t>
      </w:r>
      <w:r>
        <w:rPr>
          <w:rFonts w:hint="eastAsia"/>
          <w:lang w:val="en-US" w:eastAsia="zh-CN"/>
        </w:rPr>
        <w:t>年收入构成明细（单位：万元）</w:t>
      </w:r>
    </w:p>
    <w:tbl>
      <w:tblPr>
        <w:tblStyle w:val="17"/>
        <w:tblW w:w="8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3"/>
        <w:gridCol w:w="1570"/>
        <w:gridCol w:w="1483"/>
        <w:gridCol w:w="1483"/>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5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b/>
                <w:bCs/>
                <w:color w:val="000000"/>
                <w:kern w:val="2"/>
                <w:sz w:val="21"/>
                <w:szCs w:val="21"/>
                <w:lang w:val="en-US" w:eastAsia="zh-CN" w:bidi="ar-SA"/>
              </w:rPr>
            </w:pPr>
            <w:r>
              <w:rPr>
                <w:rFonts w:hint="eastAsia" w:cs="Times New Roman"/>
                <w:b/>
                <w:bCs/>
                <w:color w:val="000000"/>
                <w:kern w:val="2"/>
                <w:sz w:val="21"/>
                <w:szCs w:val="21"/>
                <w:lang w:val="en-US" w:eastAsia="zh-CN" w:bidi="ar-SA"/>
              </w:rPr>
              <w:t>类型</w:t>
            </w:r>
          </w:p>
        </w:tc>
        <w:tc>
          <w:tcPr>
            <w:tcW w:w="1570"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eastAsia="zh-CN" w:bidi="ar"/>
              </w:rPr>
              <w:t>年初预算数</w:t>
            </w:r>
          </w:p>
        </w:tc>
        <w:tc>
          <w:tcPr>
            <w:tcW w:w="148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eastAsia="zh-CN" w:bidi="ar"/>
              </w:rPr>
              <w:t>调整预算数</w:t>
            </w:r>
          </w:p>
        </w:tc>
        <w:tc>
          <w:tcPr>
            <w:tcW w:w="148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eastAsia="zh-CN" w:bidi="ar"/>
              </w:rPr>
              <w:t>决算数</w:t>
            </w:r>
          </w:p>
        </w:tc>
        <w:tc>
          <w:tcPr>
            <w:tcW w:w="90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b/>
                <w:bCs/>
                <w:color w:val="000000"/>
                <w:kern w:val="0"/>
                <w:sz w:val="21"/>
                <w:szCs w:val="21"/>
                <w:lang w:eastAsia="zh-CN" w:bidi="ar"/>
              </w:rPr>
            </w:pPr>
            <w:r>
              <w:rPr>
                <w:rFonts w:hint="eastAsia" w:ascii="Times New Roman" w:hAnsi="Times New Roman" w:eastAsia="仿宋_GB2312" w:cs="Times New Roman"/>
                <w:b/>
                <w:bCs/>
                <w:color w:val="000000"/>
                <w:kern w:val="0"/>
                <w:sz w:val="21"/>
                <w:szCs w:val="21"/>
                <w:lang w:eastAsia="zh-CN" w:bidi="ar"/>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eastAsia="仿宋_GB2312" w:cs="Times New Roman"/>
                <w:b w:val="0"/>
                <w:bCs w:val="0"/>
                <w:color w:val="000000"/>
                <w:kern w:val="0"/>
                <w:sz w:val="21"/>
                <w:szCs w:val="21"/>
                <w:lang w:bidi="ar"/>
              </w:rPr>
              <w:t>一般公共预算财政拨款收入</w:t>
            </w:r>
          </w:p>
        </w:tc>
        <w:tc>
          <w:tcPr>
            <w:tcW w:w="1570"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2896.16</w:t>
            </w:r>
          </w:p>
        </w:tc>
        <w:tc>
          <w:tcPr>
            <w:tcW w:w="148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2856.40</w:t>
            </w:r>
          </w:p>
        </w:tc>
        <w:tc>
          <w:tcPr>
            <w:tcW w:w="148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2856.40</w:t>
            </w:r>
          </w:p>
        </w:tc>
        <w:tc>
          <w:tcPr>
            <w:tcW w:w="90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70.22</w:t>
            </w:r>
            <w:r>
              <w:rPr>
                <w:rFonts w:hint="eastAsia" w:ascii="Times New Roman" w:hAnsi="Times New Roman" w:cs="Times New Roman"/>
                <w:b w:val="0"/>
                <w:bCs w:val="0"/>
                <w:color w:val="000000"/>
                <w:kern w:val="0"/>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eastAsia="仿宋_GB2312" w:cs="Times New Roman"/>
                <w:b w:val="0"/>
                <w:bCs w:val="0"/>
                <w:color w:val="000000"/>
                <w:kern w:val="0"/>
                <w:sz w:val="21"/>
                <w:szCs w:val="21"/>
                <w:lang w:bidi="ar"/>
              </w:rPr>
              <w:t>政府性基金预算财政拨款收入</w:t>
            </w:r>
          </w:p>
        </w:tc>
        <w:tc>
          <w:tcPr>
            <w:tcW w:w="1570"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148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148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90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其他收入</w:t>
            </w:r>
          </w:p>
        </w:tc>
        <w:tc>
          <w:tcPr>
            <w:tcW w:w="1570"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148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1211.57</w:t>
            </w:r>
          </w:p>
        </w:tc>
        <w:tc>
          <w:tcPr>
            <w:tcW w:w="148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1211.57</w:t>
            </w:r>
          </w:p>
        </w:tc>
        <w:tc>
          <w:tcPr>
            <w:tcW w:w="90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29.78</w:t>
            </w:r>
            <w:r>
              <w:rPr>
                <w:rFonts w:hint="eastAsia" w:ascii="Times New Roman" w:hAnsi="Times New Roman" w:cs="Times New Roman"/>
                <w:b w:val="0"/>
                <w:bCs w:val="0"/>
                <w:color w:val="000000"/>
                <w:kern w:val="0"/>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5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b/>
                <w:bCs/>
                <w:color w:val="000000"/>
                <w:kern w:val="0"/>
                <w:sz w:val="21"/>
                <w:szCs w:val="21"/>
                <w:lang w:eastAsia="zh-CN" w:bidi="ar"/>
              </w:rPr>
            </w:pPr>
            <w:r>
              <w:rPr>
                <w:rFonts w:hint="eastAsia" w:cs="Times New Roman"/>
                <w:b/>
                <w:bCs/>
                <w:color w:val="000000"/>
                <w:kern w:val="0"/>
                <w:sz w:val="21"/>
                <w:szCs w:val="21"/>
                <w:lang w:eastAsia="zh-CN" w:bidi="ar"/>
              </w:rPr>
              <w:t>合计</w:t>
            </w:r>
          </w:p>
        </w:tc>
        <w:tc>
          <w:tcPr>
            <w:tcW w:w="1570"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2896.16</w:t>
            </w:r>
          </w:p>
        </w:tc>
        <w:tc>
          <w:tcPr>
            <w:tcW w:w="148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4067.98</w:t>
            </w:r>
          </w:p>
        </w:tc>
        <w:tc>
          <w:tcPr>
            <w:tcW w:w="1483"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4067.98</w:t>
            </w:r>
          </w:p>
        </w:tc>
        <w:tc>
          <w:tcPr>
            <w:tcW w:w="909"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ascii="Times New Roman" w:hAnsi="Times New Roman" w:eastAsia="仿宋_GB2312" w:cs="Times New Roman"/>
                <w:b/>
                <w:bCs/>
                <w:color w:val="000000"/>
                <w:kern w:val="0"/>
                <w:sz w:val="21"/>
                <w:szCs w:val="21"/>
                <w:lang w:val="en-US" w:eastAsia="zh-CN" w:bidi="ar"/>
              </w:rPr>
              <w:t>100%</w:t>
            </w:r>
          </w:p>
        </w:tc>
      </w:tr>
    </w:tbl>
    <w:p>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157" w:beforeLines="50" w:line="560" w:lineRule="exact"/>
        <w:ind w:left="0" w:leftChars="0" w:firstLine="643" w:firstLineChars="200"/>
        <w:jc w:val="both"/>
        <w:textAlignment w:val="auto"/>
        <w:outlineLvl w:val="2"/>
        <w:rPr>
          <w:rFonts w:hint="default" w:ascii="Times New Roman" w:hAnsi="Times New Roman" w:eastAsia="仿宋_GB2312" w:cs="Times New Roman"/>
          <w:b/>
          <w:bCs w:val="0"/>
          <w:sz w:val="32"/>
          <w:szCs w:val="32"/>
          <w:lang w:val="en-US" w:eastAsia="zh-CN"/>
        </w:rPr>
      </w:pPr>
      <w:r>
        <w:rPr>
          <w:rFonts w:hint="eastAsia" w:eastAsia="仿宋_GB2312" w:cs="Times New Roman"/>
          <w:b/>
          <w:bCs w:val="0"/>
          <w:color w:val="000000"/>
          <w:sz w:val="32"/>
          <w:szCs w:val="32"/>
          <w:lang w:val="en-US" w:eastAsia="zh-CN"/>
        </w:rPr>
        <w:t>2</w:t>
      </w:r>
      <w:r>
        <w:rPr>
          <w:rFonts w:ascii="Times New Roman" w:hAnsi="Times New Roman" w:eastAsia="仿宋_GB2312" w:cs="Times New Roman"/>
          <w:b/>
          <w:bCs w:val="0"/>
          <w:color w:val="000000"/>
          <w:sz w:val="32"/>
          <w:szCs w:val="32"/>
        </w:rPr>
        <w:t>．</w:t>
      </w:r>
      <w:r>
        <w:rPr>
          <w:rFonts w:hint="default" w:ascii="Times New Roman" w:hAnsi="Times New Roman" w:eastAsia="仿宋_GB2312" w:cs="Times New Roman"/>
          <w:b/>
          <w:bCs w:val="0"/>
          <w:sz w:val="32"/>
          <w:szCs w:val="32"/>
          <w:lang w:val="en-US" w:eastAsia="zh-CN"/>
        </w:rPr>
        <w:t>财政拨款结转结余情况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Cs/>
          <w:sz w:val="32"/>
          <w:szCs w:val="32"/>
          <w:lang w:val="en-US"/>
        </w:rPr>
      </w:pPr>
      <w:r>
        <w:rPr>
          <w:rFonts w:hint="default" w:ascii="Times New Roman" w:hAnsi="Times New Roman" w:eastAsia="仿宋_GB2312" w:cs="Times New Roman"/>
          <w:bCs/>
          <w:sz w:val="32"/>
          <w:szCs w:val="32"/>
        </w:rPr>
        <w:t>20</w:t>
      </w:r>
      <w:r>
        <w:rPr>
          <w:rFonts w:hint="default" w:ascii="Times New Roman" w:hAnsi="Times New Roman" w:eastAsia="仿宋_GB2312" w:cs="Times New Roman"/>
          <w:bCs/>
          <w:sz w:val="32"/>
          <w:szCs w:val="32"/>
          <w:lang w:val="en-US" w:eastAsia="zh-CN"/>
        </w:rPr>
        <w:t>20</w:t>
      </w:r>
      <w:r>
        <w:rPr>
          <w:rFonts w:hint="default" w:ascii="Times New Roman" w:hAnsi="Times New Roman" w:eastAsia="仿宋_GB2312" w:cs="Times New Roman"/>
          <w:bCs/>
          <w:sz w:val="32"/>
          <w:szCs w:val="32"/>
        </w:rPr>
        <w:t>年</w:t>
      </w:r>
      <w:r>
        <w:rPr>
          <w:rFonts w:hint="eastAsia" w:cs="Times New Roman"/>
          <w:bCs/>
          <w:sz w:val="32"/>
          <w:szCs w:val="32"/>
          <w:lang w:eastAsia="zh-CN"/>
        </w:rPr>
        <w:t>文昌阁街道办</w:t>
      </w:r>
      <w:r>
        <w:rPr>
          <w:rFonts w:hint="eastAsia" w:cs="Times New Roman"/>
          <w:bCs/>
          <w:sz w:val="32"/>
          <w:szCs w:val="32"/>
          <w:lang w:val="en-US" w:eastAsia="zh-CN"/>
        </w:rPr>
        <w:t>年初</w:t>
      </w:r>
      <w:r>
        <w:rPr>
          <w:rFonts w:hint="default" w:ascii="Times New Roman" w:hAnsi="Times New Roman" w:eastAsia="仿宋_GB2312" w:cs="Times New Roman"/>
          <w:bCs/>
          <w:sz w:val="32"/>
          <w:szCs w:val="32"/>
        </w:rPr>
        <w:t>结转结余</w:t>
      </w:r>
      <w:r>
        <w:rPr>
          <w:rFonts w:hint="eastAsia" w:cs="Times New Roman"/>
          <w:bCs/>
          <w:sz w:val="32"/>
          <w:szCs w:val="32"/>
          <w:lang w:val="en-US" w:eastAsia="zh-CN"/>
        </w:rPr>
        <w:t>资金227.33</w:t>
      </w:r>
      <w:r>
        <w:rPr>
          <w:rFonts w:hint="default" w:cs="Times New Roman"/>
          <w:bCs/>
          <w:sz w:val="32"/>
          <w:szCs w:val="32"/>
          <w:lang w:eastAsia="zh-CN"/>
        </w:rPr>
        <w:t>万</w:t>
      </w:r>
      <w:r>
        <w:rPr>
          <w:rFonts w:hint="default" w:ascii="Times New Roman" w:hAnsi="Times New Roman" w:eastAsia="仿宋_GB2312" w:cs="Times New Roman"/>
          <w:bCs/>
          <w:sz w:val="32"/>
          <w:szCs w:val="32"/>
          <w:lang w:eastAsia="zh-CN"/>
        </w:rPr>
        <w:t>元，</w:t>
      </w:r>
      <w:r>
        <w:rPr>
          <w:rFonts w:hint="eastAsia" w:cs="Times New Roman"/>
          <w:bCs/>
          <w:sz w:val="32"/>
          <w:szCs w:val="32"/>
          <w:lang w:val="en-US" w:eastAsia="zh-CN"/>
        </w:rPr>
        <w:t>年末结转结余资金291.86万元。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color w:val="000000"/>
          <w:sz w:val="32"/>
          <w:szCs w:val="32"/>
          <w:lang w:val="en-US" w:eastAsia="zh-CN"/>
        </w:rPr>
        <w:t>3</w:t>
      </w:r>
      <w:r>
        <w:rPr>
          <w:rFonts w:hint="default" w:ascii="Times New Roman" w:hAnsi="Times New Roman" w:eastAsia="仿宋_GB2312" w:cs="Times New Roman"/>
          <w:b/>
          <w:bCs w:val="0"/>
          <w:color w:val="000000"/>
          <w:sz w:val="32"/>
          <w:szCs w:val="32"/>
        </w:rPr>
        <w:t>．</w:t>
      </w:r>
      <w:r>
        <w:rPr>
          <w:rFonts w:hint="default" w:ascii="Times New Roman" w:hAnsi="Times New Roman" w:eastAsia="仿宋_GB2312" w:cs="Times New Roman"/>
          <w:b/>
          <w:bCs w:val="0"/>
          <w:sz w:val="32"/>
          <w:szCs w:val="32"/>
          <w:lang w:val="en-US" w:eastAsia="zh-CN"/>
        </w:rPr>
        <w:t>2020年项目支出预算明细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2020年</w:t>
      </w:r>
      <w:r>
        <w:rPr>
          <w:rFonts w:hint="eastAsia" w:cs="Times New Roman"/>
          <w:sz w:val="32"/>
          <w:szCs w:val="32"/>
          <w:lang w:val="en-US" w:eastAsia="zh-CN"/>
        </w:rPr>
        <w:t>文昌阁街道办</w:t>
      </w:r>
      <w:r>
        <w:rPr>
          <w:rFonts w:hint="default" w:ascii="Times New Roman" w:hAnsi="Times New Roman" w:eastAsia="仿宋_GB2312" w:cs="Times New Roman"/>
          <w:sz w:val="32"/>
          <w:szCs w:val="32"/>
          <w:lang w:val="en-US" w:eastAsia="zh-CN"/>
        </w:rPr>
        <w:t>共有</w:t>
      </w:r>
      <w:r>
        <w:rPr>
          <w:rFonts w:hint="eastAsia" w:cs="Times New Roman"/>
          <w:sz w:val="32"/>
          <w:szCs w:val="32"/>
          <w:lang w:val="en-US" w:eastAsia="zh-CN"/>
        </w:rPr>
        <w:t>12</w:t>
      </w:r>
      <w:r>
        <w:rPr>
          <w:rFonts w:hint="default" w:ascii="Times New Roman" w:hAnsi="Times New Roman" w:eastAsia="仿宋_GB2312" w:cs="Times New Roman"/>
          <w:sz w:val="32"/>
          <w:szCs w:val="32"/>
          <w:lang w:val="en-US" w:eastAsia="zh-CN"/>
        </w:rPr>
        <w:t>个项目，项目预算及使用明细详见附件</w:t>
      </w:r>
      <w:r>
        <w:rPr>
          <w:rFonts w:hint="eastAsia" w:cs="Times New Roman"/>
          <w:sz w:val="32"/>
          <w:szCs w:val="32"/>
          <w:lang w:val="en-US" w:eastAsia="zh-CN"/>
        </w:rPr>
        <w:t>2</w:t>
      </w:r>
      <w:r>
        <w:rPr>
          <w:rFonts w:hint="default" w:ascii="Times New Roman" w:hAnsi="Times New Roman" w:eastAsia="仿宋_GB2312" w:cs="Times New Roman"/>
          <w:sz w:val="32"/>
          <w:szCs w:val="32"/>
          <w:lang w:val="en-US" w:eastAsia="zh-CN"/>
        </w:rPr>
        <w:t>。</w:t>
      </w:r>
    </w:p>
    <w:p>
      <w:pPr>
        <w:pStyle w:val="4"/>
        <w:bidi w:val="0"/>
      </w:pPr>
      <w:bookmarkStart w:id="21" w:name="_Toc5529"/>
      <w:r>
        <w:rPr>
          <w:rFonts w:hint="eastAsia"/>
        </w:rPr>
        <w:t>（三）部门绩效目标</w:t>
      </w:r>
      <w:bookmarkEnd w:id="21"/>
    </w:p>
    <w:p>
      <w:pPr>
        <w:spacing w:line="500" w:lineRule="exact"/>
        <w:ind w:firstLine="643"/>
        <w:rPr>
          <w:szCs w:val="32"/>
        </w:rPr>
      </w:pPr>
      <w:r>
        <w:rPr>
          <w:rFonts w:eastAsia="仿宋"/>
          <w:b/>
          <w:szCs w:val="32"/>
        </w:rPr>
        <w:t>1</w:t>
      </w:r>
      <w:r>
        <w:rPr>
          <w:rFonts w:hint="eastAsia"/>
          <w:b/>
          <w:bCs/>
          <w:spacing w:val="6"/>
          <w:szCs w:val="32"/>
        </w:rPr>
        <w:t>．</w:t>
      </w:r>
      <w:r>
        <w:rPr>
          <w:rFonts w:hint="eastAsia" w:ascii="仿宋_GB2312" w:hAnsi="仿宋" w:cstheme="minorBidi"/>
          <w:b/>
          <w:szCs w:val="32"/>
        </w:rPr>
        <w:t>部门绩效总目标</w:t>
      </w:r>
    </w:p>
    <w:p>
      <w:pPr>
        <w:ind w:firstLine="640"/>
        <w:rPr>
          <w:rFonts w:hint="eastAsia" w:ascii="仿宋_GB2312" w:hAnsi="仿宋_GB2312" w:eastAsia="仿宋_GB2312" w:cs="仿宋_GB2312"/>
          <w:b w:val="0"/>
          <w:bCs/>
          <w:color w:val="000000" w:themeColor="text1"/>
          <w:szCs w:val="32"/>
          <w14:textFill>
            <w14:solidFill>
              <w14:schemeClr w14:val="tx1"/>
            </w14:solidFill>
          </w14:textFill>
        </w:rPr>
      </w:pPr>
      <w:r>
        <w:rPr>
          <w:rFonts w:hint="eastAsia" w:ascii="仿宋_GB2312" w:hAnsi="仿宋_GB2312" w:eastAsia="仿宋_GB2312" w:cs="仿宋_GB2312"/>
          <w:b w:val="0"/>
          <w:bCs/>
          <w:color w:val="000000" w:themeColor="text1"/>
          <w:szCs w:val="32"/>
          <w14:textFill>
            <w14:solidFill>
              <w14:schemeClr w14:val="tx1"/>
            </w14:solidFill>
          </w14:textFill>
        </w:rPr>
        <w:t>（一）加强党的建设。进一步规范党建基础、落实党建责任，打造更多党建品牌，深抓党员管理、队伍建设，加强对街道后备力量的培养。</w:t>
      </w:r>
    </w:p>
    <w:p>
      <w:pPr>
        <w:ind w:firstLine="640"/>
        <w:rPr>
          <w:rFonts w:hint="eastAsia" w:ascii="仿宋_GB2312" w:hAnsi="仿宋_GB2312" w:eastAsia="仿宋_GB2312" w:cs="仿宋_GB2312"/>
          <w:b w:val="0"/>
          <w:bCs/>
          <w:color w:val="000000" w:themeColor="text1"/>
          <w:szCs w:val="32"/>
          <w14:textFill>
            <w14:solidFill>
              <w14:schemeClr w14:val="tx1"/>
            </w14:solidFill>
          </w14:textFill>
        </w:rPr>
      </w:pPr>
      <w:r>
        <w:rPr>
          <w:rFonts w:hint="eastAsia" w:ascii="仿宋_GB2312" w:hAnsi="仿宋_GB2312" w:eastAsia="仿宋_GB2312" w:cs="仿宋_GB2312"/>
          <w:b w:val="0"/>
          <w:bCs/>
          <w:color w:val="000000" w:themeColor="text1"/>
          <w:szCs w:val="32"/>
          <w14:textFill>
            <w14:solidFill>
              <w14:schemeClr w14:val="tx1"/>
            </w14:solidFill>
          </w14:textFill>
        </w:rPr>
        <w:t>（二）抓好各项经济指标。对照与上级签订的各项目标任务，认真分析研究，查缺补漏，制定可行</w:t>
      </w:r>
      <w:r>
        <w:rPr>
          <w:rFonts w:hint="eastAsia" w:ascii="仿宋_GB2312" w:hAnsi="仿宋_GB2312" w:cs="仿宋_GB2312"/>
          <w:b w:val="0"/>
          <w:bCs/>
          <w:color w:val="000000" w:themeColor="text1"/>
          <w:szCs w:val="32"/>
          <w:lang w:val="en-US" w:eastAsia="zh-CN"/>
          <w14:textFill>
            <w14:solidFill>
              <w14:schemeClr w14:val="tx1"/>
            </w14:solidFill>
          </w14:textFill>
        </w:rPr>
        <w:t>性</w:t>
      </w:r>
      <w:r>
        <w:rPr>
          <w:rFonts w:hint="eastAsia" w:ascii="仿宋_GB2312" w:hAnsi="仿宋_GB2312" w:eastAsia="仿宋_GB2312" w:cs="仿宋_GB2312"/>
          <w:b w:val="0"/>
          <w:bCs/>
          <w:color w:val="000000" w:themeColor="text1"/>
          <w:szCs w:val="32"/>
          <w14:textFill>
            <w14:solidFill>
              <w14:schemeClr w14:val="tx1"/>
            </w14:solidFill>
          </w14:textFill>
        </w:rPr>
        <w:t>措施，落实目标责任，充分发挥带动效应，大力开展产业培育工作，全面完成区里下达的各项工作任务指标。</w:t>
      </w:r>
    </w:p>
    <w:p>
      <w:pPr>
        <w:ind w:firstLine="640"/>
        <w:rPr>
          <w:rFonts w:hint="eastAsia" w:ascii="仿宋_GB2312" w:hAnsi="仿宋_GB2312" w:eastAsia="仿宋_GB2312" w:cs="仿宋_GB2312"/>
          <w:b w:val="0"/>
          <w:bCs/>
          <w:color w:val="000000" w:themeColor="text1"/>
          <w:szCs w:val="32"/>
          <w14:textFill>
            <w14:solidFill>
              <w14:schemeClr w14:val="tx1"/>
            </w14:solidFill>
          </w14:textFill>
        </w:rPr>
      </w:pPr>
      <w:r>
        <w:rPr>
          <w:rFonts w:hint="eastAsia" w:ascii="仿宋_GB2312" w:hAnsi="仿宋_GB2312" w:eastAsia="仿宋_GB2312" w:cs="仿宋_GB2312"/>
          <w:b w:val="0"/>
          <w:bCs/>
          <w:color w:val="000000" w:themeColor="text1"/>
          <w:szCs w:val="32"/>
          <w14:textFill>
            <w14:solidFill>
              <w14:schemeClr w14:val="tx1"/>
            </w14:solidFill>
          </w14:textFill>
        </w:rPr>
        <w:t>（三）强化城市管理服务。持续用力抓好环境卫生、物业管理、“双违”整治、信访维稳、安全稳定等工作，努力提升城市精细化管理和服务水平。</w:t>
      </w:r>
    </w:p>
    <w:p>
      <w:pPr>
        <w:ind w:firstLine="640"/>
        <w:rPr>
          <w:rFonts w:hint="eastAsia" w:ascii="仿宋_GB2312" w:hAnsi="仿宋_GB2312" w:eastAsia="仿宋_GB2312" w:cs="仿宋_GB2312"/>
          <w:b w:val="0"/>
          <w:bCs/>
          <w:color w:val="000000" w:themeColor="text1"/>
          <w:szCs w:val="32"/>
          <w14:textFill>
            <w14:solidFill>
              <w14:schemeClr w14:val="tx1"/>
            </w14:solidFill>
          </w14:textFill>
        </w:rPr>
      </w:pPr>
      <w:r>
        <w:rPr>
          <w:rFonts w:hint="eastAsia" w:ascii="仿宋_GB2312" w:hAnsi="仿宋_GB2312" w:eastAsia="仿宋_GB2312" w:cs="仿宋_GB2312"/>
          <w:b w:val="0"/>
          <w:bCs/>
          <w:color w:val="000000" w:themeColor="text1"/>
          <w:szCs w:val="32"/>
          <w14:textFill>
            <w14:solidFill>
              <w14:schemeClr w14:val="tx1"/>
            </w14:solidFill>
          </w14:textFill>
        </w:rPr>
        <w:t>（四）协调发展社会各项事业。认真落实好各项利民惠民政策，改善社会民生保障，发展文教卫生事业，统筹抓好群团、统战、武装等其他工作，推动社会各项事业协调发展，努力提升群众满意度和幸福指数。</w:t>
      </w:r>
    </w:p>
    <w:p>
      <w:pPr>
        <w:ind w:firstLine="640"/>
        <w:rPr>
          <w:rFonts w:ascii="仿宋_GB2312" w:hAnsi="仿宋" w:cstheme="minorBidi"/>
          <w:b/>
          <w:szCs w:val="32"/>
        </w:rPr>
      </w:pPr>
      <w:r>
        <w:rPr>
          <w:rFonts w:hint="eastAsia" w:eastAsia="仿宋"/>
          <w:b/>
          <w:szCs w:val="32"/>
        </w:rPr>
        <w:t>2</w:t>
      </w:r>
      <w:r>
        <w:rPr>
          <w:rFonts w:hint="eastAsia"/>
          <w:b/>
          <w:bCs/>
          <w:spacing w:val="6"/>
          <w:szCs w:val="32"/>
        </w:rPr>
        <w:t>．</w:t>
      </w:r>
      <w:r>
        <w:rPr>
          <w:rFonts w:hint="eastAsia" w:eastAsia="仿宋"/>
          <w:b/>
          <w:szCs w:val="32"/>
        </w:rPr>
        <w:t>20</w:t>
      </w:r>
      <w:r>
        <w:rPr>
          <w:rFonts w:hint="eastAsia" w:eastAsia="仿宋"/>
          <w:b/>
          <w:szCs w:val="32"/>
          <w:lang w:val="en-US" w:eastAsia="zh-CN"/>
        </w:rPr>
        <w:t>20</w:t>
      </w:r>
      <w:r>
        <w:rPr>
          <w:rFonts w:hint="eastAsia" w:ascii="仿宋_GB2312" w:hAnsi="仿宋" w:cstheme="minorBidi"/>
          <w:b/>
          <w:szCs w:val="32"/>
        </w:rPr>
        <w:t>年部门具体绩效</w:t>
      </w:r>
      <w:r>
        <w:rPr>
          <w:rFonts w:hint="eastAsia" w:ascii="仿宋_GB2312" w:hAnsi="仿宋" w:cstheme="minorBidi"/>
          <w:b/>
          <w:szCs w:val="32"/>
          <w:lang w:val="en-US" w:eastAsia="zh-CN"/>
        </w:rPr>
        <w:t>指</w:t>
      </w:r>
      <w:r>
        <w:rPr>
          <w:rFonts w:hint="eastAsia" w:ascii="仿宋_GB2312" w:hAnsi="仿宋" w:cstheme="minorBidi"/>
          <w:b/>
          <w:szCs w:val="32"/>
        </w:rPr>
        <w:t>标</w:t>
      </w:r>
    </w:p>
    <w:p>
      <w:pPr>
        <w:ind w:firstLine="640"/>
        <w:rPr>
          <w:rFonts w:hint="eastAsia" w:eastAsia="仿宋_GB2312"/>
          <w:lang w:eastAsia="zh-CN"/>
        </w:rPr>
      </w:pPr>
      <w:r>
        <w:rPr>
          <w:rFonts w:hint="eastAsia"/>
        </w:rPr>
        <w:t>根据部门工作计划、目标责任书梳理出</w:t>
      </w:r>
      <w:r>
        <w:rPr>
          <w:rFonts w:hint="eastAsia"/>
          <w:lang w:val="en-US" w:eastAsia="zh-CN"/>
        </w:rPr>
        <w:t>文昌阁街道办</w:t>
      </w:r>
      <w:r>
        <w:rPr>
          <w:rFonts w:hint="eastAsia"/>
        </w:rPr>
        <w:t>20</w:t>
      </w:r>
      <w:r>
        <w:rPr>
          <w:rFonts w:hint="eastAsia"/>
          <w:lang w:val="en-US" w:eastAsia="zh-CN"/>
        </w:rPr>
        <w:t>20</w:t>
      </w:r>
      <w:r>
        <w:rPr>
          <w:rFonts w:hint="eastAsia"/>
        </w:rPr>
        <w:t>年</w:t>
      </w:r>
      <w:r>
        <w:rPr>
          <w:rFonts w:hint="eastAsia"/>
          <w:lang w:val="en-US" w:eastAsia="zh-CN"/>
        </w:rPr>
        <w:t>部门整体支出</w:t>
      </w:r>
      <w:r>
        <w:rPr>
          <w:rFonts w:hint="eastAsia"/>
        </w:rPr>
        <w:t>绩效</w:t>
      </w:r>
      <w:r>
        <w:rPr>
          <w:rFonts w:hint="eastAsia"/>
          <w:lang w:val="en-US" w:eastAsia="zh-CN"/>
        </w:rPr>
        <w:t>指</w:t>
      </w:r>
      <w:r>
        <w:rPr>
          <w:rFonts w:hint="eastAsia"/>
        </w:rPr>
        <w:t>标</w:t>
      </w:r>
      <w:r>
        <w:rPr>
          <w:rFonts w:hint="eastAsia"/>
          <w:lang w:eastAsia="zh-CN"/>
        </w:rPr>
        <w:t>，</w:t>
      </w:r>
      <w:r>
        <w:rPr>
          <w:rFonts w:hint="eastAsia"/>
          <w:lang w:val="en-US" w:eastAsia="zh-CN"/>
        </w:rPr>
        <w:t>详</w:t>
      </w:r>
      <w:r>
        <w:rPr>
          <w:rFonts w:hint="eastAsia"/>
        </w:rPr>
        <w:t>见表1-</w:t>
      </w:r>
      <w:r>
        <w:rPr>
          <w:rFonts w:hint="eastAsia"/>
          <w:lang w:val="en-US" w:eastAsia="zh-CN"/>
        </w:rPr>
        <w:t>3</w:t>
      </w:r>
      <w:r>
        <w:rPr>
          <w:rFonts w:hint="eastAsia"/>
          <w:lang w:eastAsia="zh-CN"/>
        </w:rPr>
        <w:t>：</w:t>
      </w:r>
    </w:p>
    <w:p>
      <w:pPr>
        <w:autoSpaceDE w:val="0"/>
        <w:snapToGrid w:val="0"/>
        <w:spacing w:before="60" w:after="120" w:line="240" w:lineRule="auto"/>
        <w:ind w:firstLine="0" w:firstLineChars="0"/>
        <w:jc w:val="center"/>
        <w:rPr>
          <w:rFonts w:hint="eastAsia" w:eastAsia="黑体"/>
          <w:bCs/>
          <w:sz w:val="24"/>
          <w:szCs w:val="24"/>
          <w:lang w:eastAsia="zh-CN"/>
        </w:rPr>
      </w:pPr>
      <w:r>
        <w:rPr>
          <w:rFonts w:eastAsia="黑体"/>
          <w:bCs/>
          <w:sz w:val="24"/>
          <w:szCs w:val="24"/>
        </w:rPr>
        <w:t>表1-</w:t>
      </w:r>
      <w:r>
        <w:rPr>
          <w:rFonts w:hint="eastAsia" w:eastAsia="黑体"/>
          <w:bCs/>
          <w:sz w:val="24"/>
          <w:szCs w:val="24"/>
          <w:lang w:val="en-US" w:eastAsia="zh-CN"/>
        </w:rPr>
        <w:t>3</w:t>
      </w:r>
      <w:r>
        <w:rPr>
          <w:rFonts w:eastAsia="黑体"/>
          <w:bCs/>
          <w:sz w:val="24"/>
          <w:szCs w:val="24"/>
        </w:rPr>
        <w:t>：</w:t>
      </w:r>
      <w:r>
        <w:rPr>
          <w:rFonts w:hint="eastAsia" w:eastAsia="黑体"/>
          <w:bCs/>
          <w:sz w:val="24"/>
          <w:szCs w:val="24"/>
          <w:lang w:eastAsia="zh-CN"/>
        </w:rPr>
        <w:t>文昌阁街道办</w:t>
      </w:r>
      <w:r>
        <w:rPr>
          <w:rFonts w:eastAsia="黑体"/>
          <w:bCs/>
          <w:sz w:val="24"/>
          <w:szCs w:val="24"/>
        </w:rPr>
        <w:t>20</w:t>
      </w:r>
      <w:r>
        <w:rPr>
          <w:rFonts w:hint="eastAsia" w:eastAsia="黑体"/>
          <w:bCs/>
          <w:sz w:val="24"/>
          <w:szCs w:val="24"/>
          <w:lang w:val="en-US" w:eastAsia="zh-CN"/>
        </w:rPr>
        <w:t>20</w:t>
      </w:r>
      <w:r>
        <w:rPr>
          <w:rFonts w:eastAsia="黑体"/>
          <w:bCs/>
          <w:sz w:val="24"/>
          <w:szCs w:val="24"/>
        </w:rPr>
        <w:t>年部门整体绩效</w:t>
      </w:r>
      <w:r>
        <w:rPr>
          <w:rFonts w:hint="eastAsia" w:eastAsia="黑体"/>
          <w:bCs/>
          <w:sz w:val="24"/>
          <w:szCs w:val="24"/>
          <w:lang w:val="en-US" w:eastAsia="zh-CN"/>
        </w:rPr>
        <w:t>指标</w:t>
      </w:r>
    </w:p>
    <w:tbl>
      <w:tblPr>
        <w:tblStyle w:val="17"/>
        <w:tblW w:w="8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5"/>
        <w:gridCol w:w="1080"/>
        <w:gridCol w:w="2400"/>
        <w:gridCol w:w="1125"/>
        <w:gridCol w:w="2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blHeader/>
          <w:jc w:val="center"/>
        </w:trPr>
        <w:tc>
          <w:tcPr>
            <w:tcW w:w="1085" w:type="dxa"/>
            <w:vAlign w:val="center"/>
          </w:tcPr>
          <w:p>
            <w:pPr>
              <w:spacing w:line="240" w:lineRule="auto"/>
              <w:ind w:firstLine="0" w:firstLineChars="0"/>
              <w:jc w:val="center"/>
              <w:rPr>
                <w:rFonts w:ascii="仿宋_GB2312" w:hAnsi="Calibri"/>
                <w:b/>
                <w:bCs/>
                <w:sz w:val="21"/>
              </w:rPr>
            </w:pPr>
            <w:r>
              <w:rPr>
                <w:rFonts w:hint="eastAsia" w:ascii="仿宋_GB2312" w:hAnsi="Calibri"/>
                <w:b/>
                <w:bCs/>
                <w:sz w:val="21"/>
              </w:rPr>
              <w:t>一级指标</w:t>
            </w:r>
          </w:p>
        </w:tc>
        <w:tc>
          <w:tcPr>
            <w:tcW w:w="1080" w:type="dxa"/>
            <w:vAlign w:val="center"/>
          </w:tcPr>
          <w:p>
            <w:pPr>
              <w:spacing w:line="240" w:lineRule="auto"/>
              <w:ind w:firstLine="0" w:firstLineChars="0"/>
              <w:jc w:val="center"/>
              <w:rPr>
                <w:rFonts w:ascii="仿宋_GB2312" w:hAnsi="Calibri"/>
                <w:b/>
                <w:bCs/>
                <w:sz w:val="21"/>
              </w:rPr>
            </w:pPr>
            <w:r>
              <w:rPr>
                <w:rFonts w:hint="eastAsia" w:ascii="仿宋_GB2312" w:hAnsi="Calibri"/>
                <w:b/>
                <w:bCs/>
                <w:sz w:val="21"/>
              </w:rPr>
              <w:t>二级指标</w:t>
            </w:r>
          </w:p>
        </w:tc>
        <w:tc>
          <w:tcPr>
            <w:tcW w:w="2400" w:type="dxa"/>
            <w:vAlign w:val="center"/>
          </w:tcPr>
          <w:p>
            <w:pPr>
              <w:spacing w:line="240" w:lineRule="auto"/>
              <w:ind w:firstLine="0" w:firstLineChars="0"/>
              <w:jc w:val="center"/>
              <w:rPr>
                <w:rFonts w:ascii="仿宋_GB2312" w:hAnsi="Calibri"/>
                <w:b/>
                <w:bCs/>
                <w:sz w:val="21"/>
              </w:rPr>
            </w:pPr>
            <w:r>
              <w:rPr>
                <w:rFonts w:hint="eastAsia" w:ascii="仿宋_GB2312" w:hAnsi="Calibri"/>
                <w:b/>
                <w:bCs/>
                <w:sz w:val="21"/>
              </w:rPr>
              <w:t>三级指标</w:t>
            </w:r>
          </w:p>
        </w:tc>
        <w:tc>
          <w:tcPr>
            <w:tcW w:w="1125" w:type="dxa"/>
            <w:vAlign w:val="center"/>
          </w:tcPr>
          <w:p>
            <w:pPr>
              <w:spacing w:line="240" w:lineRule="auto"/>
              <w:ind w:firstLine="0" w:firstLineChars="0"/>
              <w:jc w:val="center"/>
              <w:rPr>
                <w:rFonts w:ascii="Calibri" w:hAnsi="Calibri"/>
                <w:b/>
                <w:bCs/>
                <w:sz w:val="21"/>
              </w:rPr>
            </w:pPr>
            <w:r>
              <w:rPr>
                <w:rFonts w:ascii="Calibri" w:hAnsi="Calibri"/>
                <w:b/>
                <w:bCs/>
                <w:sz w:val="21"/>
              </w:rPr>
              <w:t>指标值</w:t>
            </w:r>
          </w:p>
        </w:tc>
        <w:tc>
          <w:tcPr>
            <w:tcW w:w="2988" w:type="dxa"/>
            <w:vAlign w:val="center"/>
          </w:tcPr>
          <w:p>
            <w:pPr>
              <w:spacing w:line="240" w:lineRule="auto"/>
              <w:ind w:firstLine="0" w:firstLineChars="0"/>
              <w:jc w:val="center"/>
              <w:rPr>
                <w:rFonts w:hint="default" w:ascii="Calibri" w:hAnsi="Calibri" w:eastAsia="仿宋_GB2312"/>
                <w:b/>
                <w:bCs/>
                <w:sz w:val="21"/>
                <w:lang w:val="en-US" w:eastAsia="zh-CN"/>
              </w:rPr>
            </w:pPr>
            <w:r>
              <w:rPr>
                <w:rFonts w:hint="eastAsia" w:ascii="Calibri" w:hAnsi="Calibri"/>
                <w:b/>
                <w:bCs/>
                <w:sz w:val="21"/>
                <w:lang w:val="en-US" w:eastAsia="zh-CN"/>
              </w:rPr>
              <w:t>指标解释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085" w:type="dxa"/>
            <w:vMerge w:val="restart"/>
            <w:vAlign w:val="center"/>
          </w:tcPr>
          <w:p>
            <w:pPr>
              <w:spacing w:line="240" w:lineRule="auto"/>
              <w:ind w:firstLine="0" w:firstLineChars="0"/>
              <w:jc w:val="center"/>
              <w:rPr>
                <w:rFonts w:ascii="仿宋_GB2312" w:hAnsi="Calibri"/>
                <w:bCs/>
                <w:sz w:val="21"/>
              </w:rPr>
            </w:pPr>
            <w:r>
              <w:rPr>
                <w:bCs/>
                <w:sz w:val="21"/>
              </w:rPr>
              <w:t>产出</w:t>
            </w:r>
          </w:p>
        </w:tc>
        <w:tc>
          <w:tcPr>
            <w:tcW w:w="1080" w:type="dxa"/>
            <w:vMerge w:val="restart"/>
            <w:vAlign w:val="center"/>
          </w:tcPr>
          <w:p>
            <w:pPr>
              <w:spacing w:line="240" w:lineRule="auto"/>
              <w:ind w:firstLine="0" w:firstLineChars="0"/>
              <w:jc w:val="center"/>
              <w:rPr>
                <w:rFonts w:ascii="Times New Roman" w:hAnsi="Times New Roman" w:eastAsia="仿宋_GB2312" w:cs="Times New Roman"/>
                <w:bCs/>
                <w:kern w:val="2"/>
                <w:sz w:val="21"/>
                <w:szCs w:val="21"/>
                <w:lang w:val="en-US" w:eastAsia="zh-CN" w:bidi="ar-SA"/>
              </w:rPr>
            </w:pPr>
            <w:r>
              <w:rPr>
                <w:bCs/>
                <w:sz w:val="21"/>
              </w:rPr>
              <w:t>数量指标</w:t>
            </w:r>
          </w:p>
          <w:p>
            <w:pPr>
              <w:spacing w:line="240" w:lineRule="auto"/>
              <w:ind w:firstLine="0" w:firstLineChars="0"/>
              <w:jc w:val="center"/>
              <w:rPr>
                <w:rFonts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招商引资工作完成率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bCs/>
                <w:sz w:val="21"/>
                <w:lang w:val="en-US" w:eastAsia="zh-CN"/>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企业洽谈、外出招商等工作完成情况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社会保障和就业工作完成率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是否完成职业培训、劳动监察审查等社会保障就业工作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社会治理工作完成率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辖区平安法制建设完成情况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综合执法工作完成率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环境整治、宣传等工作完成情况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分配案件受理完成率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12319、百姓拍平台的案件受理情况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重点项目完成率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ascii="Times New Roman" w:hAnsi="Times New Roman" w:cs="仿宋_GB2312"/>
                <w:kern w:val="0"/>
                <w:sz w:val="21"/>
                <w:lang w:val="en-US" w:eastAsia="zh-CN"/>
              </w:rPr>
              <w:t>部门重点项目的完成情况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restart"/>
            <w:vAlign w:val="center"/>
          </w:tcPr>
          <w:p>
            <w:pPr>
              <w:spacing w:line="240" w:lineRule="auto"/>
              <w:ind w:firstLine="0" w:firstLineChars="0"/>
              <w:jc w:val="center"/>
              <w:rPr>
                <w:rFonts w:ascii="Times New Roman" w:hAnsi="Times New Roman" w:eastAsia="仿宋_GB2312" w:cs="Times New Roman"/>
                <w:bCs/>
                <w:kern w:val="2"/>
                <w:sz w:val="21"/>
                <w:szCs w:val="21"/>
                <w:lang w:val="en-US" w:eastAsia="zh-CN" w:bidi="ar-SA"/>
              </w:rPr>
            </w:pPr>
            <w:r>
              <w:rPr>
                <w:rFonts w:hint="eastAsia" w:ascii="仿宋_GB2312" w:hAnsi="Calibri"/>
                <w:bCs/>
                <w:sz w:val="21"/>
              </w:rPr>
              <w:t>质量指标</w:t>
            </w:r>
          </w:p>
          <w:p>
            <w:pPr>
              <w:spacing w:line="240" w:lineRule="auto"/>
              <w:ind w:firstLine="0" w:firstLineChars="0"/>
              <w:jc w:val="center"/>
              <w:rPr>
                <w:rFonts w:hint="eastAsia" w:ascii="仿宋_GB2312" w:hAnsi="Calibri"/>
                <w:bCs/>
                <w:sz w:val="21"/>
              </w:rPr>
            </w:pPr>
          </w:p>
        </w:tc>
        <w:tc>
          <w:tcPr>
            <w:tcW w:w="2400" w:type="dxa"/>
            <w:vAlign w:val="center"/>
          </w:tcPr>
          <w:p>
            <w:pPr>
              <w:spacing w:line="0" w:lineRule="atLeast"/>
              <w:ind w:firstLine="0" w:firstLineChars="0"/>
              <w:jc w:val="center"/>
              <w:rPr>
                <w:rFonts w:ascii="仿宋_GB2312" w:hAnsi="仿宋_GB2312" w:eastAsia="仿宋_GB2312" w:cs="仿宋_GB2312"/>
                <w:kern w:val="2"/>
                <w:sz w:val="21"/>
                <w:szCs w:val="21"/>
                <w:lang w:val="en-US" w:eastAsia="zh-CN" w:bidi="ar-SA"/>
              </w:rPr>
            </w:pPr>
            <w:r>
              <w:rPr>
                <w:rFonts w:hint="eastAsia"/>
                <w:kern w:val="0"/>
                <w:sz w:val="21"/>
                <w:szCs w:val="20"/>
                <w:highlight w:val="none"/>
                <w:lang w:val="en-US" w:eastAsia="zh-CN"/>
              </w:rPr>
              <w:t>招商引资工作达标率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是否完成企业引进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vAlign w:val="center"/>
          </w:tcPr>
          <w:p>
            <w:pPr>
              <w:spacing w:line="0" w:lineRule="atLeast"/>
              <w:ind w:firstLine="0" w:firstLineChars="0"/>
              <w:jc w:val="center"/>
              <w:rPr>
                <w:rFonts w:ascii="仿宋_GB2312" w:hAnsi="仿宋_GB2312" w:eastAsia="仿宋_GB2312" w:cs="仿宋_GB2312"/>
                <w:kern w:val="2"/>
                <w:sz w:val="21"/>
                <w:szCs w:val="21"/>
                <w:lang w:val="en-US" w:eastAsia="zh-CN" w:bidi="ar-SA"/>
              </w:rPr>
            </w:pPr>
            <w:r>
              <w:rPr>
                <w:rFonts w:hint="eastAsia"/>
                <w:kern w:val="0"/>
                <w:sz w:val="21"/>
                <w:szCs w:val="20"/>
                <w:highlight w:val="none"/>
                <w:lang w:val="en-US" w:eastAsia="zh-CN"/>
              </w:rPr>
              <w:t>社会保障和就业工作达标率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人口信息申报、系统录入是否达标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shd w:val="clear" w:color="auto" w:fill="auto"/>
            <w:vAlign w:val="center"/>
          </w:tcPr>
          <w:p>
            <w:pPr>
              <w:spacing w:line="0" w:lineRule="atLeast"/>
              <w:ind w:firstLine="0" w:firstLineChars="0"/>
              <w:jc w:val="center"/>
              <w:rPr>
                <w:rFonts w:ascii="仿宋_GB2312" w:hAnsi="仿宋_GB2312" w:eastAsia="仿宋_GB2312" w:cs="仿宋_GB2312"/>
                <w:kern w:val="2"/>
                <w:sz w:val="21"/>
                <w:szCs w:val="21"/>
                <w:lang w:val="en-US" w:eastAsia="zh-CN" w:bidi="ar-SA"/>
              </w:rPr>
            </w:pPr>
            <w:r>
              <w:rPr>
                <w:rFonts w:hint="eastAsia"/>
                <w:kern w:val="0"/>
                <w:sz w:val="21"/>
                <w:szCs w:val="20"/>
                <w:highlight w:val="none"/>
                <w:lang w:val="en-US" w:eastAsia="zh-CN"/>
              </w:rPr>
              <w:t>综合执法工作达标率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相关整治台账是否完整规范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vAlign w:val="center"/>
          </w:tcPr>
          <w:p>
            <w:pPr>
              <w:spacing w:line="0" w:lineRule="atLeast"/>
              <w:ind w:firstLine="0" w:firstLineChars="0"/>
              <w:jc w:val="center"/>
              <w:rPr>
                <w:rFonts w:ascii="仿宋_GB2312" w:hAnsi="仿宋_GB2312" w:eastAsia="仿宋_GB2312" w:cs="仿宋_GB2312"/>
                <w:kern w:val="2"/>
                <w:sz w:val="21"/>
                <w:szCs w:val="21"/>
                <w:lang w:val="en-US" w:eastAsia="zh-CN" w:bidi="ar-SA"/>
              </w:rPr>
            </w:pPr>
            <w:r>
              <w:rPr>
                <w:rFonts w:hint="eastAsia"/>
                <w:kern w:val="0"/>
                <w:sz w:val="21"/>
                <w:szCs w:val="20"/>
                <w:highlight w:val="none"/>
                <w:lang w:val="en-US" w:eastAsia="zh-CN"/>
              </w:rPr>
              <w:t>案件处置率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各类案件处置是否达标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restart"/>
            <w:vAlign w:val="center"/>
          </w:tcPr>
          <w:p>
            <w:pPr>
              <w:spacing w:line="240" w:lineRule="auto"/>
              <w:ind w:firstLine="0" w:firstLineChars="0"/>
              <w:jc w:val="center"/>
              <w:rPr>
                <w:rFonts w:hint="eastAsia" w:ascii="Times New Roman" w:hAnsi="Times New Roman" w:eastAsia="仿宋_GB2312" w:cs="Times New Roman"/>
                <w:bCs/>
                <w:kern w:val="2"/>
                <w:sz w:val="21"/>
                <w:szCs w:val="21"/>
                <w:lang w:val="en-US" w:eastAsia="zh-CN" w:bidi="ar-SA"/>
              </w:rPr>
            </w:pPr>
            <w:r>
              <w:rPr>
                <w:sz w:val="21"/>
              </w:rPr>
              <w:t>时效指标</w:t>
            </w: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综合执法工作完成及时率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综合执法工作是否及时完成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hint="eastAsia"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案件处置及时率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案件处置是否及时完成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hint="eastAsia"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社会治理工作完成及时率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cs="Times New Roman"/>
                <w:bCs/>
                <w:sz w:val="21"/>
                <w:lang w:val="en-US" w:eastAsia="zh-CN"/>
              </w:rPr>
              <w:t>各项社会治理工作及时完成情况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hint="eastAsia"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重点项目完成及时率</w:t>
            </w:r>
          </w:p>
        </w:tc>
        <w:tc>
          <w:tcPr>
            <w:tcW w:w="112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rPr>
            </w:pPr>
            <w:r>
              <w:rPr>
                <w:rFonts w:hint="default" w:ascii="Times New Roman" w:hAnsi="Times New Roman" w:cs="Times New Roman"/>
                <w:bCs/>
                <w:sz w:val="21"/>
                <w:lang w:val="en-US" w:eastAsia="zh-CN"/>
              </w:rPr>
              <w:t>100%</w:t>
            </w:r>
          </w:p>
        </w:tc>
        <w:tc>
          <w:tcPr>
            <w:tcW w:w="2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Cs/>
                <w:sz w:val="21"/>
                <w:lang w:val="en-US" w:eastAsia="zh-CN"/>
              </w:rPr>
            </w:pPr>
            <w:r>
              <w:rPr>
                <w:rFonts w:hint="eastAsia" w:ascii="Times New Roman" w:hAnsi="Times New Roman" w:cs="仿宋_GB2312"/>
                <w:kern w:val="0"/>
                <w:sz w:val="21"/>
                <w:lang w:val="en-US" w:eastAsia="zh-CN"/>
              </w:rPr>
              <w:t>部门重点项目的完成</w:t>
            </w:r>
            <w:r>
              <w:rPr>
                <w:rFonts w:hint="eastAsia" w:cs="仿宋_GB2312"/>
                <w:kern w:val="0"/>
                <w:sz w:val="21"/>
                <w:lang w:val="en-US" w:eastAsia="zh-CN"/>
              </w:rPr>
              <w:t>及时</w:t>
            </w:r>
            <w:r>
              <w:rPr>
                <w:rFonts w:hint="eastAsia" w:ascii="Times New Roman" w:hAnsi="Times New Roman" w:cs="仿宋_GB2312"/>
                <w:kern w:val="0"/>
                <w:sz w:val="21"/>
                <w:lang w:val="en-US"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5" w:type="dxa"/>
            <w:vMerge w:val="restart"/>
            <w:vAlign w:val="center"/>
          </w:tcPr>
          <w:p>
            <w:pPr>
              <w:spacing w:line="240" w:lineRule="auto"/>
              <w:ind w:firstLine="0" w:firstLineChars="0"/>
              <w:jc w:val="center"/>
              <w:rPr>
                <w:rFonts w:ascii="Times New Roman" w:hAnsi="Times New Roman" w:eastAsia="仿宋_GB2312" w:cs="Times New Roman"/>
                <w:bCs/>
                <w:kern w:val="2"/>
                <w:sz w:val="21"/>
                <w:szCs w:val="21"/>
                <w:lang w:val="en-US" w:eastAsia="zh-CN" w:bidi="ar-SA"/>
              </w:rPr>
            </w:pPr>
            <w:r>
              <w:rPr>
                <w:bCs/>
                <w:sz w:val="21"/>
              </w:rPr>
              <w:t>效益</w:t>
            </w:r>
          </w:p>
          <w:p>
            <w:pPr>
              <w:spacing w:line="240" w:lineRule="auto"/>
              <w:ind w:firstLine="0" w:firstLineChars="0"/>
              <w:jc w:val="center"/>
              <w:rPr>
                <w:rFonts w:ascii="仿宋_GB2312" w:hAnsi="Calibri"/>
                <w:bCs/>
                <w:sz w:val="21"/>
              </w:rPr>
            </w:pPr>
          </w:p>
        </w:tc>
        <w:tc>
          <w:tcPr>
            <w:tcW w:w="1080" w:type="dxa"/>
            <w:vAlign w:val="center"/>
          </w:tcPr>
          <w:p>
            <w:pPr>
              <w:spacing w:line="240" w:lineRule="auto"/>
              <w:ind w:firstLine="0" w:firstLineChars="0"/>
              <w:jc w:val="center"/>
              <w:rPr>
                <w:rFonts w:ascii="仿宋_GB2312" w:hAnsi="Calibri"/>
                <w:bCs/>
                <w:sz w:val="21"/>
              </w:rPr>
            </w:pPr>
            <w:r>
              <w:rPr>
                <w:rFonts w:hint="eastAsia"/>
                <w:sz w:val="21"/>
                <w:lang w:val="en-US" w:eastAsia="zh-CN"/>
              </w:rPr>
              <w:t>经济效益</w:t>
            </w:r>
          </w:p>
        </w:tc>
        <w:tc>
          <w:tcPr>
            <w:tcW w:w="2400" w:type="dxa"/>
            <w:vAlign w:val="center"/>
          </w:tcPr>
          <w:p>
            <w:pPr>
              <w:spacing w:line="0" w:lineRule="atLeast"/>
              <w:ind w:firstLine="0" w:firstLineChars="0"/>
              <w:jc w:val="center"/>
              <w:rPr>
                <w:rFonts w:hint="eastAsia"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促进辖区经济发展</w:t>
            </w:r>
          </w:p>
        </w:tc>
        <w:tc>
          <w:tcPr>
            <w:tcW w:w="1125" w:type="dxa"/>
            <w:vAlign w:val="center"/>
          </w:tcPr>
          <w:p>
            <w:pPr>
              <w:spacing w:line="240" w:lineRule="auto"/>
              <w:ind w:firstLine="0" w:firstLineChars="0"/>
              <w:jc w:val="center"/>
              <w:rPr>
                <w:rFonts w:hint="eastAsia" w:ascii="Calibri" w:hAnsi="Calibri" w:eastAsia="仿宋_GB2312"/>
                <w:bCs/>
                <w:sz w:val="21"/>
                <w:lang w:val="en-US" w:eastAsia="zh-CN"/>
              </w:rPr>
            </w:pPr>
            <w:r>
              <w:rPr>
                <w:rFonts w:hint="eastAsia" w:ascii="Calibri" w:hAnsi="Calibri"/>
                <w:bCs/>
                <w:sz w:val="21"/>
                <w:lang w:val="en-US" w:eastAsia="zh-CN"/>
              </w:rPr>
              <w:t>有效</w:t>
            </w:r>
          </w:p>
        </w:tc>
        <w:tc>
          <w:tcPr>
            <w:tcW w:w="2988" w:type="dxa"/>
            <w:vAlign w:val="center"/>
          </w:tcPr>
          <w:p>
            <w:pPr>
              <w:spacing w:line="240" w:lineRule="auto"/>
              <w:ind w:firstLine="0" w:firstLineChars="0"/>
              <w:jc w:val="center"/>
              <w:rPr>
                <w:rFonts w:hint="default" w:ascii="Calibri" w:hAnsi="Calibri"/>
                <w:bCs/>
                <w:sz w:val="21"/>
                <w:lang w:val="en-US" w:eastAsia="zh-CN"/>
              </w:rPr>
            </w:pPr>
            <w:r>
              <w:rPr>
                <w:rFonts w:hint="eastAsia" w:ascii="Calibri" w:hAnsi="Calibri"/>
                <w:bCs/>
                <w:sz w:val="21"/>
                <w:lang w:val="en-US" w:eastAsia="zh-CN"/>
              </w:rPr>
              <w:t>辖区各类行业的经济增长情况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restart"/>
            <w:vAlign w:val="center"/>
          </w:tcPr>
          <w:p>
            <w:pPr>
              <w:spacing w:line="240" w:lineRule="auto"/>
              <w:ind w:firstLine="0" w:firstLineChars="0"/>
              <w:jc w:val="center"/>
              <w:rPr>
                <w:rFonts w:ascii="仿宋_GB2312" w:hAnsi="Calibri"/>
                <w:bCs/>
                <w:sz w:val="21"/>
              </w:rPr>
            </w:pPr>
            <w:r>
              <w:rPr>
                <w:bCs/>
                <w:sz w:val="21"/>
              </w:rPr>
              <w:t>社会效益</w:t>
            </w:r>
          </w:p>
        </w:tc>
        <w:tc>
          <w:tcPr>
            <w:tcW w:w="2400" w:type="dxa"/>
            <w:shd w:val="clear" w:color="auto" w:fill="auto"/>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城镇新增就业人数</w:t>
            </w:r>
          </w:p>
        </w:tc>
        <w:tc>
          <w:tcPr>
            <w:tcW w:w="1125" w:type="dxa"/>
            <w:vAlign w:val="center"/>
          </w:tcPr>
          <w:p>
            <w:pPr>
              <w:spacing w:line="240" w:lineRule="auto"/>
              <w:ind w:firstLine="0" w:firstLineChars="0"/>
              <w:jc w:val="center"/>
              <w:rPr>
                <w:rFonts w:hint="default" w:ascii="Calibri" w:hAnsi="Calibri" w:eastAsia="仿宋_GB2312"/>
                <w:bCs/>
                <w:sz w:val="21"/>
                <w:lang w:val="en-US" w:eastAsia="zh-CN"/>
              </w:rPr>
            </w:pPr>
            <w:r>
              <w:rPr>
                <w:rFonts w:hint="default" w:ascii="Times New Roman" w:hAnsi="Times New Roman" w:cs="Times New Roman"/>
                <w:bCs/>
                <w:sz w:val="21"/>
                <w:lang w:val="en-US" w:eastAsia="zh-CN"/>
              </w:rPr>
              <w:t>≥4240</w:t>
            </w:r>
            <w:r>
              <w:rPr>
                <w:rFonts w:hint="eastAsia" w:ascii="Calibri" w:hAnsi="Calibri"/>
                <w:bCs/>
                <w:sz w:val="21"/>
                <w:lang w:val="en-US" w:eastAsia="zh-CN"/>
              </w:rPr>
              <w:t>人</w:t>
            </w:r>
          </w:p>
        </w:tc>
        <w:tc>
          <w:tcPr>
            <w:tcW w:w="2988" w:type="dxa"/>
            <w:vAlign w:val="center"/>
          </w:tcPr>
          <w:p>
            <w:pPr>
              <w:spacing w:line="240" w:lineRule="auto"/>
              <w:ind w:firstLine="0" w:firstLineChars="0"/>
              <w:jc w:val="center"/>
              <w:rPr>
                <w:rFonts w:hint="default" w:ascii="Calibri" w:hAnsi="Calibri"/>
                <w:bCs/>
                <w:sz w:val="21"/>
                <w:lang w:val="en-US" w:eastAsia="zh-CN"/>
              </w:rPr>
            </w:pPr>
            <w:r>
              <w:rPr>
                <w:rFonts w:hint="eastAsia" w:ascii="Calibri" w:hAnsi="Calibri"/>
                <w:bCs/>
                <w:sz w:val="21"/>
                <w:lang w:val="en-US" w:eastAsia="zh-CN"/>
              </w:rPr>
              <w:t>保障辖区社会就业人数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shd w:val="clear" w:color="auto" w:fill="auto"/>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辖区环境整治效果</w:t>
            </w:r>
          </w:p>
        </w:tc>
        <w:tc>
          <w:tcPr>
            <w:tcW w:w="1125"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显著</w:t>
            </w:r>
          </w:p>
        </w:tc>
        <w:tc>
          <w:tcPr>
            <w:tcW w:w="2988" w:type="dxa"/>
            <w:vAlign w:val="center"/>
          </w:tcPr>
          <w:p>
            <w:pPr>
              <w:spacing w:line="0" w:lineRule="atLeast"/>
              <w:ind w:firstLine="0" w:firstLineChars="0"/>
              <w:jc w:val="center"/>
              <w:rPr>
                <w:rFonts w:hint="default"/>
                <w:kern w:val="0"/>
                <w:sz w:val="21"/>
                <w:szCs w:val="20"/>
                <w:highlight w:val="none"/>
                <w:lang w:val="en-US" w:eastAsia="zh-CN"/>
              </w:rPr>
            </w:pPr>
            <w:r>
              <w:rPr>
                <w:rFonts w:hint="eastAsia"/>
                <w:kern w:val="0"/>
                <w:sz w:val="21"/>
                <w:szCs w:val="20"/>
                <w:highlight w:val="none"/>
                <w:lang w:val="en-US" w:eastAsia="zh-CN"/>
              </w:rPr>
              <w:t>在环境整治方面取得的成效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营造和谐氛围</w:t>
            </w:r>
          </w:p>
        </w:tc>
        <w:tc>
          <w:tcPr>
            <w:tcW w:w="1125"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有效</w:t>
            </w:r>
          </w:p>
        </w:tc>
        <w:tc>
          <w:tcPr>
            <w:tcW w:w="2988" w:type="dxa"/>
            <w:vAlign w:val="center"/>
          </w:tcPr>
          <w:p>
            <w:pPr>
              <w:spacing w:line="0" w:lineRule="atLeast"/>
              <w:ind w:firstLine="0" w:firstLineChars="0"/>
              <w:jc w:val="center"/>
              <w:rPr>
                <w:rFonts w:hint="default"/>
                <w:kern w:val="0"/>
                <w:sz w:val="21"/>
                <w:szCs w:val="20"/>
                <w:highlight w:val="none"/>
                <w:lang w:val="en-US" w:eastAsia="zh-CN"/>
              </w:rPr>
            </w:pPr>
            <w:r>
              <w:rPr>
                <w:rFonts w:hint="eastAsia"/>
                <w:kern w:val="0"/>
                <w:sz w:val="21"/>
                <w:szCs w:val="20"/>
                <w:highlight w:val="none"/>
                <w:lang w:val="en-US" w:eastAsia="zh-CN"/>
              </w:rPr>
              <w:t>辖区维稳方面取得的成效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restart"/>
            <w:vAlign w:val="center"/>
          </w:tcPr>
          <w:p>
            <w:pPr>
              <w:spacing w:line="240" w:lineRule="auto"/>
              <w:ind w:firstLine="0" w:firstLineChars="0"/>
              <w:jc w:val="center"/>
              <w:rPr>
                <w:rFonts w:ascii="Times New Roman" w:hAnsi="Times New Roman" w:eastAsia="仿宋_GB2312" w:cs="Times New Roman"/>
                <w:bCs/>
                <w:kern w:val="2"/>
                <w:sz w:val="21"/>
                <w:szCs w:val="21"/>
                <w:lang w:val="en-US" w:eastAsia="zh-CN" w:bidi="ar-SA"/>
              </w:rPr>
            </w:pPr>
            <w:r>
              <w:rPr>
                <w:bCs/>
                <w:sz w:val="21"/>
              </w:rPr>
              <w:t>可持续效益</w:t>
            </w:r>
          </w:p>
        </w:tc>
        <w:tc>
          <w:tcPr>
            <w:tcW w:w="2400" w:type="dxa"/>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eastAsia"/>
                <w:kern w:val="0"/>
                <w:sz w:val="21"/>
                <w:szCs w:val="20"/>
                <w:highlight w:val="none"/>
                <w:lang w:val="en-US" w:eastAsia="zh-CN"/>
              </w:rPr>
              <w:t>中长期规划建设完备性</w:t>
            </w:r>
          </w:p>
        </w:tc>
        <w:tc>
          <w:tcPr>
            <w:tcW w:w="1125" w:type="dxa"/>
            <w:vAlign w:val="center"/>
          </w:tcPr>
          <w:p>
            <w:pPr>
              <w:spacing w:line="0" w:lineRule="atLeast"/>
              <w:ind w:firstLine="0" w:firstLineChars="0"/>
              <w:jc w:val="center"/>
              <w:rPr>
                <w:rFonts w:hint="eastAsia" w:ascii="Times New Roman" w:hAnsi="Times New Roman" w:eastAsia="仿宋_GB2312" w:cs="Times New Roman"/>
                <w:kern w:val="0"/>
                <w:sz w:val="21"/>
                <w:szCs w:val="20"/>
                <w:highlight w:val="none"/>
                <w:lang w:val="en-US" w:eastAsia="zh-CN" w:bidi="ar-SA"/>
              </w:rPr>
            </w:pPr>
            <w:r>
              <w:rPr>
                <w:rFonts w:hint="eastAsia"/>
                <w:kern w:val="0"/>
                <w:sz w:val="21"/>
                <w:szCs w:val="20"/>
                <w:highlight w:val="none"/>
              </w:rPr>
              <w:t>完备</w:t>
            </w:r>
          </w:p>
        </w:tc>
        <w:tc>
          <w:tcPr>
            <w:tcW w:w="2988" w:type="dxa"/>
            <w:vAlign w:val="center"/>
          </w:tcPr>
          <w:p>
            <w:pPr>
              <w:keepNext w:val="0"/>
              <w:keepLines w:val="0"/>
              <w:suppressLineNumbers w:val="0"/>
              <w:spacing w:before="0" w:beforeAutospacing="0" w:after="0" w:afterAutospacing="0" w:line="240" w:lineRule="auto"/>
              <w:ind w:left="0" w:leftChars="0" w:right="0" w:rightChars="0" w:firstLine="0" w:firstLineChars="0"/>
              <w:jc w:val="left"/>
              <w:rPr>
                <w:rFonts w:hint="eastAsia" w:ascii="Times New Roman" w:hAnsi="Times New Roman" w:eastAsia="仿宋_GB2312" w:cs="仿宋_GB2312"/>
                <w:kern w:val="0"/>
                <w:sz w:val="21"/>
                <w:szCs w:val="21"/>
                <w:lang w:val="en-US" w:eastAsia="zh-CN" w:bidi="ar-SA"/>
              </w:rPr>
            </w:pPr>
            <w:r>
              <w:rPr>
                <w:rFonts w:hint="eastAsia" w:ascii="Times New Roman" w:hAnsi="Times New Roman" w:cs="仿宋_GB2312"/>
                <w:kern w:val="0"/>
                <w:sz w:val="21"/>
                <w:lang w:val="en-US" w:eastAsia="zh-CN"/>
              </w:rPr>
              <w:t>部门的中长规划是否完备齐全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hint="eastAsia" w:ascii="仿宋_GB2312" w:hAnsi="Calibri"/>
                <w:bCs/>
                <w:sz w:val="21"/>
              </w:rPr>
            </w:pPr>
          </w:p>
        </w:tc>
        <w:tc>
          <w:tcPr>
            <w:tcW w:w="2400" w:type="dxa"/>
            <w:vAlign w:val="center"/>
          </w:tcPr>
          <w:p>
            <w:pPr>
              <w:spacing w:line="0" w:lineRule="atLeast"/>
              <w:ind w:firstLine="0" w:firstLineChars="0"/>
              <w:jc w:val="center"/>
              <w:rPr>
                <w:rFonts w:hint="eastAsia" w:ascii="Times New Roman" w:hAnsi="Times New Roman" w:eastAsia="仿宋_GB2312" w:cs="Times New Roman"/>
                <w:color w:val="0000FF"/>
                <w:kern w:val="0"/>
                <w:sz w:val="21"/>
                <w:szCs w:val="21"/>
                <w:highlight w:val="none"/>
                <w:lang w:val="en-US" w:eastAsia="zh-CN" w:bidi="ar-SA"/>
              </w:rPr>
            </w:pPr>
            <w:r>
              <w:rPr>
                <w:rFonts w:hint="eastAsia"/>
                <w:kern w:val="0"/>
                <w:sz w:val="21"/>
                <w:szCs w:val="20"/>
                <w:highlight w:val="none"/>
              </w:rPr>
              <w:t>部门内部能力建设</w:t>
            </w:r>
          </w:p>
        </w:tc>
        <w:tc>
          <w:tcPr>
            <w:tcW w:w="1125" w:type="dxa"/>
            <w:vAlign w:val="center"/>
          </w:tcPr>
          <w:p>
            <w:pPr>
              <w:spacing w:line="0" w:lineRule="atLeast"/>
              <w:ind w:firstLine="0" w:firstLineChars="0"/>
              <w:jc w:val="center"/>
              <w:rPr>
                <w:rFonts w:hint="eastAsia" w:ascii="Times New Roman" w:hAnsi="Times New Roman" w:eastAsia="仿宋_GB2312" w:cs="Times New Roman"/>
                <w:kern w:val="0"/>
                <w:sz w:val="21"/>
                <w:szCs w:val="20"/>
                <w:highlight w:val="none"/>
                <w:lang w:val="en-US" w:eastAsia="zh-CN" w:bidi="ar-SA"/>
              </w:rPr>
            </w:pPr>
            <w:r>
              <w:rPr>
                <w:rFonts w:hint="eastAsia"/>
                <w:kern w:val="0"/>
                <w:sz w:val="21"/>
                <w:szCs w:val="20"/>
                <w:highlight w:val="none"/>
              </w:rPr>
              <w:t>持续推进</w:t>
            </w:r>
          </w:p>
        </w:tc>
        <w:tc>
          <w:tcPr>
            <w:tcW w:w="2988" w:type="dxa"/>
            <w:vAlign w:val="center"/>
          </w:tcPr>
          <w:p>
            <w:pPr>
              <w:keepNext w:val="0"/>
              <w:keepLines w:val="0"/>
              <w:suppressLineNumbers w:val="0"/>
              <w:spacing w:before="0" w:beforeAutospacing="0" w:after="0" w:afterAutospacing="0" w:line="240" w:lineRule="auto"/>
              <w:ind w:left="0" w:leftChars="0" w:right="0" w:rightChars="0" w:firstLine="0" w:firstLineChars="0"/>
              <w:jc w:val="left"/>
              <w:rPr>
                <w:rFonts w:hint="eastAsia" w:ascii="Times New Roman" w:hAnsi="Times New Roman" w:eastAsia="仿宋_GB2312" w:cs="仿宋_GB2312"/>
                <w:kern w:val="0"/>
                <w:sz w:val="21"/>
                <w:szCs w:val="21"/>
                <w:lang w:val="en-US" w:eastAsia="zh-CN" w:bidi="ar-SA"/>
              </w:rPr>
            </w:pPr>
            <w:r>
              <w:rPr>
                <w:rFonts w:hint="eastAsia" w:ascii="Times New Roman" w:hAnsi="Times New Roman" w:cs="仿宋_GB2312"/>
                <w:kern w:val="0"/>
                <w:sz w:val="21"/>
                <w:lang w:val="en-US" w:eastAsia="zh-CN"/>
              </w:rPr>
              <w:t>部门内部管理机制推进情况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restart"/>
            <w:vAlign w:val="center"/>
          </w:tcPr>
          <w:p>
            <w:pPr>
              <w:spacing w:line="240" w:lineRule="auto"/>
              <w:ind w:firstLine="0" w:firstLineChars="0"/>
              <w:jc w:val="center"/>
              <w:rPr>
                <w:rFonts w:ascii="仿宋_GB2312" w:hAnsi="Calibri"/>
                <w:bCs/>
                <w:sz w:val="21"/>
              </w:rPr>
            </w:pPr>
            <w:r>
              <w:rPr>
                <w:bCs/>
                <w:sz w:val="21"/>
              </w:rPr>
              <w:t>服务满意度</w:t>
            </w: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群众满意度</w:t>
            </w:r>
          </w:p>
        </w:tc>
        <w:tc>
          <w:tcPr>
            <w:tcW w:w="1125" w:type="dxa"/>
            <w:vAlign w:val="center"/>
          </w:tcPr>
          <w:p>
            <w:pPr>
              <w:spacing w:line="0" w:lineRule="atLeast"/>
              <w:ind w:firstLine="0" w:firstLineChars="0"/>
              <w:jc w:val="center"/>
              <w:rPr>
                <w:rFonts w:ascii="Times New Roman" w:hAnsi="Times New Roman" w:eastAsia="仿宋_GB2312" w:cs="Times New Roman"/>
                <w:kern w:val="0"/>
                <w:sz w:val="21"/>
                <w:szCs w:val="20"/>
                <w:highlight w:val="none"/>
                <w:lang w:val="en-US" w:eastAsia="zh-CN" w:bidi="ar-SA"/>
              </w:rPr>
            </w:pPr>
            <w:r>
              <w:rPr>
                <w:rFonts w:hint="eastAsia"/>
                <w:kern w:val="0"/>
                <w:sz w:val="21"/>
                <w:szCs w:val="20"/>
                <w:highlight w:val="none"/>
              </w:rPr>
              <w:t>≥90%</w:t>
            </w:r>
          </w:p>
        </w:tc>
        <w:tc>
          <w:tcPr>
            <w:tcW w:w="2988" w:type="dxa"/>
            <w:vMerge w:val="restart"/>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textAlignment w:val="auto"/>
              <w:rPr>
                <w:rFonts w:hint="eastAsia" w:ascii="Times New Roman" w:hAnsi="Times New Roman" w:eastAsia="仿宋_GB2312" w:cs="仿宋_GB2312"/>
                <w:kern w:val="0"/>
                <w:sz w:val="21"/>
                <w:szCs w:val="21"/>
                <w:lang w:val="en-US" w:eastAsia="zh-CN" w:bidi="ar-SA"/>
              </w:rPr>
            </w:pPr>
            <w:r>
              <w:rPr>
                <w:rFonts w:hint="eastAsia" w:ascii="Times New Roman" w:hAnsi="Times New Roman"/>
                <w:kern w:val="0"/>
                <w:sz w:val="21"/>
                <w:szCs w:val="21"/>
                <w:lang w:val="en-US" w:eastAsia="zh-CN"/>
              </w:rPr>
              <w:t>受益群体及工作人员</w:t>
            </w:r>
            <w:r>
              <w:rPr>
                <w:rFonts w:hint="eastAsia" w:ascii="Times New Roman" w:hAnsi="Times New Roman" w:eastAsia="仿宋_GB2312"/>
                <w:kern w:val="0"/>
                <w:sz w:val="21"/>
                <w:szCs w:val="21"/>
              </w:rPr>
              <w:t>等对部门</w:t>
            </w:r>
            <w:r>
              <w:rPr>
                <w:rFonts w:hint="eastAsia" w:ascii="Times New Roman" w:hAnsi="Times New Roman"/>
                <w:kern w:val="0"/>
                <w:sz w:val="21"/>
                <w:szCs w:val="21"/>
                <w:lang w:val="en-US" w:eastAsia="zh-CN"/>
              </w:rPr>
              <w:t>的</w:t>
            </w:r>
            <w:r>
              <w:rPr>
                <w:rFonts w:hint="eastAsia" w:ascii="Times New Roman" w:hAnsi="Times New Roman" w:eastAsia="仿宋_GB2312"/>
                <w:kern w:val="0"/>
                <w:sz w:val="21"/>
                <w:szCs w:val="21"/>
              </w:rPr>
              <w:t>的满意程度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085" w:type="dxa"/>
            <w:vMerge w:val="continue"/>
            <w:vAlign w:val="center"/>
          </w:tcPr>
          <w:p>
            <w:pPr>
              <w:spacing w:line="240" w:lineRule="auto"/>
              <w:ind w:firstLine="0" w:firstLineChars="0"/>
              <w:jc w:val="center"/>
              <w:rPr>
                <w:rFonts w:ascii="仿宋_GB2312" w:hAnsi="Calibri"/>
                <w:bCs/>
                <w:sz w:val="21"/>
              </w:rPr>
            </w:pPr>
          </w:p>
        </w:tc>
        <w:tc>
          <w:tcPr>
            <w:tcW w:w="1080" w:type="dxa"/>
            <w:vMerge w:val="continue"/>
            <w:vAlign w:val="center"/>
          </w:tcPr>
          <w:p>
            <w:pPr>
              <w:spacing w:line="240" w:lineRule="auto"/>
              <w:ind w:firstLine="0" w:firstLineChars="0"/>
              <w:jc w:val="center"/>
              <w:rPr>
                <w:rFonts w:ascii="仿宋_GB2312" w:hAnsi="Calibri"/>
                <w:bCs/>
                <w:sz w:val="21"/>
              </w:rPr>
            </w:pPr>
          </w:p>
        </w:tc>
        <w:tc>
          <w:tcPr>
            <w:tcW w:w="2400"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部门工作人员满意度</w:t>
            </w:r>
          </w:p>
        </w:tc>
        <w:tc>
          <w:tcPr>
            <w:tcW w:w="1125" w:type="dxa"/>
            <w:vAlign w:val="center"/>
          </w:tcPr>
          <w:p>
            <w:pPr>
              <w:spacing w:line="0" w:lineRule="atLeast"/>
              <w:ind w:firstLine="0" w:firstLineChars="0"/>
              <w:jc w:val="center"/>
              <w:rPr>
                <w:rFonts w:ascii="Times New Roman" w:hAnsi="Times New Roman" w:eastAsia="仿宋_GB2312" w:cs="Times New Roman"/>
                <w:kern w:val="0"/>
                <w:sz w:val="21"/>
                <w:szCs w:val="20"/>
                <w:highlight w:val="none"/>
                <w:lang w:val="en-US" w:eastAsia="zh-CN" w:bidi="ar-SA"/>
              </w:rPr>
            </w:pPr>
            <w:r>
              <w:rPr>
                <w:rFonts w:hint="eastAsia"/>
                <w:kern w:val="0"/>
                <w:sz w:val="21"/>
                <w:szCs w:val="20"/>
                <w:highlight w:val="none"/>
              </w:rPr>
              <w:t>≥95%</w:t>
            </w:r>
          </w:p>
        </w:tc>
        <w:tc>
          <w:tcPr>
            <w:tcW w:w="2988" w:type="dxa"/>
            <w:vMerge w:val="continue"/>
            <w:vAlign w:val="center"/>
          </w:tcPr>
          <w:p>
            <w:pPr>
              <w:spacing w:line="0" w:lineRule="atLeast"/>
              <w:ind w:firstLine="0" w:firstLineChars="0"/>
              <w:jc w:val="center"/>
              <w:rPr>
                <w:rFonts w:hint="eastAsia"/>
                <w:kern w:val="0"/>
                <w:sz w:val="21"/>
                <w:szCs w:val="20"/>
                <w:highlight w:val="none"/>
              </w:rPr>
            </w:pPr>
          </w:p>
        </w:tc>
      </w:tr>
    </w:tbl>
    <w:p>
      <w:pPr>
        <w:pStyle w:val="3"/>
        <w:bidi w:val="0"/>
      </w:pPr>
      <w:bookmarkStart w:id="22" w:name="_Toc15696"/>
      <w:bookmarkStart w:id="23" w:name="_Toc41579774"/>
      <w:bookmarkStart w:id="24" w:name="_Toc2264"/>
      <w:bookmarkStart w:id="25" w:name="_Toc24419"/>
      <w:r>
        <w:rPr>
          <w:rFonts w:hint="eastAsia"/>
        </w:rPr>
        <w:t>二、</w:t>
      </w:r>
      <w:bookmarkEnd w:id="22"/>
      <w:bookmarkEnd w:id="23"/>
      <w:bookmarkEnd w:id="24"/>
      <w:bookmarkEnd w:id="25"/>
      <w:bookmarkStart w:id="26" w:name="_Toc5931"/>
      <w:bookmarkStart w:id="27" w:name="_Toc41579785"/>
      <w:bookmarkStart w:id="28" w:name="_Toc25063"/>
      <w:r>
        <w:rPr>
          <w:rFonts w:hint="eastAsia"/>
        </w:rPr>
        <w:t>综合评价情况及结论</w:t>
      </w:r>
      <w:bookmarkEnd w:id="26"/>
      <w:bookmarkEnd w:id="27"/>
      <w:bookmarkEnd w:id="28"/>
    </w:p>
    <w:p>
      <w:pPr>
        <w:pStyle w:val="4"/>
        <w:bidi w:val="0"/>
      </w:pPr>
      <w:bookmarkStart w:id="29" w:name="_Toc30451"/>
      <w:bookmarkStart w:id="30" w:name="_Toc41579786"/>
      <w:bookmarkStart w:id="31" w:name="_Toc16317"/>
      <w:bookmarkStart w:id="32" w:name="_Toc15709"/>
      <w:r>
        <w:rPr>
          <w:rFonts w:hint="eastAsia"/>
        </w:rPr>
        <w:t>（一）评价评分情况</w:t>
      </w:r>
      <w:bookmarkEnd w:id="29"/>
      <w:bookmarkEnd w:id="30"/>
      <w:bookmarkEnd w:id="31"/>
      <w:bookmarkEnd w:id="32"/>
    </w:p>
    <w:p>
      <w:pPr>
        <w:ind w:firstLine="640"/>
      </w:pPr>
      <w:r>
        <w:rPr>
          <w:rFonts w:hint="eastAsia"/>
        </w:rPr>
        <w:t>贵阳业越根据既定评价指标体系</w:t>
      </w:r>
      <w:r>
        <w:t>对</w:t>
      </w:r>
      <w:r>
        <w:rPr>
          <w:rFonts w:hint="eastAsia"/>
        </w:rPr>
        <w:t>20</w:t>
      </w:r>
      <w:r>
        <w:rPr>
          <w:rFonts w:hint="eastAsia"/>
          <w:lang w:val="en-US" w:eastAsia="zh-CN"/>
        </w:rPr>
        <w:t>20</w:t>
      </w:r>
      <w:r>
        <w:rPr>
          <w:rFonts w:hint="eastAsia"/>
        </w:rPr>
        <w:t>年云岩区</w:t>
      </w:r>
      <w:r>
        <w:rPr>
          <w:rFonts w:hint="eastAsia"/>
          <w:lang w:val="en-US" w:eastAsia="zh-CN"/>
        </w:rPr>
        <w:t>文昌阁街道办</w:t>
      </w:r>
      <w:r>
        <w:rPr>
          <w:rFonts w:hint="eastAsia"/>
        </w:rPr>
        <w:t>部门整体支出</w:t>
      </w:r>
      <w:r>
        <w:t>进行了</w:t>
      </w:r>
      <w:r>
        <w:rPr>
          <w:rFonts w:hint="eastAsia"/>
        </w:rPr>
        <w:t>综合</w:t>
      </w:r>
      <w:r>
        <w:t>评价，</w:t>
      </w:r>
      <w:r>
        <w:rPr>
          <w:rFonts w:hint="eastAsia"/>
        </w:rPr>
        <w:t>各指标评分情况</w:t>
      </w:r>
      <w:r>
        <w:t>见表</w:t>
      </w:r>
      <w:r>
        <w:rPr>
          <w:rFonts w:hint="eastAsia"/>
          <w:lang w:val="en-US" w:eastAsia="zh-CN"/>
        </w:rPr>
        <w:t>2</w:t>
      </w:r>
      <w:r>
        <w:t>-1</w:t>
      </w:r>
      <w:r>
        <w:rPr>
          <w:rFonts w:hint="eastAsia"/>
        </w:rPr>
        <w:t>：</w:t>
      </w:r>
    </w:p>
    <w:p>
      <w:pPr>
        <w:pStyle w:val="31"/>
        <w:bidi w:val="0"/>
        <w:rPr>
          <w:bCs/>
          <w:iCs/>
        </w:rPr>
      </w:pPr>
      <w:r>
        <w:rPr>
          <w:rFonts w:eastAsia="黑体"/>
          <w:bCs/>
          <w:sz w:val="24"/>
        </w:rPr>
        <w:t>表</w:t>
      </w:r>
      <w:r>
        <w:rPr>
          <w:rFonts w:hint="eastAsia"/>
          <w:bCs/>
          <w:sz w:val="24"/>
          <w:lang w:val="en-US" w:eastAsia="zh-CN"/>
        </w:rPr>
        <w:t>2-</w:t>
      </w:r>
      <w:r>
        <w:rPr>
          <w:rFonts w:eastAsia="黑体"/>
          <w:bCs/>
          <w:sz w:val="24"/>
        </w:rPr>
        <w:t>1：</w:t>
      </w:r>
      <w:r>
        <w:rPr>
          <w:rFonts w:hint="eastAsia"/>
          <w:bCs/>
          <w:sz w:val="24"/>
          <w:lang w:val="en-US" w:eastAsia="zh-CN"/>
        </w:rPr>
        <w:t>2020年</w:t>
      </w:r>
      <w:r>
        <w:rPr>
          <w:rFonts w:hint="eastAsia" w:eastAsia="黑体"/>
          <w:bCs/>
          <w:sz w:val="24"/>
          <w:lang w:val="en-US" w:eastAsia="zh-CN"/>
        </w:rPr>
        <w:t>文昌阁街道办</w:t>
      </w:r>
      <w:r>
        <w:rPr>
          <w:rFonts w:hint="eastAsia" w:eastAsia="黑体"/>
          <w:bCs/>
          <w:sz w:val="24"/>
        </w:rPr>
        <w:t>部门整体支出</w:t>
      </w:r>
      <w:r>
        <w:rPr>
          <w:rFonts w:eastAsia="黑体"/>
          <w:bCs/>
          <w:sz w:val="24"/>
        </w:rPr>
        <w:t>绩效评分表</w:t>
      </w:r>
      <w:r>
        <w:rPr>
          <w:rFonts w:hint="eastAsia"/>
          <w:bCs/>
          <w:iCs/>
        </w:rPr>
        <w:t xml:space="preserve"> </w:t>
      </w:r>
    </w:p>
    <w:tbl>
      <w:tblPr>
        <w:tblStyle w:val="16"/>
        <w:tblW w:w="8377"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1576"/>
        <w:gridCol w:w="2859"/>
        <w:gridCol w:w="1178"/>
        <w:gridCol w:w="1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599" w:type="dxa"/>
            <w:shd w:val="clear" w:color="auto" w:fill="FFFFFF"/>
            <w:vAlign w:val="center"/>
          </w:tcPr>
          <w:p>
            <w:pPr>
              <w:widowControl/>
              <w:snapToGrid w:val="0"/>
              <w:spacing w:line="240" w:lineRule="auto"/>
              <w:ind w:firstLine="0" w:firstLineChars="0"/>
              <w:jc w:val="center"/>
              <w:textAlignment w:val="center"/>
              <w:rPr>
                <w:b/>
                <w:color w:val="000000"/>
                <w:kern w:val="0"/>
                <w:sz w:val="21"/>
                <w:lang w:bidi="ar"/>
              </w:rPr>
            </w:pPr>
            <w:r>
              <w:rPr>
                <w:b/>
                <w:color w:val="000000"/>
                <w:kern w:val="0"/>
                <w:sz w:val="21"/>
                <w:lang w:bidi="ar"/>
              </w:rPr>
              <w:t>一级指标</w:t>
            </w:r>
          </w:p>
        </w:tc>
        <w:tc>
          <w:tcPr>
            <w:tcW w:w="1576" w:type="dxa"/>
            <w:shd w:val="clear" w:color="auto" w:fill="FFFFFF"/>
            <w:vAlign w:val="center"/>
          </w:tcPr>
          <w:p>
            <w:pPr>
              <w:widowControl/>
              <w:snapToGrid w:val="0"/>
              <w:spacing w:line="240" w:lineRule="auto"/>
              <w:ind w:firstLine="0" w:firstLineChars="0"/>
              <w:jc w:val="center"/>
              <w:textAlignment w:val="center"/>
              <w:rPr>
                <w:b/>
                <w:color w:val="000000"/>
                <w:kern w:val="0"/>
                <w:sz w:val="21"/>
                <w:lang w:bidi="ar"/>
              </w:rPr>
            </w:pPr>
            <w:r>
              <w:rPr>
                <w:b/>
                <w:color w:val="000000"/>
                <w:kern w:val="0"/>
                <w:sz w:val="21"/>
                <w:lang w:bidi="ar"/>
              </w:rPr>
              <w:t>二级指标</w:t>
            </w:r>
          </w:p>
        </w:tc>
        <w:tc>
          <w:tcPr>
            <w:tcW w:w="2859" w:type="dxa"/>
            <w:shd w:val="clear" w:color="auto" w:fill="FFFFFF"/>
            <w:vAlign w:val="center"/>
          </w:tcPr>
          <w:p>
            <w:pPr>
              <w:widowControl/>
              <w:snapToGrid w:val="0"/>
              <w:spacing w:line="240" w:lineRule="auto"/>
              <w:ind w:firstLine="0" w:firstLineChars="0"/>
              <w:jc w:val="center"/>
              <w:textAlignment w:val="center"/>
              <w:rPr>
                <w:rFonts w:ascii="仿宋_GB2312" w:hAnsi="仿宋_GB2312" w:cs="仿宋_GB2312"/>
                <w:b/>
                <w:color w:val="000000"/>
                <w:kern w:val="0"/>
                <w:sz w:val="21"/>
                <w:lang w:bidi="ar"/>
              </w:rPr>
            </w:pPr>
            <w:r>
              <w:rPr>
                <w:rFonts w:hint="eastAsia" w:ascii="仿宋_GB2312" w:hAnsi="仿宋_GB2312" w:cs="仿宋_GB2312"/>
                <w:b/>
                <w:color w:val="000000"/>
                <w:kern w:val="0"/>
                <w:sz w:val="21"/>
                <w:lang w:bidi="ar"/>
              </w:rPr>
              <w:t>三级指标</w:t>
            </w:r>
          </w:p>
        </w:tc>
        <w:tc>
          <w:tcPr>
            <w:tcW w:w="1178" w:type="dxa"/>
            <w:shd w:val="clear" w:color="auto" w:fill="FFFFFF"/>
            <w:vAlign w:val="center"/>
          </w:tcPr>
          <w:p>
            <w:pPr>
              <w:widowControl/>
              <w:snapToGrid w:val="0"/>
              <w:spacing w:line="240" w:lineRule="auto"/>
              <w:ind w:firstLine="0" w:firstLineChars="0"/>
              <w:jc w:val="center"/>
              <w:textAlignment w:val="center"/>
              <w:rPr>
                <w:b/>
                <w:color w:val="000000"/>
                <w:kern w:val="0"/>
                <w:sz w:val="21"/>
                <w:lang w:bidi="ar"/>
              </w:rPr>
            </w:pPr>
            <w:r>
              <w:rPr>
                <w:b/>
                <w:color w:val="000000"/>
                <w:kern w:val="0"/>
                <w:sz w:val="21"/>
                <w:lang w:bidi="ar"/>
              </w:rPr>
              <w:t>分值</w:t>
            </w:r>
          </w:p>
        </w:tc>
        <w:tc>
          <w:tcPr>
            <w:tcW w:w="1165" w:type="dxa"/>
            <w:shd w:val="clear" w:color="auto" w:fill="FFFFFF"/>
            <w:vAlign w:val="center"/>
          </w:tcPr>
          <w:p>
            <w:pPr>
              <w:widowControl/>
              <w:snapToGrid w:val="0"/>
              <w:spacing w:line="240" w:lineRule="auto"/>
              <w:ind w:firstLine="0" w:firstLineChars="0"/>
              <w:jc w:val="center"/>
              <w:textAlignment w:val="center"/>
              <w:rPr>
                <w:b/>
                <w:color w:val="000000"/>
                <w:kern w:val="0"/>
                <w:sz w:val="21"/>
                <w:lang w:bidi="ar"/>
              </w:rPr>
            </w:pPr>
            <w:r>
              <w:rPr>
                <w:b/>
                <w:color w:val="000000"/>
                <w:kern w:val="0"/>
                <w:sz w:val="21"/>
                <w:lang w:bidi="ar"/>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99" w:type="dxa"/>
            <w:vMerge w:val="restart"/>
            <w:shd w:val="clear" w:color="auto" w:fill="FFFFFF"/>
            <w:vAlign w:val="center"/>
          </w:tcPr>
          <w:p>
            <w:pPr>
              <w:spacing w:line="240" w:lineRule="auto"/>
              <w:ind w:firstLine="0" w:firstLineChars="0"/>
              <w:jc w:val="center"/>
              <w:rPr>
                <w:bCs/>
                <w:sz w:val="21"/>
              </w:rPr>
            </w:pPr>
            <w:bookmarkStart w:id="33" w:name="OLE_LINK3" w:colFirst="2" w:colLast="3"/>
            <w:r>
              <w:rPr>
                <w:bCs/>
                <w:sz w:val="21"/>
              </w:rPr>
              <w:t>投入</w:t>
            </w:r>
          </w:p>
        </w:tc>
        <w:tc>
          <w:tcPr>
            <w:tcW w:w="1576" w:type="dxa"/>
            <w:vMerge w:val="restart"/>
            <w:shd w:val="clear" w:color="auto" w:fill="FFFFFF"/>
            <w:vAlign w:val="center"/>
          </w:tcPr>
          <w:p>
            <w:pPr>
              <w:spacing w:line="240" w:lineRule="auto"/>
              <w:ind w:firstLine="0" w:firstLineChars="0"/>
              <w:jc w:val="center"/>
              <w:rPr>
                <w:bCs/>
                <w:sz w:val="21"/>
              </w:rPr>
            </w:pPr>
            <w:r>
              <w:rPr>
                <w:bCs/>
                <w:sz w:val="21"/>
              </w:rPr>
              <w:t>目标设定</w:t>
            </w:r>
          </w:p>
        </w:tc>
        <w:tc>
          <w:tcPr>
            <w:tcW w:w="2859" w:type="dxa"/>
            <w:shd w:val="clear" w:color="auto" w:fill="FFFFFF"/>
            <w:vAlign w:val="center"/>
          </w:tcPr>
          <w:p>
            <w:pPr>
              <w:spacing w:line="240" w:lineRule="auto"/>
              <w:ind w:firstLine="0" w:firstLineChars="0"/>
              <w:jc w:val="center"/>
              <w:rPr>
                <w:rFonts w:ascii="仿宋_GB2312" w:hAnsi="仿宋_GB2312" w:cs="仿宋_GB2312"/>
                <w:bCs/>
                <w:sz w:val="21"/>
              </w:rPr>
            </w:pPr>
            <w:r>
              <w:rPr>
                <w:rFonts w:hint="eastAsia" w:ascii="仿宋_GB2312" w:hAnsi="仿宋_GB2312" w:cs="仿宋_GB2312"/>
                <w:bCs/>
                <w:sz w:val="21"/>
              </w:rPr>
              <w:t>绩效目标合理性</w:t>
            </w:r>
          </w:p>
        </w:tc>
        <w:tc>
          <w:tcPr>
            <w:tcW w:w="1178" w:type="dxa"/>
            <w:shd w:val="clear" w:color="auto" w:fill="FFFFFF"/>
            <w:vAlign w:val="center"/>
          </w:tcPr>
          <w:p>
            <w:pPr>
              <w:spacing w:line="0" w:lineRule="atLeast"/>
              <w:ind w:firstLine="0" w:firstLineChars="0"/>
              <w:jc w:val="center"/>
              <w:rPr>
                <w:bCs/>
                <w:sz w:val="21"/>
                <w:szCs w:val="21"/>
              </w:rPr>
            </w:pPr>
            <w:r>
              <w:rPr>
                <w:kern w:val="0"/>
                <w:sz w:val="21"/>
                <w:szCs w:val="21"/>
                <w:highlight w:val="none"/>
              </w:rPr>
              <w:t>2</w:t>
            </w:r>
          </w:p>
        </w:tc>
        <w:tc>
          <w:tcPr>
            <w:tcW w:w="1165" w:type="dxa"/>
            <w:shd w:val="clear" w:color="auto" w:fill="FFFFFF"/>
            <w:vAlign w:val="center"/>
          </w:tcPr>
          <w:p>
            <w:pPr>
              <w:snapToGrid w:val="0"/>
              <w:spacing w:line="240" w:lineRule="auto"/>
              <w:ind w:firstLine="0" w:firstLineChars="0"/>
              <w:jc w:val="center"/>
              <w:rPr>
                <w:rFonts w:hint="eastAsia" w:ascii="Times New Roman" w:hAnsi="Times New Roman" w:eastAsia="仿宋_GB2312" w:cs="Times New Roman"/>
                <w:color w:val="000000" w:themeColor="text1"/>
                <w:kern w:val="0"/>
                <w:sz w:val="21"/>
                <w:szCs w:val="21"/>
                <w:lang w:val="en-US" w:eastAsia="zh-CN" w:bidi="ar-SA"/>
                <w14:textFill>
                  <w14:solidFill>
                    <w14:schemeClr w14:val="tx1"/>
                  </w14:solidFill>
                </w14:textFill>
              </w:rPr>
            </w:pPr>
            <w:r>
              <w:rPr>
                <w:rFonts w:hint="eastAsia"/>
                <w:color w:val="000000" w:themeColor="text1"/>
                <w:kern w:val="0"/>
                <w:sz w:val="21"/>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continue"/>
            <w:shd w:val="clear" w:color="auto" w:fill="FFFFFF"/>
            <w:vAlign w:val="center"/>
          </w:tcPr>
          <w:p>
            <w:pPr>
              <w:spacing w:line="240" w:lineRule="auto"/>
              <w:ind w:firstLine="0" w:firstLineChars="0"/>
              <w:jc w:val="center"/>
              <w:rPr>
                <w:bCs/>
                <w:sz w:val="21"/>
              </w:rPr>
            </w:pPr>
          </w:p>
        </w:tc>
        <w:tc>
          <w:tcPr>
            <w:tcW w:w="2859" w:type="dxa"/>
            <w:shd w:val="clear" w:color="auto" w:fill="FFFFFF"/>
            <w:vAlign w:val="center"/>
          </w:tcPr>
          <w:p>
            <w:pPr>
              <w:spacing w:line="240" w:lineRule="auto"/>
              <w:ind w:firstLine="0" w:firstLineChars="0"/>
              <w:jc w:val="center"/>
              <w:rPr>
                <w:rFonts w:ascii="仿宋_GB2312" w:hAnsi="仿宋_GB2312" w:cs="仿宋_GB2312"/>
                <w:bCs/>
                <w:sz w:val="21"/>
              </w:rPr>
            </w:pPr>
            <w:r>
              <w:rPr>
                <w:rFonts w:hint="eastAsia" w:ascii="仿宋_GB2312" w:hAnsi="仿宋_GB2312" w:cs="仿宋_GB2312"/>
                <w:bCs/>
                <w:sz w:val="21"/>
              </w:rPr>
              <w:t>绩效指标明确性</w:t>
            </w:r>
          </w:p>
        </w:tc>
        <w:tc>
          <w:tcPr>
            <w:tcW w:w="1178" w:type="dxa"/>
            <w:shd w:val="clear" w:color="auto" w:fill="FFFFFF"/>
            <w:vAlign w:val="center"/>
          </w:tcPr>
          <w:p>
            <w:pPr>
              <w:spacing w:line="0" w:lineRule="atLeast"/>
              <w:ind w:firstLine="0" w:firstLineChars="0"/>
              <w:jc w:val="center"/>
              <w:rPr>
                <w:bCs/>
                <w:sz w:val="21"/>
                <w:szCs w:val="21"/>
              </w:rPr>
            </w:pPr>
            <w:r>
              <w:rPr>
                <w:kern w:val="0"/>
                <w:sz w:val="21"/>
                <w:szCs w:val="21"/>
                <w:highlight w:val="none"/>
              </w:rPr>
              <w:t>2</w:t>
            </w:r>
          </w:p>
        </w:tc>
        <w:tc>
          <w:tcPr>
            <w:tcW w:w="1165" w:type="dxa"/>
            <w:shd w:val="clear" w:color="auto" w:fill="FFFFFF"/>
            <w:vAlign w:val="center"/>
          </w:tcPr>
          <w:p>
            <w:pPr>
              <w:autoSpaceDE w:val="0"/>
              <w:snapToGrid w:val="0"/>
              <w:spacing w:line="240" w:lineRule="auto"/>
              <w:ind w:firstLine="0" w:firstLineChars="0"/>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color w:val="000000" w:themeColor="text1"/>
                <w:sz w:val="21"/>
                <w:lang w:val="en-US" w:eastAsia="zh-CN"/>
                <w14:textFill>
                  <w14:solidFill>
                    <w14:schemeClr w14:val="tx1"/>
                  </w14:solidFill>
                </w14:textFill>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restart"/>
            <w:shd w:val="clear" w:color="auto" w:fill="FFFFFF"/>
            <w:vAlign w:val="center"/>
          </w:tcPr>
          <w:p>
            <w:pPr>
              <w:spacing w:line="240" w:lineRule="auto"/>
              <w:ind w:firstLine="0" w:firstLineChars="0"/>
              <w:jc w:val="center"/>
              <w:rPr>
                <w:bCs/>
                <w:sz w:val="21"/>
              </w:rPr>
            </w:pPr>
            <w:r>
              <w:rPr>
                <w:bCs/>
                <w:sz w:val="21"/>
              </w:rPr>
              <w:t>预算配置</w:t>
            </w:r>
          </w:p>
        </w:tc>
        <w:tc>
          <w:tcPr>
            <w:tcW w:w="2859" w:type="dxa"/>
            <w:shd w:val="clear" w:color="auto" w:fill="FFFFFF"/>
            <w:vAlign w:val="center"/>
          </w:tcPr>
          <w:p>
            <w:pPr>
              <w:spacing w:line="240" w:lineRule="auto"/>
              <w:ind w:firstLine="0" w:firstLineChars="0"/>
              <w:jc w:val="center"/>
              <w:rPr>
                <w:rFonts w:ascii="仿宋_GB2312" w:hAnsi="仿宋_GB2312" w:cs="仿宋_GB2312"/>
                <w:bCs/>
                <w:sz w:val="21"/>
              </w:rPr>
            </w:pPr>
            <w:r>
              <w:rPr>
                <w:rFonts w:hint="eastAsia" w:ascii="仿宋_GB2312" w:hAnsi="仿宋_GB2312" w:cs="仿宋_GB2312"/>
                <w:bCs/>
                <w:sz w:val="21"/>
              </w:rPr>
              <w:t>在职人员控制率</w:t>
            </w:r>
          </w:p>
        </w:tc>
        <w:tc>
          <w:tcPr>
            <w:tcW w:w="1178" w:type="dxa"/>
            <w:shd w:val="clear" w:color="auto" w:fill="FFFFFF"/>
            <w:vAlign w:val="center"/>
          </w:tcPr>
          <w:p>
            <w:pPr>
              <w:spacing w:line="0" w:lineRule="atLeast"/>
              <w:ind w:firstLine="0" w:firstLineChars="0"/>
              <w:jc w:val="center"/>
              <w:rPr>
                <w:bCs/>
                <w:sz w:val="21"/>
                <w:szCs w:val="21"/>
              </w:rPr>
            </w:pPr>
            <w:r>
              <w:rPr>
                <w:kern w:val="0"/>
                <w:sz w:val="21"/>
                <w:szCs w:val="21"/>
                <w:highlight w:val="none"/>
              </w:rPr>
              <w:t>3</w:t>
            </w:r>
          </w:p>
        </w:tc>
        <w:tc>
          <w:tcPr>
            <w:tcW w:w="1165" w:type="dxa"/>
            <w:shd w:val="clear" w:color="auto" w:fill="FFFFFF"/>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continue"/>
            <w:shd w:val="clear" w:color="auto" w:fill="FFFFFF"/>
            <w:vAlign w:val="center"/>
          </w:tcPr>
          <w:p>
            <w:pPr>
              <w:spacing w:line="240" w:lineRule="auto"/>
              <w:ind w:firstLine="420"/>
              <w:jc w:val="center"/>
              <w:rPr>
                <w:bCs/>
                <w:sz w:val="21"/>
              </w:rPr>
            </w:pPr>
          </w:p>
        </w:tc>
        <w:tc>
          <w:tcPr>
            <w:tcW w:w="2859" w:type="dxa"/>
            <w:shd w:val="clear" w:color="auto" w:fill="FFFFFF"/>
            <w:vAlign w:val="center"/>
          </w:tcPr>
          <w:p>
            <w:pPr>
              <w:spacing w:line="240" w:lineRule="auto"/>
              <w:ind w:firstLine="0" w:firstLineChars="0"/>
              <w:jc w:val="center"/>
              <w:rPr>
                <w:rFonts w:ascii="仿宋_GB2312" w:hAnsi="仿宋_GB2312" w:cs="仿宋_GB2312"/>
                <w:bCs/>
                <w:sz w:val="21"/>
              </w:rPr>
            </w:pPr>
            <w:r>
              <w:rPr>
                <w:rFonts w:hint="eastAsia" w:ascii="仿宋_GB2312" w:hAnsi="仿宋_GB2312" w:cs="仿宋_GB2312"/>
                <w:bCs/>
                <w:sz w:val="21"/>
              </w:rPr>
              <w:t>“三公经费”变动率</w:t>
            </w:r>
          </w:p>
        </w:tc>
        <w:tc>
          <w:tcPr>
            <w:tcW w:w="1178" w:type="dxa"/>
            <w:shd w:val="clear" w:color="auto" w:fill="FFFFFF"/>
            <w:vAlign w:val="center"/>
          </w:tcPr>
          <w:p>
            <w:pPr>
              <w:spacing w:line="0" w:lineRule="atLeast"/>
              <w:ind w:firstLine="0" w:firstLineChars="0"/>
              <w:jc w:val="center"/>
              <w:rPr>
                <w:bCs/>
                <w:sz w:val="21"/>
                <w:szCs w:val="21"/>
              </w:rPr>
            </w:pPr>
            <w:r>
              <w:rPr>
                <w:rFonts w:hint="eastAsia"/>
                <w:kern w:val="0"/>
                <w:sz w:val="21"/>
                <w:szCs w:val="21"/>
                <w:highlight w:val="none"/>
              </w:rPr>
              <w:t>2</w:t>
            </w:r>
          </w:p>
        </w:tc>
        <w:tc>
          <w:tcPr>
            <w:tcW w:w="1165" w:type="dxa"/>
            <w:shd w:val="clear" w:color="auto" w:fill="FFFFFF"/>
            <w:vAlign w:val="center"/>
          </w:tcPr>
          <w:p>
            <w:pPr>
              <w:autoSpaceDE w:val="0"/>
              <w:snapToGrid w:val="0"/>
              <w:spacing w:before="62" w:beforeLines="20"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continue"/>
            <w:shd w:val="clear" w:color="auto" w:fill="FFFFFF"/>
            <w:vAlign w:val="center"/>
          </w:tcPr>
          <w:p>
            <w:pPr>
              <w:spacing w:line="240" w:lineRule="auto"/>
              <w:ind w:firstLine="0" w:firstLineChars="0"/>
              <w:jc w:val="center"/>
              <w:rPr>
                <w:bCs/>
                <w:sz w:val="21"/>
              </w:rPr>
            </w:pPr>
          </w:p>
        </w:tc>
        <w:tc>
          <w:tcPr>
            <w:tcW w:w="2859" w:type="dxa"/>
            <w:shd w:val="clear" w:color="auto" w:fill="FFFFFF"/>
            <w:vAlign w:val="center"/>
          </w:tcPr>
          <w:p>
            <w:pPr>
              <w:spacing w:line="240" w:lineRule="auto"/>
              <w:ind w:firstLine="0" w:firstLineChars="0"/>
              <w:jc w:val="center"/>
              <w:rPr>
                <w:rFonts w:ascii="仿宋_GB2312" w:hAnsi="仿宋_GB2312" w:cs="仿宋_GB2312"/>
                <w:bCs/>
                <w:sz w:val="21"/>
              </w:rPr>
            </w:pPr>
            <w:r>
              <w:rPr>
                <w:rFonts w:hint="eastAsia" w:ascii="仿宋_GB2312" w:hAnsi="仿宋_GB2312" w:cs="仿宋_GB2312"/>
                <w:bCs/>
                <w:sz w:val="21"/>
              </w:rPr>
              <w:t>重点支出安排率</w:t>
            </w:r>
          </w:p>
        </w:tc>
        <w:tc>
          <w:tcPr>
            <w:tcW w:w="1178" w:type="dxa"/>
            <w:shd w:val="clear" w:color="auto" w:fill="FFFFFF"/>
            <w:vAlign w:val="center"/>
          </w:tcPr>
          <w:p>
            <w:pPr>
              <w:spacing w:line="0" w:lineRule="atLeast"/>
              <w:ind w:firstLine="0" w:firstLineChars="0"/>
              <w:jc w:val="center"/>
              <w:rPr>
                <w:bCs/>
                <w:sz w:val="21"/>
                <w:szCs w:val="21"/>
              </w:rPr>
            </w:pPr>
            <w:r>
              <w:rPr>
                <w:rFonts w:hint="eastAsia"/>
                <w:kern w:val="0"/>
                <w:sz w:val="21"/>
                <w:szCs w:val="21"/>
                <w:highlight w:val="none"/>
              </w:rPr>
              <w:t>3</w:t>
            </w:r>
          </w:p>
        </w:tc>
        <w:tc>
          <w:tcPr>
            <w:tcW w:w="1165" w:type="dxa"/>
            <w:shd w:val="clear" w:color="auto" w:fill="FFFFFF"/>
            <w:vAlign w:val="center"/>
          </w:tcPr>
          <w:p>
            <w:pPr>
              <w:autoSpaceDE w:val="0"/>
              <w:snapToGrid w:val="0"/>
              <w:spacing w:before="62" w:beforeLines="20"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99" w:type="dxa"/>
            <w:vMerge w:val="restart"/>
            <w:shd w:val="clear" w:color="auto" w:fill="FFFFFF"/>
            <w:vAlign w:val="center"/>
          </w:tcPr>
          <w:p>
            <w:pPr>
              <w:spacing w:line="240" w:lineRule="auto"/>
              <w:ind w:firstLine="0" w:firstLineChars="0"/>
              <w:jc w:val="center"/>
              <w:rPr>
                <w:bCs/>
                <w:sz w:val="21"/>
              </w:rPr>
            </w:pPr>
            <w:r>
              <w:rPr>
                <w:bCs/>
                <w:sz w:val="21"/>
              </w:rPr>
              <w:t>过程</w:t>
            </w:r>
          </w:p>
        </w:tc>
        <w:tc>
          <w:tcPr>
            <w:tcW w:w="1576" w:type="dxa"/>
            <w:vMerge w:val="restart"/>
            <w:shd w:val="clear" w:color="auto" w:fill="FFFFFF"/>
            <w:vAlign w:val="center"/>
          </w:tcPr>
          <w:p>
            <w:pPr>
              <w:spacing w:line="240" w:lineRule="auto"/>
              <w:ind w:firstLine="0" w:firstLineChars="0"/>
              <w:jc w:val="center"/>
              <w:rPr>
                <w:bCs/>
                <w:sz w:val="21"/>
              </w:rPr>
            </w:pPr>
            <w:r>
              <w:rPr>
                <w:bCs/>
                <w:sz w:val="21"/>
              </w:rPr>
              <w:t>预算执行</w:t>
            </w:r>
          </w:p>
        </w:tc>
        <w:tc>
          <w:tcPr>
            <w:tcW w:w="2859" w:type="dxa"/>
            <w:shd w:val="clear" w:color="auto" w:fill="FFFFFF"/>
            <w:vAlign w:val="center"/>
          </w:tcPr>
          <w:p>
            <w:pPr>
              <w:spacing w:line="0" w:lineRule="atLeast"/>
              <w:ind w:firstLine="0" w:firstLineChars="0"/>
              <w:jc w:val="center"/>
              <w:rPr>
                <w:rFonts w:ascii="仿宋_GB2312" w:hAnsi="仿宋_GB2312" w:cs="仿宋_GB2312"/>
                <w:bCs/>
                <w:sz w:val="21"/>
              </w:rPr>
            </w:pPr>
            <w:r>
              <w:rPr>
                <w:rFonts w:hint="eastAsia"/>
                <w:kern w:val="0"/>
                <w:sz w:val="21"/>
                <w:szCs w:val="20"/>
                <w:highlight w:val="none"/>
              </w:rPr>
              <w:t>预算完成率</w:t>
            </w:r>
          </w:p>
        </w:tc>
        <w:tc>
          <w:tcPr>
            <w:tcW w:w="1178" w:type="dxa"/>
            <w:shd w:val="clear" w:color="auto" w:fill="FFFFFF"/>
            <w:vAlign w:val="center"/>
          </w:tcPr>
          <w:p>
            <w:pPr>
              <w:spacing w:line="0" w:lineRule="atLeast"/>
              <w:ind w:firstLine="0" w:firstLineChars="0"/>
              <w:jc w:val="center"/>
              <w:rPr>
                <w:bCs/>
                <w:sz w:val="21"/>
                <w:szCs w:val="21"/>
              </w:rPr>
            </w:pPr>
            <w:r>
              <w:rPr>
                <w:rFonts w:hint="eastAsia"/>
                <w:kern w:val="0"/>
                <w:sz w:val="21"/>
                <w:szCs w:val="21"/>
                <w:highlight w:val="none"/>
              </w:rPr>
              <w:t>2</w:t>
            </w:r>
          </w:p>
        </w:tc>
        <w:tc>
          <w:tcPr>
            <w:tcW w:w="1165" w:type="dxa"/>
            <w:shd w:val="clear" w:color="auto" w:fill="FFFFFF"/>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continue"/>
            <w:shd w:val="clear" w:color="auto" w:fill="FFFFFF"/>
            <w:vAlign w:val="center"/>
          </w:tcPr>
          <w:p>
            <w:pPr>
              <w:spacing w:line="240" w:lineRule="auto"/>
              <w:ind w:firstLine="0" w:firstLineChars="0"/>
              <w:jc w:val="center"/>
              <w:rPr>
                <w:bCs/>
                <w:sz w:val="21"/>
              </w:rPr>
            </w:pPr>
          </w:p>
        </w:tc>
        <w:tc>
          <w:tcPr>
            <w:tcW w:w="2859" w:type="dxa"/>
            <w:shd w:val="clear" w:color="auto" w:fill="FFFFFF"/>
            <w:vAlign w:val="center"/>
          </w:tcPr>
          <w:p>
            <w:pPr>
              <w:spacing w:line="0" w:lineRule="atLeast"/>
              <w:ind w:firstLine="0" w:firstLineChars="0"/>
              <w:jc w:val="center"/>
              <w:rPr>
                <w:rFonts w:ascii="仿宋_GB2312" w:hAnsi="仿宋_GB2312" w:cs="仿宋_GB2312"/>
                <w:bCs/>
                <w:sz w:val="21"/>
              </w:rPr>
            </w:pPr>
            <w:r>
              <w:rPr>
                <w:rFonts w:hint="eastAsia"/>
                <w:kern w:val="0"/>
                <w:sz w:val="21"/>
                <w:szCs w:val="20"/>
                <w:highlight w:val="none"/>
              </w:rPr>
              <w:t>预算调整率</w:t>
            </w:r>
          </w:p>
        </w:tc>
        <w:tc>
          <w:tcPr>
            <w:tcW w:w="1178" w:type="dxa"/>
            <w:shd w:val="clear" w:color="auto" w:fill="FFFFFF"/>
            <w:vAlign w:val="center"/>
          </w:tcPr>
          <w:p>
            <w:pPr>
              <w:spacing w:line="0" w:lineRule="atLeast"/>
              <w:ind w:firstLine="0" w:firstLineChars="0"/>
              <w:jc w:val="center"/>
              <w:rPr>
                <w:bCs/>
                <w:sz w:val="21"/>
                <w:szCs w:val="21"/>
              </w:rPr>
            </w:pPr>
            <w:r>
              <w:rPr>
                <w:rFonts w:hint="eastAsia"/>
                <w:kern w:val="0"/>
                <w:sz w:val="21"/>
                <w:szCs w:val="21"/>
                <w:highlight w:val="none"/>
              </w:rPr>
              <w:t>2</w:t>
            </w:r>
          </w:p>
        </w:tc>
        <w:tc>
          <w:tcPr>
            <w:tcW w:w="1165" w:type="dxa"/>
            <w:shd w:val="clear" w:color="auto" w:fill="FFFFFF"/>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continue"/>
            <w:shd w:val="clear" w:color="auto" w:fill="FFFFFF"/>
            <w:vAlign w:val="center"/>
          </w:tcPr>
          <w:p>
            <w:pPr>
              <w:spacing w:line="240" w:lineRule="auto"/>
              <w:ind w:firstLine="0" w:firstLineChars="0"/>
              <w:jc w:val="center"/>
              <w:rPr>
                <w:bCs/>
                <w:sz w:val="21"/>
              </w:rPr>
            </w:pPr>
          </w:p>
        </w:tc>
        <w:tc>
          <w:tcPr>
            <w:tcW w:w="2859" w:type="dxa"/>
            <w:shd w:val="clear" w:color="auto" w:fill="FFFFFF"/>
            <w:vAlign w:val="center"/>
          </w:tcPr>
          <w:p>
            <w:pPr>
              <w:spacing w:line="0" w:lineRule="atLeast"/>
              <w:ind w:firstLine="0" w:firstLineChars="0"/>
              <w:jc w:val="center"/>
              <w:rPr>
                <w:rFonts w:ascii="仿宋_GB2312" w:hAnsi="仿宋_GB2312" w:cs="仿宋_GB2312"/>
                <w:bCs/>
                <w:sz w:val="21"/>
              </w:rPr>
            </w:pPr>
            <w:r>
              <w:rPr>
                <w:rFonts w:hint="eastAsia"/>
                <w:kern w:val="0"/>
                <w:sz w:val="21"/>
                <w:szCs w:val="20"/>
                <w:highlight w:val="none"/>
              </w:rPr>
              <w:t>结转结余率</w:t>
            </w:r>
          </w:p>
        </w:tc>
        <w:tc>
          <w:tcPr>
            <w:tcW w:w="1178" w:type="dxa"/>
            <w:shd w:val="clear" w:color="auto" w:fill="FFFFFF"/>
            <w:vAlign w:val="center"/>
          </w:tcPr>
          <w:p>
            <w:pPr>
              <w:spacing w:line="0" w:lineRule="atLeast"/>
              <w:ind w:firstLine="0" w:firstLineChars="0"/>
              <w:jc w:val="center"/>
              <w:rPr>
                <w:rFonts w:hint="eastAsia" w:eastAsia="仿宋_GB2312"/>
                <w:bCs/>
                <w:sz w:val="21"/>
                <w:szCs w:val="21"/>
                <w:lang w:eastAsia="zh-CN"/>
              </w:rPr>
            </w:pPr>
            <w:r>
              <w:rPr>
                <w:rFonts w:hint="eastAsia"/>
                <w:kern w:val="0"/>
                <w:sz w:val="21"/>
                <w:szCs w:val="21"/>
                <w:highlight w:val="none"/>
                <w:lang w:val="en-US" w:eastAsia="zh-CN"/>
              </w:rPr>
              <w:t>2</w:t>
            </w:r>
          </w:p>
        </w:tc>
        <w:tc>
          <w:tcPr>
            <w:tcW w:w="1165" w:type="dxa"/>
            <w:shd w:val="clear" w:color="auto" w:fill="FFFFFF"/>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continue"/>
            <w:shd w:val="clear" w:color="auto" w:fill="FFFFFF"/>
            <w:vAlign w:val="center"/>
          </w:tcPr>
          <w:p>
            <w:pPr>
              <w:spacing w:line="240" w:lineRule="auto"/>
              <w:ind w:firstLine="0" w:firstLineChars="0"/>
              <w:jc w:val="center"/>
              <w:rPr>
                <w:bCs/>
                <w:sz w:val="21"/>
              </w:rPr>
            </w:pPr>
          </w:p>
        </w:tc>
        <w:tc>
          <w:tcPr>
            <w:tcW w:w="2859" w:type="dxa"/>
            <w:shd w:val="clear" w:color="auto" w:fill="FFFFFF"/>
            <w:vAlign w:val="center"/>
          </w:tcPr>
          <w:p>
            <w:pPr>
              <w:spacing w:line="0" w:lineRule="atLeast"/>
              <w:ind w:firstLine="0" w:firstLineChars="0"/>
              <w:jc w:val="center"/>
              <w:rPr>
                <w:rFonts w:ascii="仿宋_GB2312" w:hAnsi="仿宋_GB2312" w:cs="仿宋_GB2312"/>
                <w:bCs/>
                <w:sz w:val="21"/>
              </w:rPr>
            </w:pPr>
            <w:r>
              <w:rPr>
                <w:rFonts w:hint="eastAsia"/>
                <w:kern w:val="0"/>
                <w:sz w:val="21"/>
                <w:szCs w:val="20"/>
                <w:highlight w:val="none"/>
              </w:rPr>
              <w:t>公用经费控制率</w:t>
            </w:r>
          </w:p>
        </w:tc>
        <w:tc>
          <w:tcPr>
            <w:tcW w:w="1178" w:type="dxa"/>
            <w:shd w:val="clear" w:color="auto" w:fill="FFFFFF"/>
            <w:vAlign w:val="center"/>
          </w:tcPr>
          <w:p>
            <w:pPr>
              <w:spacing w:line="0" w:lineRule="atLeast"/>
              <w:ind w:firstLine="0" w:firstLineChars="0"/>
              <w:jc w:val="center"/>
              <w:rPr>
                <w:bCs/>
                <w:sz w:val="21"/>
                <w:szCs w:val="21"/>
              </w:rPr>
            </w:pPr>
            <w:r>
              <w:rPr>
                <w:rFonts w:hint="eastAsia"/>
                <w:kern w:val="0"/>
                <w:sz w:val="21"/>
                <w:szCs w:val="21"/>
                <w:highlight w:val="none"/>
              </w:rPr>
              <w:t>1</w:t>
            </w:r>
          </w:p>
        </w:tc>
        <w:tc>
          <w:tcPr>
            <w:tcW w:w="1165" w:type="dxa"/>
            <w:shd w:val="clear" w:color="auto" w:fill="FFFFFF"/>
            <w:vAlign w:val="center"/>
          </w:tcPr>
          <w:p>
            <w:pPr>
              <w:autoSpaceDE w:val="0"/>
              <w:snapToGrid w:val="0"/>
              <w:spacing w:line="240" w:lineRule="auto"/>
              <w:ind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continue"/>
            <w:shd w:val="clear" w:color="auto" w:fill="FFFFFF"/>
            <w:vAlign w:val="center"/>
          </w:tcPr>
          <w:p>
            <w:pPr>
              <w:spacing w:line="240" w:lineRule="auto"/>
              <w:ind w:firstLine="0" w:firstLineChars="0"/>
              <w:jc w:val="center"/>
              <w:rPr>
                <w:bCs/>
                <w:sz w:val="21"/>
              </w:rPr>
            </w:pPr>
          </w:p>
        </w:tc>
        <w:tc>
          <w:tcPr>
            <w:tcW w:w="2859" w:type="dxa"/>
            <w:shd w:val="clear" w:color="auto" w:fill="FFFFFF"/>
            <w:vAlign w:val="center"/>
          </w:tcPr>
          <w:p>
            <w:pPr>
              <w:spacing w:line="0" w:lineRule="atLeast"/>
              <w:ind w:firstLine="0" w:firstLineChars="0"/>
              <w:jc w:val="center"/>
              <w:rPr>
                <w:rFonts w:hint="default" w:ascii="仿宋_GB2312" w:hAnsi="仿宋_GB2312" w:eastAsia="仿宋_GB2312" w:cs="仿宋_GB2312"/>
                <w:bCs/>
                <w:sz w:val="21"/>
                <w:lang w:val="en-US" w:eastAsia="zh-CN"/>
              </w:rPr>
            </w:pPr>
            <w:r>
              <w:rPr>
                <w:rFonts w:hint="eastAsia"/>
                <w:kern w:val="0"/>
                <w:sz w:val="21"/>
                <w:szCs w:val="20"/>
                <w:highlight w:val="none"/>
              </w:rPr>
              <w:t>“三公经费”控制率</w:t>
            </w:r>
          </w:p>
        </w:tc>
        <w:tc>
          <w:tcPr>
            <w:tcW w:w="1178" w:type="dxa"/>
            <w:shd w:val="clear" w:color="auto" w:fill="FFFFFF"/>
            <w:vAlign w:val="center"/>
          </w:tcPr>
          <w:p>
            <w:pPr>
              <w:spacing w:line="0" w:lineRule="atLeast"/>
              <w:ind w:firstLine="0" w:firstLineChars="0"/>
              <w:jc w:val="center"/>
              <w:rPr>
                <w:rFonts w:hint="eastAsia" w:eastAsia="仿宋_GB2312"/>
                <w:bCs/>
                <w:sz w:val="21"/>
                <w:szCs w:val="21"/>
                <w:lang w:eastAsia="zh-CN"/>
              </w:rPr>
            </w:pPr>
            <w:r>
              <w:rPr>
                <w:rFonts w:hint="eastAsia"/>
                <w:kern w:val="0"/>
                <w:sz w:val="21"/>
                <w:szCs w:val="21"/>
                <w:highlight w:val="none"/>
              </w:rPr>
              <w:t>1</w:t>
            </w:r>
          </w:p>
        </w:tc>
        <w:tc>
          <w:tcPr>
            <w:tcW w:w="1165" w:type="dxa"/>
            <w:shd w:val="clear" w:color="auto" w:fill="FFFFFF"/>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1</w:t>
            </w:r>
          </w:p>
        </w:tc>
      </w:tr>
      <w:bookmarkEnd w:id="3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restart"/>
            <w:shd w:val="clear" w:color="auto" w:fill="FFFFFF"/>
            <w:vAlign w:val="center"/>
          </w:tcPr>
          <w:p>
            <w:pPr>
              <w:spacing w:line="240" w:lineRule="auto"/>
              <w:ind w:firstLine="0" w:firstLineChars="0"/>
              <w:jc w:val="center"/>
              <w:rPr>
                <w:bCs/>
                <w:sz w:val="21"/>
              </w:rPr>
            </w:pPr>
            <w:r>
              <w:rPr>
                <w:bCs/>
                <w:sz w:val="21"/>
              </w:rPr>
              <w:t>过程</w:t>
            </w:r>
          </w:p>
        </w:tc>
        <w:tc>
          <w:tcPr>
            <w:tcW w:w="1576" w:type="dxa"/>
            <w:vMerge w:val="restart"/>
            <w:shd w:val="clear" w:color="auto" w:fill="FFFFFF"/>
            <w:vAlign w:val="center"/>
          </w:tcPr>
          <w:p>
            <w:pPr>
              <w:spacing w:line="240" w:lineRule="auto"/>
              <w:ind w:firstLine="0" w:firstLineChars="0"/>
              <w:jc w:val="center"/>
              <w:rPr>
                <w:bCs/>
                <w:sz w:val="21"/>
              </w:rPr>
            </w:pPr>
            <w:r>
              <w:rPr>
                <w:bCs/>
                <w:sz w:val="21"/>
              </w:rPr>
              <w:t>预算管理</w:t>
            </w:r>
          </w:p>
        </w:tc>
        <w:tc>
          <w:tcPr>
            <w:tcW w:w="2859" w:type="dxa"/>
            <w:shd w:val="clear" w:color="auto" w:fill="FFFFFF"/>
            <w:vAlign w:val="center"/>
          </w:tcPr>
          <w:p>
            <w:pPr>
              <w:keepNext w:val="0"/>
              <w:keepLines w:val="0"/>
              <w:pageBreakBefore w:val="0"/>
              <w:suppressLineNumbers w:val="0"/>
              <w:kinsoku/>
              <w:wordWrap/>
              <w:overflowPunct/>
              <w:topLinePunct w:val="0"/>
              <w:autoSpaceDN/>
              <w:bidi w:val="0"/>
              <w:adjustRightInd/>
              <w:snapToGrid/>
              <w:spacing w:before="0" w:beforeLines="0" w:beforeAutospacing="0" w:after="0" w:afterLines="0" w:afterAutospacing="0" w:line="240" w:lineRule="exact"/>
              <w:ind w:left="0" w:leftChars="0" w:right="0" w:rightChars="0" w:firstLine="0" w:firstLineChars="0"/>
              <w:jc w:val="center"/>
              <w:rPr>
                <w:rFonts w:ascii="仿宋_GB2312" w:hAnsi="仿宋_GB2312" w:cs="仿宋_GB2312"/>
                <w:bCs/>
                <w:color w:val="auto"/>
                <w:sz w:val="21"/>
                <w:highlight w:val="none"/>
              </w:rPr>
            </w:pPr>
            <w:r>
              <w:rPr>
                <w:rFonts w:hint="eastAsia" w:eastAsia="仿宋_GB2312"/>
                <w:color w:val="auto"/>
                <w:kern w:val="0"/>
                <w:sz w:val="21"/>
                <w:szCs w:val="21"/>
                <w:highlight w:val="none"/>
              </w:rPr>
              <w:t>政府采购</w:t>
            </w:r>
            <w:r>
              <w:rPr>
                <w:rFonts w:hint="eastAsia"/>
                <w:color w:val="auto"/>
                <w:kern w:val="0"/>
                <w:sz w:val="21"/>
                <w:szCs w:val="21"/>
                <w:highlight w:val="none"/>
                <w:lang w:val="en-US" w:eastAsia="zh-CN"/>
              </w:rPr>
              <w:t>管理规范性</w:t>
            </w:r>
          </w:p>
        </w:tc>
        <w:tc>
          <w:tcPr>
            <w:tcW w:w="1178" w:type="dxa"/>
            <w:shd w:val="clear" w:color="auto" w:fill="FFFFFF"/>
            <w:vAlign w:val="center"/>
          </w:tcPr>
          <w:p>
            <w:pPr>
              <w:keepNext w:val="0"/>
              <w:keepLines w:val="0"/>
              <w:pageBreakBefore w:val="0"/>
              <w:suppressLineNumbers w:val="0"/>
              <w:kinsoku/>
              <w:wordWrap/>
              <w:overflowPunct/>
              <w:topLinePunct w:val="0"/>
              <w:autoSpaceDN/>
              <w:bidi w:val="0"/>
              <w:adjustRightInd/>
              <w:snapToGrid/>
              <w:spacing w:before="0" w:beforeLines="0" w:beforeAutospacing="0" w:after="0" w:afterLines="0" w:afterAutospacing="0" w:line="240" w:lineRule="exact"/>
              <w:ind w:left="0" w:leftChars="0" w:right="0" w:rightChars="0" w:firstLine="0" w:firstLineChars="0"/>
              <w:jc w:val="center"/>
              <w:rPr>
                <w:rFonts w:hint="eastAsia" w:eastAsia="仿宋_GB2312"/>
                <w:bCs/>
                <w:color w:val="auto"/>
                <w:sz w:val="21"/>
                <w:szCs w:val="21"/>
                <w:highlight w:val="none"/>
                <w:lang w:eastAsia="zh-CN"/>
              </w:rPr>
            </w:pPr>
            <w:r>
              <w:rPr>
                <w:rFonts w:hint="eastAsia"/>
                <w:color w:val="auto"/>
                <w:kern w:val="0"/>
                <w:sz w:val="21"/>
                <w:szCs w:val="21"/>
                <w:highlight w:val="none"/>
                <w:lang w:val="en-US" w:eastAsia="zh-CN"/>
              </w:rPr>
              <w:t>3</w:t>
            </w:r>
          </w:p>
        </w:tc>
        <w:tc>
          <w:tcPr>
            <w:tcW w:w="1165" w:type="dxa"/>
            <w:shd w:val="clear" w:color="auto" w:fill="FFFFFF"/>
            <w:vAlign w:val="center"/>
          </w:tcPr>
          <w:p>
            <w:pPr>
              <w:autoSpaceDE w:val="0"/>
              <w:snapToGrid w:val="0"/>
              <w:spacing w:line="240" w:lineRule="auto"/>
              <w:ind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continue"/>
            <w:shd w:val="clear" w:color="auto" w:fill="FFFFFF"/>
            <w:vAlign w:val="center"/>
          </w:tcPr>
          <w:p>
            <w:pPr>
              <w:spacing w:line="240" w:lineRule="auto"/>
              <w:ind w:firstLine="0" w:firstLineChars="0"/>
              <w:jc w:val="center"/>
              <w:rPr>
                <w:bCs/>
                <w:sz w:val="21"/>
              </w:rPr>
            </w:pPr>
          </w:p>
        </w:tc>
        <w:tc>
          <w:tcPr>
            <w:tcW w:w="2859" w:type="dxa"/>
            <w:shd w:val="clear" w:color="auto" w:fill="FFFFFF"/>
            <w:vAlign w:val="center"/>
          </w:tcPr>
          <w:p>
            <w:pPr>
              <w:spacing w:line="0" w:lineRule="atLeast"/>
              <w:ind w:firstLine="0" w:firstLineChars="0"/>
              <w:jc w:val="center"/>
              <w:rPr>
                <w:rFonts w:ascii="仿宋_GB2312" w:hAnsi="仿宋_GB2312" w:cs="仿宋_GB2312"/>
                <w:bCs/>
                <w:sz w:val="21"/>
                <w:highlight w:val="none"/>
              </w:rPr>
            </w:pPr>
            <w:r>
              <w:rPr>
                <w:rFonts w:hint="eastAsia"/>
                <w:kern w:val="0"/>
                <w:sz w:val="21"/>
                <w:szCs w:val="20"/>
                <w:highlight w:val="none"/>
                <w:lang w:val="en-US" w:eastAsia="zh-CN"/>
              </w:rPr>
              <w:t>财务</w:t>
            </w:r>
            <w:r>
              <w:rPr>
                <w:rFonts w:hint="eastAsia"/>
                <w:kern w:val="0"/>
                <w:sz w:val="21"/>
                <w:szCs w:val="20"/>
                <w:highlight w:val="none"/>
              </w:rPr>
              <w:t>管理制度健全性</w:t>
            </w:r>
          </w:p>
        </w:tc>
        <w:tc>
          <w:tcPr>
            <w:tcW w:w="1178" w:type="dxa"/>
            <w:shd w:val="clear" w:color="auto" w:fill="FFFFFF"/>
            <w:vAlign w:val="center"/>
          </w:tcPr>
          <w:p>
            <w:pPr>
              <w:spacing w:line="0" w:lineRule="atLeast"/>
              <w:ind w:firstLine="0" w:firstLineChars="0"/>
              <w:jc w:val="center"/>
              <w:rPr>
                <w:bCs/>
                <w:sz w:val="21"/>
                <w:szCs w:val="21"/>
                <w:highlight w:val="none"/>
              </w:rPr>
            </w:pPr>
            <w:r>
              <w:rPr>
                <w:kern w:val="0"/>
                <w:sz w:val="21"/>
                <w:szCs w:val="21"/>
                <w:highlight w:val="none"/>
              </w:rPr>
              <w:t>2</w:t>
            </w:r>
          </w:p>
        </w:tc>
        <w:tc>
          <w:tcPr>
            <w:tcW w:w="1165" w:type="dxa"/>
            <w:shd w:val="clear" w:color="auto" w:fill="FFFFFF"/>
            <w:vAlign w:val="center"/>
          </w:tcPr>
          <w:p>
            <w:pPr>
              <w:autoSpaceDE w:val="0"/>
              <w:snapToGrid w:val="0"/>
              <w:spacing w:line="240" w:lineRule="auto"/>
              <w:ind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continue"/>
            <w:shd w:val="clear" w:color="auto" w:fill="FFFFFF"/>
            <w:vAlign w:val="center"/>
          </w:tcPr>
          <w:p>
            <w:pPr>
              <w:spacing w:line="240" w:lineRule="auto"/>
              <w:ind w:firstLine="0" w:firstLineChars="0"/>
              <w:jc w:val="center"/>
              <w:rPr>
                <w:bCs/>
                <w:sz w:val="21"/>
              </w:rPr>
            </w:pPr>
          </w:p>
        </w:tc>
        <w:tc>
          <w:tcPr>
            <w:tcW w:w="2859" w:type="dxa"/>
            <w:shd w:val="clear" w:color="auto" w:fill="auto"/>
            <w:vAlign w:val="center"/>
          </w:tcPr>
          <w:p>
            <w:pPr>
              <w:spacing w:line="0" w:lineRule="atLeast"/>
              <w:ind w:firstLine="0" w:firstLineChars="0"/>
              <w:jc w:val="center"/>
              <w:rPr>
                <w:rFonts w:ascii="仿宋_GB2312" w:hAnsi="仿宋_GB2312" w:cs="仿宋_GB2312"/>
                <w:bCs/>
                <w:sz w:val="21"/>
                <w:highlight w:val="none"/>
              </w:rPr>
            </w:pPr>
            <w:r>
              <w:rPr>
                <w:rFonts w:hint="eastAsia"/>
                <w:kern w:val="0"/>
                <w:sz w:val="21"/>
                <w:szCs w:val="20"/>
                <w:highlight w:val="none"/>
              </w:rPr>
              <w:t>资金使用合规性</w:t>
            </w:r>
          </w:p>
        </w:tc>
        <w:tc>
          <w:tcPr>
            <w:tcW w:w="1178" w:type="dxa"/>
            <w:shd w:val="clear" w:color="auto" w:fill="auto"/>
            <w:vAlign w:val="center"/>
          </w:tcPr>
          <w:p>
            <w:pPr>
              <w:spacing w:line="0" w:lineRule="atLeast"/>
              <w:ind w:firstLine="0" w:firstLineChars="0"/>
              <w:jc w:val="center"/>
              <w:rPr>
                <w:rFonts w:hint="eastAsia" w:eastAsia="仿宋_GB2312"/>
                <w:bCs/>
                <w:sz w:val="21"/>
                <w:szCs w:val="21"/>
                <w:highlight w:val="none"/>
                <w:lang w:eastAsia="zh-CN"/>
              </w:rPr>
            </w:pPr>
            <w:r>
              <w:rPr>
                <w:rFonts w:hint="eastAsia"/>
                <w:kern w:val="0"/>
                <w:sz w:val="21"/>
                <w:szCs w:val="21"/>
                <w:highlight w:val="none"/>
              </w:rPr>
              <w:t>3</w:t>
            </w:r>
          </w:p>
        </w:tc>
        <w:tc>
          <w:tcPr>
            <w:tcW w:w="1165" w:type="dxa"/>
            <w:shd w:val="clear" w:color="auto" w:fill="auto"/>
            <w:vAlign w:val="center"/>
          </w:tcPr>
          <w:p>
            <w:pPr>
              <w:autoSpaceDE w:val="0"/>
              <w:snapToGrid w:val="0"/>
              <w:spacing w:line="240" w:lineRule="auto"/>
              <w:ind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continue"/>
            <w:shd w:val="clear" w:color="auto" w:fill="FFFFFF"/>
            <w:vAlign w:val="center"/>
          </w:tcPr>
          <w:p>
            <w:pPr>
              <w:spacing w:line="240" w:lineRule="auto"/>
              <w:ind w:firstLine="0" w:firstLineChars="0"/>
              <w:jc w:val="center"/>
              <w:rPr>
                <w:bCs/>
                <w:sz w:val="21"/>
              </w:rPr>
            </w:pPr>
          </w:p>
        </w:tc>
        <w:tc>
          <w:tcPr>
            <w:tcW w:w="2859" w:type="dxa"/>
            <w:shd w:val="clear" w:color="auto" w:fill="FFFFFF"/>
            <w:vAlign w:val="center"/>
          </w:tcPr>
          <w:p>
            <w:pPr>
              <w:spacing w:line="0" w:lineRule="atLeast"/>
              <w:ind w:firstLine="0" w:firstLineChars="0"/>
              <w:jc w:val="center"/>
              <w:rPr>
                <w:rFonts w:ascii="仿宋_GB2312" w:hAnsi="仿宋_GB2312" w:cs="仿宋_GB2312"/>
                <w:bCs/>
                <w:sz w:val="21"/>
                <w:highlight w:val="none"/>
              </w:rPr>
            </w:pPr>
            <w:r>
              <w:rPr>
                <w:rFonts w:hint="eastAsia"/>
                <w:kern w:val="0"/>
                <w:sz w:val="21"/>
                <w:szCs w:val="20"/>
                <w:highlight w:val="none"/>
              </w:rPr>
              <w:t>预决算信息公开性</w:t>
            </w:r>
          </w:p>
        </w:tc>
        <w:tc>
          <w:tcPr>
            <w:tcW w:w="1178" w:type="dxa"/>
            <w:shd w:val="clear" w:color="auto" w:fill="FFFFFF"/>
            <w:vAlign w:val="center"/>
          </w:tcPr>
          <w:p>
            <w:pPr>
              <w:spacing w:line="0" w:lineRule="atLeast"/>
              <w:ind w:firstLine="0" w:firstLineChars="0"/>
              <w:jc w:val="center"/>
              <w:rPr>
                <w:bCs/>
                <w:sz w:val="21"/>
                <w:szCs w:val="21"/>
                <w:highlight w:val="none"/>
              </w:rPr>
            </w:pPr>
            <w:r>
              <w:rPr>
                <w:rFonts w:hint="eastAsia"/>
                <w:kern w:val="0"/>
                <w:sz w:val="21"/>
                <w:szCs w:val="21"/>
                <w:highlight w:val="none"/>
              </w:rPr>
              <w:t>2</w:t>
            </w:r>
          </w:p>
        </w:tc>
        <w:tc>
          <w:tcPr>
            <w:tcW w:w="1165" w:type="dxa"/>
            <w:shd w:val="clear" w:color="auto" w:fill="FFFFFF"/>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pPr>
              <w:spacing w:line="240" w:lineRule="auto"/>
              <w:ind w:firstLine="0" w:firstLineChars="0"/>
              <w:jc w:val="center"/>
              <w:rPr>
                <w:bCs/>
                <w:sz w:val="21"/>
              </w:rPr>
            </w:pPr>
          </w:p>
        </w:tc>
        <w:tc>
          <w:tcPr>
            <w:tcW w:w="1576" w:type="dxa"/>
            <w:vMerge w:val="restart"/>
            <w:shd w:val="clear" w:color="auto" w:fill="FFFFFF"/>
            <w:vAlign w:val="center"/>
          </w:tcPr>
          <w:p>
            <w:pPr>
              <w:spacing w:line="240" w:lineRule="auto"/>
              <w:ind w:firstLine="0" w:firstLineChars="0"/>
              <w:jc w:val="center"/>
              <w:rPr>
                <w:bCs/>
                <w:sz w:val="21"/>
              </w:rPr>
            </w:pPr>
            <w:r>
              <w:rPr>
                <w:bCs/>
                <w:sz w:val="21"/>
              </w:rPr>
              <w:t>资产管理</w:t>
            </w:r>
          </w:p>
          <w:p>
            <w:pPr>
              <w:spacing w:line="240" w:lineRule="auto"/>
              <w:ind w:firstLine="0" w:firstLineChars="0"/>
              <w:jc w:val="center"/>
              <w:rPr>
                <w:bCs/>
                <w:sz w:val="21"/>
              </w:rPr>
            </w:pPr>
          </w:p>
        </w:tc>
        <w:tc>
          <w:tcPr>
            <w:tcW w:w="2859" w:type="dxa"/>
            <w:shd w:val="clear" w:color="auto" w:fill="auto"/>
            <w:vAlign w:val="center"/>
          </w:tcPr>
          <w:p>
            <w:pPr>
              <w:spacing w:line="0" w:lineRule="atLeast"/>
              <w:ind w:firstLine="0" w:firstLineChars="0"/>
              <w:jc w:val="center"/>
              <w:rPr>
                <w:rFonts w:ascii="仿宋_GB2312" w:hAnsi="仿宋_GB2312" w:cs="仿宋_GB2312"/>
                <w:bCs/>
                <w:sz w:val="21"/>
                <w:highlight w:val="none"/>
              </w:rPr>
            </w:pPr>
            <w:r>
              <w:rPr>
                <w:rFonts w:hint="eastAsia"/>
                <w:kern w:val="0"/>
                <w:sz w:val="21"/>
                <w:szCs w:val="20"/>
                <w:highlight w:val="none"/>
              </w:rPr>
              <w:t>基础信息完善性</w:t>
            </w:r>
          </w:p>
        </w:tc>
        <w:tc>
          <w:tcPr>
            <w:tcW w:w="1178" w:type="dxa"/>
            <w:shd w:val="clear" w:color="auto" w:fill="FFFFFF"/>
            <w:vAlign w:val="center"/>
          </w:tcPr>
          <w:p>
            <w:pPr>
              <w:spacing w:line="0" w:lineRule="atLeast"/>
              <w:ind w:firstLine="0" w:firstLineChars="0"/>
              <w:jc w:val="center"/>
              <w:rPr>
                <w:bCs/>
                <w:sz w:val="21"/>
                <w:szCs w:val="21"/>
                <w:highlight w:val="none"/>
              </w:rPr>
            </w:pPr>
            <w:r>
              <w:rPr>
                <w:kern w:val="0"/>
                <w:sz w:val="21"/>
                <w:szCs w:val="21"/>
                <w:highlight w:val="none"/>
              </w:rPr>
              <w:t>1</w:t>
            </w:r>
          </w:p>
        </w:tc>
        <w:tc>
          <w:tcPr>
            <w:tcW w:w="1165" w:type="dxa"/>
            <w:shd w:val="clear" w:color="auto" w:fill="FFFFFF"/>
            <w:vAlign w:val="center"/>
          </w:tcPr>
          <w:p>
            <w:pPr>
              <w:autoSpaceDE w:val="0"/>
              <w:snapToGrid w:val="0"/>
              <w:spacing w:line="240" w:lineRule="auto"/>
              <w:ind w:firstLine="0" w:firstLineChars="0"/>
              <w:jc w:val="center"/>
              <w:rPr>
                <w:rFonts w:hint="default" w:ascii="Times New Roman" w:hAnsi="Times New Roman" w:eastAsia="仿宋_GB2312" w:cs="Times New Roman"/>
                <w:kern w:val="2"/>
                <w:sz w:val="21"/>
                <w:szCs w:val="21"/>
                <w:lang w:val="en-US" w:eastAsia="zh-CN" w:bidi="ar-SA"/>
              </w:rPr>
            </w:pPr>
            <w:r>
              <w:rPr>
                <w:rFonts w:hint="eastAsia" w:cs="Times New Roman"/>
                <w:kern w:val="2"/>
                <w:sz w:val="21"/>
                <w:szCs w:val="21"/>
                <w:lang w:val="en-US" w:eastAsia="zh-CN" w:bidi="ar-SA"/>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rPr>
            </w:pPr>
          </w:p>
        </w:tc>
        <w:tc>
          <w:tcPr>
            <w:tcW w:w="1576" w:type="dxa"/>
            <w:vMerge w:val="continue"/>
            <w:vAlign w:val="center"/>
          </w:tcPr>
          <w:p>
            <w:pPr>
              <w:spacing w:line="240" w:lineRule="auto"/>
              <w:ind w:firstLine="0" w:firstLineChars="0"/>
              <w:jc w:val="center"/>
              <w:rPr>
                <w:bCs/>
                <w:sz w:val="21"/>
              </w:rPr>
            </w:pPr>
          </w:p>
        </w:tc>
        <w:tc>
          <w:tcPr>
            <w:tcW w:w="2859" w:type="dxa"/>
            <w:vAlign w:val="center"/>
          </w:tcPr>
          <w:p>
            <w:pPr>
              <w:spacing w:line="0" w:lineRule="atLeast"/>
              <w:ind w:firstLine="0" w:firstLineChars="0"/>
              <w:jc w:val="center"/>
              <w:rPr>
                <w:rFonts w:ascii="仿宋_GB2312" w:hAnsi="仿宋_GB2312" w:cs="仿宋_GB2312"/>
                <w:bCs/>
                <w:sz w:val="21"/>
              </w:rPr>
            </w:pPr>
            <w:r>
              <w:rPr>
                <w:rFonts w:hint="eastAsia"/>
                <w:kern w:val="0"/>
                <w:sz w:val="21"/>
                <w:szCs w:val="20"/>
                <w:highlight w:val="none"/>
                <w:lang w:val="en-US" w:eastAsia="zh-CN"/>
              </w:rPr>
              <w:t>资产</w:t>
            </w:r>
            <w:r>
              <w:rPr>
                <w:rFonts w:hint="eastAsia"/>
                <w:kern w:val="0"/>
                <w:sz w:val="21"/>
                <w:szCs w:val="20"/>
                <w:highlight w:val="none"/>
              </w:rPr>
              <w:t>管理制度健全性</w:t>
            </w:r>
          </w:p>
        </w:tc>
        <w:tc>
          <w:tcPr>
            <w:tcW w:w="1178" w:type="dxa"/>
            <w:vAlign w:val="center"/>
          </w:tcPr>
          <w:p>
            <w:pPr>
              <w:spacing w:line="0" w:lineRule="atLeast"/>
              <w:ind w:firstLine="0" w:firstLineChars="0"/>
              <w:jc w:val="center"/>
              <w:rPr>
                <w:bCs/>
                <w:sz w:val="21"/>
                <w:szCs w:val="21"/>
              </w:rPr>
            </w:pPr>
            <w:r>
              <w:rPr>
                <w:rFonts w:hint="eastAsia"/>
                <w:kern w:val="0"/>
                <w:sz w:val="21"/>
                <w:szCs w:val="21"/>
                <w:highlight w:val="none"/>
                <w:lang w:val="en-US" w:eastAsia="zh-CN"/>
              </w:rPr>
              <w:t>2</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rPr>
            </w:pPr>
          </w:p>
        </w:tc>
        <w:tc>
          <w:tcPr>
            <w:tcW w:w="1576" w:type="dxa"/>
            <w:vMerge w:val="continue"/>
            <w:vAlign w:val="center"/>
          </w:tcPr>
          <w:p>
            <w:pPr>
              <w:spacing w:line="240" w:lineRule="auto"/>
              <w:ind w:firstLine="0" w:firstLineChars="0"/>
              <w:jc w:val="center"/>
              <w:rPr>
                <w:bCs/>
                <w:sz w:val="21"/>
              </w:rPr>
            </w:pPr>
          </w:p>
        </w:tc>
        <w:tc>
          <w:tcPr>
            <w:tcW w:w="2859" w:type="dxa"/>
            <w:vAlign w:val="center"/>
          </w:tcPr>
          <w:p>
            <w:pPr>
              <w:spacing w:line="0" w:lineRule="atLeast"/>
              <w:ind w:firstLine="0" w:firstLineChars="0"/>
              <w:jc w:val="center"/>
              <w:rPr>
                <w:rFonts w:ascii="仿宋_GB2312" w:hAnsi="仿宋_GB2312" w:cs="仿宋_GB2312"/>
                <w:bCs/>
                <w:sz w:val="21"/>
              </w:rPr>
            </w:pPr>
            <w:r>
              <w:rPr>
                <w:rFonts w:hint="eastAsia"/>
                <w:kern w:val="0"/>
                <w:sz w:val="21"/>
                <w:szCs w:val="20"/>
                <w:highlight w:val="none"/>
              </w:rPr>
              <w:t>资产管理安全性</w:t>
            </w:r>
          </w:p>
        </w:tc>
        <w:tc>
          <w:tcPr>
            <w:tcW w:w="1178" w:type="dxa"/>
            <w:vAlign w:val="center"/>
          </w:tcPr>
          <w:p>
            <w:pPr>
              <w:spacing w:line="0" w:lineRule="atLeast"/>
              <w:ind w:firstLine="0" w:firstLineChars="0"/>
              <w:jc w:val="center"/>
              <w:rPr>
                <w:bCs/>
                <w:sz w:val="21"/>
                <w:szCs w:val="21"/>
              </w:rPr>
            </w:pPr>
            <w:r>
              <w:rPr>
                <w:kern w:val="0"/>
                <w:sz w:val="21"/>
                <w:szCs w:val="21"/>
                <w:highlight w:val="none"/>
              </w:rPr>
              <w:t>1</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rPr>
            </w:pPr>
          </w:p>
        </w:tc>
        <w:tc>
          <w:tcPr>
            <w:tcW w:w="1576" w:type="dxa"/>
            <w:vMerge w:val="continue"/>
            <w:vAlign w:val="center"/>
          </w:tcPr>
          <w:p>
            <w:pPr>
              <w:spacing w:line="240" w:lineRule="auto"/>
              <w:ind w:firstLine="0" w:firstLineChars="0"/>
              <w:jc w:val="center"/>
              <w:rPr>
                <w:bCs/>
                <w:sz w:val="21"/>
              </w:rPr>
            </w:pPr>
          </w:p>
        </w:tc>
        <w:tc>
          <w:tcPr>
            <w:tcW w:w="2859" w:type="dxa"/>
            <w:vAlign w:val="center"/>
          </w:tcPr>
          <w:p>
            <w:pPr>
              <w:spacing w:line="0" w:lineRule="atLeast"/>
              <w:ind w:firstLine="0" w:firstLineChars="0"/>
              <w:jc w:val="center"/>
              <w:rPr>
                <w:rFonts w:hint="eastAsia"/>
                <w:kern w:val="0"/>
                <w:sz w:val="21"/>
                <w:szCs w:val="20"/>
                <w:highlight w:val="none"/>
              </w:rPr>
            </w:pPr>
            <w:r>
              <w:rPr>
                <w:rFonts w:hint="eastAsia"/>
                <w:kern w:val="0"/>
                <w:sz w:val="21"/>
                <w:szCs w:val="20"/>
                <w:highlight w:val="none"/>
              </w:rPr>
              <w:t>固定资产利用率</w:t>
            </w:r>
          </w:p>
        </w:tc>
        <w:tc>
          <w:tcPr>
            <w:tcW w:w="1178" w:type="dxa"/>
            <w:vAlign w:val="center"/>
          </w:tcPr>
          <w:p>
            <w:pPr>
              <w:spacing w:line="0" w:lineRule="atLeast"/>
              <w:ind w:firstLine="0" w:firstLineChars="0"/>
              <w:jc w:val="center"/>
              <w:rPr>
                <w:bCs/>
                <w:sz w:val="21"/>
                <w:szCs w:val="21"/>
              </w:rPr>
            </w:pPr>
            <w:r>
              <w:rPr>
                <w:kern w:val="0"/>
                <w:sz w:val="21"/>
                <w:szCs w:val="21"/>
                <w:highlight w:val="none"/>
              </w:rPr>
              <w:t>1</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restart"/>
            <w:vAlign w:val="center"/>
          </w:tcPr>
          <w:p>
            <w:pPr>
              <w:spacing w:line="240" w:lineRule="auto"/>
              <w:ind w:firstLine="0" w:firstLineChars="0"/>
              <w:jc w:val="center"/>
              <w:rPr>
                <w:bCs/>
                <w:sz w:val="21"/>
              </w:rPr>
            </w:pPr>
            <w:r>
              <w:rPr>
                <w:bCs/>
                <w:sz w:val="21"/>
              </w:rPr>
              <w:t>产出</w:t>
            </w:r>
          </w:p>
        </w:tc>
        <w:tc>
          <w:tcPr>
            <w:tcW w:w="1576" w:type="dxa"/>
            <w:vMerge w:val="restart"/>
            <w:vAlign w:val="center"/>
          </w:tcPr>
          <w:p>
            <w:pPr>
              <w:spacing w:line="240" w:lineRule="auto"/>
              <w:ind w:firstLine="0" w:firstLineChars="0"/>
              <w:jc w:val="center"/>
              <w:rPr>
                <w:bCs/>
                <w:sz w:val="21"/>
              </w:rPr>
            </w:pPr>
            <w:r>
              <w:rPr>
                <w:bCs/>
                <w:sz w:val="21"/>
              </w:rPr>
              <w:t>数量指标</w:t>
            </w: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招商引资工作完成率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3</w:t>
            </w:r>
          </w:p>
        </w:tc>
        <w:tc>
          <w:tcPr>
            <w:tcW w:w="1165" w:type="dxa"/>
            <w:vAlign w:val="center"/>
          </w:tcPr>
          <w:p>
            <w:pPr>
              <w:autoSpaceDE w:val="0"/>
              <w:snapToGrid w:val="0"/>
              <w:spacing w:line="240" w:lineRule="auto"/>
              <w:ind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rPr>
            </w:pPr>
          </w:p>
        </w:tc>
        <w:tc>
          <w:tcPr>
            <w:tcW w:w="1576" w:type="dxa"/>
            <w:vMerge w:val="continue"/>
            <w:vAlign w:val="center"/>
          </w:tcPr>
          <w:p>
            <w:pPr>
              <w:spacing w:line="240" w:lineRule="auto"/>
              <w:ind w:firstLine="0" w:firstLineChars="0"/>
              <w:jc w:val="center"/>
              <w:rPr>
                <w:bCs/>
                <w:sz w:val="21"/>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社会保障和就业工作完成率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3</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rPr>
            </w:pPr>
          </w:p>
        </w:tc>
        <w:tc>
          <w:tcPr>
            <w:tcW w:w="1576" w:type="dxa"/>
            <w:vMerge w:val="continue"/>
            <w:vAlign w:val="center"/>
          </w:tcPr>
          <w:p>
            <w:pPr>
              <w:spacing w:line="240" w:lineRule="auto"/>
              <w:ind w:firstLine="0" w:firstLineChars="0"/>
              <w:jc w:val="center"/>
              <w:rPr>
                <w:bCs/>
                <w:sz w:val="21"/>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社会治理工作完成率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4</w:t>
            </w:r>
          </w:p>
        </w:tc>
        <w:tc>
          <w:tcPr>
            <w:tcW w:w="1165" w:type="dxa"/>
            <w:vAlign w:val="center"/>
          </w:tcPr>
          <w:p>
            <w:pPr>
              <w:autoSpaceDE w:val="0"/>
              <w:snapToGrid w:val="0"/>
              <w:spacing w:line="240" w:lineRule="auto"/>
              <w:ind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rPr>
            </w:pPr>
          </w:p>
        </w:tc>
        <w:tc>
          <w:tcPr>
            <w:tcW w:w="1576" w:type="dxa"/>
            <w:vMerge w:val="continue"/>
            <w:vAlign w:val="center"/>
          </w:tcPr>
          <w:p>
            <w:pPr>
              <w:spacing w:line="240" w:lineRule="auto"/>
              <w:ind w:firstLine="0" w:firstLineChars="0"/>
              <w:jc w:val="center"/>
              <w:rPr>
                <w:bCs/>
                <w:sz w:val="21"/>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综合执法工作完成率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2</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rPr>
            </w:pPr>
          </w:p>
        </w:tc>
        <w:tc>
          <w:tcPr>
            <w:tcW w:w="1576" w:type="dxa"/>
            <w:vMerge w:val="continue"/>
            <w:vAlign w:val="center"/>
          </w:tcPr>
          <w:p>
            <w:pPr>
              <w:spacing w:line="240" w:lineRule="auto"/>
              <w:ind w:firstLine="0" w:firstLineChars="0"/>
              <w:jc w:val="center"/>
              <w:rPr>
                <w:bCs/>
                <w:sz w:val="21"/>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分配案件受理完成率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2</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rPr>
            </w:pPr>
          </w:p>
        </w:tc>
        <w:tc>
          <w:tcPr>
            <w:tcW w:w="1576" w:type="dxa"/>
            <w:vMerge w:val="continue"/>
            <w:vAlign w:val="center"/>
          </w:tcPr>
          <w:p>
            <w:pPr>
              <w:spacing w:line="240" w:lineRule="auto"/>
              <w:ind w:firstLine="0" w:firstLineChars="0"/>
              <w:jc w:val="center"/>
              <w:rPr>
                <w:bCs/>
                <w:sz w:val="21"/>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重点项目完成率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3</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lang w:val="en-US" w:eastAsia="zh-CN" w:bidi="ar-SA"/>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rPr>
            </w:pPr>
          </w:p>
        </w:tc>
        <w:tc>
          <w:tcPr>
            <w:tcW w:w="1576" w:type="dxa"/>
            <w:vMerge w:val="restart"/>
            <w:vAlign w:val="center"/>
          </w:tcPr>
          <w:p>
            <w:pPr>
              <w:spacing w:line="240" w:lineRule="auto"/>
              <w:ind w:firstLine="0" w:firstLineChars="0"/>
              <w:jc w:val="center"/>
              <w:rPr>
                <w:bCs/>
                <w:sz w:val="21"/>
              </w:rPr>
            </w:pPr>
            <w:r>
              <w:rPr>
                <w:sz w:val="21"/>
              </w:rPr>
              <w:t>质量指标</w:t>
            </w:r>
          </w:p>
        </w:tc>
        <w:tc>
          <w:tcPr>
            <w:tcW w:w="2859" w:type="dxa"/>
            <w:vAlign w:val="center"/>
          </w:tcPr>
          <w:p>
            <w:pPr>
              <w:spacing w:line="0" w:lineRule="atLeast"/>
              <w:ind w:firstLine="0" w:firstLineChars="0"/>
              <w:jc w:val="center"/>
              <w:rPr>
                <w:rFonts w:ascii="仿宋_GB2312" w:hAnsi="仿宋_GB2312" w:cs="仿宋_GB2312"/>
                <w:sz w:val="21"/>
              </w:rPr>
            </w:pPr>
            <w:r>
              <w:rPr>
                <w:rFonts w:hint="eastAsia"/>
                <w:kern w:val="0"/>
                <w:sz w:val="21"/>
                <w:szCs w:val="20"/>
                <w:highlight w:val="none"/>
                <w:lang w:val="en-US" w:eastAsia="zh-CN"/>
              </w:rPr>
              <w:t>招商引资工作达标率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3</w:t>
            </w:r>
          </w:p>
        </w:tc>
        <w:tc>
          <w:tcPr>
            <w:tcW w:w="1165" w:type="dxa"/>
            <w:vAlign w:val="center"/>
          </w:tcPr>
          <w:p>
            <w:pPr>
              <w:autoSpaceDE w:val="0"/>
              <w:snapToGrid w:val="0"/>
              <w:spacing w:line="240" w:lineRule="auto"/>
              <w:ind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continue"/>
            <w:vAlign w:val="center"/>
          </w:tcPr>
          <w:p>
            <w:pPr>
              <w:spacing w:line="240" w:lineRule="auto"/>
              <w:ind w:firstLine="0" w:firstLineChars="0"/>
              <w:jc w:val="center"/>
              <w:rPr>
                <w:bCs/>
                <w:sz w:val="21"/>
                <w:highlight w:val="none"/>
              </w:rPr>
            </w:pPr>
          </w:p>
        </w:tc>
        <w:tc>
          <w:tcPr>
            <w:tcW w:w="2859" w:type="dxa"/>
            <w:vAlign w:val="center"/>
          </w:tcPr>
          <w:p>
            <w:pPr>
              <w:spacing w:line="0" w:lineRule="atLeast"/>
              <w:ind w:firstLine="0" w:firstLineChars="0"/>
              <w:jc w:val="center"/>
              <w:rPr>
                <w:rFonts w:ascii="仿宋_GB2312" w:hAnsi="仿宋_GB2312" w:cs="仿宋_GB2312"/>
                <w:sz w:val="21"/>
                <w:highlight w:val="none"/>
              </w:rPr>
            </w:pPr>
            <w:r>
              <w:rPr>
                <w:rFonts w:hint="eastAsia"/>
                <w:kern w:val="0"/>
                <w:sz w:val="21"/>
                <w:szCs w:val="20"/>
                <w:highlight w:val="none"/>
                <w:lang w:val="en-US" w:eastAsia="zh-CN"/>
              </w:rPr>
              <w:t>社会保障和就业工作达标率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3</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highlight w:val="none"/>
                <w:lang w:val="en-US" w:eastAsia="zh-CN" w:bidi="ar-SA"/>
              </w:rPr>
            </w:pPr>
            <w:r>
              <w:rPr>
                <w:rFonts w:hint="eastAsia"/>
                <w:sz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continue"/>
            <w:vAlign w:val="center"/>
          </w:tcPr>
          <w:p>
            <w:pPr>
              <w:spacing w:line="240" w:lineRule="auto"/>
              <w:ind w:firstLine="0" w:firstLineChars="0"/>
              <w:jc w:val="center"/>
              <w:rPr>
                <w:sz w:val="21"/>
                <w:highlight w:val="none"/>
              </w:rPr>
            </w:pPr>
          </w:p>
        </w:tc>
        <w:tc>
          <w:tcPr>
            <w:tcW w:w="2859" w:type="dxa"/>
            <w:vAlign w:val="center"/>
          </w:tcPr>
          <w:p>
            <w:pPr>
              <w:spacing w:line="0" w:lineRule="atLeast"/>
              <w:ind w:firstLine="0" w:firstLineChars="0"/>
              <w:jc w:val="center"/>
              <w:rPr>
                <w:rFonts w:ascii="仿宋_GB2312" w:hAnsi="仿宋_GB2312" w:cs="仿宋_GB2312"/>
                <w:sz w:val="21"/>
                <w:highlight w:val="none"/>
              </w:rPr>
            </w:pPr>
            <w:r>
              <w:rPr>
                <w:rFonts w:hint="eastAsia"/>
                <w:kern w:val="0"/>
                <w:sz w:val="21"/>
                <w:szCs w:val="20"/>
                <w:highlight w:val="none"/>
                <w:lang w:val="en-US" w:eastAsia="zh-CN"/>
              </w:rPr>
              <w:t>综合执法工作达标率</w:t>
            </w:r>
          </w:p>
        </w:tc>
        <w:tc>
          <w:tcPr>
            <w:tcW w:w="1178" w:type="dxa"/>
            <w:vAlign w:val="center"/>
          </w:tcPr>
          <w:p>
            <w:pPr>
              <w:spacing w:line="0" w:lineRule="atLeast"/>
              <w:ind w:firstLine="0" w:firstLineChars="0"/>
              <w:jc w:val="center"/>
              <w:rPr>
                <w:rFonts w:hint="default" w:ascii="Times New Roman" w:hAnsi="Times New Roman" w:eastAsia="仿宋_GB2312" w:cstheme="minorBidi"/>
                <w:kern w:val="0"/>
                <w:sz w:val="21"/>
                <w:szCs w:val="21"/>
                <w:highlight w:val="none"/>
                <w:lang w:val="en-US" w:eastAsia="zh-CN" w:bidi="ar-SA"/>
              </w:rPr>
            </w:pPr>
            <w:r>
              <w:rPr>
                <w:rFonts w:hint="eastAsia" w:cstheme="minorBidi"/>
                <w:kern w:val="0"/>
                <w:sz w:val="21"/>
                <w:szCs w:val="21"/>
                <w:highlight w:val="none"/>
                <w:lang w:val="en-US" w:eastAsia="zh-CN" w:bidi="ar-SA"/>
              </w:rPr>
              <w:t>2</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highlight w:val="none"/>
                <w:lang w:val="en-US" w:eastAsia="zh-CN" w:bidi="ar-SA"/>
              </w:rPr>
            </w:pPr>
            <w:r>
              <w:rPr>
                <w:rFonts w:hint="eastAsia"/>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continue"/>
            <w:vAlign w:val="center"/>
          </w:tcPr>
          <w:p>
            <w:pPr>
              <w:spacing w:line="240" w:lineRule="auto"/>
              <w:ind w:firstLine="0" w:firstLineChars="0"/>
              <w:jc w:val="center"/>
              <w:rPr>
                <w:sz w:val="21"/>
                <w:highlight w:val="none"/>
              </w:rPr>
            </w:pPr>
          </w:p>
        </w:tc>
        <w:tc>
          <w:tcPr>
            <w:tcW w:w="2859" w:type="dxa"/>
            <w:vAlign w:val="center"/>
          </w:tcPr>
          <w:p>
            <w:pPr>
              <w:spacing w:line="0" w:lineRule="atLeast"/>
              <w:ind w:firstLine="0" w:firstLineChars="0"/>
              <w:jc w:val="center"/>
              <w:rPr>
                <w:rFonts w:ascii="仿宋_GB2312" w:hAnsi="仿宋_GB2312" w:cs="仿宋_GB2312"/>
                <w:sz w:val="21"/>
                <w:highlight w:val="none"/>
              </w:rPr>
            </w:pPr>
            <w:r>
              <w:rPr>
                <w:rFonts w:hint="eastAsia"/>
                <w:kern w:val="0"/>
                <w:sz w:val="21"/>
                <w:szCs w:val="20"/>
                <w:highlight w:val="none"/>
                <w:lang w:val="en-US" w:eastAsia="zh-CN"/>
              </w:rPr>
              <w:t>案件处置率</w:t>
            </w:r>
          </w:p>
        </w:tc>
        <w:tc>
          <w:tcPr>
            <w:tcW w:w="1178" w:type="dxa"/>
            <w:vAlign w:val="center"/>
          </w:tcPr>
          <w:p>
            <w:pPr>
              <w:spacing w:line="0" w:lineRule="atLeast"/>
              <w:ind w:firstLine="0" w:firstLineChars="0"/>
              <w:jc w:val="center"/>
              <w:rPr>
                <w:rFonts w:hint="default" w:ascii="Times New Roman" w:hAnsi="Times New Roman" w:eastAsia="仿宋_GB2312" w:cstheme="minorBidi"/>
                <w:kern w:val="0"/>
                <w:sz w:val="21"/>
                <w:szCs w:val="21"/>
                <w:highlight w:val="none"/>
                <w:lang w:val="en-US" w:eastAsia="zh-CN" w:bidi="ar-SA"/>
              </w:rPr>
            </w:pPr>
            <w:r>
              <w:rPr>
                <w:rFonts w:hint="eastAsia" w:cstheme="minorBidi"/>
                <w:kern w:val="0"/>
                <w:sz w:val="21"/>
                <w:szCs w:val="21"/>
                <w:highlight w:val="none"/>
                <w:lang w:val="en-US" w:eastAsia="zh-CN" w:bidi="ar-SA"/>
              </w:rPr>
              <w:t>2</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highlight w:val="none"/>
                <w:lang w:val="en-US" w:eastAsia="zh-CN" w:bidi="ar-SA"/>
              </w:rPr>
            </w:pPr>
            <w:r>
              <w:rPr>
                <w:rFonts w:hint="eastAsia"/>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restart"/>
            <w:vAlign w:val="center"/>
          </w:tcPr>
          <w:p>
            <w:pPr>
              <w:spacing w:line="240" w:lineRule="auto"/>
              <w:ind w:firstLine="0" w:firstLineChars="0"/>
              <w:jc w:val="center"/>
              <w:rPr>
                <w:bCs/>
                <w:sz w:val="21"/>
                <w:highlight w:val="none"/>
              </w:rPr>
            </w:pPr>
            <w:r>
              <w:rPr>
                <w:sz w:val="21"/>
                <w:highlight w:val="none"/>
              </w:rPr>
              <w:t>时效指标</w:t>
            </w: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综合执法工作完成及时率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2</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highlight w:val="none"/>
                <w:lang w:val="en-US" w:eastAsia="zh-CN" w:bidi="ar-SA"/>
              </w:rPr>
            </w:pPr>
            <w:r>
              <w:rPr>
                <w:rFonts w:hint="eastAsia"/>
                <w:sz w:val="21"/>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continue"/>
            <w:vAlign w:val="center"/>
          </w:tcPr>
          <w:p>
            <w:pPr>
              <w:spacing w:line="240" w:lineRule="auto"/>
              <w:ind w:firstLine="0" w:firstLineChars="0"/>
              <w:jc w:val="center"/>
              <w:rPr>
                <w:sz w:val="21"/>
                <w:highlight w:val="none"/>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案件处置及时率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1</w:t>
            </w:r>
          </w:p>
        </w:tc>
        <w:tc>
          <w:tcPr>
            <w:tcW w:w="1165" w:type="dxa"/>
            <w:vAlign w:val="center"/>
          </w:tcPr>
          <w:p>
            <w:pPr>
              <w:autoSpaceDE w:val="0"/>
              <w:snapToGrid w:val="0"/>
              <w:spacing w:line="240" w:lineRule="auto"/>
              <w:ind w:firstLine="0" w:firstLineChars="0"/>
              <w:jc w:val="center"/>
              <w:rPr>
                <w:rFonts w:hint="default" w:ascii="Times New Roman" w:hAnsi="Times New Roman" w:eastAsia="仿宋_GB2312" w:cs="Times New Roman"/>
                <w:kern w:val="2"/>
                <w:sz w:val="21"/>
                <w:szCs w:val="21"/>
                <w:highlight w:val="none"/>
                <w:lang w:val="en-US" w:eastAsia="zh-CN" w:bidi="ar-SA"/>
              </w:rPr>
            </w:pPr>
            <w:r>
              <w:rPr>
                <w:rFonts w:hint="eastAsia"/>
                <w:sz w:val="21"/>
                <w:highlight w:val="none"/>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continue"/>
            <w:vAlign w:val="center"/>
          </w:tcPr>
          <w:p>
            <w:pPr>
              <w:spacing w:line="240" w:lineRule="auto"/>
              <w:ind w:firstLine="0" w:firstLineChars="0"/>
              <w:jc w:val="center"/>
              <w:rPr>
                <w:sz w:val="21"/>
                <w:highlight w:val="none"/>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社会治理工作完成及时率</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2</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highlight w:val="none"/>
                <w:lang w:val="en-US" w:eastAsia="zh-CN" w:bidi="ar-SA"/>
              </w:rPr>
            </w:pPr>
            <w:r>
              <w:rPr>
                <w:rFonts w:hint="eastAsia"/>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continue"/>
            <w:vAlign w:val="center"/>
          </w:tcPr>
          <w:p>
            <w:pPr>
              <w:spacing w:line="240" w:lineRule="auto"/>
              <w:ind w:firstLine="0" w:firstLineChars="0"/>
              <w:jc w:val="center"/>
              <w:rPr>
                <w:sz w:val="21"/>
                <w:highlight w:val="none"/>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重点项目完成及时率</w:t>
            </w:r>
          </w:p>
        </w:tc>
        <w:tc>
          <w:tcPr>
            <w:tcW w:w="1178" w:type="dxa"/>
            <w:vAlign w:val="center"/>
          </w:tcPr>
          <w:p>
            <w:pPr>
              <w:spacing w:line="0" w:lineRule="atLeast"/>
              <w:ind w:firstLine="0" w:firstLineChars="0"/>
              <w:jc w:val="center"/>
              <w:rPr>
                <w:rFonts w:hint="eastAsia"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2</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kern w:val="2"/>
                <w:sz w:val="21"/>
                <w:szCs w:val="21"/>
                <w:highlight w:val="none"/>
                <w:lang w:val="en-US" w:eastAsia="zh-CN" w:bidi="ar-SA"/>
              </w:rPr>
            </w:pPr>
            <w:r>
              <w:rPr>
                <w:rFonts w:hint="eastAsia"/>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restart"/>
            <w:vAlign w:val="center"/>
          </w:tcPr>
          <w:p>
            <w:pPr>
              <w:spacing w:line="240" w:lineRule="auto"/>
              <w:ind w:firstLine="0" w:firstLineChars="0"/>
              <w:jc w:val="center"/>
              <w:rPr>
                <w:bCs/>
                <w:sz w:val="21"/>
                <w:highlight w:val="none"/>
              </w:rPr>
            </w:pPr>
            <w:r>
              <w:rPr>
                <w:bCs/>
                <w:sz w:val="21"/>
                <w:highlight w:val="none"/>
              </w:rPr>
              <w:t>效益</w:t>
            </w:r>
          </w:p>
        </w:tc>
        <w:tc>
          <w:tcPr>
            <w:tcW w:w="1576" w:type="dxa"/>
            <w:vAlign w:val="center"/>
          </w:tcPr>
          <w:p>
            <w:pPr>
              <w:spacing w:line="240" w:lineRule="auto"/>
              <w:ind w:firstLine="0" w:firstLineChars="0"/>
              <w:jc w:val="center"/>
              <w:rPr>
                <w:rFonts w:hint="default" w:eastAsia="仿宋_GB2312"/>
                <w:sz w:val="21"/>
                <w:highlight w:val="none"/>
                <w:lang w:val="en-US" w:eastAsia="zh-CN"/>
              </w:rPr>
            </w:pPr>
            <w:r>
              <w:rPr>
                <w:rFonts w:hint="eastAsia"/>
                <w:sz w:val="21"/>
                <w:highlight w:val="none"/>
                <w:lang w:val="en-US" w:eastAsia="zh-CN"/>
              </w:rPr>
              <w:t>经济效益</w:t>
            </w:r>
          </w:p>
        </w:tc>
        <w:tc>
          <w:tcPr>
            <w:tcW w:w="2859" w:type="dxa"/>
            <w:vAlign w:val="center"/>
          </w:tcPr>
          <w:p>
            <w:pPr>
              <w:spacing w:line="0" w:lineRule="atLeast"/>
              <w:ind w:firstLine="0" w:firstLineChars="0"/>
              <w:jc w:val="center"/>
              <w:rPr>
                <w:rFonts w:hint="eastAsia"/>
                <w:kern w:val="0"/>
                <w:sz w:val="21"/>
                <w:szCs w:val="20"/>
                <w:highlight w:val="none"/>
                <w:lang w:val="en-US" w:eastAsia="zh-CN"/>
              </w:rPr>
            </w:pPr>
            <w:r>
              <w:rPr>
                <w:rFonts w:hint="eastAsia"/>
                <w:kern w:val="0"/>
                <w:sz w:val="21"/>
                <w:szCs w:val="20"/>
                <w:highlight w:val="none"/>
                <w:lang w:val="en-US" w:eastAsia="zh-CN"/>
              </w:rPr>
              <w:t>促进辖区经济发展</w:t>
            </w:r>
          </w:p>
        </w:tc>
        <w:tc>
          <w:tcPr>
            <w:tcW w:w="1178" w:type="dxa"/>
            <w:vAlign w:val="center"/>
          </w:tcPr>
          <w:p>
            <w:pPr>
              <w:spacing w:line="0" w:lineRule="atLeast"/>
              <w:ind w:firstLine="0" w:firstLineChars="0"/>
              <w:jc w:val="center"/>
              <w:rPr>
                <w:rFonts w:hint="eastAsia"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4</w:t>
            </w:r>
          </w:p>
        </w:tc>
        <w:tc>
          <w:tcPr>
            <w:tcW w:w="1165" w:type="dxa"/>
            <w:vAlign w:val="center"/>
          </w:tcPr>
          <w:p>
            <w:pPr>
              <w:autoSpaceDE w:val="0"/>
              <w:snapToGrid w:val="0"/>
              <w:spacing w:line="240" w:lineRule="auto"/>
              <w:ind w:firstLine="0" w:firstLineChars="0"/>
              <w:jc w:val="center"/>
              <w:rPr>
                <w:rFonts w:hint="default" w:ascii="Times New Roman" w:hAnsi="Times New Roman" w:eastAsia="仿宋_GB2312" w:cs="Times New Roman"/>
                <w:b/>
                <w:bCs/>
                <w:kern w:val="2"/>
                <w:sz w:val="21"/>
                <w:szCs w:val="21"/>
                <w:highlight w:val="none"/>
                <w:lang w:val="en-US" w:eastAsia="zh-CN" w:bidi="ar-SA"/>
              </w:rPr>
            </w:pPr>
            <w:r>
              <w:rPr>
                <w:rFonts w:hint="eastAsia"/>
                <w:b w:val="0"/>
                <w:bCs w:val="0"/>
                <w:sz w:val="21"/>
                <w:highlight w:val="none"/>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restart"/>
            <w:vAlign w:val="center"/>
          </w:tcPr>
          <w:p>
            <w:pPr>
              <w:spacing w:line="240" w:lineRule="auto"/>
              <w:ind w:firstLine="0" w:firstLineChars="0"/>
              <w:jc w:val="center"/>
              <w:rPr>
                <w:bCs/>
                <w:sz w:val="21"/>
                <w:highlight w:val="none"/>
              </w:rPr>
            </w:pPr>
            <w:r>
              <w:rPr>
                <w:bCs/>
                <w:sz w:val="21"/>
                <w:highlight w:val="none"/>
              </w:rPr>
              <w:t>社会效益</w:t>
            </w: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城镇新增就业人数</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4</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bCs/>
                <w:kern w:val="2"/>
                <w:sz w:val="21"/>
                <w:szCs w:val="21"/>
                <w:highlight w:val="none"/>
                <w:lang w:val="en-US" w:eastAsia="zh-CN" w:bidi="ar-SA"/>
              </w:rPr>
            </w:pPr>
            <w:r>
              <w:rPr>
                <w:rFonts w:hint="eastAsia"/>
                <w:bCs/>
                <w:sz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continue"/>
            <w:vAlign w:val="center"/>
          </w:tcPr>
          <w:p>
            <w:pPr>
              <w:spacing w:line="240" w:lineRule="auto"/>
              <w:ind w:firstLine="0" w:firstLineChars="0"/>
              <w:jc w:val="center"/>
              <w:rPr>
                <w:bCs/>
                <w:sz w:val="21"/>
                <w:highlight w:val="none"/>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辖区环境整治效果</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3</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bCs/>
                <w:kern w:val="2"/>
                <w:sz w:val="21"/>
                <w:szCs w:val="21"/>
                <w:highlight w:val="none"/>
                <w:lang w:val="en-US" w:eastAsia="zh-CN" w:bidi="ar-SA"/>
              </w:rPr>
            </w:pPr>
            <w:r>
              <w:rPr>
                <w:rFonts w:hint="eastAsia"/>
                <w:bCs/>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continue"/>
            <w:vAlign w:val="center"/>
          </w:tcPr>
          <w:p>
            <w:pPr>
              <w:spacing w:line="240" w:lineRule="auto"/>
              <w:ind w:firstLine="0" w:firstLineChars="0"/>
              <w:jc w:val="center"/>
              <w:rPr>
                <w:bCs/>
                <w:sz w:val="21"/>
                <w:highlight w:val="none"/>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营造和谐氛围</w:t>
            </w:r>
          </w:p>
        </w:tc>
        <w:tc>
          <w:tcPr>
            <w:tcW w:w="1178" w:type="dxa"/>
            <w:vAlign w:val="center"/>
          </w:tcPr>
          <w:p>
            <w:pPr>
              <w:autoSpaceDE w:val="0"/>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5</w:t>
            </w:r>
          </w:p>
        </w:tc>
        <w:tc>
          <w:tcPr>
            <w:tcW w:w="1165" w:type="dxa"/>
            <w:vAlign w:val="center"/>
          </w:tcPr>
          <w:p>
            <w:pPr>
              <w:autoSpaceDE w:val="0"/>
              <w:snapToGrid w:val="0"/>
              <w:spacing w:line="240" w:lineRule="auto"/>
              <w:ind w:firstLine="0" w:firstLineChars="0"/>
              <w:jc w:val="center"/>
              <w:rPr>
                <w:rFonts w:hint="default" w:ascii="Times New Roman" w:hAnsi="Times New Roman" w:eastAsia="仿宋_GB2312" w:cs="Times New Roman"/>
                <w:bCs/>
                <w:kern w:val="2"/>
                <w:sz w:val="21"/>
                <w:szCs w:val="21"/>
                <w:highlight w:val="none"/>
                <w:lang w:val="en-US" w:eastAsia="zh-CN" w:bidi="ar-SA"/>
              </w:rPr>
            </w:pPr>
            <w:r>
              <w:rPr>
                <w:rFonts w:hint="eastAsia"/>
                <w:bCs/>
                <w:sz w:val="21"/>
                <w:highlight w:val="none"/>
                <w:lang w:val="en-US" w:eastAsia="zh-CN"/>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restart"/>
            <w:vAlign w:val="center"/>
          </w:tcPr>
          <w:p>
            <w:pPr>
              <w:spacing w:line="240" w:lineRule="auto"/>
              <w:ind w:firstLine="0" w:firstLineChars="0"/>
              <w:jc w:val="center"/>
              <w:rPr>
                <w:bCs/>
                <w:sz w:val="21"/>
                <w:highlight w:val="none"/>
              </w:rPr>
            </w:pPr>
            <w:r>
              <w:rPr>
                <w:bCs/>
                <w:sz w:val="21"/>
                <w:highlight w:val="none"/>
              </w:rPr>
              <w:t>可持续效益</w:t>
            </w:r>
          </w:p>
        </w:tc>
        <w:tc>
          <w:tcPr>
            <w:tcW w:w="2859" w:type="dxa"/>
            <w:vAlign w:val="center"/>
          </w:tcPr>
          <w:p>
            <w:pPr>
              <w:spacing w:line="0" w:lineRule="atLeast"/>
              <w:ind w:firstLine="0" w:firstLineChars="0"/>
              <w:jc w:val="center"/>
              <w:rPr>
                <w:rFonts w:hint="default" w:ascii="Times New Roman" w:hAnsi="Times New Roman" w:eastAsia="仿宋_GB2312" w:cs="Times New Roman"/>
                <w:color w:val="auto"/>
                <w:kern w:val="0"/>
                <w:sz w:val="21"/>
                <w:szCs w:val="21"/>
                <w:highlight w:val="none"/>
                <w:lang w:val="en-US" w:eastAsia="zh-CN" w:bidi="ar-SA"/>
              </w:rPr>
            </w:pPr>
            <w:r>
              <w:rPr>
                <w:rFonts w:hint="eastAsia"/>
                <w:kern w:val="0"/>
                <w:sz w:val="21"/>
                <w:szCs w:val="20"/>
                <w:highlight w:val="none"/>
                <w:lang w:val="en-US" w:eastAsia="zh-CN"/>
              </w:rPr>
              <w:t>中长期规划建设完备性</w:t>
            </w:r>
          </w:p>
        </w:tc>
        <w:tc>
          <w:tcPr>
            <w:tcW w:w="1178" w:type="dxa"/>
            <w:vAlign w:val="center"/>
          </w:tcPr>
          <w:p>
            <w:pPr>
              <w:spacing w:line="0" w:lineRule="atLeast"/>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2</w:t>
            </w:r>
          </w:p>
        </w:tc>
        <w:tc>
          <w:tcPr>
            <w:tcW w:w="1165" w:type="dxa"/>
            <w:vAlign w:val="center"/>
          </w:tcPr>
          <w:p>
            <w:pPr>
              <w:autoSpaceDE w:val="0"/>
              <w:snapToGrid w:val="0"/>
              <w:spacing w:line="240" w:lineRule="auto"/>
              <w:ind w:firstLine="0" w:firstLineChars="0"/>
              <w:jc w:val="center"/>
              <w:rPr>
                <w:rFonts w:hint="eastAsia" w:ascii="Times New Roman" w:hAnsi="Times New Roman" w:eastAsia="仿宋_GB2312" w:cs="Times New Roman"/>
                <w:bCs/>
                <w:kern w:val="2"/>
                <w:sz w:val="21"/>
                <w:szCs w:val="21"/>
                <w:highlight w:val="none"/>
                <w:lang w:val="en-US" w:eastAsia="zh-CN" w:bidi="ar-SA"/>
              </w:rPr>
            </w:pPr>
            <w:r>
              <w:rPr>
                <w:rFonts w:hint="eastAsia"/>
                <w:bCs/>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continue"/>
            <w:vAlign w:val="center"/>
          </w:tcPr>
          <w:p>
            <w:pPr>
              <w:spacing w:line="240" w:lineRule="auto"/>
              <w:ind w:firstLine="0" w:firstLineChars="0"/>
              <w:jc w:val="center"/>
              <w:rPr>
                <w:bCs/>
                <w:sz w:val="21"/>
                <w:highlight w:val="none"/>
              </w:rPr>
            </w:pPr>
          </w:p>
        </w:tc>
        <w:tc>
          <w:tcPr>
            <w:tcW w:w="2859" w:type="dxa"/>
            <w:vAlign w:val="center"/>
          </w:tcPr>
          <w:p>
            <w:pPr>
              <w:spacing w:line="0" w:lineRule="atLeast"/>
              <w:ind w:firstLine="0" w:firstLineChars="0"/>
              <w:jc w:val="center"/>
              <w:rPr>
                <w:rFonts w:hint="eastAsia" w:ascii="Times New Roman" w:hAnsi="Times New Roman" w:eastAsia="仿宋_GB2312" w:cs="Times New Roman"/>
                <w:color w:val="0000FF"/>
                <w:kern w:val="0"/>
                <w:sz w:val="21"/>
                <w:szCs w:val="21"/>
                <w:highlight w:val="none"/>
                <w:lang w:val="en-US" w:eastAsia="zh-CN" w:bidi="ar-SA"/>
              </w:rPr>
            </w:pPr>
            <w:r>
              <w:rPr>
                <w:rFonts w:hint="eastAsia"/>
                <w:kern w:val="0"/>
                <w:sz w:val="21"/>
                <w:szCs w:val="20"/>
                <w:highlight w:val="none"/>
              </w:rPr>
              <w:t>部门内部能力建设</w:t>
            </w:r>
          </w:p>
        </w:tc>
        <w:tc>
          <w:tcPr>
            <w:tcW w:w="1178" w:type="dxa"/>
            <w:vAlign w:val="center"/>
          </w:tcPr>
          <w:p>
            <w:pPr>
              <w:spacing w:line="0" w:lineRule="atLeast"/>
              <w:ind w:firstLine="0" w:firstLineChars="0"/>
              <w:jc w:val="center"/>
              <w:rPr>
                <w:rFonts w:hint="eastAsia" w:ascii="Times New Roman" w:hAnsi="Times New Roman" w:eastAsia="仿宋_GB2312" w:cs="Times New Roman"/>
                <w:kern w:val="0"/>
                <w:sz w:val="21"/>
                <w:szCs w:val="21"/>
                <w:highlight w:val="none"/>
                <w:lang w:val="en-US" w:eastAsia="zh-CN" w:bidi="ar-SA"/>
              </w:rPr>
            </w:pPr>
            <w:r>
              <w:rPr>
                <w:rFonts w:hint="eastAsia"/>
                <w:kern w:val="0"/>
                <w:sz w:val="21"/>
                <w:szCs w:val="21"/>
                <w:highlight w:val="none"/>
                <w:lang w:val="en-US" w:eastAsia="zh-CN"/>
              </w:rPr>
              <w:t>3</w:t>
            </w:r>
          </w:p>
        </w:tc>
        <w:tc>
          <w:tcPr>
            <w:tcW w:w="1165" w:type="dxa"/>
            <w:vAlign w:val="center"/>
          </w:tcPr>
          <w:p>
            <w:pPr>
              <w:autoSpaceDE w:val="0"/>
              <w:snapToGrid w:val="0"/>
              <w:spacing w:line="240" w:lineRule="auto"/>
              <w:ind w:firstLine="0" w:firstLineChars="0"/>
              <w:jc w:val="center"/>
              <w:rPr>
                <w:rFonts w:hint="default" w:ascii="Times New Roman" w:hAnsi="Times New Roman" w:eastAsia="仿宋_GB2312" w:cs="Times New Roman"/>
                <w:bCs/>
                <w:kern w:val="2"/>
                <w:sz w:val="21"/>
                <w:szCs w:val="21"/>
                <w:highlight w:val="none"/>
                <w:lang w:val="en-US" w:eastAsia="zh-CN" w:bidi="ar-SA"/>
              </w:rPr>
            </w:pPr>
            <w:r>
              <w:rPr>
                <w:rFonts w:hint="eastAsia"/>
                <w:bCs/>
                <w:sz w:val="21"/>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restart"/>
            <w:vAlign w:val="center"/>
          </w:tcPr>
          <w:p>
            <w:pPr>
              <w:spacing w:line="240" w:lineRule="auto"/>
              <w:ind w:firstLine="0" w:firstLineChars="0"/>
              <w:jc w:val="center"/>
              <w:rPr>
                <w:bCs/>
                <w:sz w:val="21"/>
                <w:highlight w:val="none"/>
              </w:rPr>
            </w:pPr>
            <w:r>
              <w:rPr>
                <w:bCs/>
                <w:sz w:val="21"/>
                <w:highlight w:val="none"/>
              </w:rPr>
              <w:t>服务满意度</w:t>
            </w: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群众满意度</w:t>
            </w:r>
          </w:p>
        </w:tc>
        <w:tc>
          <w:tcPr>
            <w:tcW w:w="1178" w:type="dxa"/>
            <w:vAlign w:val="center"/>
          </w:tcPr>
          <w:p>
            <w:pPr>
              <w:spacing w:line="0" w:lineRule="atLeast"/>
              <w:ind w:firstLine="0" w:firstLineChars="0"/>
              <w:jc w:val="center"/>
              <w:rPr>
                <w:rFonts w:ascii="Times New Roman" w:hAnsi="Times New Roman" w:eastAsia="仿宋_GB2312" w:cs="Times New Roman"/>
                <w:kern w:val="0"/>
                <w:sz w:val="21"/>
                <w:szCs w:val="21"/>
                <w:highlight w:val="none"/>
                <w:lang w:val="en-US" w:eastAsia="zh-CN" w:bidi="ar-SA"/>
              </w:rPr>
            </w:pPr>
            <w:r>
              <w:rPr>
                <w:rFonts w:hint="eastAsia"/>
                <w:bCs/>
                <w:kern w:val="0"/>
                <w:sz w:val="21"/>
                <w:szCs w:val="21"/>
                <w:highlight w:val="none"/>
              </w:rPr>
              <w:t>6</w:t>
            </w:r>
          </w:p>
        </w:tc>
        <w:tc>
          <w:tcPr>
            <w:tcW w:w="1165" w:type="dxa"/>
            <w:vAlign w:val="center"/>
          </w:tcPr>
          <w:p>
            <w:pPr>
              <w:autoSpaceDE w:val="0"/>
              <w:snapToGrid w:val="0"/>
              <w:spacing w:line="240" w:lineRule="auto"/>
              <w:ind w:firstLine="0" w:firstLineChars="0"/>
              <w:jc w:val="center"/>
              <w:rPr>
                <w:rFonts w:hint="default" w:ascii="Times New Roman" w:hAnsi="Times New Roman" w:eastAsia="仿宋_GB2312" w:cs="Times New Roman"/>
                <w:bCs/>
                <w:kern w:val="2"/>
                <w:sz w:val="21"/>
                <w:szCs w:val="21"/>
                <w:highlight w:val="none"/>
                <w:lang w:val="en-US" w:eastAsia="zh-CN" w:bidi="ar-SA"/>
              </w:rPr>
            </w:pPr>
            <w:r>
              <w:rPr>
                <w:rFonts w:hint="eastAsia"/>
                <w:bCs/>
                <w:sz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pPr>
              <w:spacing w:line="240" w:lineRule="auto"/>
              <w:ind w:firstLine="0" w:firstLineChars="0"/>
              <w:jc w:val="center"/>
              <w:rPr>
                <w:bCs/>
                <w:sz w:val="21"/>
                <w:highlight w:val="none"/>
              </w:rPr>
            </w:pPr>
          </w:p>
        </w:tc>
        <w:tc>
          <w:tcPr>
            <w:tcW w:w="1576" w:type="dxa"/>
            <w:vMerge w:val="continue"/>
            <w:vAlign w:val="center"/>
          </w:tcPr>
          <w:p>
            <w:pPr>
              <w:spacing w:line="240" w:lineRule="auto"/>
              <w:ind w:firstLine="0" w:firstLineChars="0"/>
              <w:jc w:val="center"/>
              <w:rPr>
                <w:bCs/>
                <w:sz w:val="21"/>
                <w:highlight w:val="none"/>
              </w:rPr>
            </w:pPr>
          </w:p>
        </w:tc>
        <w:tc>
          <w:tcPr>
            <w:tcW w:w="2859" w:type="dxa"/>
            <w:vAlign w:val="center"/>
          </w:tcPr>
          <w:p>
            <w:pPr>
              <w:spacing w:line="0" w:lineRule="atLeast"/>
              <w:ind w:firstLine="0" w:firstLineChars="0"/>
              <w:jc w:val="center"/>
              <w:rPr>
                <w:rFonts w:hint="default" w:ascii="Times New Roman" w:hAnsi="Times New Roman" w:eastAsia="仿宋_GB2312" w:cs="Times New Roman"/>
                <w:kern w:val="0"/>
                <w:sz w:val="21"/>
                <w:szCs w:val="20"/>
                <w:highlight w:val="none"/>
                <w:lang w:val="en-US" w:eastAsia="zh-CN" w:bidi="ar-SA"/>
              </w:rPr>
            </w:pPr>
            <w:r>
              <w:rPr>
                <w:rFonts w:hint="eastAsia"/>
                <w:kern w:val="0"/>
                <w:sz w:val="21"/>
                <w:szCs w:val="20"/>
                <w:highlight w:val="none"/>
                <w:lang w:val="en-US" w:eastAsia="zh-CN"/>
              </w:rPr>
              <w:t>部门工作人员满意度</w:t>
            </w:r>
          </w:p>
        </w:tc>
        <w:tc>
          <w:tcPr>
            <w:tcW w:w="1178" w:type="dxa"/>
            <w:vAlign w:val="center"/>
          </w:tcPr>
          <w:p>
            <w:pPr>
              <w:spacing w:line="0" w:lineRule="atLeast"/>
              <w:ind w:firstLine="0" w:firstLineChars="0"/>
              <w:jc w:val="center"/>
              <w:rPr>
                <w:rFonts w:hint="eastAsia" w:ascii="Times New Roman" w:hAnsi="Times New Roman" w:eastAsia="仿宋_GB2312" w:cs="Times New Roman"/>
                <w:bCs/>
                <w:kern w:val="0"/>
                <w:sz w:val="21"/>
                <w:szCs w:val="21"/>
                <w:highlight w:val="none"/>
                <w:lang w:val="en-US" w:eastAsia="zh-CN" w:bidi="ar-SA"/>
              </w:rPr>
            </w:pPr>
            <w:r>
              <w:rPr>
                <w:rFonts w:hint="eastAsia"/>
                <w:bCs/>
                <w:kern w:val="0"/>
                <w:sz w:val="21"/>
                <w:szCs w:val="21"/>
                <w:highlight w:val="none"/>
                <w:lang w:val="en-US" w:eastAsia="zh-CN"/>
              </w:rPr>
              <w:t>4</w:t>
            </w:r>
          </w:p>
        </w:tc>
        <w:tc>
          <w:tcPr>
            <w:tcW w:w="1165" w:type="dxa"/>
            <w:vAlign w:val="center"/>
          </w:tcPr>
          <w:p>
            <w:pPr>
              <w:autoSpaceDE w:val="0"/>
              <w:snapToGrid w:val="0"/>
              <w:spacing w:line="240" w:lineRule="auto"/>
              <w:ind w:firstLine="0" w:firstLineChars="0"/>
              <w:jc w:val="center"/>
              <w:rPr>
                <w:rFonts w:hint="eastAsia" w:eastAsia="仿宋_GB2312"/>
                <w:bCs/>
                <w:sz w:val="21"/>
                <w:highlight w:val="none"/>
                <w:lang w:val="en-US" w:eastAsia="zh-CN"/>
              </w:rPr>
            </w:pPr>
            <w:r>
              <w:rPr>
                <w:rFonts w:hint="eastAsia"/>
                <w:bCs/>
                <w:sz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34" w:type="dxa"/>
            <w:gridSpan w:val="3"/>
            <w:vAlign w:val="center"/>
          </w:tcPr>
          <w:p>
            <w:pPr>
              <w:spacing w:line="240" w:lineRule="auto"/>
              <w:ind w:firstLine="0" w:firstLineChars="0"/>
              <w:jc w:val="center"/>
              <w:rPr>
                <w:b/>
                <w:bCs/>
                <w:sz w:val="21"/>
                <w:highlight w:val="none"/>
              </w:rPr>
            </w:pPr>
            <w:r>
              <w:rPr>
                <w:b/>
                <w:bCs/>
                <w:sz w:val="21"/>
                <w:highlight w:val="none"/>
              </w:rPr>
              <w:t>合计</w:t>
            </w:r>
          </w:p>
        </w:tc>
        <w:tc>
          <w:tcPr>
            <w:tcW w:w="1178" w:type="dxa"/>
            <w:vAlign w:val="center"/>
          </w:tcPr>
          <w:p>
            <w:pPr>
              <w:spacing w:line="240" w:lineRule="auto"/>
              <w:ind w:firstLine="0" w:firstLineChars="0"/>
              <w:jc w:val="center"/>
              <w:rPr>
                <w:b/>
                <w:bCs/>
                <w:sz w:val="21"/>
                <w:highlight w:val="none"/>
              </w:rPr>
            </w:pPr>
            <w:r>
              <w:rPr>
                <w:b/>
                <w:bCs/>
                <w:sz w:val="21"/>
                <w:highlight w:val="none"/>
              </w:rPr>
              <w:t>100</w:t>
            </w:r>
          </w:p>
        </w:tc>
        <w:tc>
          <w:tcPr>
            <w:tcW w:w="1165" w:type="dxa"/>
            <w:shd w:val="clear" w:color="auto" w:fill="auto"/>
            <w:vAlign w:val="center"/>
          </w:tcPr>
          <w:p>
            <w:pPr>
              <w:spacing w:line="240" w:lineRule="auto"/>
              <w:ind w:firstLine="0" w:firstLineChars="0"/>
              <w:jc w:val="center"/>
              <w:rPr>
                <w:rFonts w:hint="default" w:eastAsia="仿宋_GB2312"/>
                <w:b/>
                <w:bCs/>
                <w:sz w:val="21"/>
                <w:highlight w:val="none"/>
                <w:lang w:val="en-US" w:eastAsia="zh-CN"/>
              </w:rPr>
            </w:pPr>
            <w:r>
              <w:rPr>
                <w:rFonts w:hint="eastAsia"/>
                <w:b/>
                <w:bCs/>
                <w:sz w:val="21"/>
                <w:highlight w:val="none"/>
                <w:lang w:val="en-US" w:eastAsia="zh-CN"/>
              </w:rPr>
              <w:t>77.97</w:t>
            </w:r>
          </w:p>
        </w:tc>
      </w:tr>
    </w:tbl>
    <w:p>
      <w:pPr>
        <w:pStyle w:val="4"/>
        <w:spacing w:before="156" w:beforeLines="50"/>
        <w:ind w:firstLine="643"/>
        <w:rPr>
          <w:highlight w:val="none"/>
        </w:rPr>
      </w:pPr>
      <w:bookmarkStart w:id="34" w:name="_Toc41579787"/>
      <w:bookmarkStart w:id="35" w:name="_Toc27650"/>
      <w:bookmarkStart w:id="36" w:name="_Toc10812"/>
      <w:bookmarkStart w:id="37" w:name="_Toc13797"/>
      <w:r>
        <w:rPr>
          <w:rFonts w:hint="eastAsia"/>
          <w:highlight w:val="none"/>
        </w:rPr>
        <w:t>（二）综合评价结论</w:t>
      </w:r>
      <w:bookmarkEnd w:id="34"/>
      <w:bookmarkEnd w:id="35"/>
      <w:bookmarkEnd w:id="36"/>
      <w:bookmarkEnd w:id="37"/>
    </w:p>
    <w:p>
      <w:pPr>
        <w:ind w:firstLine="640"/>
      </w:pPr>
      <w:r>
        <w:rPr>
          <w:rFonts w:hint="eastAsia"/>
          <w:highlight w:val="none"/>
        </w:rPr>
        <w:t>贵阳业越</w:t>
      </w:r>
      <w:r>
        <w:rPr>
          <w:highlight w:val="none"/>
        </w:rPr>
        <w:t>对</w:t>
      </w:r>
      <w:r>
        <w:rPr>
          <w:rFonts w:hint="eastAsia"/>
          <w:highlight w:val="none"/>
        </w:rPr>
        <w:t>20</w:t>
      </w:r>
      <w:r>
        <w:rPr>
          <w:rFonts w:hint="eastAsia"/>
          <w:highlight w:val="none"/>
          <w:lang w:val="en-US" w:eastAsia="zh-CN"/>
        </w:rPr>
        <w:t>20</w:t>
      </w:r>
      <w:r>
        <w:rPr>
          <w:rFonts w:hint="eastAsia"/>
          <w:highlight w:val="none"/>
        </w:rPr>
        <w:t>年云岩区</w:t>
      </w:r>
      <w:r>
        <w:rPr>
          <w:rFonts w:hint="eastAsia"/>
          <w:highlight w:val="none"/>
          <w:lang w:val="en-US" w:eastAsia="zh-CN"/>
        </w:rPr>
        <w:t>文昌阁街道办</w:t>
      </w:r>
      <w:r>
        <w:rPr>
          <w:rFonts w:hint="eastAsia"/>
          <w:highlight w:val="none"/>
        </w:rPr>
        <w:t>部门整体支出</w:t>
      </w:r>
      <w:r>
        <w:rPr>
          <w:highlight w:val="none"/>
        </w:rPr>
        <w:t>进行了独立第三方评价，综合评价得</w:t>
      </w:r>
      <w:r>
        <w:rPr>
          <w:rFonts w:hint="eastAsia"/>
          <w:highlight w:val="none"/>
          <w:lang w:val="en-US" w:eastAsia="zh-CN"/>
        </w:rPr>
        <w:t>77.97</w:t>
      </w:r>
      <w:r>
        <w:rPr>
          <w:rFonts w:hint="eastAsia"/>
          <w:highlight w:val="none"/>
        </w:rPr>
        <w:t>分</w:t>
      </w:r>
      <w:r>
        <w:t>，评价评级为</w:t>
      </w:r>
      <w:r>
        <w:rPr>
          <w:rFonts w:hint="eastAsia"/>
        </w:rPr>
        <w:t>“</w:t>
      </w:r>
      <w:r>
        <w:rPr>
          <w:rFonts w:hint="eastAsia"/>
          <w:lang w:val="en-US" w:eastAsia="zh-CN"/>
        </w:rPr>
        <w:t>中</w:t>
      </w:r>
      <w:r>
        <w:rPr>
          <w:rFonts w:hint="eastAsia"/>
        </w:rPr>
        <w:t>”。云岩区</w:t>
      </w:r>
      <w:r>
        <w:rPr>
          <w:rFonts w:hint="eastAsia"/>
          <w:lang w:val="en-US" w:eastAsia="zh-CN"/>
        </w:rPr>
        <w:t>文昌阁街道办事处2020</w:t>
      </w:r>
      <w:r>
        <w:t>年部门整体支出内容与年度重点工</w:t>
      </w:r>
      <w:r>
        <w:rPr>
          <w:rFonts w:hint="eastAsia"/>
        </w:rPr>
        <w:t>作目标任务相对应，为部门履职尽责提供了重要保障和有力支持。</w:t>
      </w:r>
      <w:r>
        <w:rPr>
          <w:rFonts w:hint="eastAsia"/>
          <w:lang w:val="en-US" w:eastAsia="zh-CN"/>
        </w:rPr>
        <w:t>但部门在绩效目标编制、财务管理、政府采购、支出管理、项目执行等方面仍存在不足。</w:t>
      </w:r>
    </w:p>
    <w:p>
      <w:pPr>
        <w:pStyle w:val="3"/>
        <w:bidi w:val="0"/>
      </w:pPr>
      <w:bookmarkStart w:id="38" w:name="_Toc13537"/>
      <w:bookmarkStart w:id="39" w:name="_Toc25353"/>
      <w:bookmarkStart w:id="40" w:name="_Toc23831"/>
      <w:bookmarkStart w:id="41" w:name="_Toc41579788"/>
      <w:r>
        <w:rPr>
          <w:rFonts w:hint="eastAsia"/>
          <w:lang w:eastAsia="zh-CN"/>
        </w:rPr>
        <w:t>三</w:t>
      </w:r>
      <w:r>
        <w:rPr>
          <w:rFonts w:hint="eastAsia"/>
        </w:rPr>
        <w:t>、主要经验及做法、存在的问题和建议</w:t>
      </w:r>
      <w:bookmarkEnd w:id="38"/>
      <w:bookmarkEnd w:id="39"/>
      <w:bookmarkEnd w:id="40"/>
      <w:bookmarkEnd w:id="41"/>
    </w:p>
    <w:p>
      <w:pPr>
        <w:pStyle w:val="4"/>
        <w:bidi w:val="0"/>
      </w:pPr>
      <w:bookmarkStart w:id="42" w:name="_Toc8770"/>
      <w:bookmarkStart w:id="43" w:name="_Toc15829"/>
      <w:bookmarkStart w:id="44" w:name="_Toc12480"/>
      <w:bookmarkStart w:id="45" w:name="_Toc41579789"/>
      <w:r>
        <w:t>（</w:t>
      </w:r>
      <w:r>
        <w:rPr>
          <w:rFonts w:hint="eastAsia"/>
        </w:rPr>
        <w:t>一）主要经验及做法</w:t>
      </w:r>
      <w:bookmarkEnd w:id="42"/>
      <w:bookmarkEnd w:id="43"/>
      <w:bookmarkEnd w:id="44"/>
      <w:bookmarkEnd w:id="45"/>
    </w:p>
    <w:p>
      <w:pPr>
        <w:ind w:firstLine="640"/>
        <w:rPr>
          <w:rFonts w:hint="eastAsia"/>
          <w:b/>
          <w:bCs/>
          <w:spacing w:val="6"/>
          <w:szCs w:val="32"/>
          <w:lang w:val="en-US" w:eastAsia="zh-CN"/>
        </w:rPr>
      </w:pPr>
      <w:r>
        <w:rPr>
          <w:rFonts w:hint="eastAsia"/>
        </w:rPr>
        <w:t>1</w:t>
      </w:r>
      <w:r>
        <w:rPr>
          <w:rFonts w:hint="eastAsia"/>
          <w:b/>
          <w:bCs/>
          <w:spacing w:val="6"/>
          <w:szCs w:val="32"/>
        </w:rPr>
        <w:t>．</w:t>
      </w:r>
      <w:r>
        <w:rPr>
          <w:rFonts w:hint="eastAsia"/>
          <w:b/>
          <w:bCs/>
          <w:spacing w:val="6"/>
          <w:szCs w:val="32"/>
          <w:lang w:val="en-US" w:eastAsia="zh-CN"/>
        </w:rPr>
        <w:t>结合辖区实际，推动街道高效发展</w:t>
      </w:r>
    </w:p>
    <w:p>
      <w:pPr>
        <w:ind w:firstLine="640"/>
        <w:rPr>
          <w:rFonts w:hint="default"/>
          <w:lang w:val="en-US" w:eastAsia="zh-CN"/>
        </w:rPr>
      </w:pPr>
      <w:r>
        <w:rPr>
          <w:rFonts w:hint="eastAsia"/>
          <w:lang w:val="en-US" w:eastAsia="zh-CN"/>
        </w:rPr>
        <w:t>文昌阁街道办在自身建设上，在云岩区17个街道中做到了多个“率先”。一是，率先制定了《文昌阁关于强化党建引领推进城市基层治理体系和治理能力现代化实施方案》，对文昌阁街道未来3—5年的发展蓝图作出规划；二是，率先出台《文昌阁街道关于改进和提升工作效率的十条措施及（1+N）配套制度》，完善了文昌阁街道工作机制和各项制度；三是，率先挂牌成立优化营商环境服务中心，夯实了街道经济发展阵地。</w:t>
      </w:r>
    </w:p>
    <w:p>
      <w:pPr>
        <w:numPr>
          <w:ilvl w:val="0"/>
          <w:numId w:val="0"/>
        </w:numPr>
        <w:ind w:left="640" w:leftChars="0"/>
        <w:rPr>
          <w:rFonts w:hint="eastAsia"/>
          <w:b/>
          <w:bCs/>
          <w:spacing w:val="6"/>
          <w:szCs w:val="32"/>
          <w:lang w:val="en-US" w:eastAsia="zh-CN"/>
        </w:rPr>
      </w:pPr>
      <w:r>
        <w:rPr>
          <w:rFonts w:hint="eastAsia"/>
          <w:b/>
          <w:bCs/>
          <w:spacing w:val="6"/>
          <w:szCs w:val="32"/>
          <w:lang w:val="en-US" w:eastAsia="zh-CN"/>
        </w:rPr>
        <w:t>2．抓顽症、重治理，辖区市容环境不断改善</w:t>
      </w:r>
    </w:p>
    <w:p>
      <w:pPr>
        <w:ind w:firstLine="640"/>
        <w:rPr>
          <w:rFonts w:hint="eastAsia" w:eastAsia="楷体"/>
          <w:bCs/>
          <w:spacing w:val="6"/>
          <w:szCs w:val="32"/>
          <w:highlight w:val="yellow"/>
          <w:lang w:eastAsia="zh-CN"/>
        </w:rPr>
      </w:pPr>
      <w:r>
        <w:rPr>
          <w:rFonts w:hint="eastAsia"/>
          <w:lang w:val="en-US" w:eastAsia="zh-CN"/>
        </w:rPr>
        <w:t>在城市综合治理上，文昌阁采取一系列的治理措施，建立长效机制，狠抓落实。一是坚持常态化整治，夯实基础管理。建立健全常态化治理工作机制，定期不定期开展拆违控违、环境卫生、交通乱停乱放等集中整治行动；二是坚持环境保护，助推生态文明发展。以环保督查问题“回头看”等重点工作为主线，聚焦环境保护宣传、有害生物防治、垃圾分类等重点领域，长效管控，主动发现问题并整改，实现常态化管理；三是坚持安全防范，保障辖区平安。以“多方联合”加强与市场监管、公安、交警等职能部门的联动，针对各类安全隐患进行不定期排查治理，切实保障辖区平安。</w:t>
      </w:r>
    </w:p>
    <w:p>
      <w:pPr>
        <w:pStyle w:val="4"/>
        <w:bidi w:val="0"/>
      </w:pPr>
      <w:bookmarkStart w:id="46" w:name="_Toc41579790"/>
      <w:bookmarkStart w:id="47" w:name="_Toc14839"/>
      <w:bookmarkStart w:id="48" w:name="_Toc21387"/>
      <w:bookmarkStart w:id="49" w:name="_Toc12050"/>
      <w:r>
        <w:rPr>
          <w:rFonts w:hint="eastAsia"/>
        </w:rPr>
        <w:t>（二）存在的问题</w:t>
      </w:r>
      <w:bookmarkEnd w:id="46"/>
      <w:bookmarkEnd w:id="47"/>
      <w:bookmarkEnd w:id="48"/>
      <w:bookmarkEnd w:id="49"/>
    </w:p>
    <w:p>
      <w:pPr>
        <w:ind w:firstLine="640"/>
        <w:rPr>
          <w:rFonts w:hint="eastAsia"/>
          <w:b/>
          <w:bCs/>
          <w:spacing w:val="6"/>
          <w:szCs w:val="32"/>
          <w:lang w:val="en-US" w:eastAsia="zh-CN"/>
        </w:rPr>
      </w:pPr>
      <w:r>
        <w:rPr>
          <w:rFonts w:hint="eastAsia"/>
          <w:b/>
          <w:bCs/>
          <w:szCs w:val="32"/>
        </w:rPr>
        <w:t>1</w:t>
      </w:r>
      <w:r>
        <w:rPr>
          <w:rFonts w:hint="eastAsia"/>
          <w:b/>
          <w:bCs/>
          <w:spacing w:val="6"/>
          <w:szCs w:val="32"/>
        </w:rPr>
        <w:t>．</w:t>
      </w:r>
      <w:r>
        <w:rPr>
          <w:rFonts w:hint="eastAsia" w:cs="Times New Roman"/>
          <w:b/>
          <w:bCs w:val="0"/>
          <w:spacing w:val="6"/>
          <w:sz w:val="32"/>
          <w:szCs w:val="32"/>
        </w:rPr>
        <w:t>绩效</w:t>
      </w:r>
      <w:r>
        <w:rPr>
          <w:rFonts w:hint="eastAsia" w:cs="Times New Roman"/>
          <w:b/>
          <w:bCs w:val="0"/>
          <w:spacing w:val="6"/>
          <w:sz w:val="32"/>
          <w:szCs w:val="32"/>
          <w:lang w:val="en-US" w:eastAsia="zh-CN"/>
        </w:rPr>
        <w:t>指标合理</w:t>
      </w:r>
      <w:r>
        <w:rPr>
          <w:rFonts w:hint="eastAsia" w:cs="Times New Roman"/>
          <w:b/>
          <w:bCs w:val="0"/>
          <w:spacing w:val="6"/>
          <w:sz w:val="32"/>
          <w:szCs w:val="32"/>
        </w:rPr>
        <w:t>性有待加强</w:t>
      </w:r>
    </w:p>
    <w:p>
      <w:pPr>
        <w:ind w:firstLine="640"/>
        <w:rPr>
          <w:rFonts w:hint="eastAsia" w:ascii="Times New Roman" w:hAnsi="Times New Roman"/>
          <w:lang w:val="en-US" w:eastAsia="zh-CN"/>
        </w:rPr>
      </w:pPr>
      <w:r>
        <w:rPr>
          <w:rFonts w:hint="eastAsia"/>
          <w:b w:val="0"/>
          <w:bCs/>
          <w:lang w:val="en-US" w:eastAsia="zh-CN"/>
        </w:rPr>
        <w:t>在绩效指标设置方面，存在绩效指标名称设置冗杂、指标值不明确等情形</w:t>
      </w:r>
      <w:r>
        <w:rPr>
          <w:rFonts w:hint="eastAsia" w:ascii="Times New Roman" w:hAnsi="Times New Roman"/>
          <w:lang w:val="en-US" w:eastAsia="zh-CN"/>
        </w:rPr>
        <w:t>，如数量指标中的指标名称与指标值“招商引资，900%”、“个转企，2000%”；质量指标中指标名称“按照目标责任书上的标准，保障网格管理日常工作正常开展”等。</w:t>
      </w:r>
    </w:p>
    <w:p>
      <w:pPr>
        <w:bidi w:val="0"/>
        <w:rPr>
          <w:rFonts w:hint="default" w:ascii="Times New Roman" w:hAnsi="Times New Roman" w:eastAsia="仿宋_GB2312" w:cs="Times New Roman"/>
          <w:b/>
          <w:bCs/>
          <w:sz w:val="32"/>
          <w:szCs w:val="32"/>
          <w:lang w:val="en-US"/>
        </w:rPr>
      </w:pPr>
      <w:r>
        <w:rPr>
          <w:rFonts w:hint="eastAsia" w:eastAsia="仿宋_GB2312" w:cs="Times New Roman"/>
          <w:b w:val="0"/>
          <w:bCs w:val="0"/>
          <w:sz w:val="32"/>
          <w:szCs w:val="32"/>
          <w:lang w:val="en-US" w:eastAsia="zh-CN"/>
        </w:rPr>
        <w:t>2</w:t>
      </w:r>
      <w:r>
        <w:rPr>
          <w:rFonts w:hint="eastAsia" w:cs="Times New Roman"/>
          <w:b w:val="0"/>
          <w:bCs w:val="0"/>
          <w:sz w:val="32"/>
          <w:szCs w:val="32"/>
          <w:lang w:val="en-US" w:eastAsia="zh-CN"/>
        </w:rPr>
        <w:t>．</w:t>
      </w:r>
      <w:r>
        <w:rPr>
          <w:rFonts w:hint="eastAsia" w:eastAsia="仿宋_GB2312" w:cs="Times New Roman"/>
          <w:b/>
          <w:bCs/>
          <w:sz w:val="32"/>
          <w:szCs w:val="32"/>
          <w:lang w:val="en-US" w:eastAsia="zh-CN"/>
        </w:rPr>
        <w:t>财务管理</w:t>
      </w:r>
      <w:r>
        <w:rPr>
          <w:rFonts w:hint="eastAsia" w:cs="Times New Roman"/>
          <w:b/>
          <w:bCs/>
          <w:sz w:val="32"/>
          <w:szCs w:val="32"/>
          <w:lang w:val="en-US" w:eastAsia="zh-CN"/>
        </w:rPr>
        <w:t>欠规范</w:t>
      </w:r>
    </w:p>
    <w:p>
      <w:pPr>
        <w:bidi w:val="0"/>
        <w:rPr>
          <w:rFonts w:hint="eastAsia" w:ascii="Times New Roman" w:cs="Times New Roman"/>
          <w:sz w:val="32"/>
          <w:szCs w:val="32"/>
          <w:lang w:val="en-US" w:eastAsia="zh-CN"/>
        </w:rPr>
      </w:pPr>
      <w:r>
        <w:rPr>
          <w:rFonts w:hint="eastAsia"/>
          <w:lang w:val="en-US" w:eastAsia="zh-CN"/>
        </w:rPr>
        <w:t>在资金使用方面，存在以下几点问题：</w:t>
      </w:r>
      <w:r>
        <w:rPr>
          <w:rFonts w:hint="eastAsia" w:cs="Times New Roman"/>
          <w:sz w:val="32"/>
          <w:szCs w:val="32"/>
          <w:lang w:val="en-US" w:eastAsia="zh-CN"/>
        </w:rPr>
        <w:t>一是，</w:t>
      </w:r>
      <w:r>
        <w:rPr>
          <w:rFonts w:hint="eastAsia" w:ascii="Times New Roman" w:cs="Times New Roman"/>
          <w:sz w:val="32"/>
          <w:szCs w:val="32"/>
          <w:lang w:eastAsia="zh-CN"/>
        </w:rPr>
        <w:t>个别项目经费的使用不符合预算批复用途，如</w:t>
      </w:r>
      <w:r>
        <w:rPr>
          <w:rFonts w:hint="eastAsia" w:cs="Times New Roman"/>
          <w:sz w:val="32"/>
          <w:szCs w:val="32"/>
          <w:lang w:val="en-US" w:eastAsia="zh-CN"/>
        </w:rPr>
        <w:t>武装工作</w:t>
      </w:r>
      <w:r>
        <w:rPr>
          <w:rFonts w:hint="eastAsia" w:ascii="Times New Roman" w:cs="Times New Roman"/>
          <w:sz w:val="32"/>
          <w:szCs w:val="32"/>
          <w:lang w:eastAsia="zh-CN"/>
        </w:rPr>
        <w:t>经费。根据</w:t>
      </w:r>
      <w:r>
        <w:rPr>
          <w:rFonts w:hint="eastAsia" w:ascii="Times New Roman" w:cs="Times New Roman"/>
          <w:sz w:val="32"/>
          <w:szCs w:val="32"/>
          <w:lang w:val="en-US" w:eastAsia="zh-CN"/>
        </w:rPr>
        <w:t>2020年度</w:t>
      </w:r>
      <w:r>
        <w:rPr>
          <w:rFonts w:hint="eastAsia" w:cs="Times New Roman"/>
          <w:sz w:val="32"/>
          <w:szCs w:val="32"/>
          <w:lang w:val="en-US" w:eastAsia="zh-CN"/>
        </w:rPr>
        <w:t>文昌阁街道办武装工作</w:t>
      </w:r>
      <w:r>
        <w:rPr>
          <w:rFonts w:hint="eastAsia" w:ascii="Times New Roman" w:cs="Times New Roman"/>
          <w:sz w:val="32"/>
          <w:szCs w:val="32"/>
          <w:lang w:val="en-US" w:eastAsia="zh-CN"/>
        </w:rPr>
        <w:t>项目绩效目标申报表，该项目资金主要用于</w:t>
      </w:r>
      <w:r>
        <w:rPr>
          <w:rFonts w:hint="eastAsia" w:cs="Times New Roman"/>
          <w:sz w:val="32"/>
          <w:szCs w:val="32"/>
          <w:lang w:val="en-US" w:eastAsia="zh-CN"/>
        </w:rPr>
        <w:t>文昌阁街道办辖区的武装</w:t>
      </w:r>
      <w:r>
        <w:rPr>
          <w:rFonts w:hint="eastAsia" w:ascii="Times New Roman" w:cs="Times New Roman"/>
          <w:sz w:val="32"/>
          <w:szCs w:val="32"/>
          <w:lang w:val="en-US" w:eastAsia="zh-CN"/>
        </w:rPr>
        <w:t>工作，以提高</w:t>
      </w:r>
      <w:r>
        <w:rPr>
          <w:rFonts w:hint="eastAsia" w:cs="Times New Roman"/>
          <w:sz w:val="32"/>
          <w:szCs w:val="32"/>
          <w:lang w:val="en-US" w:eastAsia="zh-CN"/>
        </w:rPr>
        <w:t>辖区武装力量</w:t>
      </w:r>
      <w:r>
        <w:rPr>
          <w:rFonts w:hint="eastAsia" w:ascii="Times New Roman" w:cs="Times New Roman"/>
          <w:sz w:val="32"/>
          <w:szCs w:val="32"/>
          <w:lang w:val="en-US" w:eastAsia="zh-CN"/>
        </w:rPr>
        <w:t>，但根据2020年项目资金使用明细，该项目经费主要用于购买单位办公用品（如</w:t>
      </w:r>
      <w:r>
        <w:rPr>
          <w:rFonts w:hint="eastAsia" w:cs="Times New Roman"/>
          <w:sz w:val="32"/>
          <w:szCs w:val="32"/>
          <w:lang w:val="en-US" w:eastAsia="zh-CN"/>
        </w:rPr>
        <w:t>办公耗材、纸张</w:t>
      </w:r>
      <w:r>
        <w:rPr>
          <w:rFonts w:hint="eastAsia" w:ascii="Times New Roman" w:cs="Times New Roman"/>
          <w:sz w:val="32"/>
          <w:szCs w:val="32"/>
          <w:lang w:val="en-US" w:eastAsia="zh-CN"/>
        </w:rPr>
        <w:t>、饮用水费用）、</w:t>
      </w:r>
      <w:r>
        <w:rPr>
          <w:rFonts w:hint="eastAsia" w:cs="Times New Roman"/>
          <w:sz w:val="32"/>
          <w:szCs w:val="32"/>
          <w:lang w:val="en-US" w:eastAsia="zh-CN"/>
        </w:rPr>
        <w:t>缴纳残保金</w:t>
      </w:r>
      <w:r>
        <w:rPr>
          <w:rFonts w:hint="eastAsia" w:ascii="Times New Roman" w:cs="Times New Roman"/>
          <w:sz w:val="32"/>
          <w:szCs w:val="32"/>
          <w:lang w:val="en-US" w:eastAsia="zh-CN"/>
        </w:rPr>
        <w:t>等</w:t>
      </w:r>
      <w:r>
        <w:rPr>
          <w:rFonts w:hint="eastAsia" w:ascii="Times New Roman" w:cs="Times New Roman"/>
          <w:sz w:val="32"/>
          <w:szCs w:val="32"/>
          <w:highlight w:val="none"/>
          <w:lang w:val="en-US" w:eastAsia="zh-CN"/>
        </w:rPr>
        <w:t>，资金使用不符合预算批复用途；</w:t>
      </w:r>
      <w:r>
        <w:rPr>
          <w:rFonts w:hint="eastAsia" w:cs="Times New Roman"/>
          <w:sz w:val="32"/>
          <w:szCs w:val="32"/>
          <w:lang w:val="en-US" w:eastAsia="zh-CN"/>
        </w:rPr>
        <w:t>二是，存在</w:t>
      </w:r>
      <w:r>
        <w:rPr>
          <w:rFonts w:hint="eastAsia" w:ascii="Times New Roman" w:cs="Times New Roman"/>
          <w:sz w:val="32"/>
          <w:szCs w:val="32"/>
          <w:lang w:val="en-US" w:eastAsia="zh-CN"/>
        </w:rPr>
        <w:t>挤占项目经费</w:t>
      </w:r>
      <w:r>
        <w:rPr>
          <w:rFonts w:hint="eastAsia" w:cs="Times New Roman"/>
          <w:sz w:val="32"/>
          <w:szCs w:val="32"/>
          <w:lang w:val="en-US" w:eastAsia="zh-CN"/>
        </w:rPr>
        <w:t>的情形</w:t>
      </w:r>
      <w:r>
        <w:rPr>
          <w:rFonts w:hint="eastAsia" w:ascii="Times New Roman" w:cs="Times New Roman"/>
          <w:sz w:val="32"/>
          <w:szCs w:val="32"/>
          <w:lang w:val="en-US" w:eastAsia="zh-CN"/>
        </w:rPr>
        <w:t>。如</w:t>
      </w:r>
      <w:r>
        <w:rPr>
          <w:rFonts w:hint="eastAsia" w:cs="Times New Roman"/>
          <w:sz w:val="32"/>
          <w:szCs w:val="32"/>
          <w:lang w:val="en-US" w:eastAsia="zh-CN"/>
        </w:rPr>
        <w:t>将</w:t>
      </w:r>
      <w:r>
        <w:rPr>
          <w:rFonts w:hint="eastAsia" w:ascii="Times New Roman" w:cs="Times New Roman"/>
          <w:sz w:val="32"/>
          <w:szCs w:val="32"/>
          <w:lang w:val="en-US" w:eastAsia="zh-CN"/>
        </w:rPr>
        <w:t>2020年</w:t>
      </w:r>
      <w:r>
        <w:rPr>
          <w:rFonts w:hint="eastAsia" w:cs="Times New Roman"/>
          <w:sz w:val="32"/>
          <w:szCs w:val="32"/>
          <w:lang w:val="en-US" w:eastAsia="zh-CN"/>
        </w:rPr>
        <w:t>办事处水费、个人备用金借支、个人公积金缴纳</w:t>
      </w:r>
      <w:r>
        <w:rPr>
          <w:rFonts w:hint="eastAsia" w:ascii="Times New Roman" w:cs="Times New Roman"/>
          <w:sz w:val="32"/>
          <w:szCs w:val="32"/>
          <w:lang w:val="en-US" w:eastAsia="zh-CN"/>
        </w:rPr>
        <w:t>等</w:t>
      </w:r>
      <w:r>
        <w:rPr>
          <w:rFonts w:hint="eastAsia" w:cs="Times New Roman"/>
          <w:sz w:val="32"/>
          <w:szCs w:val="32"/>
          <w:lang w:val="en-US" w:eastAsia="zh-CN"/>
        </w:rPr>
        <w:t>费用在文体工作</w:t>
      </w:r>
      <w:r>
        <w:rPr>
          <w:rFonts w:hint="eastAsia" w:ascii="Times New Roman" w:cs="Times New Roman"/>
          <w:sz w:val="32"/>
          <w:szCs w:val="32"/>
          <w:lang w:val="en-US" w:eastAsia="zh-CN"/>
        </w:rPr>
        <w:t>经费</w:t>
      </w:r>
      <w:r>
        <w:rPr>
          <w:rFonts w:hint="eastAsia" w:cs="Times New Roman"/>
          <w:sz w:val="32"/>
          <w:szCs w:val="32"/>
          <w:lang w:val="en-US" w:eastAsia="zh-CN"/>
        </w:rPr>
        <w:t>列支</w:t>
      </w:r>
      <w:r>
        <w:rPr>
          <w:rFonts w:hint="eastAsia" w:ascii="Times New Roman" w:cs="Times New Roman"/>
          <w:sz w:val="32"/>
          <w:szCs w:val="32"/>
          <w:lang w:val="en-US" w:eastAsia="zh-CN"/>
        </w:rPr>
        <w:t>。</w:t>
      </w:r>
    </w:p>
    <w:p>
      <w:pPr>
        <w:pStyle w:val="2"/>
        <w:rPr>
          <w:rFonts w:hint="default"/>
          <w:lang w:val="en-US" w:eastAsia="zh-CN"/>
        </w:rPr>
      </w:pPr>
      <w:r>
        <w:rPr>
          <w:rFonts w:hint="eastAsia" w:cs="Times New Roman"/>
          <w:sz w:val="32"/>
          <w:szCs w:val="32"/>
          <w:lang w:val="en-US" w:eastAsia="zh-CN"/>
        </w:rPr>
        <w:t>在制度执行方面，</w:t>
      </w:r>
      <w:r>
        <w:rPr>
          <w:rFonts w:hint="eastAsia"/>
          <w:lang w:val="en-US" w:eastAsia="zh-CN"/>
        </w:rPr>
        <w:t>存在以下几点问题：</w:t>
      </w:r>
      <w:r>
        <w:rPr>
          <w:rFonts w:hint="eastAsia" w:cs="Times New Roman"/>
          <w:sz w:val="32"/>
          <w:szCs w:val="32"/>
          <w:lang w:val="en-US" w:eastAsia="zh-CN"/>
        </w:rPr>
        <w:t>一</w:t>
      </w:r>
      <w:r>
        <w:rPr>
          <w:rFonts w:hint="eastAsia"/>
          <w:lang w:val="en-US" w:eastAsia="zh-CN"/>
        </w:rPr>
        <w:t>是，未根据</w:t>
      </w:r>
      <w:r>
        <w:rPr>
          <w:rFonts w:hint="eastAsia"/>
        </w:rPr>
        <w:t>《</w:t>
      </w:r>
      <w:r>
        <w:rPr>
          <w:rFonts w:hint="eastAsia"/>
          <w:lang w:val="en-US" w:eastAsia="zh-CN"/>
        </w:rPr>
        <w:t>资产管理内部控制制度</w:t>
      </w:r>
      <w:r>
        <w:rPr>
          <w:rFonts w:hint="eastAsia"/>
        </w:rPr>
        <w:t>》</w:t>
      </w:r>
      <w:r>
        <w:rPr>
          <w:rFonts w:hint="eastAsia"/>
          <w:lang w:val="en-US" w:eastAsia="zh-CN"/>
        </w:rPr>
        <w:t>开展固定资产盘点、清查，资产管理不规范；二是，未根据</w:t>
      </w:r>
      <w:r>
        <w:rPr>
          <w:rFonts w:hint="eastAsia"/>
        </w:rPr>
        <w:t>《</w:t>
      </w:r>
      <w:r>
        <w:rPr>
          <w:rFonts w:hint="eastAsia"/>
          <w:lang w:val="en-US" w:eastAsia="zh-CN"/>
        </w:rPr>
        <w:t>政府采购业务内部控制制度</w:t>
      </w:r>
      <w:r>
        <w:rPr>
          <w:rFonts w:hint="eastAsia"/>
        </w:rPr>
        <w:t>》</w:t>
      </w:r>
      <w:r>
        <w:rPr>
          <w:rFonts w:hint="eastAsia"/>
          <w:lang w:val="en-US" w:eastAsia="zh-CN"/>
        </w:rPr>
        <w:t>开展政府采购，致使政府采购存在合同未签订，采购程序倒置的情形。</w:t>
      </w:r>
    </w:p>
    <w:p>
      <w:pPr>
        <w:pStyle w:val="2"/>
        <w:keepNext w:val="0"/>
        <w:keepLines w:val="0"/>
        <w:pageBreakBefore w:val="0"/>
        <w:widowControl w:val="0"/>
        <w:numPr>
          <w:ilvl w:val="0"/>
          <w:numId w:val="0"/>
        </w:numPr>
        <w:kinsoku/>
        <w:wordWrap/>
        <w:overflowPunct/>
        <w:topLinePunct w:val="0"/>
        <w:autoSpaceDE/>
        <w:autoSpaceDN/>
        <w:bidi w:val="0"/>
        <w:adjustRightInd/>
        <w:snapToGrid/>
        <w:ind w:left="0" w:leftChars="0" w:firstLine="643" w:firstLineChars="200"/>
        <w:textAlignment w:val="auto"/>
        <w:rPr>
          <w:rFonts w:hint="eastAsia"/>
          <w:b/>
          <w:bCs/>
          <w:lang w:val="en-US" w:eastAsia="zh-CN"/>
        </w:rPr>
      </w:pPr>
      <w:r>
        <w:rPr>
          <w:rFonts w:hint="eastAsia"/>
          <w:b/>
          <w:bCs/>
          <w:lang w:val="en-US" w:eastAsia="zh-CN"/>
        </w:rPr>
        <w:t>3．政府采购欠规范，合同管理待加强</w:t>
      </w:r>
    </w:p>
    <w:p>
      <w:pPr>
        <w:bidi w:val="0"/>
        <w:rPr>
          <w:rFonts w:hint="eastAsia"/>
          <w:lang w:val="en-US" w:eastAsia="zh-CN"/>
        </w:rPr>
      </w:pPr>
      <w:r>
        <w:rPr>
          <w:rFonts w:hint="eastAsia"/>
          <w:lang w:val="en-US" w:eastAsia="zh-CN"/>
        </w:rPr>
        <w:t>在合同签订及程序执行上存在以下问题：一是未签订采购合同，如“增补安装摩托车停车位”项目已按政府采购程序备案，并通过三方比价的方式确定供应商，但未与供应商签订相关合同；二是合同签订不规范，通过现场翻阅合同发现，存在“退役军人事务站标准化建设”、“协管员服务”等多起合同未落款日期；三是存在采购程序倒置情形，如“协管员服务”项目，该项目于2020年9月在云岩区政府采购办备案，但依据签订的项目合同，项目履约时间为2020年8月（该项目仅通过文昌阁街道办开展政府采购工作，其具体实施由云岩区委宣传部负责）。</w:t>
      </w:r>
    </w:p>
    <w:p>
      <w:pPr>
        <w:bidi w:val="0"/>
        <w:rPr>
          <w:rFonts w:hint="default"/>
          <w:b/>
          <w:bCs/>
          <w:lang w:val="en-US" w:eastAsia="zh-CN"/>
        </w:rPr>
      </w:pPr>
      <w:r>
        <w:rPr>
          <w:rFonts w:hint="eastAsia"/>
          <w:b/>
          <w:bCs/>
          <w:lang w:val="en-US" w:eastAsia="zh-CN"/>
        </w:rPr>
        <w:t>4．资产管理不规范、基础信息不完善</w:t>
      </w:r>
    </w:p>
    <w:p>
      <w:pPr>
        <w:rPr>
          <w:rFonts w:hint="default" w:eastAsia="仿宋_GB2312"/>
          <w:lang w:val="en-US" w:eastAsia="zh-CN"/>
        </w:rPr>
      </w:pPr>
      <w:r>
        <w:rPr>
          <w:rFonts w:hint="eastAsia"/>
          <w:lang w:val="en-US" w:eastAsia="zh-CN"/>
        </w:rPr>
        <w:t>固定资产管理欠规范，一</w:t>
      </w:r>
      <w:r>
        <w:rPr>
          <w:rFonts w:hint="eastAsia" w:ascii="仿宋_GB2312" w:hAnsi="仿宋_GB2312" w:cs="仿宋_GB2312"/>
          <w:lang w:val="en-US" w:eastAsia="zh-CN"/>
        </w:rPr>
        <w:t>是,文昌阁街道办未将固定资产管理责任落实到具体责任人，存在账实不符的情形，如资产卡片记录的使用部门、使用人与实际情况不符的</w:t>
      </w:r>
      <w:r>
        <w:rPr>
          <w:rFonts w:hint="eastAsia"/>
        </w:rPr>
        <w:t>情形</w:t>
      </w:r>
      <w:r>
        <w:rPr>
          <w:rFonts w:hint="eastAsia" w:ascii="仿宋_GB2312" w:hAnsi="仿宋_GB2312" w:eastAsia="仿宋_GB2312" w:cs="仿宋_GB2312"/>
          <w:lang w:eastAsia="zh-CN"/>
        </w:rPr>
        <w:t>；</w:t>
      </w:r>
      <w:r>
        <w:rPr>
          <w:rFonts w:hint="eastAsia"/>
          <w:lang w:val="en-US" w:eastAsia="zh-CN"/>
        </w:rPr>
        <w:t>二是，</w:t>
      </w:r>
      <w:r>
        <w:rPr>
          <w:rFonts w:hint="eastAsia"/>
        </w:rPr>
        <w:t>固定资产未定期盘点，</w:t>
      </w:r>
      <w:r>
        <w:rPr>
          <w:rFonts w:hint="eastAsia"/>
          <w:lang w:val="en-US" w:eastAsia="zh-CN"/>
        </w:rPr>
        <w:t>损坏资产不及时报废处置，造成实有资产同财务账目不符</w:t>
      </w:r>
      <w:r>
        <w:rPr>
          <w:rFonts w:hint="eastAsia" w:ascii="仿宋_GB2312" w:hAnsi="仿宋_GB2312" w:cs="仿宋_GB2312"/>
          <w:lang w:val="en-US" w:eastAsia="zh-CN"/>
        </w:rPr>
        <w:t>；</w:t>
      </w:r>
      <w:r>
        <w:rPr>
          <w:rFonts w:hint="eastAsia"/>
          <w:lang w:val="en-US" w:eastAsia="zh-CN"/>
        </w:rPr>
        <w:t>三</w:t>
      </w:r>
      <w:r>
        <w:rPr>
          <w:rFonts w:hint="eastAsia"/>
        </w:rPr>
        <w:t>是，固定资产卡片记录信息不</w:t>
      </w:r>
      <w:bookmarkStart w:id="54" w:name="_GoBack"/>
      <w:bookmarkEnd w:id="54"/>
      <w:r>
        <w:rPr>
          <w:rFonts w:hint="eastAsia"/>
        </w:rPr>
        <w:t>全，</w:t>
      </w:r>
      <w:r>
        <w:rPr>
          <w:rFonts w:hint="eastAsia"/>
          <w:lang w:val="en-US" w:eastAsia="zh-CN"/>
        </w:rPr>
        <w:t>且</w:t>
      </w:r>
      <w:r>
        <w:rPr>
          <w:rFonts w:hint="eastAsia"/>
        </w:rPr>
        <w:t>固定资产实物未贴标签，</w:t>
      </w:r>
      <w:r>
        <w:rPr>
          <w:rFonts w:hint="eastAsia"/>
          <w:lang w:val="en-US" w:eastAsia="zh-CN"/>
        </w:rPr>
        <w:t>以及因部门新成立</w:t>
      </w:r>
      <w:r>
        <w:rPr>
          <w:rFonts w:hint="eastAsia"/>
        </w:rPr>
        <w:t>，导致对固定资产存量家底不清</w:t>
      </w:r>
      <w:r>
        <w:rPr>
          <w:rFonts w:hint="eastAsia"/>
          <w:lang w:eastAsia="zh-CN"/>
        </w:rPr>
        <w:t>；</w:t>
      </w:r>
      <w:r>
        <w:rPr>
          <w:rFonts w:hint="eastAsia"/>
          <w:lang w:val="en-US" w:eastAsia="zh-CN"/>
        </w:rPr>
        <w:t>四</w:t>
      </w:r>
      <w:r>
        <w:rPr>
          <w:rFonts w:hint="eastAsia"/>
        </w:rPr>
        <w:t>是，固定资产入账不及时，</w:t>
      </w:r>
      <w:r>
        <w:rPr>
          <w:rFonts w:hint="eastAsia"/>
          <w:lang w:val="en-US" w:eastAsia="zh-CN"/>
        </w:rPr>
        <w:t>部分单位固定资产未体现在资产卡片及台账中。</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b/>
          <w:bCs/>
          <w:lang w:val="en-US" w:eastAsia="zh-CN"/>
        </w:rPr>
      </w:pPr>
      <w:r>
        <w:rPr>
          <w:rFonts w:hint="eastAsia"/>
          <w:b/>
          <w:bCs/>
          <w:lang w:val="en-US" w:eastAsia="zh-CN"/>
        </w:rPr>
        <w:t>5．部分工作完成不及时</w:t>
      </w:r>
    </w:p>
    <w:p>
      <w:pPr>
        <w:bidi w:val="0"/>
        <w:rPr>
          <w:rFonts w:hint="eastAsia"/>
          <w:lang w:val="en-US" w:eastAsia="zh-CN"/>
        </w:rPr>
      </w:pPr>
      <w:r>
        <w:rPr>
          <w:rFonts w:hint="eastAsia"/>
          <w:lang w:val="en-US" w:eastAsia="zh-CN"/>
        </w:rPr>
        <w:t>依据2020年文昌阁街道办工作目标，文昌阁街道存在部分工作任务未完成情形，一是，外出招商次数和企业引进数量未达年度目标值，（2020年受疫情影响外出招商受限，故辖区经济发展受到阻碍）；二是，职业培训未完成（受疫情影响，无法有效聚集人群）；三是，部分工作信息上报不及时，依据《云岩区人民政府食品安全委员为关于食品安全监管信息报告统计情况的通报》，文昌阁街道存在安全监管信息报送数量未达标情形。</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b/>
          <w:bCs/>
          <w:lang w:val="en-US" w:eastAsia="zh-CN"/>
        </w:rPr>
      </w:pPr>
      <w:r>
        <w:rPr>
          <w:rFonts w:hint="eastAsia"/>
          <w:b/>
          <w:bCs/>
          <w:lang w:val="en-US" w:eastAsia="zh-CN"/>
        </w:rPr>
        <w:t>6．部分效益未达预期</w:t>
      </w:r>
    </w:p>
    <w:p>
      <w:pPr>
        <w:rPr>
          <w:rFonts w:hint="default"/>
          <w:lang w:val="en-US" w:eastAsia="zh-CN"/>
        </w:rPr>
      </w:pPr>
      <w:r>
        <w:rPr>
          <w:rFonts w:hint="eastAsia" w:cs="Times New Roman"/>
          <w:b w:val="0"/>
          <w:bCs/>
          <w:lang w:val="en-US" w:eastAsia="zh-CN"/>
        </w:rPr>
        <w:t>在辖区环境整治方面，2020年存在食品安全信息上报不及时，FLG转化人数未达标等情形；在营造和谐氛围方面，辖区2020年发生一起群体事件（辖区云米家装饰有限公司因疫情影响无法继续经营，致使无法开支农民工工资，从而产生农民工集体讨薪事件）。</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b/>
          <w:bCs/>
          <w:lang w:val="en-US" w:eastAsia="zh-CN"/>
        </w:rPr>
      </w:pPr>
      <w:r>
        <w:rPr>
          <w:rFonts w:hint="eastAsia"/>
          <w:b/>
          <w:bCs/>
          <w:lang w:val="en-US" w:eastAsia="zh-CN"/>
        </w:rPr>
        <w:t>7．部门内部能力建设待加强</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eastAsia"/>
          <w:lang w:val="en-US" w:eastAsia="zh-CN"/>
        </w:rPr>
        <w:t>文昌阁街道办2020年已制定《文昌阁街道关于改进和提升工作效率的十条措施（试行）》《内部控制制度》等制度，但存在制度未有效执行、资金使用不规范、资产管理不规范等问题，部门内部建设能力一般。</w:t>
      </w:r>
    </w:p>
    <w:p>
      <w:pPr>
        <w:pStyle w:val="4"/>
        <w:bidi w:val="0"/>
      </w:pPr>
      <w:bookmarkStart w:id="50" w:name="_Toc16137"/>
      <w:bookmarkStart w:id="51" w:name="_Toc3577"/>
      <w:bookmarkStart w:id="52" w:name="_Toc41579791"/>
      <w:bookmarkStart w:id="53" w:name="_Toc26344"/>
      <w:r>
        <w:rPr>
          <w:rFonts w:hint="eastAsia"/>
        </w:rPr>
        <w:t>（三）相关建议</w:t>
      </w:r>
      <w:bookmarkEnd w:id="50"/>
      <w:bookmarkEnd w:id="51"/>
      <w:bookmarkEnd w:id="52"/>
      <w:bookmarkEnd w:id="53"/>
    </w:p>
    <w:p>
      <w:pPr>
        <w:pStyle w:val="15"/>
        <w:keepNext w:val="0"/>
        <w:keepLines w:val="0"/>
        <w:pageBreakBefore w:val="0"/>
        <w:widowControl w:val="0"/>
        <w:numPr>
          <w:ilvl w:val="0"/>
          <w:numId w:val="0"/>
        </w:numPr>
        <w:kinsoku/>
        <w:wordWrap/>
        <w:overflowPunct/>
        <w:topLinePunct w:val="0"/>
        <w:autoSpaceDE/>
        <w:autoSpaceDN/>
        <w:bidi w:val="0"/>
        <w:adjustRightInd/>
        <w:snapToGrid/>
        <w:spacing w:after="0"/>
        <w:ind w:firstLine="643" w:firstLineChars="200"/>
        <w:textAlignment w:val="auto"/>
        <w:outlineLvl w:val="2"/>
        <w:rPr>
          <w:rFonts w:hint="default" w:eastAsia="仿宋_GB2312" w:cs="Times New Roman"/>
          <w:b/>
          <w:bCs/>
          <w:sz w:val="32"/>
          <w:szCs w:val="32"/>
          <w:lang w:val="en-US" w:eastAsia="zh-CN"/>
        </w:rPr>
      </w:pPr>
      <w:r>
        <w:rPr>
          <w:b/>
          <w:bCs/>
        </w:rPr>
        <w:t>1</w:t>
      </w:r>
      <w:r>
        <w:rPr>
          <w:rFonts w:hint="eastAsia" w:ascii="宋体" w:hAnsi="宋体" w:eastAsia="宋体" w:cs="宋体"/>
          <w:b/>
          <w:bCs/>
          <w:spacing w:val="6"/>
        </w:rPr>
        <w:t>．</w:t>
      </w:r>
      <w:r>
        <w:rPr>
          <w:rFonts w:hint="eastAsia" w:eastAsia="仿宋_GB2312" w:cs="Times New Roman"/>
          <w:b/>
          <w:bCs/>
          <w:sz w:val="32"/>
          <w:szCs w:val="32"/>
          <w:lang w:val="en-US" w:eastAsia="zh-CN"/>
        </w:rPr>
        <w:t>部门整体绩效目标管理有待提升</w:t>
      </w:r>
    </w:p>
    <w:p>
      <w:pPr>
        <w:ind w:firstLine="640"/>
      </w:pPr>
      <w:r>
        <w:rPr>
          <w:rFonts w:hint="eastAsia"/>
          <w:lang w:val="en-US" w:eastAsia="zh-CN"/>
        </w:rPr>
        <w:t>一是，</w:t>
      </w:r>
      <w:r>
        <w:t>建议</w:t>
      </w:r>
      <w:r>
        <w:rPr>
          <w:rFonts w:hint="eastAsia"/>
          <w:lang w:val="en-US" w:eastAsia="zh-CN"/>
        </w:rPr>
        <w:t>文昌阁街道办</w:t>
      </w:r>
      <w:r>
        <w:t>加强部门整体支出绩效目标管理，提高预算绩效意识</w:t>
      </w:r>
      <w:r>
        <w:rPr>
          <w:rFonts w:hint="eastAsia"/>
          <w:lang w:eastAsia="zh-CN"/>
        </w:rPr>
        <w:t>；</w:t>
      </w:r>
      <w:r>
        <w:rPr>
          <w:rFonts w:hint="eastAsia"/>
          <w:lang w:val="en-US" w:eastAsia="zh-CN"/>
        </w:rPr>
        <w:t>二是，建议</w:t>
      </w:r>
      <w:r>
        <w:rPr>
          <w:rFonts w:hint="eastAsia"/>
        </w:rPr>
        <w:t>编制绩效目标要</w:t>
      </w:r>
      <w:r>
        <w:t>结合部门</w:t>
      </w:r>
      <w:r>
        <w:rPr>
          <w:rFonts w:hint="eastAsia"/>
        </w:rPr>
        <w:t>中长期规划、</w:t>
      </w:r>
      <w:r>
        <w:t>年度工作计划，</w:t>
      </w:r>
      <w:r>
        <w:rPr>
          <w:rFonts w:hint="eastAsia"/>
        </w:rPr>
        <w:t>以及部门工作进度安排情况；</w:t>
      </w:r>
      <w:r>
        <w:rPr>
          <w:rFonts w:hint="eastAsia"/>
          <w:lang w:val="en-US" w:eastAsia="zh-CN"/>
        </w:rPr>
        <w:t>三是，</w:t>
      </w:r>
      <w:r>
        <w:rPr>
          <w:rFonts w:hint="eastAsia"/>
        </w:rPr>
        <w:t>绩效目标应该具体、清晰、可衡量</w:t>
      </w:r>
      <w:r>
        <w:rPr>
          <w:rFonts w:hint="eastAsia"/>
          <w:lang w:eastAsia="zh-CN"/>
        </w:rPr>
        <w:t>，</w:t>
      </w:r>
      <w:r>
        <w:rPr>
          <w:rFonts w:hint="eastAsia"/>
        </w:rPr>
        <w:t>绩编制效指标前应明确各三级指标内涵，根据绩效目标细化为具体的绩效指标，绩效指标应立足于绩效目标，不宜过度延伸项目或部门所产生的效益</w:t>
      </w:r>
      <w:r>
        <w:t>。</w:t>
      </w:r>
    </w:p>
    <w:p>
      <w:pPr>
        <w:pStyle w:val="48"/>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cs="Times New Roman"/>
          <w:b/>
          <w:bCs/>
          <w:sz w:val="32"/>
          <w:szCs w:val="32"/>
          <w:lang w:val="en-US" w:eastAsia="zh-CN"/>
        </w:rPr>
      </w:pPr>
      <w:r>
        <w:rPr>
          <w:rFonts w:hint="eastAsia"/>
          <w:b/>
          <w:bCs/>
          <w:sz w:val="32"/>
          <w:szCs w:val="32"/>
        </w:rPr>
        <w:t>2</w:t>
      </w:r>
      <w:r>
        <w:rPr>
          <w:rFonts w:hint="eastAsia"/>
          <w:b/>
          <w:bCs/>
          <w:spacing w:val="6"/>
          <w:sz w:val="32"/>
          <w:szCs w:val="32"/>
        </w:rPr>
        <w:t>．</w:t>
      </w:r>
      <w:r>
        <w:rPr>
          <w:rFonts w:hint="eastAsia" w:cs="Times New Roman"/>
          <w:b/>
          <w:bCs/>
          <w:sz w:val="32"/>
          <w:szCs w:val="32"/>
          <w:lang w:val="en-US" w:eastAsia="zh-CN"/>
        </w:rPr>
        <w:t>加强财务管理，提高资金管理有效性</w:t>
      </w:r>
    </w:p>
    <w:p>
      <w:pPr>
        <w:pStyle w:val="48"/>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b/>
          <w:bCs/>
          <w:spacing w:val="6"/>
        </w:rPr>
      </w:pPr>
      <w:r>
        <w:rPr>
          <w:rFonts w:hint="eastAsia"/>
          <w:sz w:val="32"/>
          <w:szCs w:val="32"/>
          <w:lang w:val="en-US" w:eastAsia="zh-CN"/>
        </w:rPr>
        <w:t>一是，在资金使用时，应加强项目资金的使用管理工作，并根据预算批复用途使用预算资金，严禁出现项目经费跨项目支出、挤占项目经费等情况；二是在账务管理方面，建议文昌阁街道根据财务管理制度规定，严格按照各项制度执行，</w:t>
      </w:r>
      <w:r>
        <w:rPr>
          <w:rFonts w:hint="eastAsia" w:ascii="Times New Roman" w:hAnsi="Times New Roman" w:cs="Times New Roman"/>
          <w:sz w:val="32"/>
          <w:szCs w:val="32"/>
          <w:lang w:val="en-US" w:eastAsia="zh-CN"/>
        </w:rPr>
        <w:t>确保制度的有效性和约束性，</w:t>
      </w:r>
      <w:r>
        <w:rPr>
          <w:rFonts w:hint="eastAsia"/>
          <w:sz w:val="32"/>
          <w:szCs w:val="32"/>
          <w:lang w:val="en-US" w:eastAsia="zh-CN"/>
        </w:rPr>
        <w:t>提高单位的精细化管理水平。</w:t>
      </w:r>
    </w:p>
    <w:p>
      <w:pPr>
        <w:bidi w:val="0"/>
        <w:rPr>
          <w:rFonts w:hint="eastAsia"/>
          <w:b/>
          <w:bCs/>
          <w:lang w:val="en-US" w:eastAsia="zh-CN"/>
        </w:rPr>
      </w:pPr>
      <w:r>
        <w:rPr>
          <w:rFonts w:hint="eastAsia" w:cs="Times New Roman"/>
          <w:b/>
          <w:bCs/>
          <w:sz w:val="32"/>
          <w:szCs w:val="32"/>
          <w:lang w:val="en-US" w:eastAsia="zh-CN"/>
        </w:rPr>
        <w:t>3</w:t>
      </w:r>
      <w:r>
        <w:rPr>
          <w:rFonts w:hint="default" w:cs="Times New Roman"/>
          <w:b/>
          <w:bCs/>
          <w:sz w:val="32"/>
          <w:szCs w:val="32"/>
          <w:lang w:val="en-US" w:eastAsia="zh-CN"/>
        </w:rPr>
        <w:t xml:space="preserve">. </w:t>
      </w:r>
      <w:r>
        <w:rPr>
          <w:rFonts w:hint="eastAsia"/>
          <w:b/>
          <w:bCs/>
          <w:lang w:val="en-US" w:eastAsia="zh-CN"/>
        </w:rPr>
        <w:t>加强政府采购管理和合同执行，提高采购规范性和合同执行有效性</w:t>
      </w:r>
    </w:p>
    <w:p>
      <w:pPr>
        <w:bidi w:val="0"/>
        <w:rPr>
          <w:rFonts w:hint="eastAsia"/>
          <w:sz w:val="32"/>
          <w:szCs w:val="32"/>
          <w:lang w:val="en-US" w:eastAsia="zh-CN"/>
        </w:rPr>
      </w:pPr>
      <w:r>
        <w:rPr>
          <w:rFonts w:hint="eastAsia" w:cs="仿宋_GB2312"/>
          <w:lang w:val="en-US" w:eastAsia="zh-CN"/>
        </w:rPr>
        <w:t>一是，建议加强政府采购管理，在政府采购方面，</w:t>
      </w:r>
      <w:r>
        <w:rPr>
          <w:rFonts w:hint="eastAsia"/>
        </w:rPr>
        <w:t>建议对本部门政府采购进行严格管理，进一步细化相关管理措施，明确相关责任部门，确保责任落实到人，督促相关部门严格执行政府采购制度</w:t>
      </w:r>
      <w:r>
        <w:rPr>
          <w:rFonts w:hint="eastAsia"/>
          <w:lang w:eastAsia="zh-CN"/>
        </w:rPr>
        <w:t>；</w:t>
      </w:r>
      <w:r>
        <w:rPr>
          <w:rFonts w:hint="eastAsia" w:cs="仿宋_GB2312"/>
          <w:lang w:val="en-US" w:eastAsia="zh-CN"/>
        </w:rPr>
        <w:t>二是，</w:t>
      </w:r>
      <w:r>
        <w:rPr>
          <w:rFonts w:hint="eastAsia" w:cs="仿宋_GB2312"/>
        </w:rPr>
        <w:t>建议加强各类项目合同管理，</w:t>
      </w:r>
      <w:r>
        <w:rPr>
          <w:rFonts w:hint="eastAsia" w:cs="仿宋_GB2312"/>
          <w:lang w:val="en-US" w:eastAsia="zh-CN"/>
        </w:rPr>
        <w:t>在合同</w:t>
      </w:r>
      <w:r>
        <w:rPr>
          <w:rFonts w:hint="eastAsia" w:cs="仿宋_GB2312"/>
        </w:rPr>
        <w:t>签订</w:t>
      </w:r>
      <w:r>
        <w:rPr>
          <w:rFonts w:hint="eastAsia" w:cs="仿宋_GB2312"/>
          <w:lang w:val="en-US" w:eastAsia="zh-CN"/>
        </w:rPr>
        <w:t>方面</w:t>
      </w:r>
      <w:r>
        <w:rPr>
          <w:rFonts w:hint="eastAsia" w:cs="仿宋_GB2312"/>
        </w:rPr>
        <w:t>，</w:t>
      </w:r>
      <w:r>
        <w:rPr>
          <w:rFonts w:hint="eastAsia" w:cs="仿宋_GB2312"/>
          <w:lang w:val="en-US" w:eastAsia="zh-CN"/>
        </w:rPr>
        <w:t>规范合同签订，</w:t>
      </w:r>
      <w:r>
        <w:rPr>
          <w:rFonts w:hint="eastAsia"/>
        </w:rPr>
        <w:t>合同签字、印章、签订日期</w:t>
      </w:r>
      <w:r>
        <w:rPr>
          <w:rFonts w:hint="eastAsia"/>
          <w:lang w:val="en-US" w:eastAsia="zh-CN"/>
        </w:rPr>
        <w:t>等</w:t>
      </w:r>
      <w:r>
        <w:rPr>
          <w:rFonts w:hint="eastAsia"/>
        </w:rPr>
        <w:t>属于合同中的关键要素，以上要素是否齐全对于确定合同是否成立、合同生效时间</w:t>
      </w:r>
      <w:r>
        <w:rPr>
          <w:rFonts w:hint="eastAsia"/>
          <w:lang w:val="en-US" w:eastAsia="zh-CN"/>
        </w:rPr>
        <w:t>等</w:t>
      </w:r>
      <w:r>
        <w:rPr>
          <w:rFonts w:hint="eastAsia"/>
        </w:rPr>
        <w:t>起着不可替代作用</w:t>
      </w:r>
      <w:r>
        <w:rPr>
          <w:rFonts w:hint="eastAsia"/>
          <w:lang w:eastAsia="zh-CN"/>
        </w:rPr>
        <w:t>。</w:t>
      </w:r>
    </w:p>
    <w:p>
      <w:pPr>
        <w:pStyle w:val="48"/>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cs="Times New Roman"/>
          <w:b/>
          <w:bCs/>
          <w:sz w:val="32"/>
          <w:szCs w:val="32"/>
          <w:lang w:val="en-US" w:eastAsia="zh-CN"/>
        </w:rPr>
      </w:pPr>
      <w:r>
        <w:rPr>
          <w:rFonts w:hint="eastAsia"/>
          <w:b/>
          <w:bCs/>
          <w:sz w:val="32"/>
          <w:szCs w:val="32"/>
          <w:lang w:val="en-US" w:eastAsia="zh-CN"/>
        </w:rPr>
        <w:t>4．</w:t>
      </w:r>
      <w:r>
        <w:rPr>
          <w:rFonts w:hint="eastAsia" w:cs="Times New Roman"/>
          <w:b/>
          <w:bCs/>
          <w:sz w:val="32"/>
          <w:szCs w:val="32"/>
          <w:lang w:val="en-US" w:eastAsia="zh-CN"/>
        </w:rPr>
        <w:t>进一步加强固定资产管理，完善固定资产卡片信息</w:t>
      </w:r>
    </w:p>
    <w:p>
      <w:pPr>
        <w:pStyle w:val="48"/>
        <w:keepNext w:val="0"/>
        <w:keepLines w:val="0"/>
        <w:pageBreakBefore w:val="0"/>
        <w:widowControl w:val="0"/>
        <w:kinsoku/>
        <w:wordWrap/>
        <w:overflowPunct/>
        <w:topLinePunct w:val="0"/>
        <w:autoSpaceDE/>
        <w:autoSpaceDN/>
        <w:bidi w:val="0"/>
        <w:adjustRightInd/>
        <w:snapToGrid/>
        <w:spacing w:line="560" w:lineRule="exact"/>
        <w:ind w:firstLine="560"/>
        <w:textAlignment w:val="auto"/>
        <w:outlineLvl w:val="9"/>
        <w:rPr>
          <w:rFonts w:hint="default" w:ascii="Times New Roman" w:hAnsi="Times New Roman" w:cs="Times New Roman"/>
          <w:sz w:val="32"/>
          <w:szCs w:val="32"/>
          <w:lang w:val="en-US" w:eastAsia="zh-CN"/>
        </w:rPr>
      </w:pPr>
      <w:r>
        <w:rPr>
          <w:rFonts w:hint="eastAsia"/>
          <w:sz w:val="32"/>
          <w:szCs w:val="32"/>
          <w:lang w:val="en-US" w:eastAsia="zh-CN"/>
        </w:rPr>
        <w:t>一是，建议根据有关固定资产管理办法，对固定资产进行编号，明确各项固定资产的使用人、所在的办公地点等，据实填写固定资产卡片信息，保障固定资产“账实相符、账账相符、账卡相符”；二是，建议明确资产管理人员，</w:t>
      </w:r>
      <w:r>
        <w:rPr>
          <w:rFonts w:hint="default" w:ascii="Times New Roman" w:hAnsi="Times New Roman" w:cs="Times New Roman"/>
          <w:sz w:val="32"/>
          <w:szCs w:val="32"/>
          <w:lang w:val="en-US" w:eastAsia="zh-CN"/>
        </w:rPr>
        <w:t>定期对资产明细和资产卡片进行核对，及时盘点</w:t>
      </w:r>
      <w:r>
        <w:rPr>
          <w:rFonts w:hint="eastAsia" w:ascii="Times New Roman" w:hAnsi="Times New Roman" w:cs="Times New Roman"/>
          <w:sz w:val="32"/>
          <w:szCs w:val="32"/>
          <w:lang w:val="en-US" w:eastAsia="zh-CN"/>
        </w:rPr>
        <w:t>，并</w:t>
      </w:r>
      <w:r>
        <w:rPr>
          <w:rFonts w:hint="default" w:ascii="Times New Roman" w:hAnsi="Times New Roman" w:cs="Times New Roman"/>
          <w:sz w:val="32"/>
          <w:szCs w:val="32"/>
          <w:lang w:val="en-US" w:eastAsia="zh-CN"/>
        </w:rPr>
        <w:t>根据固定资产管理制度规定，对单位所有的固定资产及时录入资产管理系统</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lang w:val="en-US" w:eastAsia="zh-CN"/>
        </w:rPr>
        <w:t>以便对固定资产进行统一、规范化管理，提高固定资产的管理和使用效率。</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b/>
          <w:bCs/>
        </w:rPr>
      </w:pPr>
      <w:r>
        <w:rPr>
          <w:rFonts w:hint="eastAsia"/>
          <w:b/>
          <w:bCs/>
          <w:lang w:val="en-US" w:eastAsia="zh-CN"/>
        </w:rPr>
        <w:t>5．</w:t>
      </w:r>
      <w:r>
        <w:rPr>
          <w:rFonts w:hint="eastAsia"/>
          <w:b/>
          <w:bCs/>
        </w:rPr>
        <w:t>加强</w:t>
      </w:r>
      <w:r>
        <w:rPr>
          <w:rFonts w:hint="eastAsia"/>
          <w:b/>
          <w:bCs/>
          <w:lang w:val="en-US" w:eastAsia="zh-CN"/>
        </w:rPr>
        <w:t>工作</w:t>
      </w:r>
      <w:r>
        <w:rPr>
          <w:rFonts w:hint="eastAsia"/>
          <w:b/>
          <w:bCs/>
        </w:rPr>
        <w:t>监督管理。</w:t>
      </w:r>
    </w:p>
    <w:p>
      <w:pPr>
        <w:bidi w:val="0"/>
        <w:rPr>
          <w:rFonts w:hint="eastAsia"/>
        </w:rPr>
      </w:pPr>
      <w:r>
        <w:rPr>
          <w:rFonts w:hint="eastAsia"/>
        </w:rPr>
        <w:t>为进一步提升</w:t>
      </w:r>
      <w:r>
        <w:rPr>
          <w:rFonts w:hint="eastAsia"/>
          <w:lang w:val="en-US" w:eastAsia="zh-CN"/>
        </w:rPr>
        <w:t>工作</w:t>
      </w:r>
      <w:r>
        <w:rPr>
          <w:rFonts w:hint="eastAsia"/>
        </w:rPr>
        <w:t>完成质量，强化</w:t>
      </w:r>
      <w:r>
        <w:rPr>
          <w:rFonts w:hint="eastAsia"/>
          <w:lang w:val="en-US" w:eastAsia="zh-CN"/>
        </w:rPr>
        <w:t>工作</w:t>
      </w:r>
      <w:r>
        <w:rPr>
          <w:rFonts w:hint="eastAsia"/>
        </w:rPr>
        <w:t>监管，建议</w:t>
      </w:r>
      <w:r>
        <w:rPr>
          <w:rFonts w:hint="eastAsia"/>
          <w:lang w:val="en-US" w:eastAsia="zh-CN"/>
        </w:rPr>
        <w:t>文昌阁街道办</w:t>
      </w:r>
      <w:r>
        <w:rPr>
          <w:rFonts w:hint="eastAsia"/>
        </w:rPr>
        <w:t>在以后年度的</w:t>
      </w:r>
      <w:r>
        <w:rPr>
          <w:rFonts w:hint="eastAsia"/>
          <w:lang w:val="en-US" w:eastAsia="zh-CN"/>
        </w:rPr>
        <w:t>工作开展</w:t>
      </w:r>
      <w:r>
        <w:rPr>
          <w:rFonts w:hint="eastAsia"/>
        </w:rPr>
        <w:t>中加强对</w:t>
      </w:r>
      <w:r>
        <w:rPr>
          <w:rFonts w:hint="eastAsia"/>
          <w:lang w:val="en-US" w:eastAsia="zh-CN"/>
        </w:rPr>
        <w:t>工作</w:t>
      </w:r>
      <w:r>
        <w:rPr>
          <w:rFonts w:hint="eastAsia"/>
        </w:rPr>
        <w:t>的监督和管理，以日常监督与不定期抽查相结合的方式，对</w:t>
      </w:r>
      <w:r>
        <w:rPr>
          <w:rFonts w:hint="eastAsia"/>
          <w:lang w:val="en-US" w:eastAsia="zh-CN"/>
        </w:rPr>
        <w:t>工作</w:t>
      </w:r>
      <w:r>
        <w:rPr>
          <w:rFonts w:hint="eastAsia"/>
        </w:rPr>
        <w:t>实施进度及各项内容进行监督和指导，及时掌握实际完成情况，形成常态化的监督管理体系，</w:t>
      </w:r>
      <w:r>
        <w:rPr>
          <w:rFonts w:hint="eastAsia"/>
          <w:lang w:val="en-US" w:eastAsia="zh-CN"/>
        </w:rPr>
        <w:t>确保</w:t>
      </w:r>
      <w:r>
        <w:rPr>
          <w:rFonts w:hint="eastAsia"/>
        </w:rPr>
        <w:t>按时、保质保量完成相关任务。</w:t>
      </w:r>
    </w:p>
    <w:p>
      <w:pPr>
        <w:pStyle w:val="6"/>
        <w:spacing w:before="217"/>
        <w:ind w:left="0" w:leftChars="0" w:firstLine="0" w:firstLineChars="0"/>
        <w:rPr>
          <w:rFonts w:hint="default"/>
          <w:b/>
          <w:lang w:val="en-US" w:eastAsia="zh-CN"/>
        </w:rPr>
      </w:pPr>
    </w:p>
    <w:sectPr>
      <w:headerReference r:id="rId5" w:type="default"/>
      <w:footerReference r:id="rId6" w:type="default"/>
      <w:pgSz w:w="11906" w:h="16838"/>
      <w:pgMar w:top="1440" w:right="1417" w:bottom="1440" w:left="1417" w:header="851" w:footer="992" w:gutter="0"/>
      <w:pgNumType w:fmt="numberInDash"/>
      <w:cols w:space="0" w:num="1"/>
      <w:rtlGutter w:val="0"/>
      <w:docGrid w:type="lines" w:linePitch="45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3D6C2D-2647-4FC3-8AD0-9C1E9F2D2B9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2CE4D76-411C-4C57-9B43-CBBE06FCC967}"/>
  </w:font>
  <w:font w:name="仿宋_GB2312">
    <w:panose1 w:val="02010609030101010101"/>
    <w:charset w:val="86"/>
    <w:family w:val="modern"/>
    <w:pitch w:val="default"/>
    <w:sig w:usb0="00000001" w:usb1="080E0000" w:usb2="00000000" w:usb3="00000000" w:csb0="00040000" w:csb1="00000000"/>
    <w:embedRegular r:id="rId3" w:fontKey="{0663C1BA-74F0-4718-AF7E-C73D1617A1C1}"/>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embedRegular r:id="rId4" w:fontKey="{533EEE7C-450A-4395-82AE-7353E71B0E51}"/>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5" w:fontKey="{FC02DC14-1A63-4CA3-8193-20EBF2A06036}"/>
  </w:font>
  <w:font w:name="仿宋">
    <w:panose1 w:val="02010609060101010101"/>
    <w:charset w:val="86"/>
    <w:family w:val="modern"/>
    <w:pitch w:val="default"/>
    <w:sig w:usb0="800002BF" w:usb1="38CF7CFA" w:usb2="00000016" w:usb3="00000000" w:csb0="00040001" w:csb1="00000000"/>
    <w:embedRegular r:id="rId6" w:fontKey="{5F65413D-7FED-498B-8D37-D326FEDE334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8372793"/>
    </w:sdtPr>
    <w:sdtEndPr>
      <w:rPr>
        <w:rFonts w:ascii="Times New Roman" w:hAnsi="Times New Roman" w:cs="Times New Roman"/>
        <w:sz w:val="24"/>
        <w:szCs w:val="24"/>
      </w:rPr>
    </w:sdtEndPr>
    <w:sdtContent>
      <w:p>
        <w:pPr>
          <w:pStyle w:val="8"/>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w:t>
        </w:r>
        <w:r>
          <w:rPr>
            <w:rFonts w:ascii="Times New Roman" w:hAnsi="Times New Roman" w:cs="Times New Roman"/>
            <w:sz w:val="24"/>
            <w:szCs w:val="24"/>
          </w:rPr>
          <w:t xml:space="preserve"> 53 -</w:t>
        </w:r>
        <w:r>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HorizontalSpacing w:val="160"/>
  <w:drawingGridVerticalSpacing w:val="22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xZTJlOWJiZjE1ZDk1ZDVkNmVjZTQzZjMwYmZhOTcifQ=="/>
  </w:docVars>
  <w:rsids>
    <w:rsidRoot w:val="00A6593E"/>
    <w:rsid w:val="00003D2A"/>
    <w:rsid w:val="00004B64"/>
    <w:rsid w:val="0000544B"/>
    <w:rsid w:val="00007187"/>
    <w:rsid w:val="00007FF5"/>
    <w:rsid w:val="00013078"/>
    <w:rsid w:val="000134F6"/>
    <w:rsid w:val="0001403E"/>
    <w:rsid w:val="000140F6"/>
    <w:rsid w:val="000154EC"/>
    <w:rsid w:val="000155A3"/>
    <w:rsid w:val="000164F5"/>
    <w:rsid w:val="000209C6"/>
    <w:rsid w:val="000224F2"/>
    <w:rsid w:val="00024565"/>
    <w:rsid w:val="00025C28"/>
    <w:rsid w:val="000335AF"/>
    <w:rsid w:val="00033F11"/>
    <w:rsid w:val="00036282"/>
    <w:rsid w:val="00040425"/>
    <w:rsid w:val="0004315F"/>
    <w:rsid w:val="0004349C"/>
    <w:rsid w:val="000438FC"/>
    <w:rsid w:val="00043988"/>
    <w:rsid w:val="00043A71"/>
    <w:rsid w:val="00046C79"/>
    <w:rsid w:val="00050297"/>
    <w:rsid w:val="0005081C"/>
    <w:rsid w:val="00050BF1"/>
    <w:rsid w:val="000519C3"/>
    <w:rsid w:val="00051A82"/>
    <w:rsid w:val="00053C71"/>
    <w:rsid w:val="00053FB6"/>
    <w:rsid w:val="00054AA4"/>
    <w:rsid w:val="00056AB1"/>
    <w:rsid w:val="00056E15"/>
    <w:rsid w:val="00061247"/>
    <w:rsid w:val="00061478"/>
    <w:rsid w:val="00064F64"/>
    <w:rsid w:val="000653F2"/>
    <w:rsid w:val="00067251"/>
    <w:rsid w:val="0007127A"/>
    <w:rsid w:val="00073BAB"/>
    <w:rsid w:val="00074939"/>
    <w:rsid w:val="00076CF1"/>
    <w:rsid w:val="000772DC"/>
    <w:rsid w:val="00077CFF"/>
    <w:rsid w:val="000801E0"/>
    <w:rsid w:val="000816F0"/>
    <w:rsid w:val="0008456C"/>
    <w:rsid w:val="000903DD"/>
    <w:rsid w:val="00091331"/>
    <w:rsid w:val="000934AB"/>
    <w:rsid w:val="00093FC7"/>
    <w:rsid w:val="0009562F"/>
    <w:rsid w:val="00097EEB"/>
    <w:rsid w:val="000A0B3F"/>
    <w:rsid w:val="000A19D5"/>
    <w:rsid w:val="000A27B9"/>
    <w:rsid w:val="000A4684"/>
    <w:rsid w:val="000A49CE"/>
    <w:rsid w:val="000A6D3B"/>
    <w:rsid w:val="000B6386"/>
    <w:rsid w:val="000B71DA"/>
    <w:rsid w:val="000C1033"/>
    <w:rsid w:val="000C30B9"/>
    <w:rsid w:val="000C5160"/>
    <w:rsid w:val="000C6817"/>
    <w:rsid w:val="000C6BA5"/>
    <w:rsid w:val="000C7E64"/>
    <w:rsid w:val="000D452E"/>
    <w:rsid w:val="000D4A22"/>
    <w:rsid w:val="000D4D74"/>
    <w:rsid w:val="000D50DE"/>
    <w:rsid w:val="000D5ACA"/>
    <w:rsid w:val="000D7B2B"/>
    <w:rsid w:val="000D7FCE"/>
    <w:rsid w:val="000E014E"/>
    <w:rsid w:val="000E04C3"/>
    <w:rsid w:val="000E0EB8"/>
    <w:rsid w:val="000E3984"/>
    <w:rsid w:val="000E40A5"/>
    <w:rsid w:val="000E4921"/>
    <w:rsid w:val="000E51B1"/>
    <w:rsid w:val="000E5C02"/>
    <w:rsid w:val="000F07A9"/>
    <w:rsid w:val="000F09B3"/>
    <w:rsid w:val="000F1000"/>
    <w:rsid w:val="000F2346"/>
    <w:rsid w:val="000F2463"/>
    <w:rsid w:val="000F2B09"/>
    <w:rsid w:val="000F4D57"/>
    <w:rsid w:val="000F5F28"/>
    <w:rsid w:val="000F6A7F"/>
    <w:rsid w:val="000F6B0B"/>
    <w:rsid w:val="00103044"/>
    <w:rsid w:val="001068D1"/>
    <w:rsid w:val="00107CE0"/>
    <w:rsid w:val="00107D69"/>
    <w:rsid w:val="00107FF3"/>
    <w:rsid w:val="00111B3D"/>
    <w:rsid w:val="0011288D"/>
    <w:rsid w:val="00113A50"/>
    <w:rsid w:val="00115F60"/>
    <w:rsid w:val="001166F5"/>
    <w:rsid w:val="00121967"/>
    <w:rsid w:val="00123629"/>
    <w:rsid w:val="00123D56"/>
    <w:rsid w:val="00126397"/>
    <w:rsid w:val="001278BF"/>
    <w:rsid w:val="00133A3A"/>
    <w:rsid w:val="001355D0"/>
    <w:rsid w:val="0013738F"/>
    <w:rsid w:val="001416E9"/>
    <w:rsid w:val="00141A96"/>
    <w:rsid w:val="001434D3"/>
    <w:rsid w:val="00145033"/>
    <w:rsid w:val="00145B79"/>
    <w:rsid w:val="001461E8"/>
    <w:rsid w:val="00146FDC"/>
    <w:rsid w:val="00147086"/>
    <w:rsid w:val="0015138D"/>
    <w:rsid w:val="00152128"/>
    <w:rsid w:val="00155C91"/>
    <w:rsid w:val="00160C43"/>
    <w:rsid w:val="00161238"/>
    <w:rsid w:val="0016152B"/>
    <w:rsid w:val="00163CCA"/>
    <w:rsid w:val="00164339"/>
    <w:rsid w:val="00166BE4"/>
    <w:rsid w:val="00167155"/>
    <w:rsid w:val="001700B4"/>
    <w:rsid w:val="00171394"/>
    <w:rsid w:val="0017421D"/>
    <w:rsid w:val="001762A0"/>
    <w:rsid w:val="00176A3C"/>
    <w:rsid w:val="00181110"/>
    <w:rsid w:val="00181C0A"/>
    <w:rsid w:val="00183261"/>
    <w:rsid w:val="001832ED"/>
    <w:rsid w:val="0018466E"/>
    <w:rsid w:val="0019041C"/>
    <w:rsid w:val="00192AC9"/>
    <w:rsid w:val="001937A3"/>
    <w:rsid w:val="00197068"/>
    <w:rsid w:val="0019716E"/>
    <w:rsid w:val="001A0A46"/>
    <w:rsid w:val="001A4E75"/>
    <w:rsid w:val="001A69BF"/>
    <w:rsid w:val="001B14D3"/>
    <w:rsid w:val="001C0098"/>
    <w:rsid w:val="001C1D31"/>
    <w:rsid w:val="001C4DB6"/>
    <w:rsid w:val="001C61A7"/>
    <w:rsid w:val="001D172A"/>
    <w:rsid w:val="001D281C"/>
    <w:rsid w:val="001D5533"/>
    <w:rsid w:val="001D5571"/>
    <w:rsid w:val="001D6319"/>
    <w:rsid w:val="001D6F32"/>
    <w:rsid w:val="001D705A"/>
    <w:rsid w:val="001E2281"/>
    <w:rsid w:val="001E3500"/>
    <w:rsid w:val="001E3C71"/>
    <w:rsid w:val="001E5A8C"/>
    <w:rsid w:val="001F0FE5"/>
    <w:rsid w:val="001F1DF8"/>
    <w:rsid w:val="001F255D"/>
    <w:rsid w:val="001F2CC9"/>
    <w:rsid w:val="001F3BEA"/>
    <w:rsid w:val="001F46CE"/>
    <w:rsid w:val="001F4D1C"/>
    <w:rsid w:val="001F58DB"/>
    <w:rsid w:val="001F7206"/>
    <w:rsid w:val="001F7459"/>
    <w:rsid w:val="002034BC"/>
    <w:rsid w:val="00203AF0"/>
    <w:rsid w:val="00204407"/>
    <w:rsid w:val="0020636E"/>
    <w:rsid w:val="002065E3"/>
    <w:rsid w:val="00207913"/>
    <w:rsid w:val="00210B0F"/>
    <w:rsid w:val="00211CBE"/>
    <w:rsid w:val="00212208"/>
    <w:rsid w:val="0021257E"/>
    <w:rsid w:val="002141C8"/>
    <w:rsid w:val="00214D4B"/>
    <w:rsid w:val="00214EC9"/>
    <w:rsid w:val="00214EF8"/>
    <w:rsid w:val="002167CF"/>
    <w:rsid w:val="002171DD"/>
    <w:rsid w:val="0021778C"/>
    <w:rsid w:val="002207B6"/>
    <w:rsid w:val="002219C3"/>
    <w:rsid w:val="00224174"/>
    <w:rsid w:val="00224465"/>
    <w:rsid w:val="00225231"/>
    <w:rsid w:val="00226B7C"/>
    <w:rsid w:val="00226FB0"/>
    <w:rsid w:val="0023045A"/>
    <w:rsid w:val="00230AA4"/>
    <w:rsid w:val="00233AAF"/>
    <w:rsid w:val="00233D6B"/>
    <w:rsid w:val="00234354"/>
    <w:rsid w:val="002344A0"/>
    <w:rsid w:val="00234655"/>
    <w:rsid w:val="00241E04"/>
    <w:rsid w:val="0024342A"/>
    <w:rsid w:val="002444C3"/>
    <w:rsid w:val="00244A25"/>
    <w:rsid w:val="002459DE"/>
    <w:rsid w:val="00246039"/>
    <w:rsid w:val="00246A18"/>
    <w:rsid w:val="0024763E"/>
    <w:rsid w:val="00252089"/>
    <w:rsid w:val="00252988"/>
    <w:rsid w:val="0025350A"/>
    <w:rsid w:val="00254C0B"/>
    <w:rsid w:val="00256CF0"/>
    <w:rsid w:val="0026340C"/>
    <w:rsid w:val="00266CBE"/>
    <w:rsid w:val="0027207D"/>
    <w:rsid w:val="00274307"/>
    <w:rsid w:val="00274D20"/>
    <w:rsid w:val="00280138"/>
    <w:rsid w:val="00280770"/>
    <w:rsid w:val="00281AC7"/>
    <w:rsid w:val="00283F7B"/>
    <w:rsid w:val="0028474B"/>
    <w:rsid w:val="002849FA"/>
    <w:rsid w:val="00285A85"/>
    <w:rsid w:val="00285D77"/>
    <w:rsid w:val="00286084"/>
    <w:rsid w:val="00286368"/>
    <w:rsid w:val="00286FE0"/>
    <w:rsid w:val="00287241"/>
    <w:rsid w:val="00290F9F"/>
    <w:rsid w:val="0029146C"/>
    <w:rsid w:val="002935AD"/>
    <w:rsid w:val="0029391D"/>
    <w:rsid w:val="00295E57"/>
    <w:rsid w:val="00296F12"/>
    <w:rsid w:val="002977F9"/>
    <w:rsid w:val="002A1402"/>
    <w:rsid w:val="002A20AA"/>
    <w:rsid w:val="002A2602"/>
    <w:rsid w:val="002A444A"/>
    <w:rsid w:val="002A4A7D"/>
    <w:rsid w:val="002A4D63"/>
    <w:rsid w:val="002A5504"/>
    <w:rsid w:val="002A6D27"/>
    <w:rsid w:val="002A70B6"/>
    <w:rsid w:val="002B01A3"/>
    <w:rsid w:val="002B0F7A"/>
    <w:rsid w:val="002B197F"/>
    <w:rsid w:val="002B37AB"/>
    <w:rsid w:val="002B4176"/>
    <w:rsid w:val="002B48CD"/>
    <w:rsid w:val="002B6551"/>
    <w:rsid w:val="002C2012"/>
    <w:rsid w:val="002C2364"/>
    <w:rsid w:val="002C23D6"/>
    <w:rsid w:val="002C6B29"/>
    <w:rsid w:val="002C7FCE"/>
    <w:rsid w:val="002C7FE5"/>
    <w:rsid w:val="002D0A4E"/>
    <w:rsid w:val="002D258C"/>
    <w:rsid w:val="002D6C6B"/>
    <w:rsid w:val="002E366C"/>
    <w:rsid w:val="002E4647"/>
    <w:rsid w:val="002E523B"/>
    <w:rsid w:val="002F058E"/>
    <w:rsid w:val="002F173F"/>
    <w:rsid w:val="002F2233"/>
    <w:rsid w:val="002F279C"/>
    <w:rsid w:val="002F2916"/>
    <w:rsid w:val="002F41B1"/>
    <w:rsid w:val="002F54CC"/>
    <w:rsid w:val="002F558E"/>
    <w:rsid w:val="002F6130"/>
    <w:rsid w:val="002F7100"/>
    <w:rsid w:val="0030137F"/>
    <w:rsid w:val="00301956"/>
    <w:rsid w:val="003045C6"/>
    <w:rsid w:val="00304D2E"/>
    <w:rsid w:val="003050CA"/>
    <w:rsid w:val="003109B8"/>
    <w:rsid w:val="00310B6B"/>
    <w:rsid w:val="0031307D"/>
    <w:rsid w:val="00313955"/>
    <w:rsid w:val="00314791"/>
    <w:rsid w:val="00314D07"/>
    <w:rsid w:val="003233E0"/>
    <w:rsid w:val="0032462D"/>
    <w:rsid w:val="00326E0E"/>
    <w:rsid w:val="00330A92"/>
    <w:rsid w:val="0033376C"/>
    <w:rsid w:val="00333E87"/>
    <w:rsid w:val="0033402C"/>
    <w:rsid w:val="0033561C"/>
    <w:rsid w:val="00335E49"/>
    <w:rsid w:val="003378B5"/>
    <w:rsid w:val="00340A81"/>
    <w:rsid w:val="00340EF1"/>
    <w:rsid w:val="00341057"/>
    <w:rsid w:val="0034224D"/>
    <w:rsid w:val="00342A99"/>
    <w:rsid w:val="0034536A"/>
    <w:rsid w:val="003453DB"/>
    <w:rsid w:val="00345FCD"/>
    <w:rsid w:val="00346B10"/>
    <w:rsid w:val="0034738A"/>
    <w:rsid w:val="00347668"/>
    <w:rsid w:val="00352257"/>
    <w:rsid w:val="00352555"/>
    <w:rsid w:val="00354E2A"/>
    <w:rsid w:val="00355100"/>
    <w:rsid w:val="00355F11"/>
    <w:rsid w:val="003563EF"/>
    <w:rsid w:val="003564CA"/>
    <w:rsid w:val="00356A8F"/>
    <w:rsid w:val="00361136"/>
    <w:rsid w:val="0036251A"/>
    <w:rsid w:val="00363228"/>
    <w:rsid w:val="00365B02"/>
    <w:rsid w:val="0036694C"/>
    <w:rsid w:val="0036704E"/>
    <w:rsid w:val="003705B5"/>
    <w:rsid w:val="00370ED8"/>
    <w:rsid w:val="0037273D"/>
    <w:rsid w:val="00372E82"/>
    <w:rsid w:val="003763B4"/>
    <w:rsid w:val="003810D7"/>
    <w:rsid w:val="0038251F"/>
    <w:rsid w:val="00383F6A"/>
    <w:rsid w:val="00384D76"/>
    <w:rsid w:val="00386322"/>
    <w:rsid w:val="00387A5B"/>
    <w:rsid w:val="0039013E"/>
    <w:rsid w:val="00393503"/>
    <w:rsid w:val="0039442E"/>
    <w:rsid w:val="003948E3"/>
    <w:rsid w:val="00394D12"/>
    <w:rsid w:val="003973A2"/>
    <w:rsid w:val="003A09F2"/>
    <w:rsid w:val="003A1226"/>
    <w:rsid w:val="003A1915"/>
    <w:rsid w:val="003A2E20"/>
    <w:rsid w:val="003A3084"/>
    <w:rsid w:val="003A38EE"/>
    <w:rsid w:val="003A45BE"/>
    <w:rsid w:val="003A5166"/>
    <w:rsid w:val="003A7C49"/>
    <w:rsid w:val="003B01B8"/>
    <w:rsid w:val="003B233E"/>
    <w:rsid w:val="003B2C95"/>
    <w:rsid w:val="003B3438"/>
    <w:rsid w:val="003B3F2B"/>
    <w:rsid w:val="003B7F3F"/>
    <w:rsid w:val="003C0720"/>
    <w:rsid w:val="003C330D"/>
    <w:rsid w:val="003C5191"/>
    <w:rsid w:val="003C51BF"/>
    <w:rsid w:val="003D0CDD"/>
    <w:rsid w:val="003D127F"/>
    <w:rsid w:val="003D14D1"/>
    <w:rsid w:val="003D1DAD"/>
    <w:rsid w:val="003D4FAF"/>
    <w:rsid w:val="003D59AE"/>
    <w:rsid w:val="003D61BD"/>
    <w:rsid w:val="003E0540"/>
    <w:rsid w:val="003E1E86"/>
    <w:rsid w:val="003E28B6"/>
    <w:rsid w:val="003E2EB7"/>
    <w:rsid w:val="003E42FB"/>
    <w:rsid w:val="003E4454"/>
    <w:rsid w:val="003E5AF9"/>
    <w:rsid w:val="003F0541"/>
    <w:rsid w:val="003F12EB"/>
    <w:rsid w:val="003F1443"/>
    <w:rsid w:val="003F3C54"/>
    <w:rsid w:val="003F4B69"/>
    <w:rsid w:val="003F6C55"/>
    <w:rsid w:val="003F6CC9"/>
    <w:rsid w:val="00401490"/>
    <w:rsid w:val="00401C66"/>
    <w:rsid w:val="00407B69"/>
    <w:rsid w:val="00407E8D"/>
    <w:rsid w:val="00407F7C"/>
    <w:rsid w:val="00411049"/>
    <w:rsid w:val="00411879"/>
    <w:rsid w:val="00412DA7"/>
    <w:rsid w:val="004133E0"/>
    <w:rsid w:val="00414135"/>
    <w:rsid w:val="00415CAA"/>
    <w:rsid w:val="004173C0"/>
    <w:rsid w:val="00417784"/>
    <w:rsid w:val="00420B4C"/>
    <w:rsid w:val="00421A95"/>
    <w:rsid w:val="00422490"/>
    <w:rsid w:val="00423DE9"/>
    <w:rsid w:val="004245B3"/>
    <w:rsid w:val="004254D0"/>
    <w:rsid w:val="0042620A"/>
    <w:rsid w:val="00430261"/>
    <w:rsid w:val="004302EB"/>
    <w:rsid w:val="00430939"/>
    <w:rsid w:val="00432CEC"/>
    <w:rsid w:val="00432E5A"/>
    <w:rsid w:val="004360D1"/>
    <w:rsid w:val="0043715F"/>
    <w:rsid w:val="00437DC4"/>
    <w:rsid w:val="00440A3F"/>
    <w:rsid w:val="00443867"/>
    <w:rsid w:val="004443E3"/>
    <w:rsid w:val="00444B32"/>
    <w:rsid w:val="00445869"/>
    <w:rsid w:val="004469B5"/>
    <w:rsid w:val="00447EFA"/>
    <w:rsid w:val="00454BCE"/>
    <w:rsid w:val="0045678C"/>
    <w:rsid w:val="0045702C"/>
    <w:rsid w:val="00460315"/>
    <w:rsid w:val="00461084"/>
    <w:rsid w:val="00462BBF"/>
    <w:rsid w:val="00463580"/>
    <w:rsid w:val="00465628"/>
    <w:rsid w:val="00466B92"/>
    <w:rsid w:val="00467C7D"/>
    <w:rsid w:val="004705D5"/>
    <w:rsid w:val="00470744"/>
    <w:rsid w:val="00471E0F"/>
    <w:rsid w:val="00474521"/>
    <w:rsid w:val="00474C8D"/>
    <w:rsid w:val="00475A8F"/>
    <w:rsid w:val="00475BC0"/>
    <w:rsid w:val="00476F60"/>
    <w:rsid w:val="004822E0"/>
    <w:rsid w:val="004836F5"/>
    <w:rsid w:val="00484B05"/>
    <w:rsid w:val="00486248"/>
    <w:rsid w:val="004864CF"/>
    <w:rsid w:val="00487E21"/>
    <w:rsid w:val="004914E9"/>
    <w:rsid w:val="00491E30"/>
    <w:rsid w:val="00492708"/>
    <w:rsid w:val="00493238"/>
    <w:rsid w:val="00493954"/>
    <w:rsid w:val="004946ED"/>
    <w:rsid w:val="0049517C"/>
    <w:rsid w:val="00495F18"/>
    <w:rsid w:val="004A582A"/>
    <w:rsid w:val="004A5F1F"/>
    <w:rsid w:val="004A7860"/>
    <w:rsid w:val="004A7C27"/>
    <w:rsid w:val="004B08A8"/>
    <w:rsid w:val="004B2FDA"/>
    <w:rsid w:val="004B4AA2"/>
    <w:rsid w:val="004B5826"/>
    <w:rsid w:val="004B7CE7"/>
    <w:rsid w:val="004C12AB"/>
    <w:rsid w:val="004C6DCB"/>
    <w:rsid w:val="004D3AC2"/>
    <w:rsid w:val="004D3EFC"/>
    <w:rsid w:val="004D45B5"/>
    <w:rsid w:val="004D49DA"/>
    <w:rsid w:val="004D552D"/>
    <w:rsid w:val="004D6ADB"/>
    <w:rsid w:val="004D7073"/>
    <w:rsid w:val="004D79E6"/>
    <w:rsid w:val="004E3B67"/>
    <w:rsid w:val="004E54EE"/>
    <w:rsid w:val="004F0307"/>
    <w:rsid w:val="004F09BB"/>
    <w:rsid w:val="004F1B77"/>
    <w:rsid w:val="004F38FF"/>
    <w:rsid w:val="004F5A8E"/>
    <w:rsid w:val="004F7036"/>
    <w:rsid w:val="0050008A"/>
    <w:rsid w:val="00500998"/>
    <w:rsid w:val="00500CFC"/>
    <w:rsid w:val="00501D0C"/>
    <w:rsid w:val="00502521"/>
    <w:rsid w:val="00503E96"/>
    <w:rsid w:val="005040BA"/>
    <w:rsid w:val="0050692D"/>
    <w:rsid w:val="00507140"/>
    <w:rsid w:val="00507371"/>
    <w:rsid w:val="00510589"/>
    <w:rsid w:val="00513758"/>
    <w:rsid w:val="00513B84"/>
    <w:rsid w:val="0051476E"/>
    <w:rsid w:val="005161D6"/>
    <w:rsid w:val="00522E61"/>
    <w:rsid w:val="00523E43"/>
    <w:rsid w:val="00523FEB"/>
    <w:rsid w:val="005249BE"/>
    <w:rsid w:val="00531B1C"/>
    <w:rsid w:val="00532351"/>
    <w:rsid w:val="00532C54"/>
    <w:rsid w:val="005436A5"/>
    <w:rsid w:val="0054459E"/>
    <w:rsid w:val="00544FA2"/>
    <w:rsid w:val="00546CC7"/>
    <w:rsid w:val="00551D62"/>
    <w:rsid w:val="00555B5D"/>
    <w:rsid w:val="00556194"/>
    <w:rsid w:val="00557142"/>
    <w:rsid w:val="00560623"/>
    <w:rsid w:val="0056096D"/>
    <w:rsid w:val="005609D2"/>
    <w:rsid w:val="0056468A"/>
    <w:rsid w:val="00567C37"/>
    <w:rsid w:val="00572258"/>
    <w:rsid w:val="005724DB"/>
    <w:rsid w:val="00577C55"/>
    <w:rsid w:val="00581B25"/>
    <w:rsid w:val="00581C75"/>
    <w:rsid w:val="00585D76"/>
    <w:rsid w:val="00585DBB"/>
    <w:rsid w:val="0058622B"/>
    <w:rsid w:val="00586D08"/>
    <w:rsid w:val="00592102"/>
    <w:rsid w:val="005A1EC0"/>
    <w:rsid w:val="005A2D38"/>
    <w:rsid w:val="005A5E29"/>
    <w:rsid w:val="005A5F81"/>
    <w:rsid w:val="005A7266"/>
    <w:rsid w:val="005A7779"/>
    <w:rsid w:val="005B0CD7"/>
    <w:rsid w:val="005B0CD9"/>
    <w:rsid w:val="005B18EC"/>
    <w:rsid w:val="005B26DD"/>
    <w:rsid w:val="005B3D0E"/>
    <w:rsid w:val="005B4BDD"/>
    <w:rsid w:val="005B4C6E"/>
    <w:rsid w:val="005B5280"/>
    <w:rsid w:val="005B554A"/>
    <w:rsid w:val="005B55F9"/>
    <w:rsid w:val="005B68A1"/>
    <w:rsid w:val="005B6AF5"/>
    <w:rsid w:val="005B7A08"/>
    <w:rsid w:val="005B7BE0"/>
    <w:rsid w:val="005B7C9E"/>
    <w:rsid w:val="005C021B"/>
    <w:rsid w:val="005C027E"/>
    <w:rsid w:val="005C0F47"/>
    <w:rsid w:val="005C2002"/>
    <w:rsid w:val="005C3B73"/>
    <w:rsid w:val="005C64ED"/>
    <w:rsid w:val="005C6CCD"/>
    <w:rsid w:val="005D14E5"/>
    <w:rsid w:val="005D1B7B"/>
    <w:rsid w:val="005D2807"/>
    <w:rsid w:val="005E0DFD"/>
    <w:rsid w:val="005E1B1D"/>
    <w:rsid w:val="005E316D"/>
    <w:rsid w:val="005E4C05"/>
    <w:rsid w:val="005E6134"/>
    <w:rsid w:val="005F24BD"/>
    <w:rsid w:val="005F36AA"/>
    <w:rsid w:val="005F3A7B"/>
    <w:rsid w:val="005F3D13"/>
    <w:rsid w:val="005F4834"/>
    <w:rsid w:val="005F4D92"/>
    <w:rsid w:val="005F5D17"/>
    <w:rsid w:val="005F6458"/>
    <w:rsid w:val="005F72BE"/>
    <w:rsid w:val="00600641"/>
    <w:rsid w:val="00603A1E"/>
    <w:rsid w:val="006045D1"/>
    <w:rsid w:val="0060636D"/>
    <w:rsid w:val="00606844"/>
    <w:rsid w:val="00607426"/>
    <w:rsid w:val="006115D1"/>
    <w:rsid w:val="006175FA"/>
    <w:rsid w:val="00620617"/>
    <w:rsid w:val="006210AF"/>
    <w:rsid w:val="00621A3C"/>
    <w:rsid w:val="006221E1"/>
    <w:rsid w:val="0062241E"/>
    <w:rsid w:val="00623FAB"/>
    <w:rsid w:val="0062647A"/>
    <w:rsid w:val="006273D0"/>
    <w:rsid w:val="00630CE1"/>
    <w:rsid w:val="00632909"/>
    <w:rsid w:val="00632A8A"/>
    <w:rsid w:val="00633EFD"/>
    <w:rsid w:val="006341CD"/>
    <w:rsid w:val="00636579"/>
    <w:rsid w:val="00637360"/>
    <w:rsid w:val="0064115B"/>
    <w:rsid w:val="00642400"/>
    <w:rsid w:val="00642ADB"/>
    <w:rsid w:val="00645CB6"/>
    <w:rsid w:val="00647815"/>
    <w:rsid w:val="00651105"/>
    <w:rsid w:val="00653050"/>
    <w:rsid w:val="0065312E"/>
    <w:rsid w:val="006537B6"/>
    <w:rsid w:val="006537CF"/>
    <w:rsid w:val="00653A30"/>
    <w:rsid w:val="00653B3A"/>
    <w:rsid w:val="00654069"/>
    <w:rsid w:val="00654E73"/>
    <w:rsid w:val="00655844"/>
    <w:rsid w:val="006576F1"/>
    <w:rsid w:val="006577A2"/>
    <w:rsid w:val="006577D4"/>
    <w:rsid w:val="00657A0D"/>
    <w:rsid w:val="00657F97"/>
    <w:rsid w:val="00661C3F"/>
    <w:rsid w:val="00664787"/>
    <w:rsid w:val="006647DD"/>
    <w:rsid w:val="00664FC4"/>
    <w:rsid w:val="0066663D"/>
    <w:rsid w:val="0066726E"/>
    <w:rsid w:val="00667CC6"/>
    <w:rsid w:val="00667F7B"/>
    <w:rsid w:val="00670E7C"/>
    <w:rsid w:val="00671F41"/>
    <w:rsid w:val="00672809"/>
    <w:rsid w:val="00672B32"/>
    <w:rsid w:val="00674DA6"/>
    <w:rsid w:val="00675FDC"/>
    <w:rsid w:val="00677CD5"/>
    <w:rsid w:val="00681C3E"/>
    <w:rsid w:val="00683107"/>
    <w:rsid w:val="00683122"/>
    <w:rsid w:val="006843A1"/>
    <w:rsid w:val="00684799"/>
    <w:rsid w:val="0068576D"/>
    <w:rsid w:val="006925F8"/>
    <w:rsid w:val="0069510D"/>
    <w:rsid w:val="00695EA2"/>
    <w:rsid w:val="006A13E0"/>
    <w:rsid w:val="006A1770"/>
    <w:rsid w:val="006A3981"/>
    <w:rsid w:val="006A796B"/>
    <w:rsid w:val="006B359E"/>
    <w:rsid w:val="006B387F"/>
    <w:rsid w:val="006B3977"/>
    <w:rsid w:val="006B45F1"/>
    <w:rsid w:val="006B528B"/>
    <w:rsid w:val="006B74FB"/>
    <w:rsid w:val="006B7CBC"/>
    <w:rsid w:val="006C17F5"/>
    <w:rsid w:val="006C5673"/>
    <w:rsid w:val="006C7180"/>
    <w:rsid w:val="006C7B25"/>
    <w:rsid w:val="006D0F8B"/>
    <w:rsid w:val="006D4F9E"/>
    <w:rsid w:val="006D5151"/>
    <w:rsid w:val="006D51D5"/>
    <w:rsid w:val="006D6AC2"/>
    <w:rsid w:val="006D6B5E"/>
    <w:rsid w:val="006D7173"/>
    <w:rsid w:val="006E06F9"/>
    <w:rsid w:val="006E0AB4"/>
    <w:rsid w:val="006E16BA"/>
    <w:rsid w:val="006E1B88"/>
    <w:rsid w:val="006E1D1F"/>
    <w:rsid w:val="006E22A6"/>
    <w:rsid w:val="006E31F3"/>
    <w:rsid w:val="006E4E00"/>
    <w:rsid w:val="006E5909"/>
    <w:rsid w:val="006F132E"/>
    <w:rsid w:val="006F16F1"/>
    <w:rsid w:val="006F1C7F"/>
    <w:rsid w:val="006F2132"/>
    <w:rsid w:val="006F32F4"/>
    <w:rsid w:val="006F52B9"/>
    <w:rsid w:val="006F5688"/>
    <w:rsid w:val="006F58A4"/>
    <w:rsid w:val="006F6352"/>
    <w:rsid w:val="006F6B18"/>
    <w:rsid w:val="007005CB"/>
    <w:rsid w:val="00700FC3"/>
    <w:rsid w:val="0070128D"/>
    <w:rsid w:val="0070161F"/>
    <w:rsid w:val="00701BDC"/>
    <w:rsid w:val="007040CA"/>
    <w:rsid w:val="007042D5"/>
    <w:rsid w:val="0070476B"/>
    <w:rsid w:val="0070678E"/>
    <w:rsid w:val="00706A9C"/>
    <w:rsid w:val="00706C7B"/>
    <w:rsid w:val="0070755B"/>
    <w:rsid w:val="007100E9"/>
    <w:rsid w:val="007125A0"/>
    <w:rsid w:val="00717E6F"/>
    <w:rsid w:val="00722240"/>
    <w:rsid w:val="0072323F"/>
    <w:rsid w:val="0072382D"/>
    <w:rsid w:val="007239CA"/>
    <w:rsid w:val="007240CB"/>
    <w:rsid w:val="007253B1"/>
    <w:rsid w:val="007255D0"/>
    <w:rsid w:val="00725A7A"/>
    <w:rsid w:val="00730D85"/>
    <w:rsid w:val="0073412D"/>
    <w:rsid w:val="00734F76"/>
    <w:rsid w:val="00737B91"/>
    <w:rsid w:val="00740443"/>
    <w:rsid w:val="00741F75"/>
    <w:rsid w:val="007421E0"/>
    <w:rsid w:val="00742667"/>
    <w:rsid w:val="0074462D"/>
    <w:rsid w:val="0074566E"/>
    <w:rsid w:val="00745809"/>
    <w:rsid w:val="00746857"/>
    <w:rsid w:val="00751BB3"/>
    <w:rsid w:val="00752A38"/>
    <w:rsid w:val="00754990"/>
    <w:rsid w:val="00756974"/>
    <w:rsid w:val="00757596"/>
    <w:rsid w:val="00757D7A"/>
    <w:rsid w:val="00760455"/>
    <w:rsid w:val="007619D6"/>
    <w:rsid w:val="00764187"/>
    <w:rsid w:val="00765787"/>
    <w:rsid w:val="00766D4E"/>
    <w:rsid w:val="00771613"/>
    <w:rsid w:val="00771AB0"/>
    <w:rsid w:val="00772A51"/>
    <w:rsid w:val="00772FDC"/>
    <w:rsid w:val="007768EE"/>
    <w:rsid w:val="00782222"/>
    <w:rsid w:val="007838A1"/>
    <w:rsid w:val="00783990"/>
    <w:rsid w:val="007840C0"/>
    <w:rsid w:val="00784913"/>
    <w:rsid w:val="0078547A"/>
    <w:rsid w:val="00791F04"/>
    <w:rsid w:val="007923BB"/>
    <w:rsid w:val="00793887"/>
    <w:rsid w:val="0079467B"/>
    <w:rsid w:val="007954AD"/>
    <w:rsid w:val="00795BFD"/>
    <w:rsid w:val="00796C92"/>
    <w:rsid w:val="00796DFB"/>
    <w:rsid w:val="00796E4B"/>
    <w:rsid w:val="00797849"/>
    <w:rsid w:val="00797ABC"/>
    <w:rsid w:val="007A0F7F"/>
    <w:rsid w:val="007A1A14"/>
    <w:rsid w:val="007A425B"/>
    <w:rsid w:val="007A4867"/>
    <w:rsid w:val="007A6216"/>
    <w:rsid w:val="007A6AC1"/>
    <w:rsid w:val="007A7194"/>
    <w:rsid w:val="007B01B5"/>
    <w:rsid w:val="007B2225"/>
    <w:rsid w:val="007B260E"/>
    <w:rsid w:val="007B3E9D"/>
    <w:rsid w:val="007B5453"/>
    <w:rsid w:val="007B6B07"/>
    <w:rsid w:val="007C0A97"/>
    <w:rsid w:val="007C2544"/>
    <w:rsid w:val="007C2630"/>
    <w:rsid w:val="007C2779"/>
    <w:rsid w:val="007C35D4"/>
    <w:rsid w:val="007C3E23"/>
    <w:rsid w:val="007C3E71"/>
    <w:rsid w:val="007C4806"/>
    <w:rsid w:val="007C5503"/>
    <w:rsid w:val="007C5EDF"/>
    <w:rsid w:val="007C604E"/>
    <w:rsid w:val="007D16F1"/>
    <w:rsid w:val="007D1CA6"/>
    <w:rsid w:val="007D219C"/>
    <w:rsid w:val="007D2A18"/>
    <w:rsid w:val="007D5465"/>
    <w:rsid w:val="007D551C"/>
    <w:rsid w:val="007D7B21"/>
    <w:rsid w:val="007E0C8F"/>
    <w:rsid w:val="007E1105"/>
    <w:rsid w:val="007E24BC"/>
    <w:rsid w:val="007E45AC"/>
    <w:rsid w:val="007E59DD"/>
    <w:rsid w:val="007E602F"/>
    <w:rsid w:val="007E6DA6"/>
    <w:rsid w:val="007E7090"/>
    <w:rsid w:val="007E72EE"/>
    <w:rsid w:val="007E7932"/>
    <w:rsid w:val="007F0870"/>
    <w:rsid w:val="007F4227"/>
    <w:rsid w:val="007F5408"/>
    <w:rsid w:val="00801B0D"/>
    <w:rsid w:val="0080380E"/>
    <w:rsid w:val="00803D6A"/>
    <w:rsid w:val="00803D77"/>
    <w:rsid w:val="00804C1A"/>
    <w:rsid w:val="00804CE7"/>
    <w:rsid w:val="008054E0"/>
    <w:rsid w:val="0080647A"/>
    <w:rsid w:val="00807D5F"/>
    <w:rsid w:val="008115B9"/>
    <w:rsid w:val="008124A3"/>
    <w:rsid w:val="008154AD"/>
    <w:rsid w:val="00820B6E"/>
    <w:rsid w:val="00820DDB"/>
    <w:rsid w:val="00822720"/>
    <w:rsid w:val="008229AE"/>
    <w:rsid w:val="00823A61"/>
    <w:rsid w:val="008240CB"/>
    <w:rsid w:val="00826AB9"/>
    <w:rsid w:val="00827265"/>
    <w:rsid w:val="0082771F"/>
    <w:rsid w:val="00827793"/>
    <w:rsid w:val="0083171C"/>
    <w:rsid w:val="00831E2C"/>
    <w:rsid w:val="00832994"/>
    <w:rsid w:val="00832CDF"/>
    <w:rsid w:val="00833488"/>
    <w:rsid w:val="008359D7"/>
    <w:rsid w:val="00836703"/>
    <w:rsid w:val="00841203"/>
    <w:rsid w:val="00841CEB"/>
    <w:rsid w:val="00841E5F"/>
    <w:rsid w:val="008429A9"/>
    <w:rsid w:val="008442C6"/>
    <w:rsid w:val="00845FE4"/>
    <w:rsid w:val="0085031E"/>
    <w:rsid w:val="00850AB6"/>
    <w:rsid w:val="0085174C"/>
    <w:rsid w:val="00853447"/>
    <w:rsid w:val="00855432"/>
    <w:rsid w:val="00855A42"/>
    <w:rsid w:val="008568A7"/>
    <w:rsid w:val="00856CA0"/>
    <w:rsid w:val="00857686"/>
    <w:rsid w:val="00860075"/>
    <w:rsid w:val="00860081"/>
    <w:rsid w:val="0086024B"/>
    <w:rsid w:val="0086087E"/>
    <w:rsid w:val="008612D2"/>
    <w:rsid w:val="008620A5"/>
    <w:rsid w:val="00863817"/>
    <w:rsid w:val="00863A24"/>
    <w:rsid w:val="00865B28"/>
    <w:rsid w:val="00872A62"/>
    <w:rsid w:val="00872CB3"/>
    <w:rsid w:val="00872D7E"/>
    <w:rsid w:val="008730B0"/>
    <w:rsid w:val="00874D72"/>
    <w:rsid w:val="008760B4"/>
    <w:rsid w:val="00876403"/>
    <w:rsid w:val="00877F3D"/>
    <w:rsid w:val="00880B62"/>
    <w:rsid w:val="00882F6A"/>
    <w:rsid w:val="008845D4"/>
    <w:rsid w:val="008848F8"/>
    <w:rsid w:val="00890AD4"/>
    <w:rsid w:val="008914EF"/>
    <w:rsid w:val="0089266E"/>
    <w:rsid w:val="0089288E"/>
    <w:rsid w:val="00892899"/>
    <w:rsid w:val="00894CBA"/>
    <w:rsid w:val="008953EB"/>
    <w:rsid w:val="008A014C"/>
    <w:rsid w:val="008A0FFC"/>
    <w:rsid w:val="008A17C3"/>
    <w:rsid w:val="008A4952"/>
    <w:rsid w:val="008A54E4"/>
    <w:rsid w:val="008A5560"/>
    <w:rsid w:val="008A6046"/>
    <w:rsid w:val="008B0C55"/>
    <w:rsid w:val="008B0C58"/>
    <w:rsid w:val="008B2F16"/>
    <w:rsid w:val="008B3DC4"/>
    <w:rsid w:val="008B4A9C"/>
    <w:rsid w:val="008B7E45"/>
    <w:rsid w:val="008C15A4"/>
    <w:rsid w:val="008C2EFB"/>
    <w:rsid w:val="008C6764"/>
    <w:rsid w:val="008C6CE5"/>
    <w:rsid w:val="008C6E28"/>
    <w:rsid w:val="008C72E2"/>
    <w:rsid w:val="008D026B"/>
    <w:rsid w:val="008D2877"/>
    <w:rsid w:val="008D2CAA"/>
    <w:rsid w:val="008D5773"/>
    <w:rsid w:val="008E099A"/>
    <w:rsid w:val="008E0CF7"/>
    <w:rsid w:val="008E1213"/>
    <w:rsid w:val="008E346C"/>
    <w:rsid w:val="008E40FA"/>
    <w:rsid w:val="008E4D89"/>
    <w:rsid w:val="008E5847"/>
    <w:rsid w:val="008E7147"/>
    <w:rsid w:val="008F0458"/>
    <w:rsid w:val="008F097E"/>
    <w:rsid w:val="008F14E6"/>
    <w:rsid w:val="008F31C6"/>
    <w:rsid w:val="008F368D"/>
    <w:rsid w:val="008F770F"/>
    <w:rsid w:val="008F7C16"/>
    <w:rsid w:val="00900993"/>
    <w:rsid w:val="00901E34"/>
    <w:rsid w:val="00902B1F"/>
    <w:rsid w:val="00905AC0"/>
    <w:rsid w:val="009129E0"/>
    <w:rsid w:val="00913FAC"/>
    <w:rsid w:val="00915D2A"/>
    <w:rsid w:val="009163AD"/>
    <w:rsid w:val="00916FD6"/>
    <w:rsid w:val="00917DB8"/>
    <w:rsid w:val="00923537"/>
    <w:rsid w:val="0092430E"/>
    <w:rsid w:val="00924A35"/>
    <w:rsid w:val="009253EE"/>
    <w:rsid w:val="009304BC"/>
    <w:rsid w:val="00931E4D"/>
    <w:rsid w:val="00932175"/>
    <w:rsid w:val="009321F5"/>
    <w:rsid w:val="009334C4"/>
    <w:rsid w:val="00933D62"/>
    <w:rsid w:val="00934A3A"/>
    <w:rsid w:val="00937298"/>
    <w:rsid w:val="00937D10"/>
    <w:rsid w:val="00937EC2"/>
    <w:rsid w:val="00940EA4"/>
    <w:rsid w:val="00941463"/>
    <w:rsid w:val="0094150A"/>
    <w:rsid w:val="00942235"/>
    <w:rsid w:val="00942D45"/>
    <w:rsid w:val="00950208"/>
    <w:rsid w:val="00951C86"/>
    <w:rsid w:val="00951EB7"/>
    <w:rsid w:val="00952E7A"/>
    <w:rsid w:val="009554CB"/>
    <w:rsid w:val="009567BE"/>
    <w:rsid w:val="009569B3"/>
    <w:rsid w:val="0096629A"/>
    <w:rsid w:val="00967218"/>
    <w:rsid w:val="0096729A"/>
    <w:rsid w:val="0097069E"/>
    <w:rsid w:val="00972556"/>
    <w:rsid w:val="00973BE3"/>
    <w:rsid w:val="00977533"/>
    <w:rsid w:val="00977B8D"/>
    <w:rsid w:val="009808F4"/>
    <w:rsid w:val="00981768"/>
    <w:rsid w:val="00983B2A"/>
    <w:rsid w:val="009842FD"/>
    <w:rsid w:val="00984732"/>
    <w:rsid w:val="00984EB6"/>
    <w:rsid w:val="00984F8C"/>
    <w:rsid w:val="009862B5"/>
    <w:rsid w:val="009902FE"/>
    <w:rsid w:val="009913C8"/>
    <w:rsid w:val="00992125"/>
    <w:rsid w:val="00993A98"/>
    <w:rsid w:val="0099479C"/>
    <w:rsid w:val="009958AD"/>
    <w:rsid w:val="00996A9B"/>
    <w:rsid w:val="009A0510"/>
    <w:rsid w:val="009A14F3"/>
    <w:rsid w:val="009A1766"/>
    <w:rsid w:val="009A1838"/>
    <w:rsid w:val="009A1861"/>
    <w:rsid w:val="009A2610"/>
    <w:rsid w:val="009A29F3"/>
    <w:rsid w:val="009A3A75"/>
    <w:rsid w:val="009A3F8A"/>
    <w:rsid w:val="009A4872"/>
    <w:rsid w:val="009A4E83"/>
    <w:rsid w:val="009A55D6"/>
    <w:rsid w:val="009A55E8"/>
    <w:rsid w:val="009A5CD0"/>
    <w:rsid w:val="009A622A"/>
    <w:rsid w:val="009A777C"/>
    <w:rsid w:val="009A7A10"/>
    <w:rsid w:val="009B0D52"/>
    <w:rsid w:val="009B335C"/>
    <w:rsid w:val="009B35B3"/>
    <w:rsid w:val="009B46A7"/>
    <w:rsid w:val="009B5AC8"/>
    <w:rsid w:val="009C3CE1"/>
    <w:rsid w:val="009C455C"/>
    <w:rsid w:val="009C4E06"/>
    <w:rsid w:val="009C50B3"/>
    <w:rsid w:val="009C5882"/>
    <w:rsid w:val="009C59DD"/>
    <w:rsid w:val="009C6327"/>
    <w:rsid w:val="009C7E61"/>
    <w:rsid w:val="009D01CC"/>
    <w:rsid w:val="009D052F"/>
    <w:rsid w:val="009D10DD"/>
    <w:rsid w:val="009D23E5"/>
    <w:rsid w:val="009D3283"/>
    <w:rsid w:val="009D4C0C"/>
    <w:rsid w:val="009D51AF"/>
    <w:rsid w:val="009D5863"/>
    <w:rsid w:val="009D5F7F"/>
    <w:rsid w:val="009D71A7"/>
    <w:rsid w:val="009E04A8"/>
    <w:rsid w:val="009E29E1"/>
    <w:rsid w:val="009E58AB"/>
    <w:rsid w:val="009E5F43"/>
    <w:rsid w:val="009E631E"/>
    <w:rsid w:val="009F24E5"/>
    <w:rsid w:val="009F4714"/>
    <w:rsid w:val="009F4E49"/>
    <w:rsid w:val="009F757F"/>
    <w:rsid w:val="009F78F9"/>
    <w:rsid w:val="00A01D51"/>
    <w:rsid w:val="00A034D1"/>
    <w:rsid w:val="00A0477D"/>
    <w:rsid w:val="00A11AE0"/>
    <w:rsid w:val="00A13347"/>
    <w:rsid w:val="00A148CC"/>
    <w:rsid w:val="00A14BF0"/>
    <w:rsid w:val="00A168A4"/>
    <w:rsid w:val="00A1742A"/>
    <w:rsid w:val="00A20011"/>
    <w:rsid w:val="00A220D1"/>
    <w:rsid w:val="00A23215"/>
    <w:rsid w:val="00A23668"/>
    <w:rsid w:val="00A247A5"/>
    <w:rsid w:val="00A24B69"/>
    <w:rsid w:val="00A2634A"/>
    <w:rsid w:val="00A26B26"/>
    <w:rsid w:val="00A30348"/>
    <w:rsid w:val="00A3151E"/>
    <w:rsid w:val="00A31549"/>
    <w:rsid w:val="00A3451F"/>
    <w:rsid w:val="00A34FBD"/>
    <w:rsid w:val="00A355EC"/>
    <w:rsid w:val="00A35D68"/>
    <w:rsid w:val="00A406D8"/>
    <w:rsid w:val="00A412CE"/>
    <w:rsid w:val="00A50DBE"/>
    <w:rsid w:val="00A52D57"/>
    <w:rsid w:val="00A53054"/>
    <w:rsid w:val="00A54557"/>
    <w:rsid w:val="00A61014"/>
    <w:rsid w:val="00A62AB8"/>
    <w:rsid w:val="00A64143"/>
    <w:rsid w:val="00A6593E"/>
    <w:rsid w:val="00A667DB"/>
    <w:rsid w:val="00A669F8"/>
    <w:rsid w:val="00A67B7F"/>
    <w:rsid w:val="00A70681"/>
    <w:rsid w:val="00A72347"/>
    <w:rsid w:val="00A72B0C"/>
    <w:rsid w:val="00A744EA"/>
    <w:rsid w:val="00A759FD"/>
    <w:rsid w:val="00A75D7D"/>
    <w:rsid w:val="00A76925"/>
    <w:rsid w:val="00A775B4"/>
    <w:rsid w:val="00A776A3"/>
    <w:rsid w:val="00A8014C"/>
    <w:rsid w:val="00A814DA"/>
    <w:rsid w:val="00A83142"/>
    <w:rsid w:val="00A839E5"/>
    <w:rsid w:val="00A851FA"/>
    <w:rsid w:val="00A854E1"/>
    <w:rsid w:val="00A871A4"/>
    <w:rsid w:val="00A87620"/>
    <w:rsid w:val="00A95EE6"/>
    <w:rsid w:val="00A9602A"/>
    <w:rsid w:val="00A96658"/>
    <w:rsid w:val="00AA1073"/>
    <w:rsid w:val="00AA142E"/>
    <w:rsid w:val="00AA2C1A"/>
    <w:rsid w:val="00AA6B1A"/>
    <w:rsid w:val="00AB1D1E"/>
    <w:rsid w:val="00AB3EA2"/>
    <w:rsid w:val="00AB60EB"/>
    <w:rsid w:val="00AB7941"/>
    <w:rsid w:val="00AC161F"/>
    <w:rsid w:val="00AC2C76"/>
    <w:rsid w:val="00AC3D79"/>
    <w:rsid w:val="00AC4938"/>
    <w:rsid w:val="00AC4F01"/>
    <w:rsid w:val="00AC5545"/>
    <w:rsid w:val="00AC5A76"/>
    <w:rsid w:val="00AC5C44"/>
    <w:rsid w:val="00AC6F2F"/>
    <w:rsid w:val="00AD0F70"/>
    <w:rsid w:val="00AD2158"/>
    <w:rsid w:val="00AD299F"/>
    <w:rsid w:val="00AD4A8C"/>
    <w:rsid w:val="00AD6B6D"/>
    <w:rsid w:val="00AE00FA"/>
    <w:rsid w:val="00AE099B"/>
    <w:rsid w:val="00AE2E9C"/>
    <w:rsid w:val="00AE35BE"/>
    <w:rsid w:val="00AE37BE"/>
    <w:rsid w:val="00AF038E"/>
    <w:rsid w:val="00AF056F"/>
    <w:rsid w:val="00AF2F3F"/>
    <w:rsid w:val="00AF4150"/>
    <w:rsid w:val="00AF5683"/>
    <w:rsid w:val="00AF56D5"/>
    <w:rsid w:val="00AF5B6C"/>
    <w:rsid w:val="00AF65AD"/>
    <w:rsid w:val="00B01284"/>
    <w:rsid w:val="00B03595"/>
    <w:rsid w:val="00B0377D"/>
    <w:rsid w:val="00B0393E"/>
    <w:rsid w:val="00B0429E"/>
    <w:rsid w:val="00B07206"/>
    <w:rsid w:val="00B079DC"/>
    <w:rsid w:val="00B07F60"/>
    <w:rsid w:val="00B10863"/>
    <w:rsid w:val="00B10E0D"/>
    <w:rsid w:val="00B112F2"/>
    <w:rsid w:val="00B11DA5"/>
    <w:rsid w:val="00B12C88"/>
    <w:rsid w:val="00B14242"/>
    <w:rsid w:val="00B149EF"/>
    <w:rsid w:val="00B14A2A"/>
    <w:rsid w:val="00B167EA"/>
    <w:rsid w:val="00B207AF"/>
    <w:rsid w:val="00B2103E"/>
    <w:rsid w:val="00B21246"/>
    <w:rsid w:val="00B2296E"/>
    <w:rsid w:val="00B27ECE"/>
    <w:rsid w:val="00B30376"/>
    <w:rsid w:val="00B3231D"/>
    <w:rsid w:val="00B32A22"/>
    <w:rsid w:val="00B3345E"/>
    <w:rsid w:val="00B34D01"/>
    <w:rsid w:val="00B35294"/>
    <w:rsid w:val="00B366E9"/>
    <w:rsid w:val="00B37159"/>
    <w:rsid w:val="00B37532"/>
    <w:rsid w:val="00B40A47"/>
    <w:rsid w:val="00B40D62"/>
    <w:rsid w:val="00B40EDC"/>
    <w:rsid w:val="00B4171C"/>
    <w:rsid w:val="00B44F86"/>
    <w:rsid w:val="00B460C8"/>
    <w:rsid w:val="00B4683D"/>
    <w:rsid w:val="00B46D2A"/>
    <w:rsid w:val="00B47B46"/>
    <w:rsid w:val="00B51356"/>
    <w:rsid w:val="00B51738"/>
    <w:rsid w:val="00B51955"/>
    <w:rsid w:val="00B52534"/>
    <w:rsid w:val="00B55D4C"/>
    <w:rsid w:val="00B61FCF"/>
    <w:rsid w:val="00B638E6"/>
    <w:rsid w:val="00B63B13"/>
    <w:rsid w:val="00B64A0E"/>
    <w:rsid w:val="00B65A24"/>
    <w:rsid w:val="00B66233"/>
    <w:rsid w:val="00B675E2"/>
    <w:rsid w:val="00B70C85"/>
    <w:rsid w:val="00B72CFA"/>
    <w:rsid w:val="00B7546B"/>
    <w:rsid w:val="00B76861"/>
    <w:rsid w:val="00B803DE"/>
    <w:rsid w:val="00B807CB"/>
    <w:rsid w:val="00B8189A"/>
    <w:rsid w:val="00B81DCC"/>
    <w:rsid w:val="00B823EA"/>
    <w:rsid w:val="00B83717"/>
    <w:rsid w:val="00B839AD"/>
    <w:rsid w:val="00B83AD0"/>
    <w:rsid w:val="00B90B28"/>
    <w:rsid w:val="00B9548C"/>
    <w:rsid w:val="00BA35E8"/>
    <w:rsid w:val="00BA4497"/>
    <w:rsid w:val="00BA67D6"/>
    <w:rsid w:val="00BA6A50"/>
    <w:rsid w:val="00BA7547"/>
    <w:rsid w:val="00BB08FF"/>
    <w:rsid w:val="00BB2872"/>
    <w:rsid w:val="00BC126E"/>
    <w:rsid w:val="00BC190A"/>
    <w:rsid w:val="00BC1CD0"/>
    <w:rsid w:val="00BC2C5E"/>
    <w:rsid w:val="00BC32D9"/>
    <w:rsid w:val="00BC44B3"/>
    <w:rsid w:val="00BC47DA"/>
    <w:rsid w:val="00BC61D1"/>
    <w:rsid w:val="00BD008D"/>
    <w:rsid w:val="00BD2037"/>
    <w:rsid w:val="00BD2D91"/>
    <w:rsid w:val="00BD2DEA"/>
    <w:rsid w:val="00BD3388"/>
    <w:rsid w:val="00BD354E"/>
    <w:rsid w:val="00BD410B"/>
    <w:rsid w:val="00BD4A3E"/>
    <w:rsid w:val="00BD5113"/>
    <w:rsid w:val="00BD7072"/>
    <w:rsid w:val="00BD7F66"/>
    <w:rsid w:val="00BE2AB5"/>
    <w:rsid w:val="00BE35BC"/>
    <w:rsid w:val="00BE5E25"/>
    <w:rsid w:val="00BE5EA8"/>
    <w:rsid w:val="00BE6662"/>
    <w:rsid w:val="00BF196B"/>
    <w:rsid w:val="00BF3113"/>
    <w:rsid w:val="00BF3C6D"/>
    <w:rsid w:val="00BF44B6"/>
    <w:rsid w:val="00BF65F4"/>
    <w:rsid w:val="00BF6DA6"/>
    <w:rsid w:val="00BF7849"/>
    <w:rsid w:val="00C018F2"/>
    <w:rsid w:val="00C01C12"/>
    <w:rsid w:val="00C01E73"/>
    <w:rsid w:val="00C03F10"/>
    <w:rsid w:val="00C041F8"/>
    <w:rsid w:val="00C04593"/>
    <w:rsid w:val="00C061C7"/>
    <w:rsid w:val="00C10819"/>
    <w:rsid w:val="00C10E3A"/>
    <w:rsid w:val="00C14764"/>
    <w:rsid w:val="00C14AA0"/>
    <w:rsid w:val="00C1546A"/>
    <w:rsid w:val="00C162D5"/>
    <w:rsid w:val="00C16ABB"/>
    <w:rsid w:val="00C20FC2"/>
    <w:rsid w:val="00C21A87"/>
    <w:rsid w:val="00C22A9B"/>
    <w:rsid w:val="00C22EA9"/>
    <w:rsid w:val="00C23F03"/>
    <w:rsid w:val="00C25870"/>
    <w:rsid w:val="00C258B4"/>
    <w:rsid w:val="00C258E7"/>
    <w:rsid w:val="00C26126"/>
    <w:rsid w:val="00C26680"/>
    <w:rsid w:val="00C26CFD"/>
    <w:rsid w:val="00C27319"/>
    <w:rsid w:val="00C30170"/>
    <w:rsid w:val="00C30347"/>
    <w:rsid w:val="00C31CB3"/>
    <w:rsid w:val="00C347D7"/>
    <w:rsid w:val="00C37204"/>
    <w:rsid w:val="00C41169"/>
    <w:rsid w:val="00C41365"/>
    <w:rsid w:val="00C42B91"/>
    <w:rsid w:val="00C4343E"/>
    <w:rsid w:val="00C44707"/>
    <w:rsid w:val="00C44B66"/>
    <w:rsid w:val="00C4609B"/>
    <w:rsid w:val="00C46D5A"/>
    <w:rsid w:val="00C4770A"/>
    <w:rsid w:val="00C5027D"/>
    <w:rsid w:val="00C51214"/>
    <w:rsid w:val="00C524CF"/>
    <w:rsid w:val="00C54377"/>
    <w:rsid w:val="00C54C66"/>
    <w:rsid w:val="00C55F03"/>
    <w:rsid w:val="00C57671"/>
    <w:rsid w:val="00C57E47"/>
    <w:rsid w:val="00C604DA"/>
    <w:rsid w:val="00C60FAD"/>
    <w:rsid w:val="00C64E11"/>
    <w:rsid w:val="00C65433"/>
    <w:rsid w:val="00C6583A"/>
    <w:rsid w:val="00C67B84"/>
    <w:rsid w:val="00C728E2"/>
    <w:rsid w:val="00C745F6"/>
    <w:rsid w:val="00C75F16"/>
    <w:rsid w:val="00C76733"/>
    <w:rsid w:val="00C80D3E"/>
    <w:rsid w:val="00C81969"/>
    <w:rsid w:val="00C81C26"/>
    <w:rsid w:val="00C81F7B"/>
    <w:rsid w:val="00C8222D"/>
    <w:rsid w:val="00C84BDC"/>
    <w:rsid w:val="00C8508B"/>
    <w:rsid w:val="00C853BF"/>
    <w:rsid w:val="00C86A37"/>
    <w:rsid w:val="00C91D64"/>
    <w:rsid w:val="00C92168"/>
    <w:rsid w:val="00C9459D"/>
    <w:rsid w:val="00C950D1"/>
    <w:rsid w:val="00C96CDE"/>
    <w:rsid w:val="00C97132"/>
    <w:rsid w:val="00CA0329"/>
    <w:rsid w:val="00CA0463"/>
    <w:rsid w:val="00CA19B2"/>
    <w:rsid w:val="00CA1BCA"/>
    <w:rsid w:val="00CA1D3C"/>
    <w:rsid w:val="00CA3477"/>
    <w:rsid w:val="00CA5F33"/>
    <w:rsid w:val="00CA5F47"/>
    <w:rsid w:val="00CA7F0F"/>
    <w:rsid w:val="00CB128E"/>
    <w:rsid w:val="00CB484B"/>
    <w:rsid w:val="00CB69DE"/>
    <w:rsid w:val="00CB744B"/>
    <w:rsid w:val="00CB75A6"/>
    <w:rsid w:val="00CB75D6"/>
    <w:rsid w:val="00CB7683"/>
    <w:rsid w:val="00CC3655"/>
    <w:rsid w:val="00CC5616"/>
    <w:rsid w:val="00CC5DBE"/>
    <w:rsid w:val="00CC609C"/>
    <w:rsid w:val="00CD10AD"/>
    <w:rsid w:val="00CD3606"/>
    <w:rsid w:val="00CD3B1B"/>
    <w:rsid w:val="00CD5636"/>
    <w:rsid w:val="00CD600D"/>
    <w:rsid w:val="00CE052B"/>
    <w:rsid w:val="00CE136E"/>
    <w:rsid w:val="00CE1E63"/>
    <w:rsid w:val="00CE2B7E"/>
    <w:rsid w:val="00CE56F5"/>
    <w:rsid w:val="00CE7A85"/>
    <w:rsid w:val="00CE7E49"/>
    <w:rsid w:val="00CF1FD8"/>
    <w:rsid w:val="00CF217F"/>
    <w:rsid w:val="00CF25C8"/>
    <w:rsid w:val="00CF445C"/>
    <w:rsid w:val="00CF5908"/>
    <w:rsid w:val="00CF6BF0"/>
    <w:rsid w:val="00CF7499"/>
    <w:rsid w:val="00CF7ADF"/>
    <w:rsid w:val="00D007ED"/>
    <w:rsid w:val="00D01575"/>
    <w:rsid w:val="00D0456F"/>
    <w:rsid w:val="00D056E9"/>
    <w:rsid w:val="00D05FB6"/>
    <w:rsid w:val="00D12E05"/>
    <w:rsid w:val="00D140D8"/>
    <w:rsid w:val="00D16DBA"/>
    <w:rsid w:val="00D204C5"/>
    <w:rsid w:val="00D20B3D"/>
    <w:rsid w:val="00D20DF7"/>
    <w:rsid w:val="00D21A74"/>
    <w:rsid w:val="00D232C5"/>
    <w:rsid w:val="00D23544"/>
    <w:rsid w:val="00D23CC9"/>
    <w:rsid w:val="00D26B7D"/>
    <w:rsid w:val="00D30F85"/>
    <w:rsid w:val="00D313F9"/>
    <w:rsid w:val="00D32FFB"/>
    <w:rsid w:val="00D340D4"/>
    <w:rsid w:val="00D346A5"/>
    <w:rsid w:val="00D34C70"/>
    <w:rsid w:val="00D34DBB"/>
    <w:rsid w:val="00D36469"/>
    <w:rsid w:val="00D404FE"/>
    <w:rsid w:val="00D416E7"/>
    <w:rsid w:val="00D41E54"/>
    <w:rsid w:val="00D428CD"/>
    <w:rsid w:val="00D429DD"/>
    <w:rsid w:val="00D434EF"/>
    <w:rsid w:val="00D5068F"/>
    <w:rsid w:val="00D51303"/>
    <w:rsid w:val="00D513EC"/>
    <w:rsid w:val="00D540E2"/>
    <w:rsid w:val="00D54DA5"/>
    <w:rsid w:val="00D555A8"/>
    <w:rsid w:val="00D56302"/>
    <w:rsid w:val="00D56B24"/>
    <w:rsid w:val="00D578BE"/>
    <w:rsid w:val="00D60CAE"/>
    <w:rsid w:val="00D615BC"/>
    <w:rsid w:val="00D61DAA"/>
    <w:rsid w:val="00D61ECF"/>
    <w:rsid w:val="00D63EC8"/>
    <w:rsid w:val="00D6401F"/>
    <w:rsid w:val="00D65441"/>
    <w:rsid w:val="00D65532"/>
    <w:rsid w:val="00D6799C"/>
    <w:rsid w:val="00D67DFE"/>
    <w:rsid w:val="00D71318"/>
    <w:rsid w:val="00D75EF1"/>
    <w:rsid w:val="00D80478"/>
    <w:rsid w:val="00D8413B"/>
    <w:rsid w:val="00D86155"/>
    <w:rsid w:val="00D8620F"/>
    <w:rsid w:val="00D903C8"/>
    <w:rsid w:val="00D90FC0"/>
    <w:rsid w:val="00D92784"/>
    <w:rsid w:val="00D969A8"/>
    <w:rsid w:val="00DA10C8"/>
    <w:rsid w:val="00DA28CA"/>
    <w:rsid w:val="00DA2BAD"/>
    <w:rsid w:val="00DA3EE7"/>
    <w:rsid w:val="00DA4E5D"/>
    <w:rsid w:val="00DA557B"/>
    <w:rsid w:val="00DA646F"/>
    <w:rsid w:val="00DA721F"/>
    <w:rsid w:val="00DB05BD"/>
    <w:rsid w:val="00DB0AE1"/>
    <w:rsid w:val="00DB2752"/>
    <w:rsid w:val="00DB320B"/>
    <w:rsid w:val="00DB59DC"/>
    <w:rsid w:val="00DB682C"/>
    <w:rsid w:val="00DB6E99"/>
    <w:rsid w:val="00DB790C"/>
    <w:rsid w:val="00DB7BE4"/>
    <w:rsid w:val="00DC0B17"/>
    <w:rsid w:val="00DC178C"/>
    <w:rsid w:val="00DC3DBE"/>
    <w:rsid w:val="00DC4B4E"/>
    <w:rsid w:val="00DC5D11"/>
    <w:rsid w:val="00DC69FD"/>
    <w:rsid w:val="00DC75DB"/>
    <w:rsid w:val="00DD16B4"/>
    <w:rsid w:val="00DD6AA7"/>
    <w:rsid w:val="00DD73D3"/>
    <w:rsid w:val="00DE00B0"/>
    <w:rsid w:val="00DE026A"/>
    <w:rsid w:val="00DE12D9"/>
    <w:rsid w:val="00DE19E0"/>
    <w:rsid w:val="00DE2273"/>
    <w:rsid w:val="00DE2E09"/>
    <w:rsid w:val="00DE4950"/>
    <w:rsid w:val="00DE587B"/>
    <w:rsid w:val="00DE7606"/>
    <w:rsid w:val="00DE7A8D"/>
    <w:rsid w:val="00DF1343"/>
    <w:rsid w:val="00DF4602"/>
    <w:rsid w:val="00DF61C9"/>
    <w:rsid w:val="00E00042"/>
    <w:rsid w:val="00E00B8E"/>
    <w:rsid w:val="00E02A0E"/>
    <w:rsid w:val="00E03002"/>
    <w:rsid w:val="00E054C9"/>
    <w:rsid w:val="00E05B5B"/>
    <w:rsid w:val="00E0668B"/>
    <w:rsid w:val="00E07E09"/>
    <w:rsid w:val="00E10450"/>
    <w:rsid w:val="00E10806"/>
    <w:rsid w:val="00E10BD0"/>
    <w:rsid w:val="00E1234E"/>
    <w:rsid w:val="00E17762"/>
    <w:rsid w:val="00E17C56"/>
    <w:rsid w:val="00E20949"/>
    <w:rsid w:val="00E20AAE"/>
    <w:rsid w:val="00E21257"/>
    <w:rsid w:val="00E212A4"/>
    <w:rsid w:val="00E2354F"/>
    <w:rsid w:val="00E258B2"/>
    <w:rsid w:val="00E26283"/>
    <w:rsid w:val="00E26761"/>
    <w:rsid w:val="00E2677A"/>
    <w:rsid w:val="00E3206F"/>
    <w:rsid w:val="00E33F3D"/>
    <w:rsid w:val="00E364FA"/>
    <w:rsid w:val="00E41EB9"/>
    <w:rsid w:val="00E42C95"/>
    <w:rsid w:val="00E43FB9"/>
    <w:rsid w:val="00E44C9B"/>
    <w:rsid w:val="00E4573B"/>
    <w:rsid w:val="00E46433"/>
    <w:rsid w:val="00E50ACF"/>
    <w:rsid w:val="00E5288C"/>
    <w:rsid w:val="00E55427"/>
    <w:rsid w:val="00E56F9E"/>
    <w:rsid w:val="00E6076F"/>
    <w:rsid w:val="00E62411"/>
    <w:rsid w:val="00E631B7"/>
    <w:rsid w:val="00E64A95"/>
    <w:rsid w:val="00E655AC"/>
    <w:rsid w:val="00E66539"/>
    <w:rsid w:val="00E6773F"/>
    <w:rsid w:val="00E70321"/>
    <w:rsid w:val="00E721E5"/>
    <w:rsid w:val="00E73B15"/>
    <w:rsid w:val="00E756B0"/>
    <w:rsid w:val="00E75751"/>
    <w:rsid w:val="00E76174"/>
    <w:rsid w:val="00E7733A"/>
    <w:rsid w:val="00E81081"/>
    <w:rsid w:val="00E8539B"/>
    <w:rsid w:val="00E865A3"/>
    <w:rsid w:val="00E866ED"/>
    <w:rsid w:val="00E868DD"/>
    <w:rsid w:val="00E87535"/>
    <w:rsid w:val="00E87EBE"/>
    <w:rsid w:val="00E900DD"/>
    <w:rsid w:val="00E9132C"/>
    <w:rsid w:val="00E918CD"/>
    <w:rsid w:val="00E92111"/>
    <w:rsid w:val="00E9491D"/>
    <w:rsid w:val="00E9518D"/>
    <w:rsid w:val="00E95EE9"/>
    <w:rsid w:val="00E96D9F"/>
    <w:rsid w:val="00E97E38"/>
    <w:rsid w:val="00EA06B7"/>
    <w:rsid w:val="00EA3ACD"/>
    <w:rsid w:val="00EA4888"/>
    <w:rsid w:val="00EA5210"/>
    <w:rsid w:val="00EA5D42"/>
    <w:rsid w:val="00EB3199"/>
    <w:rsid w:val="00EB3E85"/>
    <w:rsid w:val="00EB5EBB"/>
    <w:rsid w:val="00EC0218"/>
    <w:rsid w:val="00EC0B1D"/>
    <w:rsid w:val="00EC11E1"/>
    <w:rsid w:val="00EC3E45"/>
    <w:rsid w:val="00EC5BBE"/>
    <w:rsid w:val="00ED0728"/>
    <w:rsid w:val="00ED205A"/>
    <w:rsid w:val="00ED4BCC"/>
    <w:rsid w:val="00ED5B98"/>
    <w:rsid w:val="00ED6863"/>
    <w:rsid w:val="00EE0CB6"/>
    <w:rsid w:val="00EE1783"/>
    <w:rsid w:val="00EE24AC"/>
    <w:rsid w:val="00EE4278"/>
    <w:rsid w:val="00EE731B"/>
    <w:rsid w:val="00EF02B8"/>
    <w:rsid w:val="00EF45B2"/>
    <w:rsid w:val="00EF4C3D"/>
    <w:rsid w:val="00EF724B"/>
    <w:rsid w:val="00F011B2"/>
    <w:rsid w:val="00F01F17"/>
    <w:rsid w:val="00F03249"/>
    <w:rsid w:val="00F034D6"/>
    <w:rsid w:val="00F03DFB"/>
    <w:rsid w:val="00F04170"/>
    <w:rsid w:val="00F054D2"/>
    <w:rsid w:val="00F0685E"/>
    <w:rsid w:val="00F07C91"/>
    <w:rsid w:val="00F11283"/>
    <w:rsid w:val="00F113EF"/>
    <w:rsid w:val="00F138FE"/>
    <w:rsid w:val="00F14665"/>
    <w:rsid w:val="00F148E5"/>
    <w:rsid w:val="00F14F3A"/>
    <w:rsid w:val="00F14F91"/>
    <w:rsid w:val="00F17854"/>
    <w:rsid w:val="00F178F4"/>
    <w:rsid w:val="00F17D84"/>
    <w:rsid w:val="00F20A0A"/>
    <w:rsid w:val="00F21C6C"/>
    <w:rsid w:val="00F22734"/>
    <w:rsid w:val="00F22929"/>
    <w:rsid w:val="00F23B45"/>
    <w:rsid w:val="00F23CA0"/>
    <w:rsid w:val="00F255B8"/>
    <w:rsid w:val="00F30FFE"/>
    <w:rsid w:val="00F31331"/>
    <w:rsid w:val="00F3139F"/>
    <w:rsid w:val="00F3334A"/>
    <w:rsid w:val="00F34440"/>
    <w:rsid w:val="00F35470"/>
    <w:rsid w:val="00F35A82"/>
    <w:rsid w:val="00F36B95"/>
    <w:rsid w:val="00F41FD8"/>
    <w:rsid w:val="00F44A9A"/>
    <w:rsid w:val="00F451E0"/>
    <w:rsid w:val="00F458B5"/>
    <w:rsid w:val="00F46116"/>
    <w:rsid w:val="00F462D8"/>
    <w:rsid w:val="00F47D34"/>
    <w:rsid w:val="00F50220"/>
    <w:rsid w:val="00F52708"/>
    <w:rsid w:val="00F52E80"/>
    <w:rsid w:val="00F53AB7"/>
    <w:rsid w:val="00F55EBB"/>
    <w:rsid w:val="00F56691"/>
    <w:rsid w:val="00F567D0"/>
    <w:rsid w:val="00F57976"/>
    <w:rsid w:val="00F62994"/>
    <w:rsid w:val="00F64806"/>
    <w:rsid w:val="00F65ACC"/>
    <w:rsid w:val="00F65E34"/>
    <w:rsid w:val="00F70063"/>
    <w:rsid w:val="00F7126F"/>
    <w:rsid w:val="00F74B09"/>
    <w:rsid w:val="00F777D1"/>
    <w:rsid w:val="00F77C43"/>
    <w:rsid w:val="00F86D5D"/>
    <w:rsid w:val="00F90F7E"/>
    <w:rsid w:val="00F94198"/>
    <w:rsid w:val="00F955BC"/>
    <w:rsid w:val="00F960F4"/>
    <w:rsid w:val="00F96671"/>
    <w:rsid w:val="00F96C35"/>
    <w:rsid w:val="00F96E35"/>
    <w:rsid w:val="00F97F0A"/>
    <w:rsid w:val="00FA0AA0"/>
    <w:rsid w:val="00FA1EB1"/>
    <w:rsid w:val="00FA65B2"/>
    <w:rsid w:val="00FB0747"/>
    <w:rsid w:val="00FB2503"/>
    <w:rsid w:val="00FB31F2"/>
    <w:rsid w:val="00FC01EF"/>
    <w:rsid w:val="00FC03F3"/>
    <w:rsid w:val="00FC03F5"/>
    <w:rsid w:val="00FC0C0C"/>
    <w:rsid w:val="00FC1356"/>
    <w:rsid w:val="00FC13E8"/>
    <w:rsid w:val="00FC1AE2"/>
    <w:rsid w:val="00FC231D"/>
    <w:rsid w:val="00FD042C"/>
    <w:rsid w:val="00FD3608"/>
    <w:rsid w:val="00FD3B82"/>
    <w:rsid w:val="00FD70D3"/>
    <w:rsid w:val="00FD7A76"/>
    <w:rsid w:val="00FE0515"/>
    <w:rsid w:val="00FE15A0"/>
    <w:rsid w:val="00FE1F25"/>
    <w:rsid w:val="00FE4AA4"/>
    <w:rsid w:val="00FE4B14"/>
    <w:rsid w:val="00FE5EE5"/>
    <w:rsid w:val="00FE6490"/>
    <w:rsid w:val="00FE6BAC"/>
    <w:rsid w:val="00FF214C"/>
    <w:rsid w:val="00FF21CB"/>
    <w:rsid w:val="00FF331E"/>
    <w:rsid w:val="00FF64B2"/>
    <w:rsid w:val="01590203"/>
    <w:rsid w:val="01CA74FB"/>
    <w:rsid w:val="01DF7EB4"/>
    <w:rsid w:val="027F0E46"/>
    <w:rsid w:val="03140CF2"/>
    <w:rsid w:val="035D3297"/>
    <w:rsid w:val="03B03F5F"/>
    <w:rsid w:val="03E876F0"/>
    <w:rsid w:val="041360D4"/>
    <w:rsid w:val="04A3732E"/>
    <w:rsid w:val="04D94512"/>
    <w:rsid w:val="056F5792"/>
    <w:rsid w:val="05752AE4"/>
    <w:rsid w:val="05CC0F7D"/>
    <w:rsid w:val="069C190D"/>
    <w:rsid w:val="07A87A4E"/>
    <w:rsid w:val="07DA73FF"/>
    <w:rsid w:val="08176CED"/>
    <w:rsid w:val="086F49C7"/>
    <w:rsid w:val="087964C8"/>
    <w:rsid w:val="08BB4434"/>
    <w:rsid w:val="09CE381B"/>
    <w:rsid w:val="09EE603A"/>
    <w:rsid w:val="0B3134D9"/>
    <w:rsid w:val="0B406AAA"/>
    <w:rsid w:val="0BA577CB"/>
    <w:rsid w:val="0C482C28"/>
    <w:rsid w:val="0CA73CCC"/>
    <w:rsid w:val="0CC47B36"/>
    <w:rsid w:val="0D3F3B2A"/>
    <w:rsid w:val="0D8820CB"/>
    <w:rsid w:val="0E3E1F17"/>
    <w:rsid w:val="0E7C0AE1"/>
    <w:rsid w:val="0EA67540"/>
    <w:rsid w:val="0ED050B6"/>
    <w:rsid w:val="0F2513B7"/>
    <w:rsid w:val="0F447297"/>
    <w:rsid w:val="0F847DFE"/>
    <w:rsid w:val="0FB12275"/>
    <w:rsid w:val="0FFF3BC0"/>
    <w:rsid w:val="1010626A"/>
    <w:rsid w:val="1039039A"/>
    <w:rsid w:val="10560615"/>
    <w:rsid w:val="10AA73F0"/>
    <w:rsid w:val="10D35A56"/>
    <w:rsid w:val="10EA128B"/>
    <w:rsid w:val="117C250F"/>
    <w:rsid w:val="11900D53"/>
    <w:rsid w:val="12B40C51"/>
    <w:rsid w:val="130C2B75"/>
    <w:rsid w:val="138E404A"/>
    <w:rsid w:val="13F217DA"/>
    <w:rsid w:val="141F5483"/>
    <w:rsid w:val="143F3D4A"/>
    <w:rsid w:val="151B3275"/>
    <w:rsid w:val="154C18E3"/>
    <w:rsid w:val="15D97F77"/>
    <w:rsid w:val="161635D0"/>
    <w:rsid w:val="162B0CFD"/>
    <w:rsid w:val="164377FC"/>
    <w:rsid w:val="168F2A87"/>
    <w:rsid w:val="16DC516A"/>
    <w:rsid w:val="17293A2E"/>
    <w:rsid w:val="176176BF"/>
    <w:rsid w:val="178C4806"/>
    <w:rsid w:val="17DC5C70"/>
    <w:rsid w:val="17F60FF7"/>
    <w:rsid w:val="18135408"/>
    <w:rsid w:val="18602740"/>
    <w:rsid w:val="18942F6A"/>
    <w:rsid w:val="191D42A1"/>
    <w:rsid w:val="19264647"/>
    <w:rsid w:val="19A82017"/>
    <w:rsid w:val="1AAD74FA"/>
    <w:rsid w:val="1AC90CC1"/>
    <w:rsid w:val="1AE66ECB"/>
    <w:rsid w:val="1B286DF5"/>
    <w:rsid w:val="1B5221E6"/>
    <w:rsid w:val="1B687B20"/>
    <w:rsid w:val="1BA24AE0"/>
    <w:rsid w:val="1BDC21B3"/>
    <w:rsid w:val="1C0071E6"/>
    <w:rsid w:val="1CC7069D"/>
    <w:rsid w:val="1DC20007"/>
    <w:rsid w:val="1DD14AD9"/>
    <w:rsid w:val="1E911EAD"/>
    <w:rsid w:val="1FB7236F"/>
    <w:rsid w:val="204E4C84"/>
    <w:rsid w:val="20833376"/>
    <w:rsid w:val="209B680A"/>
    <w:rsid w:val="20D4680A"/>
    <w:rsid w:val="21004B7F"/>
    <w:rsid w:val="21053E73"/>
    <w:rsid w:val="21B44A3B"/>
    <w:rsid w:val="228C2DF9"/>
    <w:rsid w:val="22BC1253"/>
    <w:rsid w:val="23096527"/>
    <w:rsid w:val="23D96809"/>
    <w:rsid w:val="243E7F4C"/>
    <w:rsid w:val="245A195E"/>
    <w:rsid w:val="24944B2B"/>
    <w:rsid w:val="25244A12"/>
    <w:rsid w:val="253D46A9"/>
    <w:rsid w:val="25D415D6"/>
    <w:rsid w:val="25E4175D"/>
    <w:rsid w:val="25E65178"/>
    <w:rsid w:val="26066D6F"/>
    <w:rsid w:val="2637733D"/>
    <w:rsid w:val="26EE3495"/>
    <w:rsid w:val="270524A4"/>
    <w:rsid w:val="27B40A26"/>
    <w:rsid w:val="28067F6B"/>
    <w:rsid w:val="29341B91"/>
    <w:rsid w:val="2949481B"/>
    <w:rsid w:val="29BB3E30"/>
    <w:rsid w:val="2A3E006E"/>
    <w:rsid w:val="2A70266C"/>
    <w:rsid w:val="2AA849DB"/>
    <w:rsid w:val="2ACE4076"/>
    <w:rsid w:val="2ADA6188"/>
    <w:rsid w:val="2C601CDF"/>
    <w:rsid w:val="2CAF4FE2"/>
    <w:rsid w:val="2CD11333"/>
    <w:rsid w:val="2CD41AE4"/>
    <w:rsid w:val="2D044107"/>
    <w:rsid w:val="2D5673B6"/>
    <w:rsid w:val="2D834AC6"/>
    <w:rsid w:val="2D961593"/>
    <w:rsid w:val="2DFB5961"/>
    <w:rsid w:val="2EB259EE"/>
    <w:rsid w:val="2EBE1998"/>
    <w:rsid w:val="2ECE6FBD"/>
    <w:rsid w:val="2F9A04D8"/>
    <w:rsid w:val="2FA21B63"/>
    <w:rsid w:val="2FF46065"/>
    <w:rsid w:val="3036621A"/>
    <w:rsid w:val="30C1795E"/>
    <w:rsid w:val="3141083F"/>
    <w:rsid w:val="31814373"/>
    <w:rsid w:val="31B25CAD"/>
    <w:rsid w:val="32690F3C"/>
    <w:rsid w:val="328321BF"/>
    <w:rsid w:val="32D978B6"/>
    <w:rsid w:val="3316445A"/>
    <w:rsid w:val="33E54B54"/>
    <w:rsid w:val="341C7901"/>
    <w:rsid w:val="347A53A0"/>
    <w:rsid w:val="34A26068"/>
    <w:rsid w:val="34A473EA"/>
    <w:rsid w:val="35187B42"/>
    <w:rsid w:val="3530554F"/>
    <w:rsid w:val="35AB2FB9"/>
    <w:rsid w:val="361B0647"/>
    <w:rsid w:val="366E46F5"/>
    <w:rsid w:val="36C16F4C"/>
    <w:rsid w:val="36F14344"/>
    <w:rsid w:val="372402CF"/>
    <w:rsid w:val="37400F9C"/>
    <w:rsid w:val="375B2BA2"/>
    <w:rsid w:val="381C5244"/>
    <w:rsid w:val="38BF362E"/>
    <w:rsid w:val="39035400"/>
    <w:rsid w:val="39A70F96"/>
    <w:rsid w:val="39A76194"/>
    <w:rsid w:val="39D11A3D"/>
    <w:rsid w:val="39F24D85"/>
    <w:rsid w:val="3A5960C7"/>
    <w:rsid w:val="3AAC7411"/>
    <w:rsid w:val="3AE6311F"/>
    <w:rsid w:val="3B4B608F"/>
    <w:rsid w:val="3B8043D9"/>
    <w:rsid w:val="3BAA18C1"/>
    <w:rsid w:val="3BC61041"/>
    <w:rsid w:val="3C021495"/>
    <w:rsid w:val="3C682510"/>
    <w:rsid w:val="3D5167FA"/>
    <w:rsid w:val="3D5347E8"/>
    <w:rsid w:val="3DC77224"/>
    <w:rsid w:val="3E3F3CAD"/>
    <w:rsid w:val="3E4B57CD"/>
    <w:rsid w:val="3EC04513"/>
    <w:rsid w:val="3EC4080C"/>
    <w:rsid w:val="3F9754BF"/>
    <w:rsid w:val="40C05D2C"/>
    <w:rsid w:val="40DB4C9E"/>
    <w:rsid w:val="41067636"/>
    <w:rsid w:val="412766B4"/>
    <w:rsid w:val="41932D5F"/>
    <w:rsid w:val="41AD7F09"/>
    <w:rsid w:val="4316746B"/>
    <w:rsid w:val="441A1608"/>
    <w:rsid w:val="443C351C"/>
    <w:rsid w:val="4447497A"/>
    <w:rsid w:val="444D3F41"/>
    <w:rsid w:val="44B80DC9"/>
    <w:rsid w:val="46471156"/>
    <w:rsid w:val="464F1469"/>
    <w:rsid w:val="46624F01"/>
    <w:rsid w:val="46944301"/>
    <w:rsid w:val="46B13F80"/>
    <w:rsid w:val="46B72E01"/>
    <w:rsid w:val="47743A7A"/>
    <w:rsid w:val="479411BD"/>
    <w:rsid w:val="485D3271"/>
    <w:rsid w:val="48893CC9"/>
    <w:rsid w:val="494B6CBB"/>
    <w:rsid w:val="49DF0321"/>
    <w:rsid w:val="49F443F7"/>
    <w:rsid w:val="4A3F776D"/>
    <w:rsid w:val="4A413C1A"/>
    <w:rsid w:val="4A874006"/>
    <w:rsid w:val="4AB56AE2"/>
    <w:rsid w:val="4B305E5B"/>
    <w:rsid w:val="4B6827D6"/>
    <w:rsid w:val="4B7F7215"/>
    <w:rsid w:val="4C435059"/>
    <w:rsid w:val="4C826A9A"/>
    <w:rsid w:val="4D1F7F75"/>
    <w:rsid w:val="4D5A3970"/>
    <w:rsid w:val="4D7A3C6C"/>
    <w:rsid w:val="4DD81EEA"/>
    <w:rsid w:val="4E1876B1"/>
    <w:rsid w:val="4EAC1C59"/>
    <w:rsid w:val="4F5F20CF"/>
    <w:rsid w:val="4F964339"/>
    <w:rsid w:val="500962C5"/>
    <w:rsid w:val="50616E2C"/>
    <w:rsid w:val="50A7791B"/>
    <w:rsid w:val="50D62E10"/>
    <w:rsid w:val="50D96C11"/>
    <w:rsid w:val="510C4F82"/>
    <w:rsid w:val="514A239A"/>
    <w:rsid w:val="514F3E49"/>
    <w:rsid w:val="51DC356C"/>
    <w:rsid w:val="52F0017E"/>
    <w:rsid w:val="53254868"/>
    <w:rsid w:val="537A2E05"/>
    <w:rsid w:val="539A4E7D"/>
    <w:rsid w:val="548E59FF"/>
    <w:rsid w:val="55174531"/>
    <w:rsid w:val="55401831"/>
    <w:rsid w:val="55AA3DA8"/>
    <w:rsid w:val="5635556E"/>
    <w:rsid w:val="56AC249A"/>
    <w:rsid w:val="56B07E02"/>
    <w:rsid w:val="56CA4567"/>
    <w:rsid w:val="56F5036A"/>
    <w:rsid w:val="57506C15"/>
    <w:rsid w:val="57920E5A"/>
    <w:rsid w:val="58337298"/>
    <w:rsid w:val="584C1464"/>
    <w:rsid w:val="58A93EF0"/>
    <w:rsid w:val="591E0EED"/>
    <w:rsid w:val="5991734A"/>
    <w:rsid w:val="5B855D4B"/>
    <w:rsid w:val="5BCF26BE"/>
    <w:rsid w:val="5C2A4B2D"/>
    <w:rsid w:val="5C681A0E"/>
    <w:rsid w:val="5C8172F7"/>
    <w:rsid w:val="5CD01463"/>
    <w:rsid w:val="5D025D27"/>
    <w:rsid w:val="5D2C6105"/>
    <w:rsid w:val="5D3749CA"/>
    <w:rsid w:val="5E8C6D63"/>
    <w:rsid w:val="5ED90A7C"/>
    <w:rsid w:val="5F537F08"/>
    <w:rsid w:val="5F7D6A44"/>
    <w:rsid w:val="603C6E9D"/>
    <w:rsid w:val="60586323"/>
    <w:rsid w:val="60D7155E"/>
    <w:rsid w:val="619E0787"/>
    <w:rsid w:val="6237365E"/>
    <w:rsid w:val="623C32E9"/>
    <w:rsid w:val="624327CD"/>
    <w:rsid w:val="626562A0"/>
    <w:rsid w:val="62967221"/>
    <w:rsid w:val="62CC66A9"/>
    <w:rsid w:val="62ED7F92"/>
    <w:rsid w:val="63B308D1"/>
    <w:rsid w:val="63F2359A"/>
    <w:rsid w:val="63FB587B"/>
    <w:rsid w:val="64AE259C"/>
    <w:rsid w:val="64E91B8B"/>
    <w:rsid w:val="6501708E"/>
    <w:rsid w:val="65293A01"/>
    <w:rsid w:val="65C654BF"/>
    <w:rsid w:val="66097457"/>
    <w:rsid w:val="66552F6B"/>
    <w:rsid w:val="67006EDF"/>
    <w:rsid w:val="67C71B68"/>
    <w:rsid w:val="67E147C6"/>
    <w:rsid w:val="693410C2"/>
    <w:rsid w:val="693E4A08"/>
    <w:rsid w:val="69B8160E"/>
    <w:rsid w:val="6A023383"/>
    <w:rsid w:val="6A256BB1"/>
    <w:rsid w:val="6A573808"/>
    <w:rsid w:val="6A9406C9"/>
    <w:rsid w:val="6AEE37F9"/>
    <w:rsid w:val="6B496ACD"/>
    <w:rsid w:val="6BBF3EED"/>
    <w:rsid w:val="6BD733DC"/>
    <w:rsid w:val="6C857F64"/>
    <w:rsid w:val="6CFC2971"/>
    <w:rsid w:val="6D2930E2"/>
    <w:rsid w:val="6D3B3220"/>
    <w:rsid w:val="6D7E1BAC"/>
    <w:rsid w:val="6D9567F6"/>
    <w:rsid w:val="6DEC5AC7"/>
    <w:rsid w:val="6E1F5E9D"/>
    <w:rsid w:val="6E736221"/>
    <w:rsid w:val="6EF37353"/>
    <w:rsid w:val="6F643955"/>
    <w:rsid w:val="6F6D27DD"/>
    <w:rsid w:val="6FD15B87"/>
    <w:rsid w:val="70C753B7"/>
    <w:rsid w:val="712B5B7B"/>
    <w:rsid w:val="718645E4"/>
    <w:rsid w:val="718A3338"/>
    <w:rsid w:val="71946BA2"/>
    <w:rsid w:val="72796CFC"/>
    <w:rsid w:val="72BC026F"/>
    <w:rsid w:val="732E26DE"/>
    <w:rsid w:val="73844A23"/>
    <w:rsid w:val="74290F00"/>
    <w:rsid w:val="74532FA0"/>
    <w:rsid w:val="746C2F1E"/>
    <w:rsid w:val="74DA7B21"/>
    <w:rsid w:val="75893E7A"/>
    <w:rsid w:val="7627370E"/>
    <w:rsid w:val="763F56DB"/>
    <w:rsid w:val="76E25746"/>
    <w:rsid w:val="771D39DE"/>
    <w:rsid w:val="77C74EAF"/>
    <w:rsid w:val="77EE4B6B"/>
    <w:rsid w:val="77F27998"/>
    <w:rsid w:val="77F30895"/>
    <w:rsid w:val="7800791E"/>
    <w:rsid w:val="78317898"/>
    <w:rsid w:val="78F3290B"/>
    <w:rsid w:val="79B254A7"/>
    <w:rsid w:val="79DC38A9"/>
    <w:rsid w:val="79DD09BA"/>
    <w:rsid w:val="7A74797B"/>
    <w:rsid w:val="7B61384F"/>
    <w:rsid w:val="7BAB5AB3"/>
    <w:rsid w:val="7BC047A2"/>
    <w:rsid w:val="7BCA3DB5"/>
    <w:rsid w:val="7CB03955"/>
    <w:rsid w:val="7CFE3CDB"/>
    <w:rsid w:val="7D6E6034"/>
    <w:rsid w:val="7D7F63CC"/>
    <w:rsid w:val="7DD23977"/>
    <w:rsid w:val="7DFB7EE2"/>
    <w:rsid w:val="7E116918"/>
    <w:rsid w:val="7E15691B"/>
    <w:rsid w:val="7E7D7A68"/>
    <w:rsid w:val="7FA70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200" w:firstLineChars="200"/>
      <w:jc w:val="both"/>
    </w:pPr>
    <w:rPr>
      <w:rFonts w:ascii="Times New Roman" w:hAnsi="Times New Roman" w:eastAsia="仿宋_GB2312" w:cs="Times New Roman"/>
      <w:kern w:val="2"/>
      <w:sz w:val="32"/>
      <w:szCs w:val="21"/>
      <w:lang w:val="en-US" w:eastAsia="zh-CN" w:bidi="ar-SA"/>
    </w:rPr>
  </w:style>
  <w:style w:type="paragraph" w:styleId="3">
    <w:name w:val="heading 1"/>
    <w:basedOn w:val="1"/>
    <w:next w:val="1"/>
    <w:link w:val="29"/>
    <w:autoRedefine/>
    <w:qFormat/>
    <w:uiPriority w:val="9"/>
    <w:pPr>
      <w:keepNext/>
      <w:keepLines/>
      <w:spacing w:before="120" w:after="120"/>
      <w:outlineLvl w:val="0"/>
    </w:pPr>
    <w:rPr>
      <w:rFonts w:ascii="Times New Roman" w:hAnsi="Times New Roman" w:eastAsia="黑体"/>
      <w:bCs/>
      <w:kern w:val="44"/>
      <w:szCs w:val="44"/>
    </w:rPr>
  </w:style>
  <w:style w:type="paragraph" w:styleId="4">
    <w:name w:val="heading 2"/>
    <w:basedOn w:val="1"/>
    <w:next w:val="1"/>
    <w:link w:val="28"/>
    <w:autoRedefine/>
    <w:qFormat/>
    <w:uiPriority w:val="0"/>
    <w:pPr>
      <w:keepNext/>
      <w:keepLines/>
      <w:spacing w:before="120" w:after="60"/>
      <w:outlineLvl w:val="1"/>
    </w:pPr>
    <w:rPr>
      <w:rFonts w:ascii="等线 Light" w:hAnsi="等线 Light" w:eastAsia="楷体"/>
      <w:b/>
      <w:bCs/>
      <w:szCs w:val="32"/>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unhideWhenUsed/>
    <w:qFormat/>
    <w:uiPriority w:val="99"/>
    <w:pPr>
      <w:ind w:firstLine="420"/>
    </w:pPr>
  </w:style>
  <w:style w:type="paragraph" w:styleId="5">
    <w:name w:val="annotation text"/>
    <w:basedOn w:val="1"/>
    <w:link w:val="45"/>
    <w:autoRedefine/>
    <w:semiHidden/>
    <w:unhideWhenUsed/>
    <w:qFormat/>
    <w:uiPriority w:val="99"/>
    <w:pPr>
      <w:jc w:val="left"/>
    </w:pPr>
  </w:style>
  <w:style w:type="paragraph" w:styleId="6">
    <w:name w:val="Body Text Indent"/>
    <w:basedOn w:val="1"/>
    <w:link w:val="30"/>
    <w:autoRedefine/>
    <w:qFormat/>
    <w:uiPriority w:val="0"/>
    <w:pPr>
      <w:spacing w:after="120"/>
      <w:ind w:left="420" w:leftChars="200"/>
    </w:pPr>
  </w:style>
  <w:style w:type="paragraph" w:styleId="7">
    <w:name w:val="Balloon Text"/>
    <w:basedOn w:val="1"/>
    <w:link w:val="37"/>
    <w:autoRedefine/>
    <w:semiHidden/>
    <w:unhideWhenUsed/>
    <w:qFormat/>
    <w:uiPriority w:val="99"/>
    <w:pPr>
      <w:spacing w:line="240" w:lineRule="auto"/>
    </w:pPr>
    <w:rPr>
      <w:sz w:val="18"/>
      <w:szCs w:val="18"/>
    </w:rPr>
  </w:style>
  <w:style w:type="paragraph" w:styleId="8">
    <w:name w:val="footer"/>
    <w:basedOn w:val="1"/>
    <w:link w:val="26"/>
    <w:autoRedefine/>
    <w:unhideWhenUsed/>
    <w:qFormat/>
    <w:uiPriority w:val="99"/>
    <w:pPr>
      <w:tabs>
        <w:tab w:val="center" w:pos="4153"/>
        <w:tab w:val="right" w:pos="8306"/>
      </w:tabs>
      <w:snapToGrid w:val="0"/>
      <w:spacing w:line="240" w:lineRule="auto"/>
      <w:ind w:firstLine="0" w:firstLineChars="0"/>
      <w:jc w:val="left"/>
    </w:pPr>
    <w:rPr>
      <w:rFonts w:asciiTheme="minorHAnsi" w:hAnsiTheme="minorHAnsi" w:eastAsiaTheme="minorEastAsia" w:cstheme="minorBidi"/>
      <w:sz w:val="18"/>
      <w:szCs w:val="18"/>
    </w:rPr>
  </w:style>
  <w:style w:type="paragraph" w:styleId="9">
    <w:name w:val="header"/>
    <w:basedOn w:val="1"/>
    <w:link w:val="25"/>
    <w:autoRedefine/>
    <w:unhideWhenUsed/>
    <w:qFormat/>
    <w:uiPriority w:val="99"/>
    <w:pPr>
      <w:pBdr>
        <w:bottom w:val="single" w:color="auto" w:sz="6" w:space="1"/>
      </w:pBdr>
      <w:tabs>
        <w:tab w:val="center" w:pos="4153"/>
        <w:tab w:val="right" w:pos="8306"/>
      </w:tabs>
      <w:snapToGrid w:val="0"/>
      <w:spacing w:line="240" w:lineRule="auto"/>
      <w:ind w:firstLine="0" w:firstLineChars="0"/>
      <w:jc w:val="center"/>
    </w:pPr>
    <w:rPr>
      <w:rFonts w:asciiTheme="minorHAnsi" w:hAnsiTheme="minorHAnsi" w:eastAsiaTheme="minorEastAsia" w:cstheme="minorBidi"/>
      <w:sz w:val="18"/>
      <w:szCs w:val="18"/>
    </w:rPr>
  </w:style>
  <w:style w:type="paragraph" w:styleId="10">
    <w:name w:val="toc 1"/>
    <w:basedOn w:val="1"/>
    <w:next w:val="1"/>
    <w:unhideWhenUsed/>
    <w:qFormat/>
    <w:uiPriority w:val="39"/>
    <w:pPr>
      <w:tabs>
        <w:tab w:val="right" w:leader="dot" w:pos="8296"/>
      </w:tabs>
      <w:ind w:firstLine="0" w:firstLineChars="0"/>
      <w:jc w:val="center"/>
    </w:pPr>
    <w:rPr>
      <w:rFonts w:ascii="Times New Roman" w:hAnsi="Times New Roman" w:eastAsia="仿宋_GB2312"/>
      <w:sz w:val="32"/>
      <w:szCs w:val="28"/>
    </w:rPr>
  </w:style>
  <w:style w:type="paragraph" w:styleId="11">
    <w:name w:val="footnote text"/>
    <w:basedOn w:val="1"/>
    <w:autoRedefine/>
    <w:semiHidden/>
    <w:unhideWhenUsed/>
    <w:qFormat/>
    <w:uiPriority w:val="99"/>
    <w:pPr>
      <w:snapToGrid w:val="0"/>
      <w:jc w:val="left"/>
    </w:pPr>
    <w:rPr>
      <w:sz w:val="18"/>
    </w:rPr>
  </w:style>
  <w:style w:type="paragraph" w:styleId="12">
    <w:name w:val="toc 2"/>
    <w:basedOn w:val="1"/>
    <w:next w:val="1"/>
    <w:unhideWhenUsed/>
    <w:qFormat/>
    <w:uiPriority w:val="39"/>
    <w:pPr>
      <w:ind w:left="0" w:leftChars="0"/>
    </w:pPr>
    <w:rPr>
      <w:rFonts w:ascii="Times New Roman" w:hAnsi="Times New Roman"/>
    </w:rPr>
  </w:style>
  <w:style w:type="paragraph" w:styleId="13">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paragraph" w:styleId="14">
    <w:name w:val="annotation subject"/>
    <w:basedOn w:val="5"/>
    <w:next w:val="5"/>
    <w:link w:val="46"/>
    <w:autoRedefine/>
    <w:semiHidden/>
    <w:unhideWhenUsed/>
    <w:qFormat/>
    <w:uiPriority w:val="99"/>
    <w:rPr>
      <w:b/>
      <w:bCs/>
    </w:rPr>
  </w:style>
  <w:style w:type="paragraph" w:styleId="15">
    <w:name w:val="Body Text First Indent 2"/>
    <w:basedOn w:val="6"/>
    <w:autoRedefine/>
    <w:qFormat/>
    <w:uiPriority w:val="0"/>
    <w:pPr>
      <w:ind w:firstLine="420" w:firstLineChars="200"/>
    </w:pPr>
    <w:rPr>
      <w:rFonts w:ascii="Times New Roman" w:hAnsi="Times New Roman" w:eastAsia="宋体" w:cs="Times New Roman"/>
    </w:rPr>
  </w:style>
  <w:style w:type="table" w:styleId="17">
    <w:name w:val="Table Grid"/>
    <w:basedOn w:val="16"/>
    <w:autoRedefine/>
    <w:qFormat/>
    <w:uiPriority w:val="0"/>
    <w:pPr>
      <w:widowControl w:val="0"/>
      <w:jc w:val="both"/>
    </w:pPr>
    <w:rPr>
      <w:rFonts w:ascii="Calibri" w:hAnsi="Calibri"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FollowedHyperlink"/>
    <w:basedOn w:val="18"/>
    <w:autoRedefine/>
    <w:semiHidden/>
    <w:unhideWhenUsed/>
    <w:qFormat/>
    <w:uiPriority w:val="99"/>
    <w:rPr>
      <w:color w:val="333333"/>
      <w:u w:val="none"/>
    </w:rPr>
  </w:style>
  <w:style w:type="character" w:styleId="20">
    <w:name w:val="Emphasis"/>
    <w:autoRedefine/>
    <w:qFormat/>
    <w:uiPriority w:val="0"/>
    <w:rPr>
      <w:rFonts w:ascii="Times New Roman" w:hAnsi="Times New Roman" w:eastAsia="黑体"/>
      <w:iCs/>
      <w:sz w:val="24"/>
    </w:rPr>
  </w:style>
  <w:style w:type="character" w:styleId="21">
    <w:name w:val="Hyperlink"/>
    <w:basedOn w:val="18"/>
    <w:autoRedefine/>
    <w:unhideWhenUsed/>
    <w:qFormat/>
    <w:uiPriority w:val="99"/>
    <w:rPr>
      <w:color w:val="0000FF" w:themeColor="hyperlink"/>
      <w:u w:val="single"/>
      <w14:textFill>
        <w14:solidFill>
          <w14:schemeClr w14:val="hlink"/>
        </w14:solidFill>
      </w14:textFill>
    </w:rPr>
  </w:style>
  <w:style w:type="character" w:styleId="22">
    <w:name w:val="HTML Code"/>
    <w:basedOn w:val="18"/>
    <w:autoRedefine/>
    <w:semiHidden/>
    <w:unhideWhenUsed/>
    <w:qFormat/>
    <w:uiPriority w:val="99"/>
    <w:rPr>
      <w:rFonts w:ascii="Courier New" w:hAnsi="Courier New"/>
      <w:sz w:val="20"/>
    </w:rPr>
  </w:style>
  <w:style w:type="character" w:styleId="23">
    <w:name w:val="annotation reference"/>
    <w:basedOn w:val="18"/>
    <w:autoRedefine/>
    <w:semiHidden/>
    <w:unhideWhenUsed/>
    <w:qFormat/>
    <w:uiPriority w:val="99"/>
    <w:rPr>
      <w:sz w:val="21"/>
      <w:szCs w:val="21"/>
    </w:rPr>
  </w:style>
  <w:style w:type="character" w:styleId="24">
    <w:name w:val="footnote reference"/>
    <w:basedOn w:val="18"/>
    <w:autoRedefine/>
    <w:semiHidden/>
    <w:unhideWhenUsed/>
    <w:qFormat/>
    <w:uiPriority w:val="99"/>
    <w:rPr>
      <w:vertAlign w:val="superscript"/>
    </w:rPr>
  </w:style>
  <w:style w:type="character" w:customStyle="1" w:styleId="25">
    <w:name w:val="页眉 Char"/>
    <w:basedOn w:val="18"/>
    <w:link w:val="9"/>
    <w:autoRedefine/>
    <w:qFormat/>
    <w:uiPriority w:val="99"/>
    <w:rPr>
      <w:sz w:val="18"/>
      <w:szCs w:val="18"/>
    </w:rPr>
  </w:style>
  <w:style w:type="character" w:customStyle="1" w:styleId="26">
    <w:name w:val="页脚 Char"/>
    <w:basedOn w:val="18"/>
    <w:link w:val="8"/>
    <w:autoRedefine/>
    <w:qFormat/>
    <w:uiPriority w:val="99"/>
    <w:rPr>
      <w:sz w:val="18"/>
      <w:szCs w:val="18"/>
    </w:rPr>
  </w:style>
  <w:style w:type="paragraph" w:styleId="27">
    <w:name w:val="List Paragraph"/>
    <w:basedOn w:val="1"/>
    <w:autoRedefine/>
    <w:qFormat/>
    <w:uiPriority w:val="34"/>
    <w:pPr>
      <w:ind w:firstLine="420"/>
    </w:pPr>
  </w:style>
  <w:style w:type="character" w:customStyle="1" w:styleId="28">
    <w:name w:val="标题 2 Char"/>
    <w:basedOn w:val="18"/>
    <w:link w:val="4"/>
    <w:autoRedefine/>
    <w:qFormat/>
    <w:uiPriority w:val="0"/>
    <w:rPr>
      <w:rFonts w:ascii="等线 Light" w:hAnsi="等线 Light" w:eastAsia="楷体"/>
      <w:b/>
      <w:bCs/>
      <w:kern w:val="2"/>
      <w:sz w:val="32"/>
      <w:szCs w:val="32"/>
    </w:rPr>
  </w:style>
  <w:style w:type="character" w:customStyle="1" w:styleId="29">
    <w:name w:val="标题 1 Char"/>
    <w:basedOn w:val="18"/>
    <w:link w:val="3"/>
    <w:autoRedefine/>
    <w:qFormat/>
    <w:uiPriority w:val="9"/>
    <w:rPr>
      <w:rFonts w:ascii="Times New Roman" w:hAnsi="Times New Roman" w:eastAsia="黑体"/>
      <w:bCs/>
      <w:kern w:val="44"/>
      <w:sz w:val="32"/>
      <w:szCs w:val="44"/>
    </w:rPr>
  </w:style>
  <w:style w:type="character" w:customStyle="1" w:styleId="30">
    <w:name w:val="正文文本缩进 Char"/>
    <w:basedOn w:val="18"/>
    <w:link w:val="6"/>
    <w:autoRedefine/>
    <w:qFormat/>
    <w:uiPriority w:val="0"/>
    <w:rPr>
      <w:rFonts w:ascii="Times New Roman" w:hAnsi="Times New Roman" w:eastAsia="仿宋_GB2312" w:cs="Times New Roman"/>
      <w:sz w:val="32"/>
      <w:szCs w:val="21"/>
    </w:rPr>
  </w:style>
  <w:style w:type="paragraph" w:customStyle="1" w:styleId="31">
    <w:name w:val="表头"/>
    <w:basedOn w:val="1"/>
    <w:autoRedefine/>
    <w:qFormat/>
    <w:uiPriority w:val="0"/>
    <w:pPr>
      <w:spacing w:before="60" w:after="120" w:line="240" w:lineRule="auto"/>
      <w:ind w:firstLine="0" w:firstLineChars="0"/>
      <w:jc w:val="center"/>
    </w:pPr>
    <w:rPr>
      <w:rFonts w:ascii="Times New Roman" w:hAnsi="Times New Roman" w:eastAsia="黑体"/>
      <w:sz w:val="24"/>
    </w:rPr>
  </w:style>
  <w:style w:type="paragraph" w:customStyle="1" w:styleId="32">
    <w:name w:val="表格标题"/>
    <w:basedOn w:val="1"/>
    <w:autoRedefine/>
    <w:qFormat/>
    <w:uiPriority w:val="0"/>
    <w:pPr>
      <w:spacing w:before="120" w:after="60"/>
      <w:jc w:val="center"/>
    </w:pPr>
    <w:rPr>
      <w:rFonts w:eastAsia="黑体"/>
      <w:kern w:val="0"/>
      <w:sz w:val="24"/>
      <w:szCs w:val="28"/>
    </w:rPr>
  </w:style>
  <w:style w:type="table" w:customStyle="1" w:styleId="33">
    <w:name w:val="网格型1"/>
    <w:basedOn w:val="16"/>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4">
    <w:name w:val="报告正文"/>
    <w:basedOn w:val="1"/>
    <w:next w:val="6"/>
    <w:link w:val="35"/>
    <w:autoRedefine/>
    <w:qFormat/>
    <w:uiPriority w:val="0"/>
    <w:pPr>
      <w:ind w:firstLine="643"/>
    </w:pPr>
  </w:style>
  <w:style w:type="character" w:customStyle="1" w:styleId="35">
    <w:name w:val="报告正文 Char"/>
    <w:link w:val="34"/>
    <w:autoRedefine/>
    <w:qFormat/>
    <w:uiPriority w:val="0"/>
    <w:rPr>
      <w:rFonts w:ascii="Times New Roman" w:hAnsi="Times New Roman" w:eastAsia="仿宋_GB2312" w:cs="Times New Roman"/>
      <w:sz w:val="32"/>
      <w:szCs w:val="21"/>
    </w:rPr>
  </w:style>
  <w:style w:type="paragraph" w:customStyle="1" w:styleId="36">
    <w:name w:val="TOC 标题1"/>
    <w:basedOn w:val="3"/>
    <w:next w:val="1"/>
    <w:autoRedefine/>
    <w:semiHidden/>
    <w:unhideWhenUsed/>
    <w:qFormat/>
    <w:uiPriority w:val="39"/>
    <w:pPr>
      <w:widowControl/>
      <w:spacing w:before="480" w:after="0" w:line="276" w:lineRule="auto"/>
      <w:ind w:firstLine="0" w:firstLineChars="0"/>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7">
    <w:name w:val="批注框文本 Char"/>
    <w:basedOn w:val="18"/>
    <w:link w:val="7"/>
    <w:autoRedefine/>
    <w:semiHidden/>
    <w:qFormat/>
    <w:uiPriority w:val="99"/>
    <w:rPr>
      <w:rFonts w:ascii="Times New Roman" w:hAnsi="Times New Roman" w:eastAsia="仿宋_GB2312" w:cs="Times New Roman"/>
      <w:sz w:val="18"/>
      <w:szCs w:val="18"/>
    </w:rPr>
  </w:style>
  <w:style w:type="table" w:customStyle="1" w:styleId="38">
    <w:name w:val="网格型2"/>
    <w:basedOn w:val="16"/>
    <w:autoRedefine/>
    <w:qFormat/>
    <w:uiPriority w:val="0"/>
    <w:pPr>
      <w:widowControl w:val="0"/>
      <w:jc w:val="both"/>
    </w:pPr>
    <w:rPr>
      <w:rFonts w:ascii="Calibri" w:hAnsi="Calibri"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39">
    <w:name w:val="No Spacing"/>
    <w:autoRedefine/>
    <w:qFormat/>
    <w:uiPriority w:val="1"/>
    <w:pPr>
      <w:widowControl w:val="0"/>
      <w:ind w:firstLine="480" w:firstLineChars="200"/>
      <w:jc w:val="both"/>
    </w:pPr>
    <w:rPr>
      <w:rFonts w:ascii="Times New Roman" w:hAnsi="Times New Roman" w:eastAsia="仿宋_GB2312" w:cs="Times New Roman"/>
      <w:kern w:val="2"/>
      <w:sz w:val="32"/>
      <w:szCs w:val="21"/>
      <w:lang w:val="en-US" w:eastAsia="zh-CN" w:bidi="ar-SA"/>
    </w:rPr>
  </w:style>
  <w:style w:type="character" w:customStyle="1" w:styleId="40">
    <w:name w:val="不明显强调1"/>
    <w:basedOn w:val="18"/>
    <w:autoRedefine/>
    <w:qFormat/>
    <w:uiPriority w:val="19"/>
    <w:rPr>
      <w:i/>
      <w:iCs/>
      <w:color w:val="808080" w:themeColor="text1" w:themeTint="80"/>
      <w14:textFill>
        <w14:solidFill>
          <w14:schemeClr w14:val="tx1">
            <w14:lumMod w14:val="50000"/>
            <w14:lumOff w14:val="50000"/>
          </w14:schemeClr>
        </w14:solidFill>
      </w14:textFill>
    </w:rPr>
  </w:style>
  <w:style w:type="character" w:customStyle="1" w:styleId="41">
    <w:name w:val="明显强调1"/>
    <w:basedOn w:val="18"/>
    <w:autoRedefine/>
    <w:qFormat/>
    <w:uiPriority w:val="21"/>
    <w:rPr>
      <w:b/>
      <w:bCs/>
      <w:i/>
      <w:iCs/>
      <w:color w:val="4F81BD" w:themeColor="accent1"/>
      <w14:textFill>
        <w14:solidFill>
          <w14:schemeClr w14:val="accent1"/>
        </w14:solidFill>
      </w14:textFill>
    </w:rPr>
  </w:style>
  <w:style w:type="table" w:customStyle="1" w:styleId="42">
    <w:name w:val="网格型3"/>
    <w:basedOn w:val="16"/>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3">
    <w:name w:val="网格型4"/>
    <w:basedOn w:val="16"/>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4">
    <w:name w:val="网格型5"/>
    <w:basedOn w:val="16"/>
    <w:autoRedefine/>
    <w:qFormat/>
    <w:uiPriority w:val="0"/>
    <w:pPr>
      <w:widowControl w:val="0"/>
      <w:jc w:val="both"/>
    </w:pPr>
    <w:rPr>
      <w:rFonts w:ascii="Calibri" w:hAnsi="Calibri"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5">
    <w:name w:val="批注文字 Char"/>
    <w:basedOn w:val="18"/>
    <w:link w:val="5"/>
    <w:autoRedefine/>
    <w:semiHidden/>
    <w:qFormat/>
    <w:uiPriority w:val="99"/>
    <w:rPr>
      <w:rFonts w:eastAsia="仿宋_GB2312"/>
      <w:kern w:val="2"/>
      <w:sz w:val="32"/>
      <w:szCs w:val="21"/>
    </w:rPr>
  </w:style>
  <w:style w:type="character" w:customStyle="1" w:styleId="46">
    <w:name w:val="批注主题 Char"/>
    <w:basedOn w:val="45"/>
    <w:link w:val="14"/>
    <w:autoRedefine/>
    <w:semiHidden/>
    <w:qFormat/>
    <w:uiPriority w:val="99"/>
    <w:rPr>
      <w:rFonts w:eastAsia="仿宋_GB2312"/>
      <w:b/>
      <w:bCs/>
      <w:kern w:val="2"/>
      <w:sz w:val="32"/>
      <w:szCs w:val="21"/>
    </w:rPr>
  </w:style>
  <w:style w:type="character" w:customStyle="1" w:styleId="47">
    <w:name w:val="layui-laypage-curr"/>
    <w:basedOn w:val="18"/>
    <w:autoRedefine/>
    <w:qFormat/>
    <w:uiPriority w:val="0"/>
  </w:style>
  <w:style w:type="paragraph" w:customStyle="1" w:styleId="48">
    <w:name w:val="闻政正文"/>
    <w:basedOn w:val="1"/>
    <w:autoRedefine/>
    <w:qFormat/>
    <w:uiPriority w:val="0"/>
    <w:pPr>
      <w:spacing w:line="500" w:lineRule="exact"/>
      <w:ind w:firstLine="200" w:firstLineChars="200"/>
    </w:pPr>
    <w:rPr>
      <w:rFonts w:ascii="Times New Roman" w:hAnsi="Times New Roman" w:eastAsia="仿宋_GB2312" w:cs="Times New Roman"/>
      <w:kern w:val="0"/>
      <w:sz w:val="28"/>
      <w:szCs w:val="28"/>
      <w:lang w:val="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EC75A-BF6C-4828-BE49-DE8D0F999DD2}">
  <ds:schemaRefs/>
</ds:datastoreItem>
</file>

<file path=docProps/app.xml><?xml version="1.0" encoding="utf-8"?>
<Properties xmlns="http://schemas.openxmlformats.org/officeDocument/2006/extended-properties" xmlns:vt="http://schemas.openxmlformats.org/officeDocument/2006/docPropsVTypes">
  <Template>Normal</Template>
  <Pages>56</Pages>
  <Words>5035</Words>
  <Characters>28701</Characters>
  <Lines>239</Lines>
  <Paragraphs>67</Paragraphs>
  <TotalTime>7</TotalTime>
  <ScaleCrop>false</ScaleCrop>
  <LinksUpToDate>false</LinksUpToDate>
  <CharactersWithSpaces>33669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2020-03-30T02:25:00Z</dcterms:created>
  <dc:creator>Lenovo</dc:creator>
  <cp:lastModifiedBy>断尾的猫</cp:lastModifiedBy>
  <cp:lastPrinted>2021-12-16T07:40:00Z</cp:lastPrinted>
  <dcterms:modified xsi:type="dcterms:W3CDTF">2024-01-12T06:21:46Z</dcterms:modified>
  <cp:revision>1110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DB8F9EBFE5AC464A8E4BA7D0306B806F</vt:lpwstr>
  </property>
</Properties>
</file>