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2020年云岩区</w:t>
      </w:r>
      <w:r>
        <w:rPr>
          <w:rFonts w:hint="eastAsia" w:eastAsia="方正小标宋简体" w:cs="Times New Roman"/>
          <w:sz w:val="36"/>
          <w:szCs w:val="36"/>
          <w:lang w:val="en-US" w:eastAsia="zh-CN"/>
        </w:rPr>
        <w:t>疾病预防控制中心</w:t>
      </w:r>
      <w:r>
        <w:rPr>
          <w:rFonts w:hint="default" w:ascii="Times New Roman" w:hAnsi="Times New Roman" w:eastAsia="方正小标宋简体" w:cs="Times New Roman"/>
          <w:sz w:val="36"/>
          <w:szCs w:val="36"/>
          <w:lang w:val="en-US" w:eastAsia="zh-CN"/>
        </w:rPr>
        <w:t>疫情防控</w:t>
      </w:r>
      <w:r>
        <w:rPr>
          <w:rFonts w:hint="eastAsia" w:eastAsia="方正小标宋简体" w:cs="Times New Roman"/>
          <w:sz w:val="36"/>
          <w:szCs w:val="36"/>
          <w:lang w:val="en-US" w:eastAsia="zh-CN"/>
        </w:rPr>
        <w:t>经费</w:t>
      </w:r>
      <w:r>
        <w:rPr>
          <w:rFonts w:hint="default" w:ascii="Times New Roman" w:hAnsi="Times New Roman" w:eastAsia="方正小标宋简体" w:cs="Times New Roman"/>
          <w:sz w:val="36"/>
          <w:szCs w:val="36"/>
          <w:lang w:val="en-US" w:eastAsia="zh-CN"/>
        </w:rPr>
        <w:t>项目</w:t>
      </w:r>
      <w:r>
        <w:rPr>
          <w:rFonts w:hint="eastAsia" w:eastAsia="方正小标宋简体" w:cs="Times New Roman"/>
          <w:sz w:val="36"/>
          <w:szCs w:val="36"/>
          <w:lang w:val="en-US" w:eastAsia="zh-CN"/>
        </w:rPr>
        <w:t>预算财政</w:t>
      </w:r>
      <w:r>
        <w:rPr>
          <w:rFonts w:hint="default" w:ascii="Times New Roman" w:hAnsi="Times New Roman" w:eastAsia="方正小标宋简体" w:cs="Times New Roman"/>
          <w:sz w:val="36"/>
          <w:szCs w:val="36"/>
          <w:lang w:val="en-US" w:eastAsia="zh-CN"/>
        </w:rPr>
        <w:t>支出绩效评价</w:t>
      </w:r>
      <w:r>
        <w:rPr>
          <w:rFonts w:hint="eastAsia" w:ascii="Times New Roman" w:hAnsi="Times New Roman" w:eastAsia="方正小标宋简体" w:cs="Times New Roman"/>
          <w:sz w:val="36"/>
          <w:szCs w:val="36"/>
          <w:lang w:val="en-US" w:eastAsia="zh-CN"/>
        </w:rPr>
        <w:t>报告</w:t>
      </w:r>
    </w:p>
    <w:p/>
    <w:p>
      <w:pPr>
        <w:pStyle w:val="2"/>
        <w:keepNext w:val="0"/>
        <w:keepLines w:val="0"/>
        <w:pageBreakBefore w:val="0"/>
        <w:widowControl w:val="0"/>
        <w:numPr>
          <w:ilvl w:val="0"/>
          <w:numId w:val="1"/>
        </w:numPr>
        <w:kinsoku/>
        <w:wordWrap/>
        <w:overflowPunct/>
        <w:topLinePunct w:val="0"/>
        <w:autoSpaceDE/>
        <w:autoSpaceDN/>
        <w:bidi w:val="0"/>
        <w:adjustRightInd/>
        <w:snapToGrid/>
        <w:spacing w:before="120" w:after="120"/>
        <w:textAlignment w:val="auto"/>
        <w:outlineLvl w:val="0"/>
        <w:rPr>
          <w:rFonts w:hint="default" w:ascii="Times New Roman" w:hAnsi="Times New Roman" w:eastAsia="黑体" w:cs="Times New Roman"/>
          <w:lang w:val="en-US" w:eastAsia="zh-CN"/>
        </w:rPr>
      </w:pPr>
      <w:bookmarkStart w:id="0" w:name="_Toc22480"/>
      <w:r>
        <w:rPr>
          <w:rFonts w:hint="default" w:ascii="Times New Roman" w:hAnsi="Times New Roman" w:eastAsia="黑体" w:cs="Times New Roman"/>
          <w:lang w:val="en-US" w:eastAsia="zh-CN"/>
        </w:rPr>
        <w:t>基本情况</w:t>
      </w:r>
      <w:bookmarkEnd w:id="0"/>
    </w:p>
    <w:p>
      <w:pPr>
        <w:pStyle w:val="2"/>
        <w:keepNext w:val="0"/>
        <w:keepLines w:val="0"/>
        <w:pageBreakBefore w:val="0"/>
        <w:widowControl w:val="0"/>
        <w:numPr>
          <w:ilvl w:val="0"/>
          <w:numId w:val="2"/>
        </w:numPr>
        <w:kinsoku/>
        <w:wordWrap/>
        <w:overflowPunct/>
        <w:topLinePunct w:val="0"/>
        <w:autoSpaceDE/>
        <w:autoSpaceDN/>
        <w:bidi w:val="0"/>
        <w:adjustRightInd/>
        <w:snapToGrid/>
        <w:spacing w:before="120" w:after="60"/>
        <w:ind w:left="220" w:leftChars="0" w:firstLineChars="0"/>
        <w:textAlignment w:val="auto"/>
        <w:outlineLvl w:val="1"/>
        <w:rPr>
          <w:rFonts w:hint="default" w:ascii="Times New Roman" w:hAnsi="Times New Roman" w:eastAsia="楷体" w:cs="Times New Roman"/>
          <w:b/>
          <w:bCs/>
          <w:color w:val="000000" w:themeColor="text1"/>
          <w:lang w:val="en-US" w:eastAsia="zh-CN"/>
          <w14:textFill>
            <w14:solidFill>
              <w14:schemeClr w14:val="tx1"/>
            </w14:solidFill>
          </w14:textFill>
        </w:rPr>
      </w:pPr>
      <w:bookmarkStart w:id="1" w:name="_Toc2213"/>
      <w:r>
        <w:rPr>
          <w:rFonts w:hint="default" w:ascii="Times New Roman" w:hAnsi="Times New Roman" w:eastAsia="楷体" w:cs="Times New Roman"/>
          <w:b/>
          <w:bCs/>
          <w:color w:val="000000" w:themeColor="text1"/>
          <w:lang w:val="en-US" w:eastAsia="zh-CN"/>
          <w14:textFill>
            <w14:solidFill>
              <w14:schemeClr w14:val="tx1"/>
            </w14:solidFill>
          </w14:textFill>
        </w:rPr>
        <w:t>项目</w:t>
      </w:r>
      <w:r>
        <w:rPr>
          <w:rFonts w:hint="eastAsia" w:ascii="Times New Roman" w:hAnsi="Times New Roman" w:eastAsia="楷体" w:cs="Times New Roman"/>
          <w:b/>
          <w:bCs/>
          <w:color w:val="000000" w:themeColor="text1"/>
          <w:lang w:val="en-US" w:eastAsia="zh-CN"/>
          <w14:textFill>
            <w14:solidFill>
              <w14:schemeClr w14:val="tx1"/>
            </w14:solidFill>
          </w14:textFill>
        </w:rPr>
        <w:t>背景</w:t>
      </w:r>
      <w:bookmarkEnd w:id="1"/>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color w:val="000000" w:themeColor="text1"/>
          <w:kern w:val="2"/>
          <w:sz w:val="32"/>
          <w:szCs w:val="24"/>
          <w:lang w:val="en-US" w:eastAsia="zh-CN" w:bidi="ar-SA"/>
          <w14:textFill>
            <w14:solidFill>
              <w14:schemeClr w14:val="tx1"/>
            </w14:solidFill>
          </w14:textFill>
        </w:rPr>
        <w:t>20</w:t>
      </w:r>
      <w:r>
        <w:rPr>
          <w:rFonts w:hint="eastAsia" w:cs="Times New Roman"/>
          <w:color w:val="000000" w:themeColor="text1"/>
          <w:kern w:val="2"/>
          <w:sz w:val="32"/>
          <w:szCs w:val="24"/>
          <w:lang w:val="en-US" w:eastAsia="zh-CN" w:bidi="ar-SA"/>
          <w14:textFill>
            <w14:solidFill>
              <w14:schemeClr w14:val="tx1"/>
            </w14:solidFill>
          </w14:textFill>
        </w:rPr>
        <w:t>19</w:t>
      </w:r>
      <w:r>
        <w:rPr>
          <w:rFonts w:hint="default" w:ascii="Times New Roman" w:hAnsi="Times New Roman" w:eastAsia="仿宋_GB2312" w:cs="Times New Roman"/>
          <w:color w:val="000000" w:themeColor="text1"/>
          <w:kern w:val="2"/>
          <w:sz w:val="32"/>
          <w:szCs w:val="24"/>
          <w:lang w:val="en-US" w:eastAsia="zh-CN" w:bidi="ar-SA"/>
          <w14:textFill>
            <w14:solidFill>
              <w14:schemeClr w14:val="tx1"/>
            </w14:solidFill>
          </w14:textFill>
        </w:rPr>
        <w:t>年12月</w:t>
      </w:r>
      <w:r>
        <w:rPr>
          <w:rFonts w:hint="default" w:ascii="Times New Roman" w:hAnsi="Times New Roman" w:cs="Times New Roman"/>
          <w:color w:val="000000" w:themeColor="text1"/>
          <w:kern w:val="2"/>
          <w:sz w:val="32"/>
          <w:szCs w:val="24"/>
          <w:lang w:val="en-US" w:eastAsia="zh-CN" w:bidi="ar-SA"/>
          <w14:textFill>
            <w14:solidFill>
              <w14:schemeClr w14:val="tx1"/>
            </w14:solidFill>
          </w14:textFill>
        </w:rPr>
        <w:t>8</w:t>
      </w:r>
      <w:r>
        <w:rPr>
          <w:rFonts w:hint="default" w:ascii="Times New Roman" w:hAnsi="Times New Roman" w:eastAsia="仿宋_GB2312" w:cs="Times New Roman"/>
          <w:color w:val="000000" w:themeColor="text1"/>
          <w:kern w:val="2"/>
          <w:sz w:val="32"/>
          <w:szCs w:val="24"/>
          <w:lang w:val="en-US" w:eastAsia="zh-CN" w:bidi="ar-SA"/>
          <w14:textFill>
            <w14:solidFill>
              <w14:schemeClr w14:val="tx1"/>
            </w14:solidFill>
          </w14:textFill>
        </w:rPr>
        <w:t>日，湖北省武汉市发现一例不明原因肺炎患者，</w:t>
      </w:r>
      <w:r>
        <w:rPr>
          <w:rFonts w:hint="eastAsia" w:cs="Times New Roman"/>
          <w:color w:val="000000" w:themeColor="text1"/>
          <w:kern w:val="2"/>
          <w:sz w:val="32"/>
          <w:szCs w:val="24"/>
          <w:lang w:val="en-US" w:eastAsia="zh-CN" w:bidi="ar-SA"/>
          <w14:textFill>
            <w14:solidFill>
              <w14:schemeClr w14:val="tx1"/>
            </w14:solidFill>
          </w14:textFill>
        </w:rPr>
        <w:t>由此</w:t>
      </w:r>
      <w:r>
        <w:rPr>
          <w:rFonts w:hint="default" w:ascii="Times New Roman" w:hAnsi="Times New Roman" w:eastAsia="仿宋_GB2312" w:cs="Times New Roman"/>
          <w:color w:val="000000" w:themeColor="text1"/>
          <w:kern w:val="2"/>
          <w:sz w:val="32"/>
          <w:szCs w:val="24"/>
          <w:lang w:val="en-US" w:eastAsia="zh-CN" w:bidi="ar-SA"/>
          <w14:textFill>
            <w14:solidFill>
              <w14:schemeClr w14:val="tx1"/>
            </w14:solidFill>
          </w14:textFill>
        </w:rPr>
        <w:t>新型冠状病毒肺炎疫情</w:t>
      </w:r>
      <w:r>
        <w:rPr>
          <w:rFonts w:hint="eastAsia" w:cs="Times New Roman"/>
          <w:color w:val="000000" w:themeColor="text1"/>
          <w:kern w:val="2"/>
          <w:sz w:val="32"/>
          <w:szCs w:val="24"/>
          <w:lang w:val="en-US" w:eastAsia="zh-CN" w:bidi="ar-SA"/>
          <w14:textFill>
            <w14:solidFill>
              <w14:schemeClr w14:val="tx1"/>
            </w14:solidFill>
          </w14:textFill>
        </w:rPr>
        <w:t>在中国迅速传播</w:t>
      </w:r>
      <w:r>
        <w:rPr>
          <w:rFonts w:hint="default" w:ascii="Times New Roman" w:hAnsi="Times New Roman" w:eastAsia="仿宋_GB2312" w:cs="Times New Roman"/>
          <w:color w:val="000000" w:themeColor="text1"/>
          <w:kern w:val="2"/>
          <w:sz w:val="32"/>
          <w:szCs w:val="24"/>
          <w:lang w:val="en-US" w:eastAsia="zh-CN" w:bidi="ar-SA"/>
          <w14:textFill>
            <w14:solidFill>
              <w14:schemeClr w14:val="tx1"/>
            </w14:solidFill>
          </w14:textFill>
        </w:rPr>
        <w:t>。为打赢疫情防控阻击战，</w:t>
      </w:r>
      <w:r>
        <w:rPr>
          <w:rFonts w:hint="default" w:ascii="Times New Roman" w:hAnsi="Times New Roman" w:eastAsia="仿宋_GB2312" w:cs="Times New Roman"/>
          <w:kern w:val="2"/>
          <w:sz w:val="32"/>
          <w:szCs w:val="24"/>
          <w:lang w:val="en-US" w:eastAsia="zh-CN" w:bidi="ar-SA"/>
        </w:rPr>
        <w:t>202</w:t>
      </w:r>
      <w:r>
        <w:rPr>
          <w:rFonts w:hint="default" w:ascii="Times New Roman" w:hAnsi="Times New Roman" w:cs="Times New Roman"/>
          <w:kern w:val="2"/>
          <w:sz w:val="32"/>
          <w:szCs w:val="24"/>
          <w:lang w:val="en-US" w:eastAsia="zh-CN" w:bidi="ar-SA"/>
        </w:rPr>
        <w:t>0</w:t>
      </w:r>
      <w:r>
        <w:rPr>
          <w:rFonts w:hint="default" w:ascii="Times New Roman" w:hAnsi="Times New Roman" w:eastAsia="仿宋_GB2312" w:cs="Times New Roman"/>
          <w:kern w:val="2"/>
          <w:sz w:val="32"/>
          <w:szCs w:val="24"/>
          <w:lang w:val="en-US" w:eastAsia="zh-CN" w:bidi="ar-SA"/>
        </w:rPr>
        <w:t>年1月20日，国务院联防联控机制根据中共中央总书记、国家主席、中央军委主席习近平对疫情防控工作的重要指示</w:t>
      </w:r>
      <w:r>
        <w:rPr>
          <w:rFonts w:hint="eastAsia" w:cs="Times New Roman"/>
          <w:kern w:val="2"/>
          <w:sz w:val="32"/>
          <w:szCs w:val="24"/>
          <w:lang w:val="en-US" w:eastAsia="zh-CN" w:bidi="ar-SA"/>
        </w:rPr>
        <w:t>和</w:t>
      </w:r>
      <w:r>
        <w:rPr>
          <w:rFonts w:hint="default" w:ascii="Times New Roman" w:hAnsi="Times New Roman" w:eastAsia="仿宋_GB2312" w:cs="Times New Roman"/>
          <w:kern w:val="2"/>
          <w:sz w:val="32"/>
          <w:szCs w:val="24"/>
          <w:lang w:val="en-US" w:eastAsia="zh-CN" w:bidi="ar-SA"/>
        </w:rPr>
        <w:t>中共中央政治局常委、国务院总理李克强对疫情防控工作的要求，对新型冠状病毒感染的肺炎疫情防控工作进行全面部署</w:t>
      </w:r>
      <w:r>
        <w:rPr>
          <w:rFonts w:hint="default" w:ascii="Times New Roman" w:hAnsi="Times New Roman" w:cs="Times New Roman"/>
          <w:kern w:val="2"/>
          <w:sz w:val="32"/>
          <w:szCs w:val="24"/>
          <w:lang w:val="en-US" w:eastAsia="zh-CN" w:bidi="ar-SA"/>
        </w:rPr>
        <w:t>；</w:t>
      </w:r>
      <w:r>
        <w:rPr>
          <w:rFonts w:hint="default" w:ascii="Times New Roman" w:hAnsi="Times New Roman" w:eastAsia="仿宋_GB2312" w:cs="Times New Roman"/>
          <w:kern w:val="2"/>
          <w:sz w:val="32"/>
          <w:szCs w:val="24"/>
          <w:lang w:val="en-US" w:eastAsia="zh-CN" w:bidi="ar-SA"/>
        </w:rPr>
        <w:t>国家卫生健康委成立新型冠状病毒感染的肺炎应对处置工作领导小组，指导地方做好疫情应对处置工作</w:t>
      </w:r>
      <w:r>
        <w:rPr>
          <w:rFonts w:hint="default" w:ascii="Times New Roman" w:hAnsi="Times New Roman" w:cs="Times New Roman"/>
          <w:kern w:val="2"/>
          <w:sz w:val="32"/>
          <w:szCs w:val="24"/>
          <w:lang w:val="en-US"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微软雅黑" w:cs="Times New Roman"/>
          <w:i w:val="0"/>
          <w:iCs w:val="0"/>
          <w:caps w:val="0"/>
          <w:color w:val="0000FF"/>
          <w:spacing w:val="0"/>
          <w:sz w:val="24"/>
          <w:szCs w:val="24"/>
          <w:shd w:val="clear" w:fill="FFFFFF"/>
        </w:rPr>
      </w:pPr>
      <w:r>
        <w:rPr>
          <w:rFonts w:hint="default" w:ascii="Times New Roman" w:hAnsi="Times New Roman" w:cs="Times New Roman"/>
          <w:kern w:val="2"/>
          <w:sz w:val="32"/>
          <w:szCs w:val="24"/>
          <w:lang w:val="en-US" w:eastAsia="zh-CN" w:bidi="ar-SA"/>
        </w:rPr>
        <w:t>2020年1月24日，根据《贵州省突发公共卫生事件应急预案》</w:t>
      </w:r>
      <w:r>
        <w:rPr>
          <w:rFonts w:hint="eastAsia" w:cs="Times New Roman"/>
          <w:kern w:val="2"/>
          <w:sz w:val="32"/>
          <w:szCs w:val="24"/>
          <w:lang w:val="en-US" w:eastAsia="zh-CN" w:bidi="ar-SA"/>
        </w:rPr>
        <w:t>、</w:t>
      </w:r>
      <w:r>
        <w:rPr>
          <w:rFonts w:hint="default" w:ascii="Times New Roman" w:hAnsi="Times New Roman" w:cs="Times New Roman"/>
          <w:kern w:val="2"/>
          <w:sz w:val="32"/>
          <w:szCs w:val="24"/>
          <w:lang w:val="en-US" w:eastAsia="zh-CN" w:bidi="ar-SA"/>
        </w:rPr>
        <w:t>习近平</w:t>
      </w:r>
      <w:r>
        <w:rPr>
          <w:rFonts w:hint="eastAsia" w:cs="Times New Roman"/>
          <w:kern w:val="2"/>
          <w:sz w:val="32"/>
          <w:szCs w:val="24"/>
          <w:lang w:val="en-US" w:eastAsia="zh-CN" w:bidi="ar-SA"/>
        </w:rPr>
        <w:t>和</w:t>
      </w:r>
      <w:r>
        <w:rPr>
          <w:rFonts w:hint="default" w:ascii="Times New Roman" w:hAnsi="Times New Roman" w:cs="Times New Roman"/>
          <w:kern w:val="2"/>
          <w:sz w:val="32"/>
          <w:szCs w:val="24"/>
          <w:lang w:val="en-US" w:eastAsia="zh-CN" w:bidi="ar-SA"/>
        </w:rPr>
        <w:t>李克强重要指示和批示</w:t>
      </w:r>
      <w:r>
        <w:rPr>
          <w:rFonts w:hint="eastAsia" w:cs="Times New Roman"/>
          <w:kern w:val="2"/>
          <w:sz w:val="32"/>
          <w:szCs w:val="24"/>
          <w:lang w:val="en-US" w:eastAsia="zh-CN" w:bidi="ar-SA"/>
        </w:rPr>
        <w:t>，</w:t>
      </w:r>
      <w:r>
        <w:rPr>
          <w:rFonts w:hint="default" w:ascii="Times New Roman" w:hAnsi="Times New Roman" w:cs="Times New Roman"/>
          <w:kern w:val="2"/>
          <w:sz w:val="32"/>
          <w:szCs w:val="24"/>
          <w:lang w:val="en-US" w:eastAsia="zh-CN" w:bidi="ar-SA"/>
        </w:rPr>
        <w:t>国家联防联控机制</w:t>
      </w:r>
      <w:r>
        <w:rPr>
          <w:rFonts w:hint="eastAsia" w:cs="Times New Roman"/>
          <w:kern w:val="2"/>
          <w:sz w:val="32"/>
          <w:szCs w:val="24"/>
          <w:lang w:val="en-US" w:eastAsia="zh-CN" w:bidi="ar-SA"/>
        </w:rPr>
        <w:t>及</w:t>
      </w:r>
      <w:r>
        <w:rPr>
          <w:rFonts w:hint="default" w:ascii="Times New Roman" w:hAnsi="Times New Roman" w:cs="Times New Roman"/>
          <w:kern w:val="2"/>
          <w:sz w:val="32"/>
          <w:szCs w:val="24"/>
          <w:lang w:val="en-US" w:eastAsia="zh-CN" w:bidi="ar-SA"/>
        </w:rPr>
        <w:t>国家卫生健康委相关文件的要求,贵州省人民政府启动重大突发公共卫生事件一级响应，全力阻击新型冠状病毒感染的肺炎疫情，</w:t>
      </w:r>
      <w:r>
        <w:rPr>
          <w:rFonts w:hint="eastAsia" w:ascii="Times New Roman" w:hAnsi="Times New Roman" w:cs="Times New Roman"/>
          <w:kern w:val="2"/>
          <w:sz w:val="32"/>
          <w:szCs w:val="24"/>
          <w:lang w:val="en-US" w:eastAsia="zh-CN" w:bidi="ar-SA"/>
        </w:rPr>
        <w:t>并</w:t>
      </w:r>
      <w:r>
        <w:rPr>
          <w:rFonts w:hint="default" w:ascii="Times New Roman" w:hAnsi="Times New Roman" w:cs="Times New Roman"/>
          <w:kern w:val="2"/>
          <w:sz w:val="32"/>
          <w:szCs w:val="24"/>
          <w:lang w:val="en-US" w:eastAsia="zh-CN" w:bidi="ar-SA"/>
        </w:rPr>
        <w:t>要求各级部门</w:t>
      </w:r>
      <w:r>
        <w:rPr>
          <w:rFonts w:hint="eastAsia" w:ascii="Times New Roman" w:hAnsi="Times New Roman" w:cs="Times New Roman"/>
          <w:kern w:val="2"/>
          <w:sz w:val="32"/>
          <w:szCs w:val="24"/>
          <w:lang w:val="en-US" w:eastAsia="zh-CN" w:bidi="ar-SA"/>
        </w:rPr>
        <w:t>认真贯彻</w:t>
      </w:r>
      <w:r>
        <w:rPr>
          <w:rFonts w:hint="default" w:ascii="Times New Roman" w:hAnsi="Times New Roman" w:cs="Times New Roman"/>
          <w:kern w:val="2"/>
          <w:sz w:val="32"/>
          <w:szCs w:val="24"/>
          <w:lang w:val="en-US" w:eastAsia="zh-CN" w:bidi="ar-SA"/>
        </w:rPr>
        <w:t>落实。</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云岩区疾病预防控制中心为保障全区疫情防控工作</w:t>
      </w:r>
      <w:r>
        <w:rPr>
          <w:rFonts w:hint="default" w:ascii="Times New Roman" w:hAnsi="Times New Roman" w:cs="Times New Roman"/>
          <w:kern w:val="2"/>
          <w:sz w:val="32"/>
          <w:szCs w:val="24"/>
          <w:lang w:val="en-US" w:eastAsia="zh-CN" w:bidi="ar-SA"/>
        </w:rPr>
        <w:t>顺利</w:t>
      </w:r>
      <w:r>
        <w:rPr>
          <w:rFonts w:hint="eastAsia" w:cs="Times New Roman"/>
          <w:kern w:val="2"/>
          <w:sz w:val="32"/>
          <w:szCs w:val="24"/>
          <w:lang w:val="en-US" w:eastAsia="zh-CN" w:bidi="ar-SA"/>
        </w:rPr>
        <w:t>开展</w:t>
      </w:r>
      <w:r>
        <w:rPr>
          <w:rFonts w:hint="default" w:ascii="Times New Roman" w:hAnsi="Times New Roman" w:eastAsia="仿宋_GB2312" w:cs="Times New Roman"/>
          <w:kern w:val="2"/>
          <w:sz w:val="32"/>
          <w:szCs w:val="24"/>
          <w:lang w:val="en-US" w:eastAsia="zh-CN" w:bidi="ar-SA"/>
        </w:rPr>
        <w:t>，做好长期疫情防控准备，</w:t>
      </w:r>
      <w:r>
        <w:rPr>
          <w:rFonts w:hint="default" w:ascii="Times New Roman" w:hAnsi="Times New Roman" w:cs="Times New Roman"/>
          <w:kern w:val="2"/>
          <w:sz w:val="32"/>
          <w:szCs w:val="24"/>
          <w:highlight w:val="none"/>
          <w:lang w:val="en-US" w:eastAsia="zh-CN" w:bidi="ar-SA"/>
        </w:rPr>
        <w:t>为</w:t>
      </w:r>
      <w:r>
        <w:rPr>
          <w:rFonts w:hint="eastAsia" w:cs="Times New Roman"/>
          <w:kern w:val="2"/>
          <w:sz w:val="32"/>
          <w:szCs w:val="24"/>
          <w:highlight w:val="none"/>
          <w:lang w:val="en-US" w:eastAsia="zh-CN" w:bidi="ar-SA"/>
        </w:rPr>
        <w:t>确保</w:t>
      </w:r>
      <w:r>
        <w:rPr>
          <w:rFonts w:hint="default" w:ascii="Times New Roman" w:hAnsi="Times New Roman" w:cs="Times New Roman"/>
          <w:kern w:val="2"/>
          <w:sz w:val="32"/>
          <w:szCs w:val="24"/>
          <w:highlight w:val="none"/>
          <w:lang w:val="en-US" w:eastAsia="zh-CN" w:bidi="ar-SA"/>
        </w:rPr>
        <w:t>疫情防控物资供应满足疫情防控工作需求，</w:t>
      </w:r>
      <w:r>
        <w:rPr>
          <w:rFonts w:hint="default" w:ascii="Times New Roman" w:hAnsi="Times New Roman" w:eastAsia="仿宋_GB2312" w:cs="Times New Roman"/>
          <w:kern w:val="2"/>
          <w:sz w:val="32"/>
          <w:szCs w:val="24"/>
          <w:lang w:val="en-US" w:eastAsia="zh-CN" w:bidi="ar-SA"/>
        </w:rPr>
        <w:t>设立</w:t>
      </w:r>
      <w:r>
        <w:rPr>
          <w:rFonts w:hint="default" w:ascii="Times New Roman" w:hAnsi="Times New Roman" w:cs="Times New Roman"/>
          <w:kern w:val="2"/>
          <w:sz w:val="32"/>
          <w:szCs w:val="24"/>
          <w:lang w:val="en-US" w:eastAsia="zh-CN" w:bidi="ar-SA"/>
        </w:rPr>
        <w:t>2020年云岩区疫情防控</w:t>
      </w:r>
      <w:r>
        <w:rPr>
          <w:rFonts w:hint="eastAsia" w:cs="Times New Roman"/>
          <w:kern w:val="2"/>
          <w:sz w:val="32"/>
          <w:szCs w:val="24"/>
          <w:lang w:val="en-US" w:eastAsia="zh-CN" w:bidi="ar-SA"/>
        </w:rPr>
        <w:t>经费</w:t>
      </w:r>
      <w:r>
        <w:rPr>
          <w:rFonts w:hint="default" w:ascii="Times New Roman" w:hAnsi="Times New Roman" w:cs="Times New Roman"/>
          <w:kern w:val="2"/>
          <w:sz w:val="32"/>
          <w:szCs w:val="24"/>
          <w:lang w:val="en-US" w:eastAsia="zh-CN" w:bidi="ar-SA"/>
        </w:rPr>
        <w:t>项目</w:t>
      </w:r>
      <w:r>
        <w:rPr>
          <w:rFonts w:hint="default" w:ascii="Times New Roman" w:hAnsi="Times New Roman" w:eastAsia="仿宋_GB2312" w:cs="Times New Roman"/>
          <w:kern w:val="2"/>
          <w:sz w:val="32"/>
          <w:szCs w:val="24"/>
          <w:lang w:val="en-US" w:eastAsia="zh-CN" w:bidi="ar-SA"/>
        </w:rPr>
        <w:t>。</w:t>
      </w:r>
    </w:p>
    <w:p>
      <w:pPr>
        <w:pStyle w:val="2"/>
        <w:keepNext w:val="0"/>
        <w:keepLines w:val="0"/>
        <w:pageBreakBefore w:val="0"/>
        <w:widowControl w:val="0"/>
        <w:numPr>
          <w:ilvl w:val="0"/>
          <w:numId w:val="2"/>
        </w:numPr>
        <w:kinsoku/>
        <w:wordWrap/>
        <w:overflowPunct/>
        <w:topLinePunct w:val="0"/>
        <w:autoSpaceDE/>
        <w:autoSpaceDN/>
        <w:bidi w:val="0"/>
        <w:adjustRightInd/>
        <w:snapToGrid/>
        <w:spacing w:before="120" w:after="60"/>
        <w:ind w:left="220" w:leftChars="0" w:firstLineChars="0"/>
        <w:textAlignment w:val="auto"/>
        <w:outlineLvl w:val="1"/>
        <w:rPr>
          <w:rFonts w:hint="default" w:ascii="Times New Roman" w:hAnsi="Times New Roman" w:eastAsia="楷体" w:cs="Times New Roman"/>
          <w:b/>
          <w:bCs/>
          <w:lang w:val="en-US" w:eastAsia="zh-CN"/>
        </w:rPr>
      </w:pPr>
      <w:bookmarkStart w:id="2" w:name="_Toc30775"/>
      <w:r>
        <w:rPr>
          <w:rFonts w:hint="default" w:ascii="Times New Roman" w:hAnsi="Times New Roman" w:eastAsia="楷体" w:cs="Times New Roman"/>
          <w:b/>
          <w:bCs/>
          <w:lang w:val="en-US" w:eastAsia="zh-CN"/>
        </w:rPr>
        <w:t>项目实施内容</w:t>
      </w:r>
      <w:r>
        <w:rPr>
          <w:rFonts w:hint="eastAsia" w:eastAsia="楷体" w:cs="Times New Roman"/>
          <w:b/>
          <w:bCs/>
          <w:lang w:val="en-US" w:eastAsia="zh-CN"/>
        </w:rPr>
        <w:t>及</w:t>
      </w:r>
      <w:r>
        <w:rPr>
          <w:rFonts w:hint="default" w:ascii="Times New Roman" w:hAnsi="Times New Roman" w:eastAsia="楷体" w:cs="Times New Roman"/>
          <w:b/>
          <w:bCs/>
          <w:lang w:val="en-US" w:eastAsia="zh-CN"/>
        </w:rPr>
        <w:t>组织情况</w:t>
      </w:r>
      <w:bookmarkEnd w:id="2"/>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outlineLvl w:val="2"/>
        <w:rPr>
          <w:rFonts w:hint="default" w:ascii="Times New Roman" w:hAnsi="Times New Roman" w:cs="Times New Roman"/>
          <w:lang w:val="en-US" w:eastAsia="zh-CN"/>
        </w:rPr>
      </w:pPr>
      <w:r>
        <w:rPr>
          <w:rFonts w:hint="eastAsia" w:cs="Times New Roman"/>
          <w:lang w:val="en-US" w:eastAsia="zh-CN"/>
        </w:rPr>
        <w:t>1．</w:t>
      </w:r>
      <w:r>
        <w:rPr>
          <w:rFonts w:hint="default" w:ascii="Times New Roman" w:hAnsi="Times New Roman" w:cs="Times New Roman"/>
          <w:lang w:val="en-US" w:eastAsia="zh-CN"/>
        </w:rPr>
        <w:t>项目实施内容</w:t>
      </w:r>
    </w:p>
    <w:p>
      <w:pPr>
        <w:keepNext w:val="0"/>
        <w:keepLines w:val="0"/>
        <w:pageBreakBefore w:val="0"/>
        <w:widowControl w:val="0"/>
        <w:kinsoku/>
        <w:wordWrap/>
        <w:overflowPunct/>
        <w:topLinePunct w:val="0"/>
        <w:autoSpaceDE/>
        <w:autoSpaceDN/>
        <w:bidi w:val="0"/>
        <w:adjustRightInd/>
        <w:snapToGrid/>
        <w:textAlignment w:val="auto"/>
        <w:rPr>
          <w:rFonts w:hint="eastAsia" w:cs="Times New Roman"/>
          <w:lang w:val="en-US" w:eastAsia="zh-CN"/>
        </w:rPr>
      </w:pPr>
      <w:r>
        <w:rPr>
          <w:rFonts w:hint="eastAsia" w:cs="Times New Roman"/>
          <w:lang w:val="en-US" w:eastAsia="zh-CN"/>
        </w:rPr>
        <w:t>该项目资金主要用于购买疫情防控物资，</w:t>
      </w:r>
      <w:r>
        <w:rPr>
          <w:rFonts w:hint="eastAsia" w:cs="Times New Roman"/>
          <w:highlight w:val="none"/>
          <w:lang w:val="en-US" w:eastAsia="zh-CN"/>
        </w:rPr>
        <w:t>购买的物资</w:t>
      </w:r>
      <w:r>
        <w:rPr>
          <w:rFonts w:hint="eastAsia" w:cs="Times New Roman"/>
          <w:lang w:val="en-US" w:eastAsia="zh-CN"/>
        </w:rPr>
        <w:t>主要有以下几类：</w:t>
      </w:r>
    </w:p>
    <w:p>
      <w:pPr>
        <w:pStyle w:val="2"/>
        <w:rPr>
          <w:rFonts w:hint="default" w:cs="Times New Roman"/>
          <w:lang w:val="en-US" w:eastAsia="zh-CN"/>
        </w:rPr>
      </w:pPr>
      <w:r>
        <w:rPr>
          <w:rFonts w:hint="eastAsia" w:cs="Times New Roman"/>
          <w:lang w:val="en-US" w:eastAsia="zh-CN"/>
        </w:rPr>
        <w:t>（1）宣传物资，主要用于开展健康宣教及疫情防控培训指导工作；</w:t>
      </w:r>
    </w:p>
    <w:p>
      <w:pPr>
        <w:rPr>
          <w:rFonts w:hint="default" w:cs="Times New Roman"/>
          <w:lang w:val="en-US" w:eastAsia="zh-CN"/>
        </w:rPr>
      </w:pPr>
      <w:r>
        <w:rPr>
          <w:rFonts w:hint="eastAsia" w:cs="Times New Roman"/>
          <w:lang w:val="en-US" w:eastAsia="zh-CN"/>
        </w:rPr>
        <w:t>（2）防护用品，主要用于疫情防控的各项工作；</w:t>
      </w:r>
    </w:p>
    <w:p>
      <w:pPr>
        <w:pStyle w:val="2"/>
        <w:rPr>
          <w:rFonts w:hint="default" w:cs="Times New Roman"/>
          <w:lang w:val="en-US" w:eastAsia="zh-CN"/>
        </w:rPr>
      </w:pPr>
      <w:r>
        <w:rPr>
          <w:rFonts w:hint="eastAsia" w:cs="Times New Roman"/>
          <w:lang w:val="en-US" w:eastAsia="zh-CN"/>
        </w:rPr>
        <w:t>（3）检测用品，主要用于开展核酸检测采样工作；</w:t>
      </w:r>
    </w:p>
    <w:p>
      <w:pPr>
        <w:rPr>
          <w:rFonts w:hint="eastAsia" w:cs="Times New Roman"/>
          <w:lang w:val="en-US" w:eastAsia="zh-CN"/>
        </w:rPr>
      </w:pPr>
      <w:r>
        <w:rPr>
          <w:rFonts w:hint="eastAsia" w:cs="Times New Roman"/>
          <w:lang w:val="en-US" w:eastAsia="zh-CN"/>
        </w:rPr>
        <w:t>（4）消杀用品，主要用于开展消毒杀菌工作。</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outlineLvl w:val="2"/>
        <w:rPr>
          <w:rFonts w:hint="default" w:ascii="Times New Roman" w:hAnsi="Times New Roman" w:cs="Times New Roman"/>
          <w:lang w:val="en-US" w:eastAsia="zh-CN"/>
        </w:rPr>
      </w:pPr>
      <w:r>
        <w:rPr>
          <w:rFonts w:hint="eastAsia" w:cs="Times New Roman"/>
          <w:lang w:val="en-US" w:eastAsia="zh-CN"/>
        </w:rPr>
        <w:t>2．</w:t>
      </w:r>
      <w:r>
        <w:rPr>
          <w:rFonts w:hint="default" w:ascii="Times New Roman" w:hAnsi="Times New Roman" w:cs="Times New Roman"/>
          <w:lang w:val="en-US" w:eastAsia="zh-CN"/>
        </w:rPr>
        <w:t>项目组织</w:t>
      </w:r>
      <w:r>
        <w:rPr>
          <w:rFonts w:hint="eastAsia" w:cs="Times New Roman"/>
          <w:lang w:val="en-US" w:eastAsia="zh-CN"/>
        </w:rPr>
        <w:t>情况</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区财政局：</w:t>
      </w:r>
      <w:r>
        <w:rPr>
          <w:rFonts w:hint="eastAsia" w:cs="Times New Roman"/>
          <w:lang w:val="en-US" w:eastAsia="zh-CN"/>
        </w:rPr>
        <w:t>负责按照有关规定安排疫情防控经费，并做好资金的监督管理工作。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lang w:val="en-US" w:eastAsia="zh-CN"/>
        </w:rPr>
      </w:pPr>
      <w:r>
        <w:rPr>
          <w:rFonts w:hint="default" w:ascii="Times New Roman" w:hAnsi="Times New Roman" w:cs="Times New Roman"/>
          <w:lang w:val="en-US" w:eastAsia="zh-CN"/>
        </w:rPr>
        <w:t>区疾病预防控制中心：</w:t>
      </w:r>
      <w:r>
        <w:rPr>
          <w:rFonts w:hint="eastAsia" w:cs="Times New Roman"/>
          <w:lang w:val="en-US" w:eastAsia="zh-CN"/>
        </w:rPr>
        <w:t>作为项目实施单位，负责</w:t>
      </w:r>
      <w:r>
        <w:rPr>
          <w:rFonts w:hint="eastAsia" w:cs="Times New Roman"/>
          <w:highlight w:val="none"/>
          <w:lang w:val="en-US" w:eastAsia="zh-CN"/>
        </w:rPr>
        <w:t>启动云岩区重大突发公共卫生事件应急处置一级响应，并成立疫情防控领导小组；负责对辖区新型冠状病毒感染引起的肺炎患者定点救治医院发热门诊开展核酸采样送检及院感消杀指导工作；负责对辖区上报到单位或发现的感染患者、疑似病例、密切接触者开展流调追踪工作；负责对辖区企业复工复产人员、复课教职工、辖区内外省返黔人员、武汉来黔入境人员、国内中高风险地区来黔入境人员等重点人群开展核酸检测采样工作；负责对辖区内重点场所、公共场所开展消毒杀菌、指导及健康宣教工作。</w:t>
      </w:r>
    </w:p>
    <w:p>
      <w:pPr>
        <w:pStyle w:val="2"/>
        <w:keepNext w:val="0"/>
        <w:keepLines w:val="0"/>
        <w:pageBreakBefore w:val="0"/>
        <w:widowControl w:val="0"/>
        <w:numPr>
          <w:ilvl w:val="0"/>
          <w:numId w:val="2"/>
        </w:numPr>
        <w:kinsoku/>
        <w:wordWrap/>
        <w:overflowPunct/>
        <w:topLinePunct w:val="0"/>
        <w:autoSpaceDE/>
        <w:autoSpaceDN/>
        <w:bidi w:val="0"/>
        <w:adjustRightInd/>
        <w:snapToGrid/>
        <w:spacing w:before="120" w:after="60"/>
        <w:ind w:left="220" w:leftChars="0" w:firstLineChars="0"/>
        <w:textAlignment w:val="auto"/>
        <w:outlineLvl w:val="1"/>
        <w:rPr>
          <w:rFonts w:hint="default" w:ascii="Times New Roman" w:hAnsi="Times New Roman" w:eastAsia="楷体" w:cs="Times New Roman"/>
          <w:b/>
          <w:bCs/>
          <w:highlight w:val="none"/>
          <w:lang w:val="en-US" w:eastAsia="zh-CN"/>
        </w:rPr>
      </w:pPr>
      <w:bookmarkStart w:id="3" w:name="_Toc3"/>
      <w:r>
        <w:rPr>
          <w:rFonts w:hint="eastAsia" w:ascii="Times New Roman" w:hAnsi="Times New Roman" w:eastAsia="楷体" w:cs="Times New Roman"/>
          <w:b/>
          <w:bCs/>
          <w:highlight w:val="none"/>
          <w:lang w:val="en-US" w:eastAsia="zh-CN"/>
        </w:rPr>
        <w:t>项目预算批复及资金使用情况</w:t>
      </w:r>
      <w:bookmarkEnd w:id="3"/>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outlineLvl w:val="2"/>
        <w:rPr>
          <w:rFonts w:hint="default" w:ascii="Times New Roman" w:hAnsi="Times New Roman" w:cs="Times New Roman"/>
          <w:lang w:val="en-US" w:eastAsia="zh-CN"/>
        </w:rPr>
      </w:pPr>
      <w:r>
        <w:rPr>
          <w:rFonts w:hint="eastAsia" w:cs="Times New Roman"/>
          <w:kern w:val="2"/>
          <w:sz w:val="32"/>
          <w:szCs w:val="21"/>
          <w:lang w:val="en-US" w:eastAsia="zh-CN" w:bidi="ar-SA"/>
        </w:rPr>
        <w:t>1．</w:t>
      </w:r>
      <w:r>
        <w:rPr>
          <w:rFonts w:hint="default" w:ascii="Times New Roman" w:hAnsi="Times New Roman" w:eastAsia="仿宋_GB2312" w:cs="Times New Roman"/>
          <w:kern w:val="2"/>
          <w:sz w:val="32"/>
          <w:szCs w:val="21"/>
          <w:lang w:val="en-US" w:eastAsia="zh-CN" w:bidi="ar-SA"/>
        </w:rPr>
        <w:t>项目预算</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highlight w:val="none"/>
          <w:lang w:val="en-US" w:eastAsia="zh-CN"/>
        </w:rPr>
      </w:pPr>
      <w:r>
        <w:rPr>
          <w:rFonts w:hint="default" w:ascii="Times New Roman" w:hAnsi="Times New Roman" w:cs="Times New Roman"/>
          <w:lang w:val="en-US" w:eastAsia="zh-CN"/>
        </w:rPr>
        <w:t>根据《云岩区疾病预防控制中心关于增补一批应急物资的紧急请示》（云疾控字</w:t>
      </w:r>
      <w:r>
        <w:rPr>
          <w:rFonts w:hint="eastAsia" w:ascii="仿宋_GB2312" w:hAnsi="仿宋_GB2312" w:eastAsia="仿宋_GB2312" w:cs="仿宋_GB2312"/>
          <w:lang w:val="en-US" w:eastAsia="zh-CN"/>
        </w:rPr>
        <w:t>〔</w:t>
      </w:r>
      <w:r>
        <w:rPr>
          <w:rFonts w:hint="default" w:ascii="Times New Roman" w:hAnsi="Times New Roman" w:eastAsia="微软雅黑" w:cs="Times New Roman"/>
          <w:lang w:val="en-US" w:eastAsia="zh-CN"/>
        </w:rPr>
        <w:t>2020</w:t>
      </w:r>
      <w:r>
        <w:rPr>
          <w:rFonts w:hint="default" w:ascii="仿宋_GB2312" w:hAnsi="仿宋_GB2312" w:eastAsia="仿宋_GB2312" w:cs="仿宋_GB2312"/>
          <w:lang w:val="en-US" w:eastAsia="zh-CN"/>
        </w:rPr>
        <w:t>〕</w:t>
      </w:r>
      <w:r>
        <w:rPr>
          <w:rFonts w:hint="default" w:ascii="Times New Roman" w:hAnsi="Times New Roman" w:eastAsia="微软雅黑" w:cs="Times New Roman"/>
          <w:lang w:val="en-US" w:eastAsia="zh-CN"/>
        </w:rPr>
        <w:t>6</w:t>
      </w:r>
      <w:r>
        <w:rPr>
          <w:rFonts w:hint="default" w:ascii="Times New Roman" w:hAnsi="Times New Roman" w:cs="Times New Roman"/>
          <w:lang w:val="en-US" w:eastAsia="zh-CN"/>
        </w:rPr>
        <w:t>号）文件及批复，项目</w:t>
      </w:r>
      <w:r>
        <w:rPr>
          <w:rFonts w:hint="eastAsia" w:ascii="Times New Roman" w:hAnsi="Times New Roman" w:cs="Times New Roman"/>
          <w:lang w:val="en-US" w:eastAsia="zh-CN"/>
        </w:rPr>
        <w:t>预算批复</w:t>
      </w:r>
      <w:r>
        <w:rPr>
          <w:rFonts w:hint="default" w:ascii="Times New Roman" w:hAnsi="Times New Roman" w:cs="Times New Roman"/>
          <w:lang w:val="en-US" w:eastAsia="zh-CN"/>
        </w:rPr>
        <w:t>198.37万元，资金来源为区财政局</w:t>
      </w:r>
      <w:r>
        <w:rPr>
          <w:rFonts w:hint="default" w:ascii="Times New Roman" w:hAnsi="Times New Roman" w:cs="Times New Roman"/>
          <w:highlight w:val="none"/>
          <w:lang w:val="en-US" w:eastAsia="zh-CN"/>
        </w:rPr>
        <w:t>一般公共预算。</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outlineLvl w:val="2"/>
        <w:rPr>
          <w:rFonts w:hint="default"/>
          <w:lang w:val="en-US" w:eastAsia="zh-CN"/>
        </w:rPr>
      </w:pPr>
      <w:r>
        <w:rPr>
          <w:rFonts w:hint="eastAsia"/>
          <w:lang w:val="en-US" w:eastAsia="zh-CN"/>
        </w:rPr>
        <w:t>2．项目资金到位及预算执行情况</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sz w:val="24"/>
          <w:szCs w:val="24"/>
          <w:lang w:val="en-US" w:eastAsia="zh-CN"/>
        </w:rPr>
      </w:pPr>
      <w:r>
        <w:rPr>
          <w:rFonts w:hint="default" w:ascii="Times New Roman" w:hAnsi="Times New Roman" w:cs="Times New Roman"/>
          <w:highlight w:val="none"/>
          <w:lang w:val="en-US" w:eastAsia="zh-CN"/>
        </w:rPr>
        <w:t>该项目资金到位198.37万元，资金到位率100%。</w:t>
      </w:r>
      <w:r>
        <w:rPr>
          <w:rFonts w:hint="default" w:ascii="Times New Roman" w:hAnsi="Times New Roman" w:cs="Times New Roman"/>
          <w:lang w:val="en-US" w:eastAsia="zh-CN"/>
        </w:rPr>
        <w:t>根据区疾控中心《新型冠状病毒疫</w:t>
      </w:r>
      <w:r>
        <w:rPr>
          <w:rFonts w:hint="eastAsia" w:cs="Times New Roman"/>
          <w:lang w:val="en-US" w:eastAsia="zh-CN"/>
        </w:rPr>
        <w:t>情处</w:t>
      </w:r>
      <w:r>
        <w:rPr>
          <w:rFonts w:hint="default" w:ascii="Times New Roman" w:hAnsi="Times New Roman" w:cs="Times New Roman"/>
          <w:lang w:val="en-US" w:eastAsia="zh-CN"/>
        </w:rPr>
        <w:t>置经费支出明细账》，截</w:t>
      </w:r>
      <w:r>
        <w:rPr>
          <w:rFonts w:hint="eastAsia" w:cs="Times New Roman"/>
          <w:lang w:val="en-US" w:eastAsia="zh-CN"/>
        </w:rPr>
        <w:t>至</w:t>
      </w:r>
      <w:r>
        <w:rPr>
          <w:rFonts w:hint="default" w:ascii="Times New Roman" w:hAnsi="Times New Roman" w:cs="Times New Roman"/>
          <w:lang w:val="en-US" w:eastAsia="zh-CN"/>
        </w:rPr>
        <w:t>2020年12月31日，</w:t>
      </w:r>
      <w:r>
        <w:rPr>
          <w:rFonts w:hint="eastAsia" w:ascii="Times New Roman" w:hAnsi="Times New Roman" w:cs="Times New Roman"/>
          <w:lang w:val="en-US" w:eastAsia="zh-CN"/>
        </w:rPr>
        <w:t>该项目预算共执行</w:t>
      </w:r>
      <w:r>
        <w:rPr>
          <w:rFonts w:hint="default" w:ascii="Times New Roman" w:hAnsi="Times New Roman" w:cs="Times New Roman"/>
          <w:lang w:val="en-US" w:eastAsia="zh-CN"/>
        </w:rPr>
        <w:t>1574189.44元，预算执行率为79.36%。支出</w:t>
      </w:r>
      <w:r>
        <w:rPr>
          <w:rFonts w:hint="eastAsia" w:cs="Times New Roman"/>
          <w:lang w:val="en-US" w:eastAsia="zh-CN"/>
        </w:rPr>
        <w:t>明细</w:t>
      </w:r>
      <w:r>
        <w:rPr>
          <w:rFonts w:hint="default" w:ascii="Times New Roman" w:hAnsi="Times New Roman" w:cs="Times New Roman"/>
          <w:highlight w:val="none"/>
          <w:lang w:val="en-US" w:eastAsia="zh-CN"/>
        </w:rPr>
        <w:t>详见下表1-1</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表</w:t>
      </w:r>
      <w:r>
        <w:rPr>
          <w:rFonts w:hint="default" w:ascii="Times New Roman" w:hAnsi="Times New Roman" w:eastAsia="黑体" w:cs="Times New Roman"/>
          <w:sz w:val="24"/>
          <w:szCs w:val="24"/>
          <w:lang w:val="en-US" w:eastAsia="zh-CN"/>
        </w:rPr>
        <w:t>1-1</w:t>
      </w:r>
      <w:r>
        <w:rPr>
          <w:rFonts w:hint="eastAsia" w:ascii="黑体" w:hAnsi="黑体" w:eastAsia="黑体" w:cs="黑体"/>
          <w:sz w:val="24"/>
          <w:szCs w:val="24"/>
          <w:lang w:val="en-US" w:eastAsia="zh-CN"/>
        </w:rPr>
        <w:t>：疫情防控项目支出明细</w:t>
      </w:r>
    </w:p>
    <w:tbl>
      <w:tblPr>
        <w:tblStyle w:val="16"/>
        <w:tblW w:w="4998" w:type="pct"/>
        <w:jc w:val="center"/>
        <w:shd w:val="clear" w:color="auto" w:fill="auto"/>
        <w:tblLayout w:type="autofit"/>
        <w:tblCellMar>
          <w:top w:w="0" w:type="dxa"/>
          <w:left w:w="108" w:type="dxa"/>
          <w:bottom w:w="0" w:type="dxa"/>
          <w:right w:w="108" w:type="dxa"/>
        </w:tblCellMar>
      </w:tblPr>
      <w:tblGrid>
        <w:gridCol w:w="2820"/>
        <w:gridCol w:w="1692"/>
        <w:gridCol w:w="4001"/>
      </w:tblGrid>
      <w:tr>
        <w:tblPrEx>
          <w:shd w:val="clear" w:color="auto" w:fill="auto"/>
          <w:tblCellMar>
            <w:top w:w="0" w:type="dxa"/>
            <w:left w:w="108" w:type="dxa"/>
            <w:bottom w:w="0" w:type="dxa"/>
            <w:right w:w="108" w:type="dxa"/>
          </w:tblCellMar>
        </w:tblPrEx>
        <w:trPr>
          <w:trHeight w:val="397" w:hRule="atLeast"/>
          <w:tblHeader/>
          <w:jc w:val="center"/>
        </w:trPr>
        <w:tc>
          <w:tcPr>
            <w:tcW w:w="1687"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支出用途</w:t>
            </w:r>
          </w:p>
        </w:tc>
        <w:tc>
          <w:tcPr>
            <w:tcW w:w="931"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支出金额</w:t>
            </w:r>
            <w:r>
              <w:rPr>
                <w:rFonts w:hint="default" w:ascii="Times New Roman" w:hAnsi="Times New Roman" w:cs="Times New Roman"/>
                <w:b/>
                <w:bCs/>
                <w:i w:val="0"/>
                <w:iCs w:val="0"/>
                <w:color w:val="000000"/>
                <w:kern w:val="0"/>
                <w:sz w:val="21"/>
                <w:szCs w:val="21"/>
                <w:u w:val="none"/>
                <w:lang w:val="en-US" w:eastAsia="zh-CN" w:bidi="ar"/>
              </w:rPr>
              <w:t>（元）</w:t>
            </w:r>
          </w:p>
        </w:tc>
        <w:tc>
          <w:tcPr>
            <w:tcW w:w="2380"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备注</w:t>
            </w:r>
          </w:p>
        </w:tc>
      </w:tr>
      <w:tr>
        <w:tblPrEx>
          <w:shd w:val="clear" w:color="auto" w:fill="auto"/>
          <w:tblCellMar>
            <w:top w:w="0" w:type="dxa"/>
            <w:left w:w="108" w:type="dxa"/>
            <w:bottom w:w="0" w:type="dxa"/>
            <w:right w:w="108" w:type="dxa"/>
          </w:tblCellMar>
        </w:tblPrEx>
        <w:trPr>
          <w:trHeight w:val="397" w:hRule="atLeast"/>
          <w:jc w:val="center"/>
        </w:trPr>
        <w:tc>
          <w:tcPr>
            <w:tcW w:w="1687"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检测用仪器、试剂</w:t>
            </w:r>
          </w:p>
        </w:tc>
        <w:tc>
          <w:tcPr>
            <w:tcW w:w="931"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211796</w:t>
            </w:r>
          </w:p>
        </w:tc>
        <w:tc>
          <w:tcPr>
            <w:tcW w:w="2380"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_GB2312" w:cs="Times New Roman"/>
                <w:i w:val="0"/>
                <w:iCs w:val="0"/>
                <w:color w:val="000000"/>
                <w:sz w:val="21"/>
                <w:szCs w:val="21"/>
                <w:u w:val="none"/>
                <w:lang w:eastAsia="zh-CN"/>
              </w:rPr>
            </w:pPr>
            <w:r>
              <w:rPr>
                <w:rFonts w:hint="default" w:ascii="Times New Roman" w:hAnsi="Times New Roman" w:eastAsia="仿宋_GB2312" w:cs="Times New Roman"/>
                <w:i w:val="0"/>
                <w:iCs w:val="0"/>
                <w:color w:val="000000"/>
                <w:sz w:val="21"/>
                <w:szCs w:val="21"/>
                <w:u w:val="none"/>
                <w:lang w:eastAsia="zh-CN"/>
              </w:rPr>
              <w:t>—</w:t>
            </w:r>
          </w:p>
        </w:tc>
      </w:tr>
      <w:tr>
        <w:tblPrEx>
          <w:shd w:val="clear" w:color="auto" w:fill="auto"/>
          <w:tblCellMar>
            <w:top w:w="0" w:type="dxa"/>
            <w:left w:w="108" w:type="dxa"/>
            <w:bottom w:w="0" w:type="dxa"/>
            <w:right w:w="108" w:type="dxa"/>
          </w:tblCellMar>
        </w:tblPrEx>
        <w:trPr>
          <w:trHeight w:val="397" w:hRule="atLeast"/>
          <w:jc w:val="center"/>
        </w:trPr>
        <w:tc>
          <w:tcPr>
            <w:tcW w:w="1687"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消杀用品</w:t>
            </w:r>
          </w:p>
        </w:tc>
        <w:tc>
          <w:tcPr>
            <w:tcW w:w="931"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24880</w:t>
            </w:r>
          </w:p>
        </w:tc>
        <w:tc>
          <w:tcPr>
            <w:tcW w:w="2380"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消毒液、酒精等</w:t>
            </w:r>
          </w:p>
        </w:tc>
      </w:tr>
      <w:tr>
        <w:tblPrEx>
          <w:shd w:val="clear" w:color="auto" w:fill="auto"/>
          <w:tblCellMar>
            <w:top w:w="0" w:type="dxa"/>
            <w:left w:w="108" w:type="dxa"/>
            <w:bottom w:w="0" w:type="dxa"/>
            <w:right w:w="108" w:type="dxa"/>
          </w:tblCellMar>
        </w:tblPrEx>
        <w:trPr>
          <w:trHeight w:val="397" w:hRule="atLeast"/>
          <w:jc w:val="center"/>
        </w:trPr>
        <w:tc>
          <w:tcPr>
            <w:tcW w:w="1687"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宣传、后勤保障等</w:t>
            </w:r>
          </w:p>
        </w:tc>
        <w:tc>
          <w:tcPr>
            <w:tcW w:w="931"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284112.44</w:t>
            </w:r>
          </w:p>
        </w:tc>
        <w:tc>
          <w:tcPr>
            <w:tcW w:w="2380"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_GB2312" w:cs="Times New Roman"/>
                <w:i w:val="0"/>
                <w:iCs w:val="0"/>
                <w:color w:val="000000"/>
                <w:sz w:val="21"/>
                <w:szCs w:val="21"/>
                <w:u w:val="none"/>
                <w:lang w:eastAsia="zh-CN"/>
              </w:rPr>
            </w:pPr>
            <w:r>
              <w:rPr>
                <w:rFonts w:hint="default" w:ascii="Times New Roman" w:hAnsi="Times New Roman" w:eastAsia="仿宋_GB2312" w:cs="Times New Roman"/>
                <w:i w:val="0"/>
                <w:iCs w:val="0"/>
                <w:color w:val="000000"/>
                <w:sz w:val="21"/>
                <w:szCs w:val="21"/>
                <w:u w:val="none"/>
                <w:lang w:eastAsia="zh-CN"/>
              </w:rPr>
              <w:t>—</w:t>
            </w:r>
          </w:p>
        </w:tc>
      </w:tr>
      <w:tr>
        <w:tblPrEx>
          <w:shd w:val="clear" w:color="auto" w:fill="auto"/>
          <w:tblCellMar>
            <w:top w:w="0" w:type="dxa"/>
            <w:left w:w="108" w:type="dxa"/>
            <w:bottom w:w="0" w:type="dxa"/>
            <w:right w:w="108" w:type="dxa"/>
          </w:tblCellMar>
        </w:tblPrEx>
        <w:trPr>
          <w:trHeight w:val="397" w:hRule="atLeast"/>
          <w:jc w:val="center"/>
        </w:trPr>
        <w:tc>
          <w:tcPr>
            <w:tcW w:w="1687"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防护用品</w:t>
            </w:r>
          </w:p>
        </w:tc>
        <w:tc>
          <w:tcPr>
            <w:tcW w:w="931"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779346</w:t>
            </w:r>
          </w:p>
        </w:tc>
        <w:tc>
          <w:tcPr>
            <w:tcW w:w="2380"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口罩、隔离服、护目镜、防护服等</w:t>
            </w:r>
          </w:p>
        </w:tc>
      </w:tr>
      <w:tr>
        <w:tblPrEx>
          <w:shd w:val="clear" w:color="auto" w:fill="auto"/>
          <w:tblCellMar>
            <w:top w:w="0" w:type="dxa"/>
            <w:left w:w="108" w:type="dxa"/>
            <w:bottom w:w="0" w:type="dxa"/>
            <w:right w:w="108" w:type="dxa"/>
          </w:tblCellMar>
        </w:tblPrEx>
        <w:trPr>
          <w:trHeight w:val="397" w:hRule="atLeast"/>
          <w:jc w:val="center"/>
        </w:trPr>
        <w:tc>
          <w:tcPr>
            <w:tcW w:w="1687"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应急救护车、手术衣等</w:t>
            </w:r>
          </w:p>
        </w:tc>
        <w:tc>
          <w:tcPr>
            <w:tcW w:w="931"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274055</w:t>
            </w:r>
          </w:p>
        </w:tc>
        <w:tc>
          <w:tcPr>
            <w:tcW w:w="2380"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_GB2312" w:cs="Times New Roman"/>
                <w:i w:val="0"/>
                <w:iCs w:val="0"/>
                <w:color w:val="000000"/>
                <w:sz w:val="21"/>
                <w:szCs w:val="21"/>
                <w:u w:val="none"/>
                <w:lang w:val="en-US" w:eastAsia="zh-CN"/>
              </w:rPr>
            </w:pPr>
            <w:r>
              <w:rPr>
                <w:rFonts w:hint="default" w:ascii="Times New Roman" w:hAnsi="Times New Roman" w:eastAsia="仿宋_GB2312" w:cs="Times New Roman"/>
                <w:i w:val="0"/>
                <w:iCs w:val="0"/>
                <w:color w:val="000000"/>
                <w:sz w:val="21"/>
                <w:szCs w:val="21"/>
                <w:u w:val="none"/>
                <w:lang w:val="en-US" w:eastAsia="zh-CN"/>
              </w:rPr>
              <w:t>—</w:t>
            </w:r>
          </w:p>
        </w:tc>
      </w:tr>
      <w:tr>
        <w:tblPrEx>
          <w:shd w:val="clear" w:color="auto" w:fill="auto"/>
          <w:tblCellMar>
            <w:top w:w="0" w:type="dxa"/>
            <w:left w:w="108" w:type="dxa"/>
            <w:bottom w:w="0" w:type="dxa"/>
            <w:right w:w="108" w:type="dxa"/>
          </w:tblCellMar>
        </w:tblPrEx>
        <w:trPr>
          <w:trHeight w:val="397" w:hRule="atLeast"/>
          <w:jc w:val="center"/>
        </w:trPr>
        <w:tc>
          <w:tcPr>
            <w:tcW w:w="1687"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合计</w:t>
            </w:r>
          </w:p>
        </w:tc>
        <w:tc>
          <w:tcPr>
            <w:tcW w:w="931"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1574189.44</w:t>
            </w:r>
          </w:p>
        </w:tc>
        <w:tc>
          <w:tcPr>
            <w:tcW w:w="2380" w:type="pct"/>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仿宋_GB2312" w:cs="Times New Roman"/>
                <w:b/>
                <w:bCs/>
                <w:i w:val="0"/>
                <w:iCs w:val="0"/>
                <w:color w:val="000000"/>
                <w:sz w:val="21"/>
                <w:szCs w:val="21"/>
                <w:u w:val="none"/>
                <w:lang w:eastAsia="zh-CN"/>
              </w:rPr>
            </w:pPr>
            <w:r>
              <w:rPr>
                <w:rFonts w:hint="default" w:ascii="Times New Roman" w:hAnsi="Times New Roman" w:eastAsia="仿宋_GB2312" w:cs="Times New Roman"/>
                <w:b/>
                <w:bCs/>
                <w:i w:val="0"/>
                <w:iCs w:val="0"/>
                <w:color w:val="000000"/>
                <w:sz w:val="21"/>
                <w:szCs w:val="21"/>
                <w:u w:val="none"/>
                <w:lang w:eastAsia="zh-CN"/>
              </w:rPr>
              <w:t>—</w:t>
            </w:r>
          </w:p>
        </w:tc>
      </w:tr>
    </w:tbl>
    <w:p>
      <w:pPr>
        <w:pStyle w:val="2"/>
        <w:keepNext w:val="0"/>
        <w:keepLines w:val="0"/>
        <w:pageBreakBefore w:val="0"/>
        <w:widowControl w:val="0"/>
        <w:kinsoku/>
        <w:wordWrap/>
        <w:overflowPunct/>
        <w:topLinePunct w:val="0"/>
        <w:autoSpaceDE/>
        <w:autoSpaceDN/>
        <w:bidi w:val="0"/>
        <w:adjustRightInd/>
        <w:snapToGrid/>
        <w:spacing w:before="120" w:after="60"/>
        <w:textAlignment w:val="auto"/>
        <w:outlineLvl w:val="1"/>
        <w:rPr>
          <w:rFonts w:hint="eastAsia" w:ascii="楷体" w:hAnsi="楷体" w:eastAsia="楷体" w:cs="楷体"/>
          <w:b/>
          <w:bCs/>
          <w:lang w:val="en-US" w:eastAsia="zh-CN"/>
        </w:rPr>
      </w:pPr>
      <w:bookmarkStart w:id="4" w:name="_Toc3849"/>
      <w:r>
        <w:rPr>
          <w:rFonts w:hint="eastAsia" w:ascii="楷体" w:hAnsi="楷体" w:eastAsia="楷体" w:cs="楷体"/>
          <w:b/>
          <w:bCs/>
          <w:lang w:eastAsia="zh-CN"/>
        </w:rPr>
        <w:t>（</w:t>
      </w:r>
      <w:r>
        <w:rPr>
          <w:rFonts w:hint="eastAsia" w:ascii="楷体" w:hAnsi="楷体" w:eastAsia="楷体" w:cs="楷体"/>
          <w:b/>
          <w:bCs/>
          <w:lang w:val="en-US" w:eastAsia="zh-CN"/>
        </w:rPr>
        <w:t>四</w:t>
      </w:r>
      <w:r>
        <w:rPr>
          <w:rFonts w:hint="eastAsia" w:ascii="楷体" w:hAnsi="楷体" w:eastAsia="楷体" w:cs="楷体"/>
          <w:b/>
          <w:bCs/>
          <w:lang w:eastAsia="zh-CN"/>
        </w:rPr>
        <w:t>）</w:t>
      </w:r>
      <w:r>
        <w:rPr>
          <w:rFonts w:hint="eastAsia" w:ascii="楷体" w:hAnsi="楷体" w:eastAsia="楷体" w:cs="楷体"/>
          <w:b/>
          <w:bCs/>
          <w:lang w:val="en-US" w:eastAsia="zh-CN"/>
        </w:rPr>
        <w:t>绩效目标</w:t>
      </w:r>
      <w:bookmarkEnd w:id="4"/>
    </w:p>
    <w:p>
      <w:pPr>
        <w:pStyle w:val="2"/>
        <w:keepNext w:val="0"/>
        <w:keepLines w:val="0"/>
        <w:pageBreakBefore w:val="0"/>
        <w:widowControl w:val="0"/>
        <w:kinsoku/>
        <w:wordWrap/>
        <w:overflowPunct/>
        <w:topLinePunct w:val="0"/>
        <w:autoSpaceDE/>
        <w:autoSpaceDN/>
        <w:bidi w:val="0"/>
        <w:adjustRightInd/>
        <w:snapToGrid/>
        <w:textAlignment w:val="auto"/>
        <w:outlineLvl w:val="2"/>
        <w:rPr>
          <w:rFonts w:hint="default" w:eastAsia="仿宋_GB2312"/>
          <w:lang w:val="en-US" w:eastAsia="zh-CN"/>
        </w:rPr>
      </w:pPr>
      <w:r>
        <w:rPr>
          <w:rFonts w:hint="eastAsia" w:cs="Times New Roman"/>
          <w:kern w:val="2"/>
          <w:sz w:val="32"/>
          <w:szCs w:val="21"/>
          <w:lang w:val="en-US" w:eastAsia="zh-CN" w:bidi="ar-SA"/>
        </w:rPr>
        <w:t>1．</w:t>
      </w:r>
      <w:r>
        <w:rPr>
          <w:rFonts w:hint="eastAsia"/>
          <w:lang w:val="en-US" w:eastAsia="zh-CN"/>
        </w:rPr>
        <w:t>绩效目标</w:t>
      </w:r>
    </w:p>
    <w:p>
      <w:pPr>
        <w:pStyle w:val="2"/>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因该项目为突发公共卫生事件，事态紧急，项目具体实施内容难以估量，故项目实施单位在申请项目资金时，未编制绩效目标。</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2"/>
        <w:rPr>
          <w:rFonts w:hint="eastAsia"/>
          <w:lang w:val="en-US" w:eastAsia="zh-CN"/>
        </w:rPr>
      </w:pPr>
      <w:r>
        <w:rPr>
          <w:rFonts w:hint="eastAsia"/>
          <w:lang w:val="en-US" w:eastAsia="zh-CN"/>
        </w:rPr>
        <w:t>2．绩效指标</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lang w:val="en-US" w:eastAsia="zh-CN"/>
        </w:rPr>
      </w:pPr>
      <w:r>
        <w:rPr>
          <w:rFonts w:hint="eastAsia" w:cs="Times New Roman"/>
          <w:lang w:val="en-US" w:eastAsia="zh-CN"/>
        </w:rPr>
        <w:t>评价组</w:t>
      </w:r>
      <w:r>
        <w:rPr>
          <w:rFonts w:hint="default" w:ascii="Times New Roman" w:hAnsi="Times New Roman" w:cs="Times New Roman"/>
          <w:lang w:val="en-US" w:eastAsia="zh-CN"/>
        </w:rPr>
        <w:t>根据上级、区委区政府在疫情防控工作方面的</w:t>
      </w:r>
      <w:r>
        <w:rPr>
          <w:rFonts w:hint="eastAsia" w:cs="Times New Roman"/>
          <w:lang w:val="en-US" w:eastAsia="zh-CN"/>
        </w:rPr>
        <w:t>重要工作</w:t>
      </w:r>
      <w:r>
        <w:rPr>
          <w:rFonts w:hint="default" w:ascii="Times New Roman" w:hAnsi="Times New Roman" w:cs="Times New Roman"/>
          <w:lang w:val="en-US" w:eastAsia="zh-CN"/>
        </w:rPr>
        <w:t>指示，</w:t>
      </w:r>
      <w:r>
        <w:rPr>
          <w:rFonts w:hint="eastAsia" w:cs="Times New Roman"/>
          <w:lang w:val="en-US" w:eastAsia="zh-CN"/>
        </w:rPr>
        <w:t>结合</w:t>
      </w:r>
      <w:r>
        <w:rPr>
          <w:rFonts w:hint="default" w:ascii="Times New Roman" w:hAnsi="Times New Roman" w:cs="Times New Roman"/>
          <w:lang w:val="en-US" w:eastAsia="zh-CN"/>
        </w:rPr>
        <w:t>区疾控中心疫情防控工作内容</w:t>
      </w:r>
      <w:r>
        <w:rPr>
          <w:rFonts w:hint="eastAsia" w:cs="Times New Roman"/>
          <w:lang w:val="en-US" w:eastAsia="zh-CN"/>
        </w:rPr>
        <w:t>，</w:t>
      </w:r>
      <w:r>
        <w:rPr>
          <w:rFonts w:hint="default" w:ascii="Times New Roman" w:hAnsi="Times New Roman" w:cs="Times New Roman"/>
          <w:lang w:val="en-US" w:eastAsia="zh-CN"/>
        </w:rPr>
        <w:t>为该项目设置了绩效目标及相应的绩效指标，具体绩效指标设置情况详见下表1-2：</w:t>
      </w:r>
    </w:p>
    <w:p>
      <w:pPr>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表</w:t>
      </w:r>
      <w:r>
        <w:rPr>
          <w:rFonts w:hint="default" w:ascii="Times New Roman" w:hAnsi="Times New Roman" w:eastAsia="黑体" w:cs="Times New Roman"/>
          <w:sz w:val="24"/>
          <w:szCs w:val="24"/>
          <w:lang w:val="en-US" w:eastAsia="zh-CN"/>
        </w:rPr>
        <w:t>1-2</w:t>
      </w:r>
      <w:r>
        <w:rPr>
          <w:rFonts w:hint="eastAsia" w:ascii="黑体" w:hAnsi="黑体" w:eastAsia="黑体" w:cs="黑体"/>
          <w:sz w:val="24"/>
          <w:szCs w:val="24"/>
          <w:lang w:val="en-US" w:eastAsia="zh-CN"/>
        </w:rPr>
        <w:t>：</w:t>
      </w:r>
      <w:r>
        <w:rPr>
          <w:rFonts w:hint="default" w:ascii="Times New Roman" w:hAnsi="Times New Roman" w:eastAsia="黑体" w:cs="Times New Roman"/>
          <w:sz w:val="24"/>
          <w:szCs w:val="24"/>
          <w:lang w:val="en-US" w:eastAsia="zh-CN"/>
        </w:rPr>
        <w:t>2020</w:t>
      </w:r>
      <w:r>
        <w:rPr>
          <w:rFonts w:hint="eastAsia" w:ascii="黑体" w:hAnsi="黑体" w:eastAsia="黑体" w:cs="黑体"/>
          <w:sz w:val="24"/>
          <w:szCs w:val="24"/>
          <w:lang w:val="en-US" w:eastAsia="zh-CN"/>
        </w:rPr>
        <w:t>年云岩区疫情防控经费项目绩效指标</w:t>
      </w:r>
    </w:p>
    <w:tbl>
      <w:tblPr>
        <w:tblStyle w:val="16"/>
        <w:tblW w:w="5122"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91"/>
        <w:gridCol w:w="1079"/>
        <w:gridCol w:w="2463"/>
        <w:gridCol w:w="883"/>
        <w:gridCol w:w="320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7" w:hRule="atLeast"/>
          <w:tblHeader/>
          <w:jc w:val="center"/>
        </w:trPr>
        <w:tc>
          <w:tcPr>
            <w:tcW w:w="625"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一级指标</w:t>
            </w:r>
          </w:p>
        </w:tc>
        <w:tc>
          <w:tcPr>
            <w:tcW w:w="618"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二级指标</w:t>
            </w: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三级指标</w:t>
            </w:r>
          </w:p>
        </w:tc>
        <w:tc>
          <w:tcPr>
            <w:tcW w:w="5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目标值</w:t>
            </w:r>
          </w:p>
        </w:tc>
        <w:tc>
          <w:tcPr>
            <w:tcW w:w="1838"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指标解释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7" w:hRule="atLeast"/>
          <w:jc w:val="center"/>
        </w:trPr>
        <w:tc>
          <w:tcPr>
            <w:tcW w:w="625" w:type="pct"/>
            <w:vMerge w:val="restart"/>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pacing w:line="240" w:lineRule="auto"/>
              <w:ind w:left="0" w:leftChars="0" w:firstLine="0" w:firstLineChars="0"/>
              <w:jc w:val="center"/>
              <w:textAlignment w:val="auto"/>
              <w:rPr>
                <w:rFonts w:hint="default" w:ascii="Times New Roman" w:hAnsi="Times New Roman" w:cs="Times New Roman"/>
                <w:color w:val="000000"/>
                <w:kern w:val="0"/>
                <w:sz w:val="21"/>
                <w:szCs w:val="21"/>
                <w:lang w:bidi="ar"/>
              </w:rPr>
            </w:pPr>
            <w:r>
              <w:rPr>
                <w:rFonts w:hint="default" w:ascii="Times New Roman" w:hAnsi="Times New Roman" w:eastAsia="仿宋_GB2312" w:cs="Times New Roman"/>
                <w:color w:val="000000"/>
                <w:kern w:val="0"/>
                <w:sz w:val="21"/>
                <w:szCs w:val="21"/>
                <w:lang w:val="en-US" w:eastAsia="zh-CN" w:bidi="ar"/>
              </w:rPr>
              <w:t>产出</w:t>
            </w:r>
          </w:p>
        </w:tc>
        <w:tc>
          <w:tcPr>
            <w:tcW w:w="618"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数量指标</w:t>
            </w: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核酸采样</w:t>
            </w:r>
            <w:r>
              <w:rPr>
                <w:rFonts w:hint="eastAsia"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检测完成率</w:t>
            </w:r>
          </w:p>
        </w:tc>
        <w:tc>
          <w:tcPr>
            <w:tcW w:w="5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100%</w:t>
            </w:r>
          </w:p>
        </w:tc>
        <w:tc>
          <w:tcPr>
            <w:tcW w:w="1838" w:type="pct"/>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反映和考核疫情防控工作中核酸检测采样及检测工作完成情况。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7" w:hRule="atLeast"/>
          <w:jc w:val="center"/>
        </w:trPr>
        <w:tc>
          <w:tcPr>
            <w:tcW w:w="625" w:type="pct"/>
            <w:vMerge w:val="continue"/>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pacing w:line="240" w:lineRule="auto"/>
              <w:ind w:left="0" w:leftChars="0" w:firstLine="0" w:firstLineChars="0"/>
              <w:jc w:val="center"/>
              <w:textAlignment w:val="auto"/>
              <w:rPr>
                <w:rFonts w:hint="default" w:ascii="Times New Roman" w:hAnsi="Times New Roman" w:cs="Times New Roman"/>
                <w:color w:val="000000"/>
                <w:kern w:val="0"/>
                <w:sz w:val="21"/>
                <w:szCs w:val="21"/>
                <w:lang w:bidi="ar"/>
              </w:rPr>
            </w:pPr>
          </w:p>
        </w:tc>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r>
              <w:rPr>
                <w:rFonts w:hint="default" w:ascii="Times New Roman" w:hAnsi="Times New Roman" w:cs="Times New Roman"/>
                <w:color w:val="000000"/>
                <w:kern w:val="0"/>
                <w:sz w:val="21"/>
                <w:szCs w:val="21"/>
                <w:lang w:val="en-US" w:eastAsia="zh-CN" w:bidi="ar"/>
              </w:rPr>
              <w:t>消毒杀菌工作完成率</w:t>
            </w:r>
          </w:p>
        </w:tc>
        <w:tc>
          <w:tcPr>
            <w:tcW w:w="5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100%</w:t>
            </w:r>
          </w:p>
        </w:tc>
        <w:tc>
          <w:tcPr>
            <w:tcW w:w="1838" w:type="pct"/>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反映和考核疫情防控工作中消毒杀菌工作完成情况。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7" w:hRule="atLeast"/>
          <w:jc w:val="center"/>
        </w:trPr>
        <w:tc>
          <w:tcPr>
            <w:tcW w:w="625"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FF"/>
                <w:kern w:val="0"/>
                <w:sz w:val="21"/>
                <w:szCs w:val="21"/>
                <w:lang w:val="en-US" w:eastAsia="zh-CN" w:bidi="ar"/>
              </w:rPr>
            </w:pPr>
            <w:r>
              <w:rPr>
                <w:rFonts w:hint="default" w:ascii="Times New Roman" w:hAnsi="Times New Roman" w:cs="Times New Roman"/>
                <w:color w:val="000000"/>
                <w:kern w:val="0"/>
                <w:sz w:val="21"/>
                <w:szCs w:val="21"/>
                <w:highlight w:val="none"/>
                <w:lang w:val="en-US" w:eastAsia="zh-CN" w:bidi="ar"/>
              </w:rPr>
              <w:t>疫情防控培训指导完成率</w:t>
            </w:r>
          </w:p>
        </w:tc>
        <w:tc>
          <w:tcPr>
            <w:tcW w:w="5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highlight w:val="none"/>
                <w:lang w:val="en-US" w:eastAsia="zh-CN" w:bidi="ar"/>
              </w:rPr>
              <w:t>100%</w:t>
            </w:r>
          </w:p>
        </w:tc>
        <w:tc>
          <w:tcPr>
            <w:tcW w:w="1838" w:type="pct"/>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highlight w:val="none"/>
                <w:lang w:val="en-US" w:eastAsia="zh-CN" w:bidi="ar"/>
              </w:rPr>
              <w:t>反映和考核疫情防控培训指导完成情况。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7" w:hRule="atLeast"/>
          <w:jc w:val="center"/>
        </w:trPr>
        <w:tc>
          <w:tcPr>
            <w:tcW w:w="625"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618"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质量指标</w:t>
            </w: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kern w:val="0"/>
                <w:sz w:val="21"/>
                <w:szCs w:val="21"/>
                <w:lang w:val="en-US" w:eastAsia="zh-CN" w:bidi="ar"/>
              </w:rPr>
              <w:t>采购物资合格率</w:t>
            </w:r>
          </w:p>
        </w:tc>
        <w:tc>
          <w:tcPr>
            <w:tcW w:w="5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100%</w:t>
            </w:r>
          </w:p>
        </w:tc>
        <w:tc>
          <w:tcPr>
            <w:tcW w:w="1838" w:type="pct"/>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反映和考核云岩区疫情防控采购的物资合格情况。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7" w:hRule="atLeast"/>
          <w:jc w:val="center"/>
        </w:trPr>
        <w:tc>
          <w:tcPr>
            <w:tcW w:w="625"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618"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时效指标</w:t>
            </w: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kern w:val="0"/>
                <w:sz w:val="21"/>
                <w:szCs w:val="21"/>
                <w:highlight w:val="none"/>
                <w:lang w:val="en-US" w:eastAsia="zh-CN" w:bidi="ar"/>
              </w:rPr>
              <w:t>物资保障及时性</w:t>
            </w:r>
          </w:p>
        </w:tc>
        <w:tc>
          <w:tcPr>
            <w:tcW w:w="5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kern w:val="0"/>
                <w:sz w:val="21"/>
                <w:szCs w:val="21"/>
                <w:highlight w:val="none"/>
                <w:lang w:val="en-US" w:eastAsia="zh-CN" w:bidi="ar"/>
              </w:rPr>
              <w:t>及时</w:t>
            </w:r>
          </w:p>
        </w:tc>
        <w:tc>
          <w:tcPr>
            <w:tcW w:w="1838" w:type="pct"/>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kern w:val="0"/>
                <w:sz w:val="21"/>
                <w:szCs w:val="21"/>
                <w:highlight w:val="none"/>
                <w:lang w:val="en-US" w:eastAsia="zh-CN" w:bidi="ar"/>
              </w:rPr>
              <w:t>反映和考核云岩区疫情防控物资保障是否及时。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2" w:hRule="atLeast"/>
          <w:jc w:val="center"/>
        </w:trPr>
        <w:tc>
          <w:tcPr>
            <w:tcW w:w="625"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kern w:val="0"/>
                <w:sz w:val="21"/>
                <w:szCs w:val="21"/>
                <w:highlight w:val="none"/>
                <w:lang w:val="en-US" w:eastAsia="zh-CN" w:bidi="ar"/>
              </w:rPr>
              <w:t>疑似病例上报及时率</w:t>
            </w:r>
          </w:p>
        </w:tc>
        <w:tc>
          <w:tcPr>
            <w:tcW w:w="5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kern w:val="0"/>
                <w:sz w:val="21"/>
                <w:szCs w:val="21"/>
                <w:highlight w:val="none"/>
                <w:lang w:val="en-US" w:eastAsia="zh-CN" w:bidi="ar"/>
              </w:rPr>
              <w:t>100%</w:t>
            </w:r>
          </w:p>
        </w:tc>
        <w:tc>
          <w:tcPr>
            <w:tcW w:w="1838" w:type="pct"/>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kern w:val="0"/>
                <w:sz w:val="21"/>
                <w:szCs w:val="21"/>
                <w:highlight w:val="none"/>
                <w:lang w:val="en-US" w:eastAsia="zh-CN" w:bidi="ar"/>
              </w:rPr>
              <w:t>反映和考核云岩区疫情防控工作中出现疑似病例时上报及时情况。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7" w:hRule="atLeast"/>
          <w:jc w:val="center"/>
        </w:trPr>
        <w:tc>
          <w:tcPr>
            <w:tcW w:w="625"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highlight w:val="none"/>
                <w:lang w:val="en-US" w:eastAsia="zh-CN" w:bidi="ar"/>
              </w:rPr>
              <w:t>核酸采样送检及时率</w:t>
            </w:r>
          </w:p>
        </w:tc>
        <w:tc>
          <w:tcPr>
            <w:tcW w:w="5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highlight w:val="none"/>
                <w:lang w:val="en-US" w:eastAsia="zh-CN" w:bidi="ar"/>
              </w:rPr>
              <w:t>100%</w:t>
            </w:r>
          </w:p>
        </w:tc>
        <w:tc>
          <w:tcPr>
            <w:tcW w:w="1838" w:type="pct"/>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highlight w:val="none"/>
                <w:lang w:val="en-US" w:eastAsia="zh-CN" w:bidi="ar"/>
              </w:rPr>
              <w:t>反映和考核云岩区疫情防控工作中核酸检测采样送检是否及时。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7" w:hRule="atLeast"/>
          <w:jc w:val="center"/>
        </w:trPr>
        <w:tc>
          <w:tcPr>
            <w:tcW w:w="625"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cs="Times New Roman"/>
                <w:color w:val="000000"/>
                <w:kern w:val="0"/>
                <w:sz w:val="21"/>
                <w:szCs w:val="21"/>
                <w:lang w:bidi="ar"/>
              </w:rPr>
              <w:t>效益</w:t>
            </w:r>
          </w:p>
        </w:tc>
        <w:tc>
          <w:tcPr>
            <w:tcW w:w="618"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lang w:eastAsia="zh-CN"/>
              </w:rPr>
            </w:pPr>
            <w:r>
              <w:rPr>
                <w:rFonts w:hint="default" w:ascii="Times New Roman" w:hAnsi="Times New Roman" w:cs="Times New Roman"/>
                <w:color w:val="000000"/>
                <w:kern w:val="0"/>
                <w:sz w:val="21"/>
                <w:szCs w:val="21"/>
                <w:lang w:val="en-US" w:eastAsia="zh-CN" w:bidi="ar"/>
              </w:rPr>
              <w:t>社会效益</w:t>
            </w: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kern w:val="0"/>
                <w:sz w:val="21"/>
                <w:szCs w:val="21"/>
                <w:lang w:val="en-US" w:eastAsia="zh-CN" w:bidi="ar"/>
              </w:rPr>
              <w:t>社会经济活动正常开展</w:t>
            </w:r>
          </w:p>
        </w:tc>
        <w:tc>
          <w:tcPr>
            <w:tcW w:w="506"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kern w:val="0"/>
                <w:sz w:val="21"/>
                <w:szCs w:val="21"/>
                <w:lang w:val="en-US" w:eastAsia="zh-CN" w:bidi="ar"/>
              </w:rPr>
              <w:t>有效</w:t>
            </w:r>
          </w:p>
        </w:tc>
        <w:tc>
          <w:tcPr>
            <w:tcW w:w="1838" w:type="pct"/>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kern w:val="0"/>
                <w:sz w:val="21"/>
                <w:szCs w:val="21"/>
                <w:lang w:val="en-US" w:eastAsia="zh-CN" w:bidi="ar"/>
              </w:rPr>
              <w:t>反映和考核项目实施后，社会活动正常开展有效情况。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7" w:hRule="atLeast"/>
          <w:jc w:val="center"/>
        </w:trPr>
        <w:tc>
          <w:tcPr>
            <w:tcW w:w="625"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提升突发公共卫生事件应急处置能力</w:t>
            </w:r>
          </w:p>
        </w:tc>
        <w:tc>
          <w:tcPr>
            <w:tcW w:w="506"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显著</w:t>
            </w:r>
          </w:p>
        </w:tc>
        <w:tc>
          <w:tcPr>
            <w:tcW w:w="1838" w:type="pct"/>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反映和考核项目实施后，是否显著提升突发公共卫生事件应急处置能力。</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7" w:hRule="atLeast"/>
          <w:jc w:val="center"/>
        </w:trPr>
        <w:tc>
          <w:tcPr>
            <w:tcW w:w="625"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618"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可持续影响</w:t>
            </w: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长效管理机制健全性</w:t>
            </w:r>
          </w:p>
        </w:tc>
        <w:tc>
          <w:tcPr>
            <w:tcW w:w="506"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健全</w:t>
            </w:r>
          </w:p>
        </w:tc>
        <w:tc>
          <w:tcPr>
            <w:tcW w:w="1838" w:type="pct"/>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kern w:val="0"/>
                <w:sz w:val="21"/>
                <w:szCs w:val="21"/>
                <w:lang w:val="en-US" w:eastAsia="zh-CN" w:bidi="ar"/>
              </w:rPr>
              <w:t>反映云岩区疫情防控长效管理机制是否健全，是否制定宣传机制、事情预警机制、问题导向等长效管理机制。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7" w:hRule="atLeast"/>
          <w:jc w:val="center"/>
        </w:trPr>
        <w:tc>
          <w:tcPr>
            <w:tcW w:w="625"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长效管理机制执行有效性</w:t>
            </w:r>
          </w:p>
        </w:tc>
        <w:tc>
          <w:tcPr>
            <w:tcW w:w="506"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有效</w:t>
            </w:r>
          </w:p>
        </w:tc>
        <w:tc>
          <w:tcPr>
            <w:tcW w:w="1838" w:type="pct"/>
            <w:shd w:val="clear" w:color="auto" w:fill="FFFFFF"/>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kern w:val="0"/>
                <w:sz w:val="21"/>
                <w:szCs w:val="21"/>
                <w:lang w:val="en-US" w:eastAsia="zh-CN" w:bidi="ar"/>
              </w:rPr>
              <w:t>反映云岩区疫情防控长效管理机制执行情况。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7" w:hRule="atLeast"/>
          <w:jc w:val="center"/>
        </w:trPr>
        <w:tc>
          <w:tcPr>
            <w:tcW w:w="625"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618"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满意度</w:t>
            </w: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工作人员满意度</w:t>
            </w:r>
          </w:p>
        </w:tc>
        <w:tc>
          <w:tcPr>
            <w:tcW w:w="5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≥95%</w:t>
            </w:r>
          </w:p>
        </w:tc>
        <w:tc>
          <w:tcPr>
            <w:tcW w:w="1838" w:type="pct"/>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反映和考核项目实施后，云岩区疫情防控工作人员对疫情防控工作的综合满意度情况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7" w:hRule="atLeast"/>
          <w:jc w:val="center"/>
        </w:trPr>
        <w:tc>
          <w:tcPr>
            <w:tcW w:w="625"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themeColor="text1"/>
                <w:kern w:val="0"/>
                <w:sz w:val="21"/>
                <w:szCs w:val="21"/>
                <w:lang w:val="en-US" w:eastAsia="zh-CN" w:bidi="ar"/>
                <w14:textFill>
                  <w14:solidFill>
                    <w14:schemeClr w14:val="tx1"/>
                  </w14:solidFill>
                </w14:textFill>
              </w:rPr>
            </w:pPr>
          </w:p>
        </w:tc>
        <w:tc>
          <w:tcPr>
            <w:tcW w:w="1411"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服务对象满意度</w:t>
            </w:r>
          </w:p>
        </w:tc>
        <w:tc>
          <w:tcPr>
            <w:tcW w:w="506"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≥90%</w:t>
            </w:r>
          </w:p>
        </w:tc>
        <w:tc>
          <w:tcPr>
            <w:tcW w:w="1838" w:type="pct"/>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_GB2312"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反映和考核项目服务对象对疫情防控及相关服务工作的满意程度。</w:t>
            </w:r>
          </w:p>
        </w:tc>
      </w:tr>
    </w:tbl>
    <w:p>
      <w:pPr>
        <w:pStyle w:val="3"/>
        <w:keepNext/>
        <w:keepLines/>
        <w:pageBreakBefore w:val="0"/>
        <w:widowControl w:val="0"/>
        <w:numPr>
          <w:ilvl w:val="0"/>
          <w:numId w:val="1"/>
        </w:numPr>
        <w:kinsoku/>
        <w:wordWrap/>
        <w:overflowPunct/>
        <w:topLinePunct w:val="0"/>
        <w:autoSpaceDE/>
        <w:autoSpaceDN/>
        <w:bidi w:val="0"/>
        <w:adjustRightInd/>
        <w:snapToGrid/>
        <w:spacing w:before="120" w:after="120" w:line="560" w:lineRule="exact"/>
        <w:ind w:left="0" w:leftChars="0" w:right="0" w:firstLine="640" w:firstLineChars="200"/>
        <w:jc w:val="both"/>
        <w:textAlignment w:val="auto"/>
        <w:outlineLvl w:val="0"/>
        <w:rPr>
          <w:rFonts w:hint="eastAsia" w:ascii="黑体" w:hAnsi="黑体" w:eastAsia="黑体" w:cs="黑体"/>
          <w:bCs/>
          <w:kern w:val="44"/>
          <w:sz w:val="32"/>
          <w:szCs w:val="32"/>
          <w:highlight w:val="none"/>
          <w:lang w:val="en-US" w:eastAsia="zh-CN" w:bidi="ar-SA"/>
        </w:rPr>
      </w:pPr>
      <w:bookmarkStart w:id="5" w:name="_Toc30501"/>
      <w:r>
        <w:rPr>
          <w:rFonts w:hint="eastAsia" w:ascii="黑体" w:hAnsi="黑体" w:eastAsia="黑体" w:cs="黑体"/>
          <w:bCs/>
          <w:kern w:val="44"/>
          <w:sz w:val="32"/>
          <w:szCs w:val="32"/>
          <w:highlight w:val="none"/>
          <w:lang w:val="en-US" w:eastAsia="zh-CN" w:bidi="ar-SA"/>
        </w:rPr>
        <w:t>综合评价情况及结论</w:t>
      </w:r>
      <w:bookmarkEnd w:id="5"/>
    </w:p>
    <w:p>
      <w:pPr>
        <w:keepNext w:val="0"/>
        <w:keepLines w:val="0"/>
        <w:pageBreakBefore w:val="0"/>
        <w:widowControl w:val="0"/>
        <w:kinsoku/>
        <w:wordWrap/>
        <w:overflowPunct/>
        <w:topLinePunct w:val="0"/>
        <w:autoSpaceDE/>
        <w:autoSpaceDN/>
        <w:bidi w:val="0"/>
        <w:adjustRightInd/>
        <w:snapToGrid/>
        <w:spacing w:before="120" w:after="60"/>
        <w:textAlignment w:val="auto"/>
        <w:outlineLvl w:val="1"/>
        <w:rPr>
          <w:rFonts w:hint="default" w:ascii="Arial" w:hAnsi="Arial" w:eastAsia="楷体" w:cs="Times New Roman"/>
          <w:b/>
          <w:kern w:val="2"/>
          <w:sz w:val="32"/>
          <w:szCs w:val="21"/>
          <w:lang w:val="en-US" w:eastAsia="zh-CN" w:bidi="ar-SA"/>
        </w:rPr>
      </w:pPr>
      <w:bookmarkStart w:id="6" w:name="_Toc26960"/>
      <w:r>
        <w:rPr>
          <w:rFonts w:hint="eastAsia" w:ascii="Arial" w:hAnsi="Arial" w:eastAsia="楷体" w:cs="Times New Roman"/>
          <w:b/>
          <w:kern w:val="2"/>
          <w:sz w:val="32"/>
          <w:szCs w:val="21"/>
          <w:lang w:val="en-US" w:eastAsia="zh-CN" w:bidi="ar-SA"/>
        </w:rPr>
        <w:t>（一）评价评分情况</w:t>
      </w:r>
      <w:bookmarkEnd w:id="6"/>
    </w:p>
    <w:p>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pPr>
      <w:r>
        <w:rPr>
          <w:rFonts w:hint="default" w:ascii="Times New Roman" w:hAnsi="Times New Roman" w:eastAsia="仿宋_GB2312" w:cs="Times New Roman"/>
          <w:sz w:val="32"/>
          <w:szCs w:val="32"/>
        </w:rPr>
        <w:t>贵阳业越企业管理咨询有限公司对</w:t>
      </w:r>
      <w:r>
        <w:rPr>
          <w:rFonts w:hint="default" w:ascii="Times New Roman" w:hAnsi="Times New Roman" w:cs="Times New Roman"/>
          <w:sz w:val="32"/>
          <w:szCs w:val="32"/>
          <w:lang w:val="en-US" w:eastAsia="zh-CN"/>
        </w:rPr>
        <w:t>2020年云岩区疾病预防控制中心新型冠状病毒感染的肺炎疫情防控</w:t>
      </w:r>
      <w:r>
        <w:rPr>
          <w:rFonts w:hint="eastAsia" w:cs="Times New Roman"/>
          <w:sz w:val="32"/>
          <w:szCs w:val="32"/>
          <w:lang w:val="en-US" w:eastAsia="zh-CN"/>
        </w:rPr>
        <w:t>经费</w:t>
      </w:r>
      <w:r>
        <w:rPr>
          <w:rFonts w:hint="default" w:ascii="Times New Roman" w:hAnsi="Times New Roman" w:cs="Times New Roman"/>
          <w:sz w:val="32"/>
          <w:szCs w:val="32"/>
          <w:lang w:val="en-US" w:eastAsia="zh-CN"/>
        </w:rPr>
        <w:t>项目进行了独立的</w:t>
      </w:r>
      <w:r>
        <w:rPr>
          <w:rFonts w:hint="eastAsia" w:cs="Times New Roman"/>
          <w:sz w:val="32"/>
          <w:szCs w:val="32"/>
          <w:lang w:val="en-US" w:eastAsia="zh-CN"/>
        </w:rPr>
        <w:t>第三方</w:t>
      </w:r>
      <w:r>
        <w:rPr>
          <w:rFonts w:hint="default" w:ascii="Times New Roman" w:hAnsi="Times New Roman" w:cs="Times New Roman"/>
          <w:sz w:val="32"/>
          <w:szCs w:val="32"/>
          <w:lang w:val="en-US" w:eastAsia="zh-CN"/>
        </w:rPr>
        <w:t>绩效评价。经评价分析，项目绩效评价综合得</w:t>
      </w:r>
      <w:r>
        <w:rPr>
          <w:rFonts w:hint="eastAsia" w:ascii="Times New Roman" w:hAnsi="Times New Roman" w:cs="Times New Roman"/>
          <w:sz w:val="32"/>
          <w:szCs w:val="32"/>
          <w:lang w:val="en-US" w:eastAsia="zh-CN"/>
        </w:rPr>
        <w:t>分</w:t>
      </w:r>
      <w:r>
        <w:rPr>
          <w:rFonts w:hint="default" w:ascii="Times New Roman" w:hAnsi="Times New Roman" w:cs="Times New Roman"/>
          <w:sz w:val="32"/>
          <w:szCs w:val="32"/>
          <w:highlight w:val="none"/>
          <w:lang w:val="en-US" w:eastAsia="zh-CN"/>
        </w:rPr>
        <w:t>9</w:t>
      </w:r>
      <w:r>
        <w:rPr>
          <w:rFonts w:hint="eastAsia" w:cs="Times New Roman"/>
          <w:sz w:val="32"/>
          <w:szCs w:val="32"/>
          <w:highlight w:val="none"/>
          <w:lang w:val="en-US" w:eastAsia="zh-CN"/>
        </w:rPr>
        <w:t>1.45</w:t>
      </w:r>
      <w:r>
        <w:rPr>
          <w:rFonts w:hint="default" w:ascii="Times New Roman" w:hAnsi="Times New Roman" w:cs="Times New Roman"/>
          <w:sz w:val="32"/>
          <w:szCs w:val="32"/>
          <w:lang w:val="en-US" w:eastAsia="zh-CN"/>
        </w:rPr>
        <w:t>分，评价等级为</w:t>
      </w:r>
      <w:r>
        <w:rPr>
          <w:rFonts w:hint="eastAsia" w:cs="Times New Roman"/>
          <w:sz w:val="32"/>
          <w:szCs w:val="32"/>
          <w:lang w:val="en-US" w:eastAsia="zh-CN"/>
        </w:rPr>
        <w:t>“</w:t>
      </w:r>
      <w:r>
        <w:rPr>
          <w:rFonts w:hint="default" w:ascii="Times New Roman" w:hAnsi="Times New Roman" w:cs="Times New Roman"/>
          <w:sz w:val="32"/>
          <w:szCs w:val="32"/>
          <w:highlight w:val="none"/>
          <w:lang w:val="en-US" w:eastAsia="zh-CN"/>
        </w:rPr>
        <w:t>优</w:t>
      </w:r>
      <w:r>
        <w:rPr>
          <w:rFonts w:hint="eastAsia" w:cs="Times New Roman"/>
          <w:sz w:val="32"/>
          <w:szCs w:val="32"/>
          <w:highlight w:val="none"/>
          <w:lang w:val="en-US" w:eastAsia="zh-CN"/>
        </w:rPr>
        <w:t>”</w:t>
      </w:r>
      <w:r>
        <w:rPr>
          <w:rFonts w:hint="default" w:ascii="Times New Roman" w:hAnsi="Times New Roman" w:cs="Times New Roman"/>
          <w:sz w:val="32"/>
          <w:szCs w:val="32"/>
          <w:lang w:val="en-US" w:eastAsia="zh-CN"/>
        </w:rPr>
        <w:t>。</w:t>
      </w:r>
      <w:r>
        <w:rPr>
          <w:rFonts w:cs="Times New Roman"/>
          <w:color w:val="auto"/>
          <w:highlight w:val="none"/>
        </w:rPr>
        <w:t>各指标评分</w:t>
      </w:r>
      <w:r>
        <w:rPr>
          <w:rFonts w:hint="eastAsia" w:cs="Times New Roman"/>
          <w:color w:val="auto"/>
          <w:highlight w:val="none"/>
        </w:rPr>
        <w:t>详见表</w:t>
      </w:r>
      <w:r>
        <w:rPr>
          <w:rFonts w:hint="eastAsia" w:cs="Times New Roman"/>
          <w:iCs/>
          <w:color w:val="auto"/>
          <w:highlight w:val="none"/>
          <w:lang w:val="en-US" w:eastAsia="zh-CN"/>
        </w:rPr>
        <w:t>2-1：</w:t>
      </w:r>
    </w:p>
    <w:p>
      <w:pPr>
        <w:pStyle w:val="2"/>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表</w:t>
      </w:r>
      <w:r>
        <w:rPr>
          <w:rFonts w:hint="eastAsia" w:eastAsia="黑体" w:cs="Times New Roman"/>
          <w:sz w:val="24"/>
          <w:szCs w:val="24"/>
          <w:lang w:val="en-US" w:eastAsia="zh-CN"/>
        </w:rPr>
        <w:t>2</w:t>
      </w:r>
      <w:r>
        <w:rPr>
          <w:rFonts w:hint="default" w:ascii="Times New Roman" w:hAnsi="Times New Roman" w:eastAsia="黑体" w:cs="Times New Roman"/>
          <w:sz w:val="24"/>
          <w:szCs w:val="24"/>
          <w:lang w:val="en-US" w:eastAsia="zh-CN"/>
        </w:rPr>
        <w:t>-1</w:t>
      </w:r>
      <w:r>
        <w:rPr>
          <w:rFonts w:hint="eastAsia" w:ascii="黑体" w:hAnsi="黑体" w:eastAsia="黑体" w:cs="黑体"/>
          <w:sz w:val="24"/>
          <w:szCs w:val="24"/>
          <w:lang w:val="en-US" w:eastAsia="zh-CN"/>
        </w:rPr>
        <w:t>：项目绩效指标评分表</w:t>
      </w:r>
    </w:p>
    <w:tbl>
      <w:tblPr>
        <w:tblStyle w:val="16"/>
        <w:tblW w:w="482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501"/>
        <w:gridCol w:w="2017"/>
        <w:gridCol w:w="2814"/>
        <w:gridCol w:w="998"/>
        <w:gridCol w:w="88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tblHeader/>
          <w:jc w:val="center"/>
        </w:trPr>
        <w:tc>
          <w:tcPr>
            <w:tcW w:w="913"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bidi="ar"/>
              </w:rPr>
            </w:pPr>
            <w:r>
              <w:rPr>
                <w:rFonts w:hint="default" w:ascii="Times New Roman" w:hAnsi="Times New Roman" w:cs="Times New Roman"/>
                <w:b/>
                <w:bCs/>
                <w:color w:val="000000"/>
                <w:kern w:val="0"/>
                <w:sz w:val="21"/>
                <w:szCs w:val="21"/>
                <w:lang w:bidi="ar"/>
              </w:rPr>
              <w:t>一级指标</w:t>
            </w:r>
          </w:p>
        </w:tc>
        <w:tc>
          <w:tcPr>
            <w:tcW w:w="1227"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bidi="ar"/>
              </w:rPr>
            </w:pPr>
            <w:r>
              <w:rPr>
                <w:rFonts w:hint="default" w:ascii="Times New Roman" w:hAnsi="Times New Roman" w:cs="Times New Roman"/>
                <w:b/>
                <w:bCs/>
                <w:color w:val="000000"/>
                <w:kern w:val="0"/>
                <w:sz w:val="21"/>
                <w:szCs w:val="21"/>
                <w:lang w:bidi="ar"/>
              </w:rPr>
              <w:t>二级指标</w:t>
            </w: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bidi="ar"/>
              </w:rPr>
            </w:pPr>
            <w:r>
              <w:rPr>
                <w:rFonts w:hint="default" w:ascii="Times New Roman" w:hAnsi="Times New Roman" w:cs="Times New Roman"/>
                <w:b/>
                <w:bCs/>
                <w:color w:val="000000"/>
                <w:kern w:val="0"/>
                <w:sz w:val="21"/>
                <w:szCs w:val="21"/>
                <w:lang w:bidi="ar"/>
              </w:rPr>
              <w:t>三级指标</w:t>
            </w:r>
          </w:p>
        </w:tc>
        <w:tc>
          <w:tcPr>
            <w:tcW w:w="607"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分值</w:t>
            </w:r>
          </w:p>
        </w:tc>
        <w:tc>
          <w:tcPr>
            <w:tcW w:w="539"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r>
              <w:rPr>
                <w:rFonts w:hint="eastAsia" w:cs="Times New Roman"/>
                <w:color w:val="000000"/>
                <w:kern w:val="0"/>
                <w:sz w:val="21"/>
                <w:szCs w:val="21"/>
                <w:lang w:val="en-US" w:eastAsia="zh-CN" w:bidi="ar"/>
              </w:rPr>
              <w:t>项目</w:t>
            </w:r>
            <w:r>
              <w:rPr>
                <w:rFonts w:hint="default" w:ascii="Times New Roman" w:hAnsi="Times New Roman" w:cs="Times New Roman"/>
                <w:color w:val="000000"/>
                <w:kern w:val="0"/>
                <w:sz w:val="21"/>
                <w:szCs w:val="21"/>
                <w:lang w:bidi="ar"/>
              </w:rPr>
              <w:t>决策</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eastAsia" w:cs="Times New Roman"/>
                <w:color w:val="000000"/>
                <w:kern w:val="0"/>
                <w:sz w:val="21"/>
                <w:szCs w:val="21"/>
                <w:lang w:val="en-US" w:eastAsia="zh-CN" w:bidi="ar"/>
              </w:rPr>
              <w:t>（15分）</w:t>
            </w:r>
          </w:p>
        </w:tc>
        <w:tc>
          <w:tcPr>
            <w:tcW w:w="1227"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eastAsia="zh-CN" w:bidi="ar"/>
              </w:rPr>
            </w:pPr>
            <w:r>
              <w:rPr>
                <w:rFonts w:hint="default" w:ascii="Times New Roman" w:hAnsi="Times New Roman" w:cs="Times New Roman"/>
                <w:color w:val="000000"/>
                <w:kern w:val="0"/>
                <w:sz w:val="21"/>
                <w:szCs w:val="21"/>
                <w:lang w:bidi="ar"/>
              </w:rPr>
              <w:t>项目立项</w:t>
            </w:r>
            <w:r>
              <w:rPr>
                <w:rFonts w:hint="default" w:ascii="Times New Roman" w:hAnsi="Times New Roman" w:cs="Times New Roman"/>
                <w:color w:val="000000"/>
                <w:kern w:val="0"/>
                <w:sz w:val="21"/>
                <w:szCs w:val="21"/>
                <w:lang w:eastAsia="zh-CN" w:bidi="ar"/>
              </w:rPr>
              <w:t>（</w:t>
            </w:r>
            <w:r>
              <w:rPr>
                <w:rFonts w:hint="default" w:ascii="Times New Roman" w:hAnsi="Times New Roman" w:cs="Times New Roman"/>
                <w:color w:val="000000"/>
                <w:kern w:val="0"/>
                <w:sz w:val="21"/>
                <w:szCs w:val="21"/>
                <w:lang w:val="en-US" w:eastAsia="zh-CN" w:bidi="ar"/>
              </w:rPr>
              <w:t>4分</w:t>
            </w:r>
            <w:r>
              <w:rPr>
                <w:rFonts w:hint="default" w:ascii="Times New Roman" w:hAnsi="Times New Roman" w:cs="Times New Roman"/>
                <w:color w:val="000000"/>
                <w:kern w:val="0"/>
                <w:sz w:val="21"/>
                <w:szCs w:val="21"/>
                <w:lang w:eastAsia="zh-CN" w:bidi="ar"/>
              </w:rPr>
              <w:t>）</w:t>
            </w: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r>
              <w:rPr>
                <w:rFonts w:hint="default" w:ascii="Times New Roman" w:hAnsi="Times New Roman" w:cs="Times New Roman"/>
                <w:color w:val="000000"/>
                <w:kern w:val="0"/>
                <w:sz w:val="21"/>
                <w:szCs w:val="21"/>
                <w:lang w:bidi="ar"/>
              </w:rPr>
              <w:t>立项依据充分性</w:t>
            </w:r>
          </w:p>
        </w:tc>
        <w:tc>
          <w:tcPr>
            <w:tcW w:w="607"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2</w:t>
            </w:r>
          </w:p>
        </w:tc>
        <w:tc>
          <w:tcPr>
            <w:tcW w:w="539"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ascii="Times New Roman" w:hAnsi="Times New Roman" w:cs="Times New Roman"/>
                <w:color w:val="000000"/>
                <w:kern w:val="0"/>
                <w:sz w:val="21"/>
                <w:szCs w:val="21"/>
                <w:lang w:val="en-US" w:eastAsia="zh-CN" w:bidi="ar"/>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r>
              <w:rPr>
                <w:rFonts w:hint="default" w:ascii="Times New Roman" w:hAnsi="Times New Roman" w:cs="Times New Roman"/>
                <w:color w:val="000000"/>
                <w:kern w:val="0"/>
                <w:sz w:val="21"/>
                <w:szCs w:val="21"/>
                <w:lang w:bidi="ar"/>
              </w:rPr>
              <w:t>立项程序规范性</w:t>
            </w:r>
          </w:p>
        </w:tc>
        <w:tc>
          <w:tcPr>
            <w:tcW w:w="607"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2</w:t>
            </w:r>
          </w:p>
        </w:tc>
        <w:tc>
          <w:tcPr>
            <w:tcW w:w="539"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ascii="Times New Roman" w:hAnsi="Times New Roman" w:cs="Times New Roman"/>
                <w:color w:val="000000"/>
                <w:kern w:val="0"/>
                <w:sz w:val="21"/>
                <w:szCs w:val="21"/>
                <w:lang w:val="en-US" w:eastAsia="zh-CN" w:bidi="ar"/>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eastAsia="zh-CN" w:bidi="ar"/>
              </w:rPr>
            </w:pPr>
            <w:r>
              <w:rPr>
                <w:rFonts w:hint="default" w:ascii="Times New Roman" w:hAnsi="Times New Roman" w:cs="Times New Roman"/>
                <w:color w:val="000000"/>
                <w:kern w:val="0"/>
                <w:sz w:val="21"/>
                <w:szCs w:val="21"/>
                <w:lang w:bidi="ar"/>
              </w:rPr>
              <w:t>绩效目标</w:t>
            </w:r>
            <w:r>
              <w:rPr>
                <w:rFonts w:hint="default" w:ascii="Times New Roman" w:hAnsi="Times New Roman" w:cs="Times New Roman"/>
                <w:color w:val="000000"/>
                <w:kern w:val="0"/>
                <w:sz w:val="21"/>
                <w:szCs w:val="21"/>
                <w:lang w:eastAsia="zh-CN" w:bidi="ar"/>
              </w:rPr>
              <w:t>（</w:t>
            </w:r>
            <w:r>
              <w:rPr>
                <w:rFonts w:hint="eastAsia" w:cs="Times New Roman"/>
                <w:color w:val="000000"/>
                <w:kern w:val="0"/>
                <w:sz w:val="21"/>
                <w:szCs w:val="21"/>
                <w:lang w:val="en-US" w:eastAsia="zh-CN" w:bidi="ar"/>
              </w:rPr>
              <w:t>4</w:t>
            </w:r>
            <w:r>
              <w:rPr>
                <w:rFonts w:hint="default" w:ascii="Times New Roman" w:hAnsi="Times New Roman" w:cs="Times New Roman"/>
                <w:color w:val="000000"/>
                <w:kern w:val="0"/>
                <w:sz w:val="21"/>
                <w:szCs w:val="21"/>
                <w:lang w:val="en-US" w:eastAsia="zh-CN" w:bidi="ar"/>
              </w:rPr>
              <w:t>分</w:t>
            </w:r>
            <w:r>
              <w:rPr>
                <w:rFonts w:hint="default" w:ascii="Times New Roman" w:hAnsi="Times New Roman" w:cs="Times New Roman"/>
                <w:color w:val="000000"/>
                <w:kern w:val="0"/>
                <w:sz w:val="21"/>
                <w:szCs w:val="21"/>
                <w:lang w:eastAsia="zh-CN" w:bidi="ar"/>
              </w:rPr>
              <w:t>）</w:t>
            </w: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bidi="ar"/>
                <w14:textFill>
                  <w14:solidFill>
                    <w14:schemeClr w14:val="tx1"/>
                  </w14:solidFill>
                </w14:textFill>
              </w:rPr>
            </w:pPr>
            <w:r>
              <w:rPr>
                <w:rFonts w:hint="default" w:ascii="Times New Roman" w:hAnsi="Times New Roman" w:cs="Times New Roman"/>
                <w:color w:val="000000" w:themeColor="text1"/>
                <w:kern w:val="0"/>
                <w:sz w:val="21"/>
                <w:szCs w:val="21"/>
                <w:lang w:bidi="ar"/>
                <w14:textFill>
                  <w14:solidFill>
                    <w14:schemeClr w14:val="tx1"/>
                  </w14:solidFill>
                </w14:textFill>
              </w:rPr>
              <w:t>绩效目标合理性</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2</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ascii="Times New Roman" w:hAnsi="Times New Roman" w:cs="Times New Roman"/>
                <w:color w:val="000000" w:themeColor="text1"/>
                <w:kern w:val="0"/>
                <w:sz w:val="21"/>
                <w:szCs w:val="21"/>
                <w:lang w:val="en-US" w:eastAsia="zh-CN" w:bidi="ar"/>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bidi="ar"/>
                <w14:textFill>
                  <w14:solidFill>
                    <w14:schemeClr w14:val="tx1"/>
                  </w14:solidFill>
                </w14:textFill>
              </w:rPr>
            </w:pPr>
            <w:r>
              <w:rPr>
                <w:rFonts w:hint="default" w:ascii="Times New Roman" w:hAnsi="Times New Roman" w:cs="Times New Roman"/>
                <w:color w:val="000000" w:themeColor="text1"/>
                <w:kern w:val="0"/>
                <w:sz w:val="21"/>
                <w:szCs w:val="21"/>
                <w:lang w:bidi="ar"/>
                <w14:textFill>
                  <w14:solidFill>
                    <w14:schemeClr w14:val="tx1"/>
                  </w14:solidFill>
                </w14:textFill>
              </w:rPr>
              <w:t>绩效指标明确性</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2</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ascii="Times New Roman" w:hAnsi="Times New Roman" w:cs="Times New Roman"/>
                <w:color w:val="000000" w:themeColor="text1"/>
                <w:kern w:val="0"/>
                <w:sz w:val="21"/>
                <w:szCs w:val="21"/>
                <w:lang w:val="en-US" w:eastAsia="zh-CN" w:bidi="ar"/>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eastAsia="zh-CN" w:bidi="ar"/>
              </w:rPr>
            </w:pPr>
            <w:r>
              <w:rPr>
                <w:rFonts w:hint="default" w:ascii="Times New Roman" w:hAnsi="Times New Roman" w:cs="Times New Roman"/>
                <w:color w:val="000000"/>
                <w:kern w:val="0"/>
                <w:sz w:val="21"/>
                <w:szCs w:val="21"/>
                <w:lang w:bidi="ar"/>
              </w:rPr>
              <w:t>资金投入</w:t>
            </w:r>
            <w:r>
              <w:rPr>
                <w:rFonts w:hint="default" w:ascii="Times New Roman" w:hAnsi="Times New Roman" w:cs="Times New Roman"/>
                <w:color w:val="000000"/>
                <w:kern w:val="0"/>
                <w:sz w:val="21"/>
                <w:szCs w:val="21"/>
                <w:lang w:eastAsia="zh-CN" w:bidi="ar"/>
              </w:rPr>
              <w:t>（</w:t>
            </w:r>
            <w:r>
              <w:rPr>
                <w:rFonts w:hint="eastAsia" w:cs="Times New Roman"/>
                <w:color w:val="000000"/>
                <w:kern w:val="0"/>
                <w:sz w:val="21"/>
                <w:szCs w:val="21"/>
                <w:lang w:val="en-US" w:eastAsia="zh-CN" w:bidi="ar"/>
              </w:rPr>
              <w:t>7</w:t>
            </w:r>
            <w:r>
              <w:rPr>
                <w:rFonts w:hint="default" w:ascii="Times New Roman" w:hAnsi="Times New Roman" w:cs="Times New Roman"/>
                <w:color w:val="000000"/>
                <w:kern w:val="0"/>
                <w:sz w:val="21"/>
                <w:szCs w:val="21"/>
                <w:lang w:val="en-US" w:eastAsia="zh-CN" w:bidi="ar"/>
              </w:rPr>
              <w:t>分</w:t>
            </w:r>
            <w:r>
              <w:rPr>
                <w:rFonts w:hint="default" w:ascii="Times New Roman" w:hAnsi="Times New Roman" w:cs="Times New Roman"/>
                <w:color w:val="000000"/>
                <w:kern w:val="0"/>
                <w:sz w:val="21"/>
                <w:szCs w:val="21"/>
                <w:lang w:eastAsia="zh-CN" w:bidi="ar"/>
              </w:rPr>
              <w:t>）</w:t>
            </w: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r>
              <w:rPr>
                <w:rFonts w:hint="default" w:ascii="Times New Roman" w:hAnsi="Times New Roman" w:cs="Times New Roman"/>
                <w:color w:val="000000"/>
                <w:kern w:val="0"/>
                <w:sz w:val="21"/>
                <w:szCs w:val="21"/>
                <w:lang w:bidi="ar"/>
              </w:rPr>
              <w:t>预算编制科学性</w:t>
            </w:r>
          </w:p>
        </w:tc>
        <w:tc>
          <w:tcPr>
            <w:tcW w:w="607"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eastAsia" w:ascii="Times New Roman" w:hAnsi="Times New Roman" w:cs="Times New Roman"/>
                <w:color w:val="000000"/>
                <w:kern w:val="0"/>
                <w:sz w:val="21"/>
                <w:szCs w:val="21"/>
                <w:lang w:val="en-US" w:eastAsia="zh-CN" w:bidi="ar"/>
              </w:rPr>
              <w:t>3</w:t>
            </w:r>
          </w:p>
        </w:tc>
        <w:tc>
          <w:tcPr>
            <w:tcW w:w="539"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r>
              <w:rPr>
                <w:rFonts w:hint="default" w:ascii="Times New Roman" w:hAnsi="Times New Roman" w:cs="Times New Roman"/>
                <w:color w:val="000000"/>
                <w:kern w:val="0"/>
                <w:sz w:val="21"/>
                <w:szCs w:val="21"/>
                <w:lang w:bidi="ar"/>
              </w:rPr>
              <w:t>资金分配合理性</w:t>
            </w:r>
          </w:p>
        </w:tc>
        <w:tc>
          <w:tcPr>
            <w:tcW w:w="607"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eastAsia" w:cs="Times New Roman"/>
                <w:color w:val="000000"/>
                <w:kern w:val="0"/>
                <w:sz w:val="21"/>
                <w:szCs w:val="21"/>
                <w:lang w:val="en-US" w:eastAsia="zh-CN" w:bidi="ar"/>
              </w:rPr>
              <w:t>4</w:t>
            </w:r>
          </w:p>
        </w:tc>
        <w:tc>
          <w:tcPr>
            <w:tcW w:w="539"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913"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r>
              <w:rPr>
                <w:rFonts w:hint="eastAsia" w:cs="Times New Roman"/>
                <w:color w:val="000000"/>
                <w:kern w:val="0"/>
                <w:sz w:val="21"/>
                <w:szCs w:val="21"/>
                <w:lang w:val="en-US" w:eastAsia="zh-CN" w:bidi="ar"/>
              </w:rPr>
              <w:t>项目</w:t>
            </w:r>
            <w:r>
              <w:rPr>
                <w:rFonts w:hint="default" w:ascii="Times New Roman" w:hAnsi="Times New Roman" w:cs="Times New Roman"/>
                <w:color w:val="000000"/>
                <w:kern w:val="0"/>
                <w:sz w:val="21"/>
                <w:szCs w:val="21"/>
                <w:lang w:bidi="ar"/>
              </w:rPr>
              <w:t>过程</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r>
              <w:rPr>
                <w:rFonts w:hint="eastAsia" w:cs="Times New Roman"/>
                <w:color w:val="000000"/>
                <w:kern w:val="0"/>
                <w:sz w:val="21"/>
                <w:szCs w:val="21"/>
                <w:lang w:val="en-US" w:eastAsia="zh-CN" w:bidi="ar"/>
              </w:rPr>
              <w:t>（</w:t>
            </w:r>
            <w:r>
              <w:rPr>
                <w:rFonts w:hint="default" w:ascii="Times New Roman" w:hAnsi="Times New Roman" w:cs="Times New Roman"/>
                <w:color w:val="000000"/>
                <w:kern w:val="0"/>
                <w:sz w:val="21"/>
                <w:szCs w:val="21"/>
                <w:lang w:val="en-US" w:eastAsia="zh-CN" w:bidi="ar"/>
              </w:rPr>
              <w:t>2</w:t>
            </w:r>
            <w:r>
              <w:rPr>
                <w:rFonts w:hint="eastAsia" w:cs="Times New Roman"/>
                <w:color w:val="000000"/>
                <w:kern w:val="0"/>
                <w:sz w:val="21"/>
                <w:szCs w:val="21"/>
                <w:lang w:val="en-US" w:eastAsia="zh-CN" w:bidi="ar"/>
              </w:rPr>
              <w:t>2</w:t>
            </w:r>
            <w:r>
              <w:rPr>
                <w:rFonts w:hint="default" w:ascii="Times New Roman" w:hAnsi="Times New Roman" w:cs="Times New Roman"/>
                <w:color w:val="000000"/>
                <w:kern w:val="0"/>
                <w:sz w:val="21"/>
                <w:szCs w:val="21"/>
                <w:lang w:val="en-US" w:eastAsia="zh-CN" w:bidi="ar"/>
              </w:rPr>
              <w:t>分</w:t>
            </w:r>
            <w:r>
              <w:rPr>
                <w:rFonts w:hint="eastAsia" w:cs="Times New Roman"/>
                <w:color w:val="000000"/>
                <w:kern w:val="0"/>
                <w:sz w:val="21"/>
                <w:szCs w:val="21"/>
                <w:lang w:val="en-US" w:eastAsia="zh-CN" w:bidi="ar"/>
              </w:rPr>
              <w:t>）</w:t>
            </w:r>
          </w:p>
        </w:tc>
        <w:tc>
          <w:tcPr>
            <w:tcW w:w="1227"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_GB2312" w:cs="Times New Roman"/>
                <w:color w:val="000000"/>
                <w:kern w:val="0"/>
                <w:sz w:val="21"/>
                <w:szCs w:val="21"/>
                <w:lang w:eastAsia="zh-CN" w:bidi="ar"/>
              </w:rPr>
            </w:pPr>
            <w:r>
              <w:rPr>
                <w:rFonts w:hint="default" w:ascii="Times New Roman" w:hAnsi="Times New Roman" w:cs="Times New Roman"/>
                <w:color w:val="000000"/>
                <w:kern w:val="0"/>
                <w:sz w:val="21"/>
                <w:szCs w:val="21"/>
                <w:lang w:bidi="ar"/>
              </w:rPr>
              <w:t>资金管理</w:t>
            </w:r>
            <w:r>
              <w:rPr>
                <w:rFonts w:hint="default" w:ascii="Times New Roman" w:hAnsi="Times New Roman" w:cs="Times New Roman"/>
                <w:color w:val="000000"/>
                <w:kern w:val="0"/>
                <w:sz w:val="21"/>
                <w:szCs w:val="21"/>
                <w:lang w:eastAsia="zh-CN" w:bidi="ar"/>
              </w:rPr>
              <w:t>（</w:t>
            </w:r>
            <w:r>
              <w:rPr>
                <w:rFonts w:hint="eastAsia" w:cs="Times New Roman"/>
                <w:color w:val="000000"/>
                <w:kern w:val="0"/>
                <w:sz w:val="21"/>
                <w:szCs w:val="21"/>
                <w:lang w:val="en-US" w:eastAsia="zh-CN" w:bidi="ar"/>
              </w:rPr>
              <w:t>9</w:t>
            </w:r>
            <w:r>
              <w:rPr>
                <w:rFonts w:hint="default" w:ascii="Times New Roman" w:hAnsi="Times New Roman" w:cs="Times New Roman"/>
                <w:color w:val="000000"/>
                <w:kern w:val="0"/>
                <w:sz w:val="21"/>
                <w:szCs w:val="21"/>
                <w:lang w:val="en-US" w:eastAsia="zh-CN" w:bidi="ar"/>
              </w:rPr>
              <w:t>分</w:t>
            </w:r>
            <w:r>
              <w:rPr>
                <w:rFonts w:hint="default" w:ascii="Times New Roman" w:hAnsi="Times New Roman" w:cs="Times New Roman"/>
                <w:color w:val="000000"/>
                <w:kern w:val="0"/>
                <w:sz w:val="21"/>
                <w:szCs w:val="21"/>
                <w:lang w:eastAsia="zh-CN" w:bidi="ar"/>
              </w:rPr>
              <w:t>）</w:t>
            </w: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r>
              <w:rPr>
                <w:rFonts w:hint="default" w:ascii="Times New Roman" w:hAnsi="Times New Roman" w:cs="Times New Roman"/>
                <w:color w:val="000000"/>
                <w:kern w:val="0"/>
                <w:sz w:val="21"/>
                <w:szCs w:val="21"/>
                <w:lang w:val="en-US" w:eastAsia="zh-CN" w:bidi="ar"/>
              </w:rPr>
              <w:t>资金</w:t>
            </w:r>
            <w:r>
              <w:rPr>
                <w:rFonts w:hint="default" w:ascii="Times New Roman" w:hAnsi="Times New Roman" w:cs="Times New Roman"/>
                <w:color w:val="000000"/>
                <w:kern w:val="0"/>
                <w:sz w:val="21"/>
                <w:szCs w:val="21"/>
                <w:lang w:bidi="ar"/>
              </w:rPr>
              <w:t>到位率</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2</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cs="Times New Roman"/>
                <w:bCs/>
                <w:color w:val="auto"/>
                <w:sz w:val="21"/>
                <w:highlight w:val="none"/>
                <w:lang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r>
              <w:rPr>
                <w:rFonts w:hint="default" w:ascii="Times New Roman" w:hAnsi="Times New Roman" w:cs="Times New Roman"/>
                <w:color w:val="000000"/>
                <w:kern w:val="0"/>
                <w:sz w:val="21"/>
                <w:szCs w:val="21"/>
                <w:lang w:bidi="ar"/>
              </w:rPr>
              <w:t>预算执行率</w:t>
            </w:r>
          </w:p>
        </w:tc>
        <w:tc>
          <w:tcPr>
            <w:tcW w:w="607"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eastAsia" w:cs="Times New Roman"/>
                <w:color w:val="000000"/>
                <w:kern w:val="0"/>
                <w:sz w:val="21"/>
                <w:szCs w:val="21"/>
                <w:lang w:val="en-US" w:eastAsia="zh-CN" w:bidi="ar"/>
              </w:rPr>
              <w:t>3</w:t>
            </w:r>
          </w:p>
        </w:tc>
        <w:tc>
          <w:tcPr>
            <w:tcW w:w="539"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cs="Times New Roman"/>
                <w:bCs/>
                <w:color w:val="auto"/>
                <w:sz w:val="21"/>
                <w:highlight w:val="none"/>
                <w:lang w:eastAsia="zh-CN"/>
              </w:rPr>
              <w:t>2.38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bidi="ar"/>
                <w14:textFill>
                  <w14:solidFill>
                    <w14:schemeClr w14:val="tx1"/>
                  </w14:solidFill>
                </w14:textFill>
              </w:rPr>
            </w:pPr>
            <w:r>
              <w:rPr>
                <w:rFonts w:hint="default" w:ascii="Times New Roman" w:hAnsi="Times New Roman" w:cs="Times New Roman"/>
                <w:color w:val="000000" w:themeColor="text1"/>
                <w:kern w:val="0"/>
                <w:sz w:val="21"/>
                <w:szCs w:val="21"/>
                <w:lang w:bidi="ar"/>
                <w14:textFill>
                  <w14:solidFill>
                    <w14:schemeClr w14:val="tx1"/>
                  </w14:solidFill>
                </w14:textFill>
              </w:rPr>
              <w:t>资金使用合规性</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4</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bCs/>
                <w:color w:val="000000" w:themeColor="text1"/>
                <w:sz w:val="21"/>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eastAsia="zh-CN" w:bidi="ar"/>
              </w:rPr>
            </w:pPr>
            <w:r>
              <w:rPr>
                <w:rFonts w:hint="default" w:ascii="Times New Roman" w:hAnsi="Times New Roman" w:cs="Times New Roman"/>
                <w:color w:val="000000"/>
                <w:kern w:val="0"/>
                <w:sz w:val="21"/>
                <w:szCs w:val="21"/>
                <w:lang w:bidi="ar"/>
              </w:rPr>
              <w:t>组织实施</w:t>
            </w:r>
            <w:r>
              <w:rPr>
                <w:rFonts w:hint="default" w:ascii="Times New Roman" w:hAnsi="Times New Roman" w:cs="Times New Roman"/>
                <w:color w:val="000000"/>
                <w:kern w:val="0"/>
                <w:sz w:val="21"/>
                <w:szCs w:val="21"/>
                <w:lang w:eastAsia="zh-CN" w:bidi="ar"/>
              </w:rPr>
              <w:t>（</w:t>
            </w:r>
            <w:r>
              <w:rPr>
                <w:rFonts w:hint="eastAsia" w:cs="Times New Roman"/>
                <w:color w:val="000000"/>
                <w:kern w:val="0"/>
                <w:sz w:val="21"/>
                <w:szCs w:val="21"/>
                <w:lang w:val="en-US" w:eastAsia="zh-CN" w:bidi="ar"/>
              </w:rPr>
              <w:t>13</w:t>
            </w:r>
            <w:r>
              <w:rPr>
                <w:rFonts w:hint="default" w:ascii="Times New Roman" w:hAnsi="Times New Roman" w:cs="Times New Roman"/>
                <w:color w:val="000000"/>
                <w:kern w:val="0"/>
                <w:sz w:val="21"/>
                <w:szCs w:val="21"/>
                <w:lang w:val="en-US" w:eastAsia="zh-CN" w:bidi="ar"/>
              </w:rPr>
              <w:t>分</w:t>
            </w:r>
            <w:r>
              <w:rPr>
                <w:rFonts w:hint="default" w:ascii="Times New Roman" w:hAnsi="Times New Roman" w:cs="Times New Roman"/>
                <w:color w:val="000000"/>
                <w:kern w:val="0"/>
                <w:sz w:val="21"/>
                <w:szCs w:val="21"/>
                <w:lang w:eastAsia="zh-CN" w:bidi="ar"/>
              </w:rPr>
              <w:t>）</w:t>
            </w: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bidi="ar"/>
                <w14:textFill>
                  <w14:solidFill>
                    <w14:schemeClr w14:val="tx1"/>
                  </w14:solidFill>
                </w14:textFill>
              </w:rPr>
            </w:pPr>
            <w:r>
              <w:rPr>
                <w:rFonts w:hint="default" w:ascii="Times New Roman" w:hAnsi="Times New Roman" w:cs="Times New Roman"/>
                <w:color w:val="000000" w:themeColor="text1"/>
                <w:kern w:val="0"/>
                <w:sz w:val="21"/>
                <w:szCs w:val="21"/>
                <w:lang w:bidi="ar"/>
                <w14:textFill>
                  <w14:solidFill>
                    <w14:schemeClr w14:val="tx1"/>
                  </w14:solidFill>
                </w14:textFill>
              </w:rPr>
              <w:t>管理制度健全性</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3</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bCs/>
                <w:color w:val="000000" w:themeColor="text1"/>
                <w:sz w:val="21"/>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highlight w:val="none"/>
                <w:lang w:bidi="ar"/>
                <w14:textFill>
                  <w14:solidFill>
                    <w14:schemeClr w14:val="tx1"/>
                  </w14:solidFill>
                </w14:textFill>
              </w:rPr>
            </w:pPr>
            <w:r>
              <w:rPr>
                <w:rFonts w:hint="default" w:ascii="Times New Roman" w:hAnsi="Times New Roman" w:cs="Times New Roman"/>
                <w:color w:val="000000" w:themeColor="text1"/>
                <w:kern w:val="0"/>
                <w:sz w:val="21"/>
                <w:szCs w:val="21"/>
                <w:highlight w:val="none"/>
                <w:lang w:bidi="ar"/>
                <w14:textFill>
                  <w14:solidFill>
                    <w14:schemeClr w14:val="tx1"/>
                  </w14:solidFill>
                </w14:textFill>
              </w:rPr>
              <w:t>制度执行有效性</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themeColor="text1"/>
                <w:kern w:val="0"/>
                <w:sz w:val="21"/>
                <w:szCs w:val="21"/>
                <w:highlight w:val="none"/>
                <w:lang w:val="en-US" w:eastAsia="zh-CN" w:bidi="ar"/>
                <w14:textFill>
                  <w14:solidFill>
                    <w14:schemeClr w14:val="tx1"/>
                  </w14:solidFill>
                </w14:textFill>
              </w:rPr>
            </w:pPr>
            <w:r>
              <w:rPr>
                <w:rFonts w:hint="eastAsia" w:cs="Times New Roman"/>
                <w:color w:val="000000" w:themeColor="text1"/>
                <w:kern w:val="0"/>
                <w:sz w:val="21"/>
                <w:szCs w:val="21"/>
                <w:highlight w:val="none"/>
                <w:lang w:val="en-US" w:eastAsia="zh-CN" w:bidi="ar"/>
                <w14:textFill>
                  <w14:solidFill>
                    <w14:schemeClr w14:val="tx1"/>
                  </w14:solidFill>
                </w14:textFill>
              </w:rPr>
              <w:t>4</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ascii="Times New Roman" w:hAnsi="Times New Roman" w:cs="Times New Roman"/>
                <w:color w:val="000000" w:themeColor="text1"/>
                <w:kern w:val="0"/>
                <w:sz w:val="21"/>
                <w:szCs w:val="21"/>
                <w:highlight w:val="none"/>
                <w:lang w:val="en-US" w:eastAsia="zh-CN" w:bidi="ar"/>
                <w14:textFill>
                  <w14:solidFill>
                    <w14:schemeClr w14:val="tx1"/>
                  </w14:solidFill>
                </w14:textFill>
              </w:rPr>
            </w:pPr>
            <w:r>
              <w:rPr>
                <w:rFonts w:hint="eastAsia" w:cs="Times New Roman"/>
                <w:color w:val="000000" w:themeColor="text1"/>
                <w:kern w:val="0"/>
                <w:sz w:val="21"/>
                <w:szCs w:val="21"/>
                <w:highlight w:val="none"/>
                <w:lang w:val="en-US" w:eastAsia="zh-CN" w:bidi="ar"/>
                <w14:textFill>
                  <w14:solidFill>
                    <w14:schemeClr w14:val="tx1"/>
                  </w14:solidFill>
                </w14:textFill>
              </w:rPr>
              <w:t>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eastAsia" w:cs="Times New Roman"/>
                <w:color w:val="000000"/>
                <w:kern w:val="0"/>
                <w:sz w:val="21"/>
                <w:szCs w:val="21"/>
                <w:lang w:val="en-US" w:eastAsia="zh-CN" w:bidi="ar"/>
              </w:rPr>
              <w:t>采购程序合规性</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cs="Times New Roman"/>
                <w:color w:val="000000"/>
                <w:kern w:val="0"/>
                <w:sz w:val="21"/>
                <w:szCs w:val="21"/>
                <w:lang w:val="en-US" w:eastAsia="zh-CN" w:bidi="ar"/>
              </w:rPr>
            </w:pPr>
            <w:r>
              <w:rPr>
                <w:rFonts w:hint="eastAsia" w:cs="Times New Roman"/>
                <w:color w:val="000000"/>
                <w:kern w:val="0"/>
                <w:sz w:val="21"/>
                <w:szCs w:val="21"/>
                <w:lang w:val="en-US" w:eastAsia="zh-CN" w:bidi="ar"/>
              </w:rPr>
              <w:t>6</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913" w:type="pct"/>
            <w:vMerge w:val="restart"/>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eastAsia" w:cs="Times New Roman"/>
                <w:color w:val="000000"/>
                <w:kern w:val="0"/>
                <w:sz w:val="21"/>
                <w:szCs w:val="21"/>
                <w:lang w:val="en-US" w:eastAsia="zh-CN" w:bidi="ar"/>
              </w:rPr>
              <w:t>项目</w:t>
            </w:r>
            <w:r>
              <w:rPr>
                <w:rFonts w:hint="default" w:ascii="Times New Roman" w:hAnsi="Times New Roman" w:eastAsia="仿宋_GB2312" w:cs="Times New Roman"/>
                <w:color w:val="000000"/>
                <w:kern w:val="0"/>
                <w:sz w:val="21"/>
                <w:szCs w:val="21"/>
                <w:lang w:val="en-US" w:eastAsia="zh-CN" w:bidi="ar"/>
              </w:rPr>
              <w:t>产出</w:t>
            </w:r>
          </w:p>
          <w:p>
            <w:pPr>
              <w:pStyle w:val="2"/>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Times New Roman" w:hAnsi="Times New Roman" w:cs="Times New Roman"/>
                <w:color w:val="000000"/>
                <w:kern w:val="0"/>
                <w:sz w:val="21"/>
                <w:szCs w:val="21"/>
                <w:lang w:bidi="ar"/>
              </w:rPr>
            </w:pPr>
            <w:r>
              <w:rPr>
                <w:rFonts w:hint="eastAsia" w:cs="Times New Roman"/>
                <w:color w:val="000000"/>
                <w:kern w:val="0"/>
                <w:sz w:val="21"/>
                <w:szCs w:val="21"/>
                <w:lang w:val="en-US" w:eastAsia="zh-CN" w:bidi="ar"/>
              </w:rPr>
              <w:t>（</w:t>
            </w:r>
            <w:r>
              <w:rPr>
                <w:rFonts w:hint="default" w:ascii="Times New Roman" w:hAnsi="Times New Roman" w:eastAsia="仿宋_GB2312" w:cs="Times New Roman"/>
                <w:color w:val="000000"/>
                <w:kern w:val="0"/>
                <w:sz w:val="21"/>
                <w:szCs w:val="21"/>
                <w:lang w:val="en-US" w:eastAsia="zh-CN" w:bidi="ar"/>
              </w:rPr>
              <w:t>3</w:t>
            </w:r>
            <w:r>
              <w:rPr>
                <w:rFonts w:hint="eastAsia" w:cs="Times New Roman"/>
                <w:color w:val="000000"/>
                <w:kern w:val="0"/>
                <w:sz w:val="21"/>
                <w:szCs w:val="21"/>
                <w:lang w:val="en-US" w:eastAsia="zh-CN" w:bidi="ar"/>
              </w:rPr>
              <w:t>3</w:t>
            </w:r>
            <w:r>
              <w:rPr>
                <w:rFonts w:hint="default" w:ascii="Times New Roman" w:hAnsi="Times New Roman" w:cs="Times New Roman"/>
                <w:color w:val="000000"/>
                <w:kern w:val="0"/>
                <w:sz w:val="21"/>
                <w:szCs w:val="21"/>
                <w:lang w:val="en-US" w:eastAsia="zh-CN" w:bidi="ar"/>
              </w:rPr>
              <w:t>分</w:t>
            </w:r>
            <w:r>
              <w:rPr>
                <w:rFonts w:hint="eastAsia" w:cs="Times New Roman"/>
                <w:color w:val="000000"/>
                <w:kern w:val="0"/>
                <w:sz w:val="21"/>
                <w:szCs w:val="21"/>
                <w:lang w:val="en-US" w:eastAsia="zh-CN" w:bidi="ar"/>
              </w:rPr>
              <w:t>）</w:t>
            </w:r>
          </w:p>
        </w:tc>
        <w:tc>
          <w:tcPr>
            <w:tcW w:w="1227"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数量</w:t>
            </w:r>
            <w:r>
              <w:rPr>
                <w:rFonts w:hint="eastAsia" w:cs="Times New Roman"/>
                <w:color w:val="000000"/>
                <w:kern w:val="0"/>
                <w:sz w:val="21"/>
                <w:szCs w:val="21"/>
                <w:lang w:val="en-US" w:eastAsia="zh-CN" w:bidi="ar"/>
              </w:rPr>
              <w:t>指标（17分）</w:t>
            </w: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核酸采样、检测完成率</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7</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sz w:val="21"/>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913" w:type="pct"/>
            <w:vMerge w:val="continue"/>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pacing w:line="240" w:lineRule="auto"/>
              <w:ind w:left="0" w:leftChars="0"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eastAsia" w:cs="Times New Roman"/>
                <w:color w:val="000000"/>
                <w:kern w:val="0"/>
                <w:sz w:val="21"/>
                <w:szCs w:val="21"/>
                <w:lang w:val="en-US" w:eastAsia="zh-CN" w:bidi="ar"/>
              </w:rPr>
              <w:t>消毒杀菌工作完成率</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5</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sz w:val="21"/>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疫情防控指导培训完成率</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5</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olor w:val="000000" w:themeColor="text1"/>
                <w:sz w:val="21"/>
                <w:lang w:val="en-US" w:eastAsia="zh-CN"/>
                <w14:textFill>
                  <w14:solidFill>
                    <w14:schemeClr w14:val="tx1"/>
                  </w14:solidFill>
                </w14:textFill>
              </w:rPr>
              <w:t>4.37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cs="Times New Roman"/>
                <w:color w:val="000000"/>
                <w:kern w:val="0"/>
                <w:sz w:val="21"/>
                <w:szCs w:val="21"/>
                <w:lang w:bidi="ar"/>
              </w:rPr>
              <w:t>质量</w:t>
            </w:r>
            <w:r>
              <w:rPr>
                <w:rFonts w:hint="eastAsia" w:cs="Times New Roman"/>
                <w:color w:val="000000"/>
                <w:kern w:val="0"/>
                <w:sz w:val="21"/>
                <w:szCs w:val="21"/>
                <w:lang w:val="en-US" w:eastAsia="zh-CN" w:bidi="ar"/>
              </w:rPr>
              <w:t>指标（6分）</w:t>
            </w: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采购物资合格率</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6</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cs="Times New Roman"/>
                <w:color w:val="000000"/>
                <w:kern w:val="0"/>
                <w:sz w:val="21"/>
                <w:szCs w:val="21"/>
                <w:lang w:bidi="ar"/>
              </w:rPr>
              <w:t>时效</w:t>
            </w:r>
            <w:r>
              <w:rPr>
                <w:rFonts w:hint="eastAsia" w:cs="Times New Roman"/>
                <w:color w:val="000000"/>
                <w:kern w:val="0"/>
                <w:sz w:val="21"/>
                <w:szCs w:val="21"/>
                <w:lang w:val="en-US" w:eastAsia="zh-CN" w:bidi="ar"/>
              </w:rPr>
              <w:t>指标（10</w:t>
            </w:r>
            <w:r>
              <w:rPr>
                <w:rFonts w:hint="eastAsia" w:ascii="Times New Roman" w:hAnsi="Times New Roman" w:cs="Times New Roman"/>
                <w:color w:val="000000"/>
                <w:kern w:val="0"/>
                <w:sz w:val="21"/>
                <w:szCs w:val="21"/>
                <w:lang w:val="en-US" w:eastAsia="zh-CN" w:bidi="ar"/>
              </w:rPr>
              <w:t>分</w:t>
            </w:r>
            <w:r>
              <w:rPr>
                <w:rFonts w:hint="eastAsia" w:cs="Times New Roman"/>
                <w:color w:val="000000"/>
                <w:kern w:val="0"/>
                <w:sz w:val="21"/>
                <w:szCs w:val="21"/>
                <w:lang w:val="en-US" w:eastAsia="zh-CN" w:bidi="ar"/>
              </w:rPr>
              <w:t>）</w:t>
            </w: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物资保障及时性</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4</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疑似病例上报及时率</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3</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核酸采样送检及时率</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3</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r>
              <w:rPr>
                <w:rFonts w:hint="eastAsia" w:cs="Times New Roman"/>
                <w:color w:val="000000"/>
                <w:kern w:val="0"/>
                <w:sz w:val="21"/>
                <w:szCs w:val="21"/>
                <w:lang w:val="en-US" w:eastAsia="zh-CN" w:bidi="ar"/>
              </w:rPr>
              <w:t>项目</w:t>
            </w:r>
            <w:r>
              <w:rPr>
                <w:rFonts w:hint="default" w:ascii="Times New Roman" w:hAnsi="Times New Roman" w:cs="Times New Roman"/>
                <w:color w:val="000000"/>
                <w:kern w:val="0"/>
                <w:sz w:val="21"/>
                <w:szCs w:val="21"/>
                <w:lang w:bidi="ar"/>
              </w:rPr>
              <w:t>效益</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color w:val="000000"/>
                <w:kern w:val="0"/>
                <w:sz w:val="21"/>
                <w:szCs w:val="21"/>
                <w:lang w:val="en-US" w:eastAsia="zh-CN" w:bidi="ar"/>
              </w:rPr>
            </w:pPr>
            <w:r>
              <w:rPr>
                <w:rFonts w:hint="eastAsia" w:cs="Times New Roman"/>
                <w:color w:val="000000"/>
                <w:kern w:val="0"/>
                <w:sz w:val="21"/>
                <w:szCs w:val="21"/>
                <w:lang w:val="en-US" w:eastAsia="zh-CN" w:bidi="ar"/>
              </w:rPr>
              <w:t>（30分）</w:t>
            </w:r>
          </w:p>
        </w:tc>
        <w:tc>
          <w:tcPr>
            <w:tcW w:w="1227"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eastAsia="仿宋_GB2312" w:cs="Times New Roman"/>
                <w:color w:val="000000"/>
                <w:kern w:val="0"/>
                <w:sz w:val="21"/>
                <w:szCs w:val="21"/>
                <w:lang w:eastAsia="zh-CN" w:bidi="ar"/>
              </w:rPr>
            </w:pPr>
            <w:r>
              <w:rPr>
                <w:rFonts w:hint="default" w:ascii="Times New Roman" w:hAnsi="Times New Roman" w:cs="Times New Roman"/>
                <w:color w:val="000000"/>
                <w:kern w:val="0"/>
                <w:sz w:val="21"/>
                <w:szCs w:val="21"/>
                <w:lang w:val="en-US" w:eastAsia="zh-CN" w:bidi="ar"/>
              </w:rPr>
              <w:t>社会</w:t>
            </w:r>
            <w:r>
              <w:rPr>
                <w:rFonts w:hint="default" w:ascii="Times New Roman" w:hAnsi="Times New Roman" w:cs="Times New Roman"/>
                <w:color w:val="000000"/>
                <w:kern w:val="0"/>
                <w:sz w:val="21"/>
                <w:szCs w:val="21"/>
                <w:lang w:bidi="ar"/>
              </w:rPr>
              <w:t>效益</w:t>
            </w:r>
            <w:r>
              <w:rPr>
                <w:rFonts w:hint="eastAsia" w:ascii="Times New Roman" w:hAnsi="Times New Roman" w:cs="Times New Roman"/>
                <w:color w:val="000000"/>
                <w:kern w:val="0"/>
                <w:sz w:val="21"/>
                <w:szCs w:val="21"/>
                <w:lang w:eastAsia="zh-CN" w:bidi="ar"/>
              </w:rPr>
              <w:t>（</w:t>
            </w:r>
            <w:r>
              <w:rPr>
                <w:rFonts w:hint="eastAsia" w:ascii="Times New Roman" w:hAnsi="Times New Roman" w:cs="Times New Roman"/>
                <w:color w:val="000000"/>
                <w:kern w:val="0"/>
                <w:sz w:val="21"/>
                <w:szCs w:val="21"/>
                <w:lang w:val="en-US" w:eastAsia="zh-CN" w:bidi="ar"/>
              </w:rPr>
              <w:t>1</w:t>
            </w:r>
            <w:r>
              <w:rPr>
                <w:rFonts w:hint="eastAsia" w:cs="Times New Roman"/>
                <w:color w:val="000000"/>
                <w:kern w:val="0"/>
                <w:sz w:val="21"/>
                <w:szCs w:val="21"/>
                <w:lang w:val="en-US" w:eastAsia="zh-CN" w:bidi="ar"/>
              </w:rPr>
              <w:t>4</w:t>
            </w:r>
            <w:r>
              <w:rPr>
                <w:rFonts w:hint="eastAsia" w:ascii="Times New Roman" w:hAnsi="Times New Roman" w:cs="Times New Roman"/>
                <w:color w:val="000000"/>
                <w:kern w:val="0"/>
                <w:sz w:val="21"/>
                <w:szCs w:val="21"/>
                <w:lang w:val="en-US" w:eastAsia="zh-CN" w:bidi="ar"/>
              </w:rPr>
              <w:t>分</w:t>
            </w:r>
            <w:r>
              <w:rPr>
                <w:rFonts w:hint="eastAsia" w:ascii="Times New Roman" w:hAnsi="Times New Roman" w:cs="Times New Roman"/>
                <w:color w:val="000000"/>
                <w:kern w:val="0"/>
                <w:sz w:val="21"/>
                <w:szCs w:val="21"/>
                <w:lang w:eastAsia="zh-CN" w:bidi="ar"/>
              </w:rPr>
              <w:t>）</w:t>
            </w: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社会经济活动正常开展</w:t>
            </w:r>
          </w:p>
        </w:tc>
        <w:tc>
          <w:tcPr>
            <w:tcW w:w="607"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lang w:val="en-US" w:eastAsia="zh-CN" w:bidi="ar"/>
                <w14:textFill>
                  <w14:solidFill>
                    <w14:schemeClr w14:val="tx1"/>
                  </w14:solidFill>
                </w14:textFill>
              </w:rPr>
              <w:t>8</w:t>
            </w:r>
          </w:p>
        </w:tc>
        <w:tc>
          <w:tcPr>
            <w:tcW w:w="539"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lang w:val="en-US" w:eastAsia="zh-CN" w:bidi="ar"/>
                <w14:textFill>
                  <w14:solidFill>
                    <w14:schemeClr w14:val="tx1"/>
                  </w14:solidFill>
                </w14:textFill>
              </w:rPr>
            </w:pPr>
            <w:r>
              <w:rPr>
                <w:rFonts w:hint="eastAsia" w:cs="Times New Roman"/>
                <w:color w:val="000000" w:themeColor="text1"/>
                <w:kern w:val="0"/>
                <w:sz w:val="21"/>
                <w:szCs w:val="21"/>
                <w:lang w:val="en-US" w:eastAsia="zh-CN" w:bidi="ar"/>
                <w14:textFill>
                  <w14:solidFill>
                    <w14:schemeClr w14:val="tx1"/>
                  </w14:solidFill>
                </w14:textFill>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9"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highlight w:val="none"/>
                <w:lang w:val="en-US" w:eastAsia="zh-CN" w:bidi="ar"/>
              </w:rPr>
            </w:pPr>
            <w:r>
              <w:rPr>
                <w:rFonts w:hint="eastAsia" w:cs="Times New Roman"/>
                <w:color w:val="000000"/>
                <w:kern w:val="0"/>
                <w:sz w:val="21"/>
                <w:szCs w:val="21"/>
                <w:highlight w:val="none"/>
                <w:lang w:val="en-US" w:eastAsia="zh-CN" w:bidi="ar"/>
              </w:rPr>
              <w:t>提升突发公共卫生事件应急处置能力</w:t>
            </w:r>
          </w:p>
        </w:tc>
        <w:tc>
          <w:tcPr>
            <w:tcW w:w="607"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highlight w:val="none"/>
                <w:lang w:val="en-US" w:eastAsia="zh-CN" w:bidi="ar"/>
              </w:rPr>
            </w:pPr>
            <w:r>
              <w:rPr>
                <w:rFonts w:hint="eastAsia" w:cs="Times New Roman"/>
                <w:color w:val="000000"/>
                <w:kern w:val="0"/>
                <w:sz w:val="21"/>
                <w:szCs w:val="21"/>
                <w:highlight w:val="none"/>
                <w:lang w:val="en-US" w:eastAsia="zh-CN" w:bidi="ar"/>
              </w:rPr>
              <w:t>6</w:t>
            </w:r>
          </w:p>
        </w:tc>
        <w:tc>
          <w:tcPr>
            <w:tcW w:w="539"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highlight w:val="none"/>
                <w:lang w:val="en-US" w:eastAsia="zh-CN" w:bidi="ar"/>
              </w:rPr>
            </w:pPr>
            <w:r>
              <w:rPr>
                <w:rFonts w:hint="eastAsia" w:cs="Times New Roman"/>
                <w:color w:val="000000"/>
                <w:kern w:val="0"/>
                <w:sz w:val="21"/>
                <w:szCs w:val="21"/>
                <w:highlight w:val="none"/>
                <w:lang w:val="en-US" w:eastAsia="zh-CN" w:bidi="ar"/>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可持续影响</w:t>
            </w:r>
            <w:r>
              <w:rPr>
                <w:rFonts w:hint="eastAsia" w:ascii="Times New Roman" w:hAnsi="Times New Roman" w:cs="Times New Roman"/>
                <w:color w:val="000000"/>
                <w:kern w:val="0"/>
                <w:sz w:val="21"/>
                <w:szCs w:val="21"/>
                <w:lang w:val="en-US" w:eastAsia="zh-CN" w:bidi="ar"/>
              </w:rPr>
              <w:t>（</w:t>
            </w:r>
            <w:r>
              <w:rPr>
                <w:rFonts w:hint="eastAsia" w:cs="Times New Roman"/>
                <w:color w:val="000000"/>
                <w:kern w:val="0"/>
                <w:sz w:val="21"/>
                <w:szCs w:val="21"/>
                <w:lang w:val="en-US" w:eastAsia="zh-CN" w:bidi="ar"/>
              </w:rPr>
              <w:t>6</w:t>
            </w:r>
            <w:r>
              <w:rPr>
                <w:rFonts w:hint="eastAsia" w:ascii="Times New Roman" w:hAnsi="Times New Roman" w:cs="Times New Roman"/>
                <w:color w:val="000000"/>
                <w:kern w:val="0"/>
                <w:sz w:val="21"/>
                <w:szCs w:val="21"/>
                <w:lang w:val="en-US" w:eastAsia="zh-CN" w:bidi="ar"/>
              </w:rPr>
              <w:t>分）</w:t>
            </w: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highlight w:val="none"/>
                <w:lang w:val="en-US" w:eastAsia="zh-CN" w:bidi="ar"/>
                <w14:textFill>
                  <w14:solidFill>
                    <w14:schemeClr w14:val="tx1"/>
                  </w14:solidFill>
                </w14:textFill>
              </w:rPr>
              <w:t>长效管理机制健全性</w:t>
            </w:r>
          </w:p>
        </w:tc>
        <w:tc>
          <w:tcPr>
            <w:tcW w:w="607"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highlight w:val="none"/>
                <w:lang w:val="en-US" w:eastAsia="zh-CN" w:bidi="ar"/>
                <w14:textFill>
                  <w14:solidFill>
                    <w14:schemeClr w14:val="tx1"/>
                  </w14:solidFill>
                </w14:textFill>
              </w:rPr>
              <w:t>2</w:t>
            </w:r>
          </w:p>
        </w:tc>
        <w:tc>
          <w:tcPr>
            <w:tcW w:w="539"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highlight w:val="none"/>
                <w:lang w:val="en-US" w:eastAsia="zh-CN" w:bidi="ar"/>
                <w14:textFill>
                  <w14:solidFill>
                    <w14:schemeClr w14:val="tx1"/>
                  </w14:solidFill>
                </w14:textFill>
              </w:rPr>
            </w:pPr>
            <w:r>
              <w:rPr>
                <w:rFonts w:hint="eastAsia" w:cs="Times New Roman"/>
                <w:color w:val="000000" w:themeColor="text1"/>
                <w:kern w:val="0"/>
                <w:sz w:val="21"/>
                <w:szCs w:val="21"/>
                <w:highlight w:val="none"/>
                <w:lang w:val="en-US" w:eastAsia="zh-CN" w:bidi="ar"/>
                <w14:textFill>
                  <w14:solidFill>
                    <w14:schemeClr w14:val="tx1"/>
                  </w14:solidFill>
                </w14:textFill>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color w:val="000000" w:themeColor="text1"/>
                <w:kern w:val="0"/>
                <w:sz w:val="21"/>
                <w:szCs w:val="21"/>
                <w:highlight w:val="none"/>
                <w:lang w:val="en-US" w:eastAsia="zh-CN" w:bidi="ar"/>
                <w14:textFill>
                  <w14:solidFill>
                    <w14:schemeClr w14:val="tx1"/>
                  </w14:solidFill>
                </w14:textFill>
              </w:rPr>
              <w:t>长效管理机制执行有效性</w:t>
            </w:r>
          </w:p>
        </w:tc>
        <w:tc>
          <w:tcPr>
            <w:tcW w:w="607"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highlight w:val="none"/>
                <w:lang w:val="en-US" w:eastAsia="zh-CN" w:bidi="ar"/>
                <w14:textFill>
                  <w14:solidFill>
                    <w14:schemeClr w14:val="tx1"/>
                  </w14:solidFill>
                </w14:textFill>
              </w:rPr>
            </w:pPr>
            <w:r>
              <w:rPr>
                <w:rFonts w:hint="eastAsia" w:cs="Times New Roman"/>
                <w:color w:val="000000" w:themeColor="text1"/>
                <w:kern w:val="0"/>
                <w:sz w:val="21"/>
                <w:szCs w:val="21"/>
                <w:highlight w:val="none"/>
                <w:lang w:val="en-US" w:eastAsia="zh-CN" w:bidi="ar"/>
                <w14:textFill>
                  <w14:solidFill>
                    <w14:schemeClr w14:val="tx1"/>
                  </w14:solidFill>
                </w14:textFill>
              </w:rPr>
              <w:t>4</w:t>
            </w:r>
          </w:p>
        </w:tc>
        <w:tc>
          <w:tcPr>
            <w:tcW w:w="539"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themeColor="text1"/>
                <w:kern w:val="0"/>
                <w:sz w:val="21"/>
                <w:szCs w:val="21"/>
                <w:highlight w:val="none"/>
                <w:lang w:val="en-US" w:eastAsia="zh-CN" w:bidi="ar"/>
                <w14:textFill>
                  <w14:solidFill>
                    <w14:schemeClr w14:val="tx1"/>
                  </w14:solidFill>
                </w14:textFill>
              </w:rPr>
            </w:pPr>
            <w:r>
              <w:rPr>
                <w:rFonts w:hint="eastAsia" w:cs="Times New Roman"/>
                <w:color w:val="000000" w:themeColor="text1"/>
                <w:kern w:val="0"/>
                <w:sz w:val="21"/>
                <w:szCs w:val="21"/>
                <w:highlight w:val="none"/>
                <w:lang w:val="en-US" w:eastAsia="zh-CN" w:bidi="ar"/>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满意度</w:t>
            </w:r>
            <w:r>
              <w:rPr>
                <w:rFonts w:hint="eastAsia" w:ascii="Times New Roman" w:hAnsi="Times New Roman" w:cs="Times New Roman"/>
                <w:color w:val="000000"/>
                <w:kern w:val="0"/>
                <w:sz w:val="21"/>
                <w:szCs w:val="21"/>
                <w:lang w:val="en-US" w:eastAsia="zh-CN" w:bidi="ar"/>
              </w:rPr>
              <w:t>（10分）</w:t>
            </w: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color w:val="000000"/>
                <w:kern w:val="0"/>
                <w:sz w:val="21"/>
                <w:szCs w:val="21"/>
                <w:lang w:val="en-US" w:eastAsia="zh-CN" w:bidi="ar"/>
              </w:rPr>
              <w:t>工作人员满意度</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4</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913"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bidi="ar"/>
              </w:rPr>
            </w:pPr>
          </w:p>
        </w:tc>
        <w:tc>
          <w:tcPr>
            <w:tcW w:w="1227"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服务对象满意度</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6</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000000"/>
                <w:kern w:val="0"/>
                <w:sz w:val="21"/>
                <w:szCs w:val="21"/>
                <w:lang w:val="en-US" w:eastAsia="zh-CN" w:bidi="ar"/>
              </w:rPr>
            </w:pPr>
            <w:r>
              <w:rPr>
                <w:rFonts w:hint="eastAsia" w:cs="Times New Roman"/>
                <w:color w:val="000000"/>
                <w:kern w:val="0"/>
                <w:sz w:val="21"/>
                <w:szCs w:val="21"/>
                <w:lang w:val="en-US" w:eastAsia="zh-CN" w:bidi="ar"/>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6" w:hRule="atLeast"/>
          <w:jc w:val="center"/>
        </w:trPr>
        <w:tc>
          <w:tcPr>
            <w:tcW w:w="913"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eastAsia="仿宋_GB2312"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合计</w:t>
            </w:r>
          </w:p>
        </w:tc>
        <w:tc>
          <w:tcPr>
            <w:tcW w:w="1227"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w:t>
            </w:r>
          </w:p>
        </w:tc>
        <w:tc>
          <w:tcPr>
            <w:tcW w:w="17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w:t>
            </w:r>
          </w:p>
        </w:tc>
        <w:tc>
          <w:tcPr>
            <w:tcW w:w="607"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100</w:t>
            </w:r>
          </w:p>
        </w:tc>
        <w:tc>
          <w:tcPr>
            <w:tcW w:w="539"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highlight w:val="none"/>
                <w:lang w:val="en-US" w:eastAsia="zh-CN" w:bidi="ar"/>
              </w:rPr>
            </w:pPr>
            <w:r>
              <w:rPr>
                <w:rFonts w:hint="eastAsia" w:cs="Times New Roman"/>
                <w:b/>
                <w:bCs/>
                <w:color w:val="000000"/>
                <w:kern w:val="0"/>
                <w:sz w:val="21"/>
                <w:szCs w:val="21"/>
                <w:highlight w:val="none"/>
                <w:lang w:val="en-US" w:eastAsia="zh-CN" w:bidi="ar"/>
              </w:rPr>
              <w:t>91.45</w:t>
            </w:r>
          </w:p>
        </w:tc>
      </w:tr>
    </w:tbl>
    <w:p>
      <w:pPr>
        <w:keepNext w:val="0"/>
        <w:keepLines w:val="0"/>
        <w:pageBreakBefore w:val="0"/>
        <w:widowControl w:val="0"/>
        <w:kinsoku/>
        <w:wordWrap/>
        <w:overflowPunct/>
        <w:topLinePunct w:val="0"/>
        <w:autoSpaceDE/>
        <w:autoSpaceDN/>
        <w:bidi w:val="0"/>
        <w:adjustRightInd/>
        <w:snapToGrid/>
        <w:spacing w:before="220" w:beforeLines="50" w:after="60"/>
        <w:ind w:left="0" w:leftChars="0" w:firstLine="643" w:firstLineChars="200"/>
        <w:textAlignment w:val="auto"/>
        <w:outlineLvl w:val="1"/>
        <w:rPr>
          <w:rFonts w:hint="default" w:ascii="Arial" w:hAnsi="Arial" w:eastAsia="楷体" w:cs="Times New Roman"/>
          <w:b/>
          <w:kern w:val="2"/>
          <w:sz w:val="32"/>
          <w:szCs w:val="21"/>
          <w:lang w:val="en-US" w:eastAsia="zh-CN" w:bidi="ar-SA"/>
        </w:rPr>
      </w:pPr>
      <w:bookmarkStart w:id="7" w:name="_Toc15607"/>
      <w:r>
        <w:rPr>
          <w:rFonts w:hint="eastAsia" w:ascii="Arial" w:hAnsi="Arial" w:eastAsia="楷体" w:cs="Times New Roman"/>
          <w:b/>
          <w:kern w:val="2"/>
          <w:sz w:val="32"/>
          <w:szCs w:val="21"/>
          <w:lang w:val="en-US" w:eastAsia="zh-CN" w:bidi="ar-SA"/>
        </w:rPr>
        <w:t>（二）综合评价结论</w:t>
      </w:r>
      <w:bookmarkEnd w:id="7"/>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cs="Times New Roman"/>
          <w:color w:val="auto"/>
          <w:highlight w:val="none"/>
          <w:lang w:val="en-US" w:eastAsia="zh-CN"/>
        </w:rPr>
      </w:pPr>
      <w:r>
        <w:rPr>
          <w:rFonts w:hint="eastAsia" w:cs="Times New Roman"/>
          <w:color w:val="auto"/>
          <w:highlight w:val="none"/>
          <w:lang w:eastAsia="zh-CN"/>
        </w:rPr>
        <w:t>在项目决策方面：</w:t>
      </w:r>
      <w:r>
        <w:rPr>
          <w:rFonts w:hint="eastAsia" w:cs="Times New Roman"/>
          <w:color w:val="auto"/>
          <w:highlight w:val="none"/>
          <w:lang w:val="en-US" w:eastAsia="zh-CN"/>
        </w:rPr>
        <w:t>项目立项依据充分，立项程序规范，但区疾控中心未按照相关要求编制绩效目标，预算编制科学性有待提高，资金分配合理性待加强。</w:t>
      </w:r>
    </w:p>
    <w:p>
      <w:pPr>
        <w:keepNext w:val="0"/>
        <w:keepLines w:val="0"/>
        <w:pageBreakBefore w:val="0"/>
        <w:widowControl w:val="0"/>
        <w:kinsoku/>
        <w:wordWrap/>
        <w:overflowPunct/>
        <w:topLinePunct w:val="0"/>
        <w:autoSpaceDE/>
        <w:autoSpaceDN/>
        <w:bidi w:val="0"/>
        <w:adjustRightInd/>
        <w:snapToGrid/>
        <w:textAlignment w:val="auto"/>
        <w:rPr>
          <w:rFonts w:hint="default" w:cs="Times New Roman"/>
          <w:color w:val="auto"/>
          <w:highlight w:val="none"/>
          <w:lang w:val="en-US" w:eastAsia="zh-CN"/>
        </w:rPr>
      </w:pPr>
      <w:r>
        <w:rPr>
          <w:rFonts w:hint="eastAsia" w:cs="Times New Roman"/>
          <w:color w:val="auto"/>
          <w:highlight w:val="none"/>
          <w:lang w:eastAsia="zh-CN"/>
        </w:rPr>
        <w:t>在过程管理方面：</w:t>
      </w:r>
      <w:r>
        <w:rPr>
          <w:rFonts w:hint="eastAsia" w:cs="Times New Roman"/>
          <w:color w:val="auto"/>
          <w:highlight w:val="none"/>
          <w:lang w:val="en-US" w:eastAsia="zh-CN"/>
        </w:rPr>
        <w:t>该项目管理制度健全，物资采购程序合规，但资金使用规范性有待提高，财务管理制度执行有待加强。</w:t>
      </w:r>
    </w:p>
    <w:p>
      <w:pPr>
        <w:pStyle w:val="2"/>
        <w:keepNext w:val="0"/>
        <w:keepLines w:val="0"/>
        <w:pageBreakBefore w:val="0"/>
        <w:widowControl w:val="0"/>
        <w:kinsoku/>
        <w:wordWrap/>
        <w:overflowPunct/>
        <w:topLinePunct w:val="0"/>
        <w:autoSpaceDE/>
        <w:autoSpaceDN/>
        <w:bidi w:val="0"/>
        <w:adjustRightInd/>
        <w:snapToGrid/>
        <w:textAlignment w:val="auto"/>
        <w:rPr>
          <w:rFonts w:hint="default" w:cs="Times New Roman"/>
          <w:color w:val="auto"/>
          <w:highlight w:val="none"/>
          <w:lang w:val="en-US" w:eastAsia="zh-CN"/>
        </w:rPr>
      </w:pPr>
      <w:r>
        <w:rPr>
          <w:rFonts w:hint="eastAsia" w:cs="Times New Roman"/>
          <w:color w:val="auto"/>
          <w:highlight w:val="none"/>
          <w:lang w:eastAsia="zh-CN"/>
        </w:rPr>
        <w:t>在项目产出方面：</w:t>
      </w:r>
      <w:r>
        <w:rPr>
          <w:rFonts w:hint="eastAsia" w:cs="Times New Roman"/>
          <w:color w:val="auto"/>
          <w:highlight w:val="none"/>
          <w:lang w:val="en-US" w:eastAsia="zh-CN"/>
        </w:rPr>
        <w:t>该项目2020年工作任务基本已按要求完成且及时完成，但在疫情防控指导工作方面，还需进一步完善。</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cs="Times New Roman"/>
          <w:color w:val="auto"/>
          <w:highlight w:val="none"/>
          <w:lang w:eastAsia="zh-CN"/>
        </w:rPr>
        <w:t>在项目效益方面：</w:t>
      </w:r>
      <w:r>
        <w:rPr>
          <w:rFonts w:hint="eastAsia" w:cs="Times New Roman"/>
          <w:color w:val="auto"/>
          <w:highlight w:val="none"/>
          <w:lang w:val="en-US" w:eastAsia="zh-CN"/>
        </w:rPr>
        <w:t>该项目实施后，在社会效益方面：社会经济活动有效正常开展，突发公共卫生事件应急处置能力显著提升；在长效管理机制方面：疫情防控长效管理机制健全，且有效执行；在满意度方面：</w:t>
      </w:r>
      <w:r>
        <w:rPr>
          <w:rFonts w:hint="eastAsia" w:cs="Times New Roman"/>
          <w:b w:val="0"/>
          <w:bCs w:val="0"/>
          <w:color w:val="auto"/>
          <w:kern w:val="2"/>
          <w:sz w:val="32"/>
          <w:szCs w:val="32"/>
          <w:highlight w:val="none"/>
          <w:lang w:val="en-US" w:eastAsia="zh-CN" w:bidi="ar-SA"/>
        </w:rPr>
        <w:t>疫情防控工作人员综合满意度为96.92%，疫情防控服务对象综合满意度为91.58%。</w:t>
      </w:r>
    </w:p>
    <w:p>
      <w:pPr>
        <w:pStyle w:val="4"/>
        <w:keepNext/>
        <w:keepLines/>
        <w:pageBreakBefore w:val="0"/>
        <w:widowControl w:val="0"/>
        <w:kinsoku/>
        <w:wordWrap/>
        <w:overflowPunct/>
        <w:topLinePunct w:val="0"/>
        <w:autoSpaceDE/>
        <w:autoSpaceDN/>
        <w:bidi w:val="0"/>
        <w:adjustRightInd/>
        <w:snapToGrid/>
        <w:spacing w:before="120" w:after="120"/>
        <w:ind w:firstLine="640"/>
        <w:textAlignment w:val="auto"/>
        <w:outlineLvl w:val="0"/>
        <w:rPr>
          <w:rFonts w:hint="eastAsia" w:ascii="黑体" w:hAnsi="黑体" w:eastAsia="黑体" w:cs="黑体"/>
          <w:b w:val="0"/>
          <w:bCs w:val="0"/>
        </w:rPr>
      </w:pPr>
      <w:bookmarkStart w:id="8" w:name="_Toc17663"/>
      <w:r>
        <w:rPr>
          <w:rFonts w:hint="eastAsia" w:ascii="Times New Roman" w:hAnsi="Times New Roman" w:eastAsia="黑体" w:cs="Calibri"/>
          <w:bCs/>
          <w:color w:val="auto"/>
          <w:kern w:val="44"/>
          <w:sz w:val="32"/>
          <w:highlight w:val="none"/>
          <w:lang w:val="en-US" w:eastAsia="zh-CN" w:bidi="ar-SA"/>
        </w:rPr>
        <w:t>三、</w:t>
      </w:r>
      <w:r>
        <w:rPr>
          <w:rFonts w:hint="eastAsia" w:ascii="黑体" w:hAnsi="黑体" w:eastAsia="黑体" w:cs="黑体"/>
          <w:b w:val="0"/>
          <w:bCs w:val="0"/>
        </w:rPr>
        <w:t>主要经验及做法、存在的问题及建议</w:t>
      </w:r>
      <w:bookmarkEnd w:id="8"/>
    </w:p>
    <w:p>
      <w:pPr>
        <w:pStyle w:val="13"/>
        <w:keepNext w:val="0"/>
        <w:keepLines w:val="0"/>
        <w:pageBreakBefore w:val="0"/>
        <w:widowControl w:val="0"/>
        <w:kinsoku/>
        <w:wordWrap/>
        <w:overflowPunct/>
        <w:topLinePunct w:val="0"/>
        <w:autoSpaceDE/>
        <w:autoSpaceDN/>
        <w:bidi w:val="0"/>
        <w:adjustRightInd/>
        <w:snapToGrid/>
        <w:ind w:firstLine="643"/>
        <w:jc w:val="both"/>
        <w:textAlignment w:val="auto"/>
        <w:rPr>
          <w:rFonts w:hint="eastAsia" w:ascii="楷体" w:hAnsi="楷体" w:cs="楷体"/>
          <w:color w:val="auto"/>
          <w:highlight w:val="none"/>
        </w:rPr>
      </w:pPr>
      <w:bookmarkStart w:id="9" w:name="_Toc2259"/>
      <w:bookmarkStart w:id="10" w:name="_Toc24697"/>
      <w:bookmarkStart w:id="11" w:name="_Toc13929"/>
      <w:bookmarkStart w:id="12" w:name="_Toc12829"/>
      <w:bookmarkStart w:id="13" w:name="_Toc19572"/>
      <w:bookmarkStart w:id="14" w:name="_Toc29975025"/>
      <w:r>
        <w:rPr>
          <w:rFonts w:hint="eastAsia" w:ascii="楷体" w:hAnsi="楷体" w:cs="楷体"/>
          <w:color w:val="auto"/>
          <w:highlight w:val="none"/>
        </w:rPr>
        <w:t>（一）主要经验及做法</w:t>
      </w:r>
      <w:bookmarkEnd w:id="9"/>
      <w:bookmarkEnd w:id="10"/>
      <w:bookmarkEnd w:id="11"/>
      <w:bookmarkEnd w:id="12"/>
      <w:bookmarkEnd w:id="13"/>
      <w:bookmarkEnd w:id="14"/>
    </w:p>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2"/>
        <w:rPr>
          <w:rFonts w:hint="default" w:cs="仿宋_GB2312"/>
          <w:b/>
          <w:bCs/>
          <w:color w:val="auto"/>
          <w:highlight w:val="yellow"/>
          <w:lang w:val="en-US" w:eastAsia="zh-CN" w:bidi="ar"/>
        </w:rPr>
      </w:pPr>
      <w:r>
        <w:rPr>
          <w:rFonts w:hint="eastAsia" w:cs="仿宋_GB2312"/>
          <w:b/>
          <w:bCs/>
          <w:color w:val="auto"/>
          <w:highlight w:val="none"/>
          <w:lang w:val="en-US" w:eastAsia="zh-CN" w:bidi="ar"/>
        </w:rPr>
        <w:t>1．助力复工复产、复课复学，保障社会经济活动正常开展</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szCs w:val="32"/>
          <w:lang w:val="en-US" w:eastAsia="zh-CN"/>
        </w:rPr>
      </w:pPr>
      <w:r>
        <w:rPr>
          <w:rFonts w:hint="default" w:ascii="Times New Roman" w:hAnsi="Times New Roman" w:cs="Times New Roman"/>
          <w:color w:val="auto"/>
          <w:highlight w:val="none"/>
          <w:lang w:val="en-US" w:eastAsia="zh-CN" w:bidi="ar"/>
        </w:rPr>
        <w:t>复工复产方面，</w:t>
      </w:r>
      <w:r>
        <w:rPr>
          <w:rFonts w:hint="default" w:ascii="Times New Roman" w:hAnsi="Times New Roman" w:cs="Times New Roman"/>
          <w:szCs w:val="32"/>
          <w:lang w:val="en-US" w:eastAsia="zh-CN"/>
        </w:rPr>
        <w:t>区疾控中心按照</w:t>
      </w:r>
      <w:r>
        <w:rPr>
          <w:rFonts w:hint="eastAsia" w:cs="Times New Roman"/>
          <w:szCs w:val="32"/>
          <w:lang w:val="en-US" w:eastAsia="zh-CN"/>
        </w:rPr>
        <w:t>“</w:t>
      </w:r>
      <w:r>
        <w:rPr>
          <w:rFonts w:hint="default" w:ascii="Times New Roman" w:hAnsi="Times New Roman" w:cs="Times New Roman"/>
          <w:szCs w:val="32"/>
          <w:lang w:val="en-US" w:eastAsia="zh-CN"/>
        </w:rPr>
        <w:t>两手抓、双促进</w:t>
      </w:r>
      <w:r>
        <w:rPr>
          <w:rFonts w:hint="eastAsia" w:cs="Times New Roman"/>
          <w:szCs w:val="32"/>
          <w:lang w:val="en-US" w:eastAsia="zh-CN"/>
        </w:rPr>
        <w:t>”</w:t>
      </w:r>
      <w:r>
        <w:rPr>
          <w:rFonts w:hint="default" w:ascii="Times New Roman" w:hAnsi="Times New Roman" w:cs="Times New Roman"/>
          <w:szCs w:val="32"/>
          <w:lang w:val="en-US" w:eastAsia="zh-CN"/>
        </w:rPr>
        <w:t>统筹推进疫情防控和复工复产各项相关措施，结合卫生防疫实际情况及时开展</w:t>
      </w:r>
      <w:r>
        <w:rPr>
          <w:rFonts w:hint="default" w:ascii="Times New Roman" w:hAnsi="Times New Roman" w:eastAsia="仿宋_GB2312" w:cs="Times New Roman"/>
          <w:szCs w:val="32"/>
          <w:lang w:eastAsia="zh-CN"/>
        </w:rPr>
        <w:t>云岩区企业复工复产卫生防疫指导服</w:t>
      </w:r>
      <w:r>
        <w:rPr>
          <w:rFonts w:hint="default" w:ascii="Times New Roman" w:hAnsi="Times New Roman" w:cs="Times New Roman"/>
          <w:szCs w:val="32"/>
          <w:lang w:val="en-US" w:eastAsia="zh-CN"/>
        </w:rPr>
        <w:t>务培训</w:t>
      </w:r>
      <w:r>
        <w:rPr>
          <w:rFonts w:hint="eastAsia" w:cs="Times New Roman"/>
          <w:szCs w:val="32"/>
          <w:lang w:val="en-US" w:eastAsia="zh-CN"/>
        </w:rPr>
        <w:t>，</w:t>
      </w:r>
      <w:r>
        <w:rPr>
          <w:rFonts w:hint="default" w:ascii="Times New Roman" w:hAnsi="Times New Roman" w:cs="Times New Roman"/>
          <w:szCs w:val="32"/>
          <w:lang w:val="en-US" w:eastAsia="zh-CN"/>
        </w:rPr>
        <w:t>进入疫情常态化阶段</w:t>
      </w:r>
      <w:r>
        <w:rPr>
          <w:rFonts w:hint="eastAsia" w:cs="Times New Roman"/>
          <w:szCs w:val="32"/>
          <w:lang w:val="en-US" w:eastAsia="zh-CN"/>
        </w:rPr>
        <w:t>后</w:t>
      </w:r>
      <w:r>
        <w:rPr>
          <w:rFonts w:hint="default" w:ascii="Times New Roman" w:hAnsi="Times New Roman" w:cs="Times New Roman"/>
          <w:szCs w:val="32"/>
          <w:lang w:val="en-US" w:eastAsia="zh-CN"/>
        </w:rPr>
        <w:t>，</w:t>
      </w:r>
      <w:r>
        <w:rPr>
          <w:rFonts w:hint="default" w:ascii="Times New Roman" w:hAnsi="Times New Roman" w:eastAsia="仿宋_GB2312" w:cs="Times New Roman"/>
          <w:szCs w:val="32"/>
          <w:lang w:val="en-US" w:eastAsia="zh-CN"/>
        </w:rPr>
        <w:t>区疾控中心根据上级部门的要求督导电影业、肉类加工企业等重点行业主管部门</w:t>
      </w:r>
      <w:r>
        <w:rPr>
          <w:rFonts w:hint="eastAsia" w:cs="Times New Roman"/>
          <w:szCs w:val="32"/>
          <w:lang w:val="en-US" w:eastAsia="zh-CN"/>
        </w:rPr>
        <w:t>严格执行</w:t>
      </w:r>
      <w:r>
        <w:rPr>
          <w:rFonts w:hint="default" w:ascii="Times New Roman" w:hAnsi="Times New Roman" w:eastAsia="仿宋_GB2312" w:cs="Times New Roman"/>
          <w:szCs w:val="32"/>
          <w:lang w:val="en-US" w:eastAsia="zh-CN"/>
        </w:rPr>
        <w:t>本行业新冠肺炎疫情防控指南</w:t>
      </w:r>
      <w:r>
        <w:rPr>
          <w:rFonts w:hint="eastAsia" w:cs="Times New Roman"/>
          <w:szCs w:val="32"/>
          <w:lang w:val="en-US" w:eastAsia="zh-CN"/>
        </w:rPr>
        <w:t>，</w:t>
      </w:r>
      <w:r>
        <w:rPr>
          <w:rFonts w:hint="default" w:ascii="Times New Roman" w:hAnsi="Times New Roman" w:eastAsia="仿宋_GB2312" w:cs="Times New Roman"/>
          <w:szCs w:val="32"/>
          <w:lang w:val="en-US" w:eastAsia="zh-CN"/>
        </w:rPr>
        <w:t>指导</w:t>
      </w:r>
      <w:r>
        <w:rPr>
          <w:rFonts w:hint="eastAsia" w:cs="Times New Roman"/>
          <w:szCs w:val="32"/>
          <w:lang w:val="en-US" w:eastAsia="zh-CN"/>
        </w:rPr>
        <w:t>重点行业</w:t>
      </w:r>
      <w:r>
        <w:rPr>
          <w:rFonts w:hint="default" w:ascii="Times New Roman" w:hAnsi="Times New Roman" w:eastAsia="仿宋_GB2312" w:cs="Times New Roman"/>
          <w:szCs w:val="32"/>
          <w:lang w:val="en-US" w:eastAsia="zh-CN"/>
        </w:rPr>
        <w:t>企业做好疫情防控工作。如电影行业，县级主管部门对申请开放恢复的电影放映企业进行检查验收，区疾控中心</w:t>
      </w:r>
      <w:r>
        <w:rPr>
          <w:rFonts w:hint="eastAsia" w:cs="Times New Roman"/>
          <w:szCs w:val="32"/>
          <w:lang w:val="en-US" w:eastAsia="zh-CN"/>
        </w:rPr>
        <w:t>则</w:t>
      </w:r>
      <w:r>
        <w:rPr>
          <w:rFonts w:hint="default" w:ascii="Times New Roman" w:hAnsi="Times New Roman" w:eastAsia="仿宋_GB2312" w:cs="Times New Roman"/>
          <w:szCs w:val="32"/>
          <w:lang w:val="en-US" w:eastAsia="zh-CN"/>
        </w:rPr>
        <w:t>对验收不合格企业整改过程进行督导，直至整改为合格为止。据统计，2020年区疾控中心疫情防控督导辖区6家电影</w:t>
      </w:r>
      <w:r>
        <w:rPr>
          <w:rFonts w:hint="eastAsia" w:cs="Times New Roman"/>
          <w:szCs w:val="32"/>
          <w:lang w:val="en-US" w:eastAsia="zh-CN"/>
        </w:rPr>
        <w:t>行业</w:t>
      </w:r>
      <w:r>
        <w:rPr>
          <w:rFonts w:hint="default" w:ascii="Times New Roman" w:hAnsi="Times New Roman" w:eastAsia="仿宋_GB2312" w:cs="Times New Roman"/>
          <w:szCs w:val="32"/>
          <w:lang w:val="en-US" w:eastAsia="zh-CN"/>
        </w:rPr>
        <w:t>，2家肉类加工企业</w:t>
      </w:r>
      <w:r>
        <w:rPr>
          <w:rFonts w:hint="eastAsia" w:cs="Times New Roman"/>
          <w:szCs w:val="32"/>
          <w:lang w:val="en-US" w:eastAsia="zh-CN"/>
        </w:rPr>
        <w:t>、</w:t>
      </w:r>
      <w:r>
        <w:rPr>
          <w:rFonts w:hint="default" w:ascii="Times New Roman" w:hAnsi="Times New Roman" w:eastAsia="仿宋_GB2312" w:cs="Times New Roman"/>
          <w:b w:val="0"/>
          <w:bCs w:val="0"/>
          <w:color w:val="auto"/>
          <w:sz w:val="32"/>
          <w:szCs w:val="32"/>
          <w:lang w:val="en-US" w:eastAsia="zh-CN"/>
        </w:rPr>
        <w:t>电影行业6家、</w:t>
      </w:r>
      <w:r>
        <w:rPr>
          <w:rFonts w:hint="default" w:ascii="Times New Roman" w:hAnsi="Times New Roman" w:eastAsia="仿宋_GB2312" w:cs="Times New Roman"/>
          <w:b w:val="0"/>
          <w:bCs w:val="0"/>
          <w:color w:val="auto"/>
          <w:sz w:val="32"/>
          <w:szCs w:val="32"/>
        </w:rPr>
        <w:t>公墓</w:t>
      </w:r>
      <w:r>
        <w:rPr>
          <w:rFonts w:hint="default" w:ascii="Times New Roman" w:hAnsi="Times New Roman" w:eastAsia="仿宋_GB2312" w:cs="Times New Roman"/>
          <w:b w:val="0"/>
          <w:bCs w:val="0"/>
          <w:color w:val="auto"/>
          <w:sz w:val="32"/>
          <w:szCs w:val="32"/>
          <w:lang w:val="en-US" w:eastAsia="zh-CN"/>
        </w:rPr>
        <w:t>4家、养老院1家</w:t>
      </w:r>
      <w:r>
        <w:rPr>
          <w:rFonts w:hint="default" w:ascii="Times New Roman" w:hAnsi="Times New Roman" w:eastAsia="仿宋_GB2312" w:cs="Times New Roman"/>
          <w:szCs w:val="32"/>
          <w:lang w:val="en-US" w:eastAsia="zh-CN"/>
        </w:rPr>
        <w:t>。</w:t>
      </w:r>
    </w:p>
    <w:p>
      <w:pPr>
        <w:keepNext w:val="0"/>
        <w:keepLines w:val="0"/>
        <w:pageBreakBefore w:val="0"/>
        <w:widowControl w:val="0"/>
        <w:kinsoku/>
        <w:wordWrap/>
        <w:overflowPunct/>
        <w:topLinePunct w:val="0"/>
        <w:autoSpaceDE/>
        <w:autoSpaceDN/>
        <w:bidi w:val="0"/>
        <w:adjustRightInd/>
        <w:snapToGrid/>
        <w:jc w:val="both"/>
        <w:textAlignment w:val="auto"/>
        <w:rPr>
          <w:rFonts w:hint="default" w:cs="仿宋_GB2312"/>
          <w:color w:val="auto"/>
          <w:highlight w:val="none"/>
          <w:lang w:val="en-US" w:eastAsia="zh-CN" w:bidi="ar"/>
        </w:rPr>
      </w:pPr>
      <w:r>
        <w:rPr>
          <w:rFonts w:hint="default" w:ascii="Times New Roman" w:hAnsi="Times New Roman" w:eastAsia="仿宋_GB2312" w:cs="Times New Roman"/>
          <w:szCs w:val="32"/>
          <w:lang w:val="en-US" w:eastAsia="zh-CN"/>
        </w:rPr>
        <w:t>复学复课方面，2020年区疾控中心共进行4轮复课复学疫情防控工作，</w:t>
      </w:r>
      <w:r>
        <w:rPr>
          <w:rFonts w:hint="eastAsia" w:ascii="Times New Roman" w:hAnsi="Times New Roman" w:eastAsia="仿宋_GB2312" w:cs="Times New Roman"/>
          <w:szCs w:val="32"/>
          <w:lang w:val="en-US" w:eastAsia="zh-CN"/>
        </w:rPr>
        <w:t>分别</w:t>
      </w:r>
      <w:r>
        <w:rPr>
          <w:rFonts w:hint="eastAsia" w:cs="Times New Roman"/>
          <w:szCs w:val="32"/>
          <w:lang w:val="en-US" w:eastAsia="zh-CN"/>
        </w:rPr>
        <w:t>围绕</w:t>
      </w:r>
      <w:r>
        <w:rPr>
          <w:rFonts w:hint="eastAsia" w:ascii="Times New Roman" w:hAnsi="Times New Roman" w:eastAsia="仿宋_GB2312" w:cs="Times New Roman"/>
          <w:szCs w:val="32"/>
          <w:lang w:val="en-US" w:eastAsia="zh-CN"/>
        </w:rPr>
        <w:t>复学复课的初三、高三年级教职工及外出返辖区学生，</w:t>
      </w:r>
      <w:r>
        <w:rPr>
          <w:rFonts w:hint="default" w:ascii="Times New Roman" w:hAnsi="Times New Roman" w:cs="Times New Roman"/>
          <w:sz w:val="32"/>
          <w:szCs w:val="32"/>
          <w:lang w:val="en-US" w:eastAsia="zh-CN"/>
        </w:rPr>
        <w:t>辖区内小学、幼儿园等师生群体高三初三年级以外其他学段、校外培训机构等师生人群</w:t>
      </w:r>
      <w:r>
        <w:rPr>
          <w:rFonts w:hint="eastAsia" w:cs="Times New Roman"/>
          <w:sz w:val="32"/>
          <w:szCs w:val="32"/>
          <w:lang w:val="en-US" w:eastAsia="zh-CN"/>
        </w:rPr>
        <w:t>，</w:t>
      </w:r>
      <w:r>
        <w:rPr>
          <w:rFonts w:hint="default" w:ascii="Times New Roman" w:hAnsi="Times New Roman" w:cs="Times New Roman"/>
          <w:sz w:val="32"/>
          <w:szCs w:val="32"/>
          <w:lang w:val="en-US" w:eastAsia="zh-CN"/>
        </w:rPr>
        <w:t>辖区内职业学校</w:t>
      </w:r>
      <w:r>
        <w:rPr>
          <w:rFonts w:hint="eastAsia" w:cs="Times New Roman"/>
          <w:szCs w:val="32"/>
          <w:lang w:val="en-US" w:eastAsia="zh-CN"/>
        </w:rPr>
        <w:t>开展核酸采样送检工作，并督导学校、培训机构等有关部门开展疫情防控工作，确保辖区学校、培训机构等复课复学。</w:t>
      </w:r>
    </w:p>
    <w:p>
      <w:pPr>
        <w:keepNext w:val="0"/>
        <w:keepLines w:val="0"/>
        <w:pageBreakBefore w:val="0"/>
        <w:widowControl w:val="0"/>
        <w:kinsoku/>
        <w:wordWrap/>
        <w:overflowPunct/>
        <w:topLinePunct w:val="0"/>
        <w:autoSpaceDE/>
        <w:autoSpaceDN/>
        <w:bidi w:val="0"/>
        <w:adjustRightInd/>
        <w:snapToGrid/>
        <w:textAlignment w:val="auto"/>
        <w:outlineLvl w:val="2"/>
        <w:rPr>
          <w:rFonts w:hint="default" w:eastAsia="仿宋_GB2312" w:cs="仿宋_GB2312"/>
          <w:b/>
          <w:bCs/>
          <w:color w:val="auto"/>
          <w:highlight w:val="none"/>
          <w:lang w:val="en-US" w:eastAsia="zh-CN" w:bidi="ar"/>
        </w:rPr>
      </w:pPr>
      <w:r>
        <w:rPr>
          <w:rFonts w:hint="eastAsia" w:cs="仿宋_GB2312"/>
          <w:b/>
          <w:bCs/>
          <w:color w:val="auto"/>
          <w:highlight w:val="none"/>
          <w:lang w:val="en-US" w:eastAsia="zh-CN" w:bidi="ar"/>
        </w:rPr>
        <w:t>2．严格执行核酸检测相关要求，有效阻止新冠疫情在辖区内扩散、蔓延</w:t>
      </w:r>
    </w:p>
    <w:p>
      <w:pPr>
        <w:pStyle w:val="2"/>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cs="仿宋_GB2312"/>
          <w:color w:val="auto"/>
          <w:highlight w:val="none"/>
          <w:lang w:val="en-US" w:eastAsia="zh-CN" w:bidi="ar"/>
        </w:rPr>
        <w:t>区疾控中心2020年疫情防控工作核酸检测采样工作严格按照《新型冠状病毒感染的肺炎防控方案》、《关于对新冠肺炎确诊病例密切接触者进行核酸筛查的通知》、《关于进一步明确新冠肺炎疫情期间复工复产复市返岗人员核酸检测和胸部CT检查工作相关事宜的通知》（筑肺炎防控办〔2020〕33号）、《关于印发贵州省重点人群新冠肺炎核酸“应检尽检”工作方案的通知》（黔卫健函〔2020〕121</w:t>
      </w:r>
      <w:r>
        <w:rPr>
          <w:rFonts w:hint="eastAsia" w:ascii="仿宋_GB2312" w:hAnsi="仿宋_GB2312" w:eastAsia="仿宋_GB2312" w:cs="仿宋_GB2312"/>
          <w:color w:val="auto"/>
          <w:highlight w:val="none"/>
          <w:lang w:val="en-US" w:eastAsia="zh-CN" w:bidi="ar"/>
        </w:rPr>
        <w:t>号</w:t>
      </w:r>
      <w:r>
        <w:rPr>
          <w:rFonts w:hint="eastAsia" w:cs="仿宋_GB2312"/>
          <w:color w:val="auto"/>
          <w:highlight w:val="none"/>
          <w:lang w:val="en-US" w:eastAsia="zh-CN" w:bidi="ar"/>
        </w:rPr>
        <w:t>）等文件对核酸检测采样方面的要求严格执行，截至2020年底，区疾控中心对重点人群、场所、物品共核酸采样17591份，做到即采即送、应检尽检，有效阻止新冠疫情在辖区内扩散、蔓延，助力全省疫情防控方案的阶段性调整。</w:t>
      </w:r>
    </w:p>
    <w:p>
      <w:pPr>
        <w:pStyle w:val="4"/>
        <w:keepNext/>
        <w:keepLines/>
        <w:pageBreakBefore w:val="0"/>
        <w:widowControl w:val="0"/>
        <w:numPr>
          <w:ilvl w:val="0"/>
          <w:numId w:val="3"/>
        </w:numPr>
        <w:kinsoku/>
        <w:wordWrap/>
        <w:overflowPunct/>
        <w:topLinePunct w:val="0"/>
        <w:autoSpaceDE/>
        <w:autoSpaceDN/>
        <w:bidi w:val="0"/>
        <w:adjustRightInd/>
        <w:snapToGrid/>
        <w:ind w:firstLine="643"/>
        <w:textAlignment w:val="auto"/>
        <w:rPr>
          <w:rFonts w:hint="default"/>
          <w:lang w:val="en-US" w:eastAsia="zh-CN"/>
        </w:rPr>
      </w:pPr>
      <w:bookmarkStart w:id="15" w:name="_Toc24055"/>
      <w:bookmarkStart w:id="16" w:name="_Toc9179"/>
      <w:bookmarkStart w:id="17" w:name="_Toc28090"/>
      <w:bookmarkStart w:id="18" w:name="_Toc2618"/>
      <w:r>
        <w:rPr>
          <w:rFonts w:ascii="Times New Roman" w:hAnsi="Times New Roman"/>
        </w:rPr>
        <w:t>存在的</w:t>
      </w:r>
      <w:r>
        <w:rPr>
          <w:rFonts w:hint="eastAsia" w:ascii="Times New Roman" w:hAnsi="Times New Roman"/>
        </w:rPr>
        <w:t>主要</w:t>
      </w:r>
      <w:r>
        <w:rPr>
          <w:rFonts w:ascii="Times New Roman" w:hAnsi="Times New Roman"/>
        </w:rPr>
        <w:t>问题</w:t>
      </w:r>
      <w:bookmarkEnd w:id="15"/>
      <w:bookmarkEnd w:id="16"/>
      <w:bookmarkEnd w:id="17"/>
      <w:bookmarkEnd w:id="18"/>
    </w:p>
    <w:p>
      <w:pPr>
        <w:pStyle w:val="2"/>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2"/>
        <w:rPr>
          <w:rFonts w:hint="default"/>
          <w:b/>
          <w:bCs/>
          <w:lang w:val="en-US" w:eastAsia="zh-CN"/>
        </w:rPr>
      </w:pPr>
      <w:r>
        <w:rPr>
          <w:rFonts w:hint="eastAsia" w:cs="仿宋_GB2312"/>
          <w:b/>
          <w:bCs/>
          <w:color w:val="auto"/>
          <w:highlight w:val="none"/>
          <w:lang w:val="en-US" w:eastAsia="zh-CN" w:bidi="ar"/>
        </w:rPr>
        <w:t>1．绩效管理意识有待加强</w:t>
      </w:r>
    </w:p>
    <w:p>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Cs/>
          <w:sz w:val="32"/>
          <w:szCs w:val="32"/>
          <w:lang w:val="en-US" w:eastAsia="zh-CN"/>
        </w:rPr>
      </w:pPr>
      <w:r>
        <w:rPr>
          <w:rFonts w:hint="default" w:ascii="Times New Roman" w:hAnsi="Times New Roman" w:cs="Times New Roman"/>
          <w:color w:val="auto"/>
          <w:highlight w:val="none"/>
          <w:lang w:val="en-US" w:eastAsia="zh-CN" w:bidi="ar"/>
        </w:rPr>
        <w:t>根据</w:t>
      </w:r>
      <w:r>
        <w:rPr>
          <w:rFonts w:hint="default" w:ascii="Times New Roman" w:hAnsi="Times New Roman" w:cs="Times New Roman"/>
          <w:b w:val="0"/>
          <w:bCs w:val="0"/>
          <w:color w:val="auto"/>
          <w:szCs w:val="32"/>
          <w:highlight w:val="none"/>
          <w:lang w:val="en-US" w:eastAsia="zh-CN"/>
        </w:rPr>
        <w:t>《</w:t>
      </w:r>
      <w:r>
        <w:rPr>
          <w:rFonts w:hint="default" w:ascii="Times New Roman" w:hAnsi="Times New Roman" w:eastAsia="仿宋_GB2312" w:cs="Times New Roman"/>
          <w:bCs/>
          <w:sz w:val="32"/>
          <w:szCs w:val="32"/>
          <w:lang w:val="en-US" w:eastAsia="zh-CN"/>
        </w:rPr>
        <w:t>贵阳市市级预算支出绩效目标管理实施办法</w:t>
      </w:r>
      <w:r>
        <w:rPr>
          <w:rFonts w:hint="default" w:ascii="Times New Roman" w:hAnsi="Times New Roman" w:cs="Times New Roman"/>
          <w:b w:val="0"/>
          <w:bCs w:val="0"/>
          <w:color w:val="auto"/>
          <w:szCs w:val="32"/>
          <w:highlight w:val="none"/>
          <w:lang w:val="en-US" w:eastAsia="zh-CN"/>
        </w:rPr>
        <w:t>》</w:t>
      </w:r>
      <w:r>
        <w:rPr>
          <w:rFonts w:hint="default" w:ascii="Times New Roman" w:hAnsi="Times New Roman" w:eastAsia="仿宋_GB2312" w:cs="Times New Roman"/>
          <w:bCs/>
          <w:sz w:val="32"/>
          <w:szCs w:val="32"/>
        </w:rPr>
        <w:t>对应急救灾</w:t>
      </w:r>
      <w:r>
        <w:rPr>
          <w:rFonts w:hint="default" w:ascii="Times New Roman" w:hAnsi="Times New Roman" w:cs="Times New Roman"/>
          <w:bCs/>
          <w:sz w:val="32"/>
          <w:szCs w:val="32"/>
          <w:lang w:val="en-US" w:eastAsia="zh-CN"/>
        </w:rPr>
        <w:t>相关项目绩效目标管理的规定，对</w:t>
      </w:r>
      <w:r>
        <w:rPr>
          <w:rFonts w:hint="default" w:ascii="Times New Roman" w:hAnsi="Times New Roman" w:eastAsia="仿宋_GB2312" w:cs="Times New Roman"/>
          <w:bCs/>
          <w:sz w:val="32"/>
          <w:szCs w:val="32"/>
        </w:rPr>
        <w:t>应急救灾</w:t>
      </w:r>
      <w:r>
        <w:rPr>
          <w:rFonts w:hint="default" w:ascii="Times New Roman" w:hAnsi="Times New Roman" w:cs="Times New Roman"/>
          <w:bCs/>
          <w:sz w:val="32"/>
          <w:szCs w:val="32"/>
          <w:lang w:val="en-US" w:eastAsia="zh-CN"/>
        </w:rPr>
        <w:t>等</w:t>
      </w:r>
      <w:r>
        <w:rPr>
          <w:rFonts w:hint="default" w:ascii="Times New Roman" w:hAnsi="Times New Roman" w:eastAsia="仿宋_GB2312" w:cs="Times New Roman"/>
          <w:bCs/>
          <w:sz w:val="32"/>
          <w:szCs w:val="32"/>
        </w:rPr>
        <w:t>确不能同步预算批复</w:t>
      </w:r>
      <w:r>
        <w:rPr>
          <w:rFonts w:hint="default" w:ascii="Times New Roman" w:hAnsi="Times New Roman" w:eastAsia="仿宋_GB2312" w:cs="Times New Roman"/>
          <w:bCs/>
          <w:sz w:val="32"/>
          <w:szCs w:val="32"/>
          <w:lang w:eastAsia="zh-CN"/>
        </w:rPr>
        <w:t>细化分解</w:t>
      </w:r>
      <w:r>
        <w:rPr>
          <w:rFonts w:hint="default" w:ascii="Times New Roman" w:hAnsi="Times New Roman" w:eastAsia="仿宋_GB2312" w:cs="Times New Roman"/>
          <w:bCs/>
          <w:sz w:val="32"/>
          <w:szCs w:val="32"/>
        </w:rPr>
        <w:t>下达绩效目标的，应于预算批复下达</w:t>
      </w:r>
      <w:r>
        <w:rPr>
          <w:rFonts w:hint="default" w:ascii="Times New Roman" w:hAnsi="Times New Roman" w:eastAsia="仿宋_GB2312" w:cs="Times New Roman"/>
          <w:bCs/>
          <w:sz w:val="32"/>
          <w:szCs w:val="32"/>
          <w:lang w:val="en-US" w:eastAsia="zh-CN"/>
        </w:rPr>
        <w:t>6</w:t>
      </w:r>
      <w:r>
        <w:rPr>
          <w:rFonts w:hint="default" w:ascii="Times New Roman" w:hAnsi="Times New Roman" w:eastAsia="仿宋_GB2312" w:cs="Times New Roman"/>
          <w:bCs/>
          <w:sz w:val="32"/>
          <w:szCs w:val="32"/>
        </w:rPr>
        <w:t>0日内，按程序</w:t>
      </w:r>
      <w:r>
        <w:rPr>
          <w:rFonts w:hint="default" w:ascii="Times New Roman" w:hAnsi="Times New Roman" w:eastAsia="仿宋_GB2312" w:cs="Times New Roman"/>
          <w:bCs/>
          <w:sz w:val="32"/>
          <w:szCs w:val="32"/>
          <w:lang w:eastAsia="zh-CN"/>
        </w:rPr>
        <w:t>编审绩效目标</w:t>
      </w:r>
      <w:r>
        <w:rPr>
          <w:rFonts w:hint="default" w:ascii="Times New Roman" w:hAnsi="Times New Roman" w:cs="Times New Roman"/>
          <w:bCs/>
          <w:sz w:val="32"/>
          <w:szCs w:val="32"/>
          <w:lang w:eastAsia="zh-CN"/>
        </w:rPr>
        <w:t>，</w:t>
      </w:r>
      <w:r>
        <w:rPr>
          <w:rFonts w:hint="default" w:ascii="Times New Roman" w:hAnsi="Times New Roman" w:cs="Times New Roman"/>
          <w:bCs/>
          <w:sz w:val="32"/>
          <w:szCs w:val="32"/>
          <w:lang w:val="en-US" w:eastAsia="zh-CN"/>
        </w:rPr>
        <w:t>但区疾控中心在预算批复后，后续未按程序申报绩效目标。</w:t>
      </w:r>
    </w:p>
    <w:p>
      <w:pPr>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outlineLvl w:val="2"/>
        <w:rPr>
          <w:rFonts w:hint="default" w:cs="仿宋_GB2312"/>
          <w:b/>
          <w:bCs/>
          <w:color w:val="auto"/>
          <w:highlight w:val="none"/>
          <w:lang w:val="en-US" w:eastAsia="zh-CN" w:bidi="ar"/>
        </w:rPr>
      </w:pPr>
      <w:r>
        <w:rPr>
          <w:rFonts w:hint="eastAsia" w:cs="仿宋_GB2312"/>
          <w:b/>
          <w:bCs/>
          <w:color w:val="auto"/>
          <w:highlight w:val="none"/>
          <w:lang w:val="en-US" w:eastAsia="zh-CN" w:bidi="ar"/>
        </w:rPr>
        <w:t>2．项目预算编制科学性有待提升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lang w:val="en-US" w:eastAsia="zh-CN"/>
        </w:rPr>
      </w:pPr>
      <w:r>
        <w:rPr>
          <w:rFonts w:hint="eastAsia"/>
          <w:lang w:val="en-US" w:eastAsia="zh-CN"/>
        </w:rPr>
        <w:t>2020年区疾控中心疫情防控经费项目预算内容未按照项目实际支出方向编制，预算编制内容未包括后勤保障类印刷品、工作人员打车误餐等费用，与项目内容存在一定偏差，且</w:t>
      </w:r>
      <w:r>
        <w:rPr>
          <w:rFonts w:hint="eastAsia" w:cs="Times New Roman"/>
          <w:b w:val="0"/>
          <w:bCs w:val="0"/>
          <w:color w:val="auto"/>
          <w:szCs w:val="32"/>
          <w:highlight w:val="none"/>
          <w:lang w:val="en-US" w:eastAsia="zh-CN"/>
        </w:rPr>
        <w:t>部分预算资金分配与项目单位实际需求不符。因此，</w:t>
      </w:r>
      <w:r>
        <w:rPr>
          <w:rFonts w:hint="eastAsia"/>
          <w:lang w:val="en-US" w:eastAsia="zh-CN"/>
        </w:rPr>
        <w:t>预算编制科学性有待进一步加强。</w:t>
      </w:r>
    </w:p>
    <w:p>
      <w:pPr>
        <w:pStyle w:val="2"/>
        <w:keepNext w:val="0"/>
        <w:keepLines w:val="0"/>
        <w:pageBreakBefore w:val="0"/>
        <w:widowControl w:val="0"/>
        <w:kinsoku/>
        <w:wordWrap/>
        <w:overflowPunct/>
        <w:topLinePunct w:val="0"/>
        <w:autoSpaceDE/>
        <w:autoSpaceDN/>
        <w:bidi w:val="0"/>
        <w:adjustRightInd/>
        <w:snapToGrid/>
        <w:textAlignment w:val="auto"/>
        <w:outlineLvl w:val="2"/>
        <w:rPr>
          <w:rFonts w:hint="default" w:eastAsia="仿宋_GB2312" w:cs="仿宋_GB2312"/>
          <w:b/>
          <w:bCs/>
          <w:color w:val="auto"/>
          <w:highlight w:val="none"/>
          <w:lang w:val="en-US" w:eastAsia="zh-CN" w:bidi="ar"/>
        </w:rPr>
      </w:pPr>
      <w:r>
        <w:rPr>
          <w:rFonts w:hint="eastAsia" w:cs="Times New Roman"/>
          <w:b/>
          <w:bCs/>
          <w:color w:val="auto"/>
          <w:highlight w:val="none"/>
          <w:lang w:val="en-US" w:eastAsia="zh-CN" w:bidi="ar"/>
        </w:rPr>
        <w:t>3．</w:t>
      </w:r>
      <w:r>
        <w:rPr>
          <w:rFonts w:hint="eastAsia" w:cs="仿宋_GB2312"/>
          <w:b/>
          <w:bCs/>
          <w:color w:val="auto"/>
          <w:highlight w:val="none"/>
          <w:lang w:val="en-US" w:eastAsia="zh-CN" w:bidi="ar"/>
        </w:rPr>
        <w:t>专项资金使用规范性欠佳</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lang w:val="en-US" w:eastAsia="zh-CN"/>
        </w:rPr>
      </w:pPr>
      <w:r>
        <w:rPr>
          <w:rFonts w:hint="eastAsia"/>
          <w:lang w:val="en-US" w:eastAsia="zh-CN"/>
        </w:rPr>
        <w:t>区疾控中心在2020年疫情防控专项资金使用过程中，</w:t>
      </w:r>
      <w:r>
        <w:rPr>
          <w:rFonts w:hint="eastAsia" w:cs="仿宋_GB2312"/>
          <w:color w:val="auto"/>
          <w:highlight w:val="none"/>
          <w:lang w:val="en-US" w:eastAsia="zh-CN" w:bidi="ar"/>
        </w:rPr>
        <w:t>使用疫情防控经费购买固定资产，即采购医用急救车及支付报销费用，该项费用支出经单位集体会议通过，并报经区政府同意后上报区财政部门</w:t>
      </w:r>
      <w:r>
        <w:rPr>
          <w:rFonts w:hint="default" w:cs="仿宋_GB2312"/>
          <w:color w:val="auto"/>
          <w:highlight w:val="none"/>
          <w:lang w:eastAsia="zh-CN" w:bidi="ar"/>
        </w:rPr>
        <w:t>备案</w:t>
      </w:r>
      <w:r>
        <w:rPr>
          <w:rFonts w:hint="eastAsia" w:cs="仿宋_GB2312"/>
          <w:color w:val="auto"/>
          <w:highlight w:val="none"/>
          <w:lang w:eastAsia="zh-CN" w:bidi="ar"/>
        </w:rPr>
        <w:t>，</w:t>
      </w:r>
      <w:r>
        <w:rPr>
          <w:rFonts w:hint="eastAsia" w:cs="仿宋_GB2312"/>
          <w:color w:val="auto"/>
          <w:highlight w:val="none"/>
          <w:lang w:val="en-US" w:eastAsia="zh-CN" w:bidi="ar"/>
        </w:rPr>
        <w:t>但该项费用与项目申报预算资金用途不符。</w:t>
      </w:r>
    </w:p>
    <w:p>
      <w:pPr>
        <w:pStyle w:val="4"/>
        <w:keepNext/>
        <w:keepLines/>
        <w:pageBreakBefore w:val="0"/>
        <w:widowControl w:val="0"/>
        <w:numPr>
          <w:ilvl w:val="0"/>
          <w:numId w:val="3"/>
        </w:numPr>
        <w:kinsoku/>
        <w:wordWrap/>
        <w:overflowPunct/>
        <w:topLinePunct w:val="0"/>
        <w:autoSpaceDE/>
        <w:autoSpaceDN/>
        <w:bidi w:val="0"/>
        <w:adjustRightInd/>
        <w:snapToGrid/>
        <w:ind w:left="0" w:leftChars="0" w:firstLine="643" w:firstLineChars="200"/>
        <w:textAlignment w:val="auto"/>
        <w:rPr>
          <w:rFonts w:hint="eastAsia"/>
          <w:color w:val="auto"/>
          <w:highlight w:val="none"/>
        </w:rPr>
      </w:pPr>
      <w:bookmarkStart w:id="19" w:name="_Toc16764"/>
      <w:r>
        <w:rPr>
          <w:rFonts w:hint="eastAsia"/>
          <w:color w:val="auto"/>
          <w:highlight w:val="none"/>
          <w:lang w:val="en-US" w:eastAsia="zh-CN"/>
        </w:rPr>
        <w:t>针对问题提出建议</w:t>
      </w:r>
      <w:bookmarkEnd w:id="19"/>
    </w:p>
    <w:p>
      <w:pPr>
        <w:pStyle w:val="2"/>
        <w:keepNext w:val="0"/>
        <w:keepLines w:val="0"/>
        <w:pageBreakBefore w:val="0"/>
        <w:widowControl w:val="0"/>
        <w:kinsoku/>
        <w:wordWrap/>
        <w:overflowPunct/>
        <w:topLinePunct w:val="0"/>
        <w:autoSpaceDE/>
        <w:autoSpaceDN/>
        <w:bidi w:val="0"/>
        <w:adjustRightInd/>
        <w:snapToGrid/>
        <w:textAlignment w:val="auto"/>
        <w:outlineLvl w:val="2"/>
        <w:rPr>
          <w:rFonts w:hint="default" w:eastAsia="仿宋_GB2312" w:cs="仿宋_GB2312"/>
          <w:b/>
          <w:bCs/>
          <w:color w:val="auto"/>
          <w:highlight w:val="none"/>
          <w:lang w:val="en-US" w:eastAsia="zh-CN" w:bidi="ar"/>
        </w:rPr>
      </w:pPr>
      <w:r>
        <w:rPr>
          <w:rFonts w:hint="eastAsia" w:cs="仿宋_GB2312"/>
          <w:b/>
          <w:bCs/>
          <w:color w:val="auto"/>
          <w:highlight w:val="none"/>
          <w:lang w:val="en-US" w:eastAsia="zh-CN" w:bidi="ar"/>
        </w:rPr>
        <w:t>1．强化绩效管理意识</w:t>
      </w:r>
    </w:p>
    <w:p>
      <w:pPr>
        <w:pStyle w:val="2"/>
        <w:keepNext w:val="0"/>
        <w:keepLines w:val="0"/>
        <w:pageBreakBefore w:val="0"/>
        <w:widowControl w:val="0"/>
        <w:kinsoku/>
        <w:wordWrap/>
        <w:overflowPunct/>
        <w:topLinePunct w:val="0"/>
        <w:autoSpaceDE/>
        <w:autoSpaceDN/>
        <w:bidi w:val="0"/>
        <w:adjustRightInd/>
        <w:snapToGrid/>
        <w:textAlignment w:val="auto"/>
        <w:rPr>
          <w:rFonts w:hint="default" w:eastAsia="仿宋_GB2312" w:cs="仿宋_GB2312"/>
          <w:color w:val="auto"/>
          <w:highlight w:val="none"/>
          <w:lang w:val="en-US" w:eastAsia="zh-CN" w:bidi="ar"/>
        </w:rPr>
      </w:pPr>
      <w:r>
        <w:rPr>
          <w:rFonts w:hint="eastAsia" w:cs="仿宋_GB2312"/>
          <w:color w:val="auto"/>
          <w:highlight w:val="none"/>
          <w:lang w:val="en-US" w:eastAsia="zh-CN" w:bidi="ar"/>
        </w:rPr>
        <w:t>建议区疾控中心在以后年度申报预算时，严格</w:t>
      </w:r>
      <w:r>
        <w:rPr>
          <w:rFonts w:hint="eastAsia"/>
          <w:lang w:val="en-US" w:eastAsia="zh-CN"/>
        </w:rPr>
        <w:t>按照云岩区预算绩效管理相关规定</w:t>
      </w:r>
      <w:r>
        <w:rPr>
          <w:rFonts w:hint="eastAsia" w:cs="Times New Roman"/>
          <w:color w:val="000000" w:themeColor="text1"/>
          <w:sz w:val="32"/>
          <w:szCs w:val="24"/>
          <w:highlight w:val="none"/>
          <w:lang w:val="en-US" w:eastAsia="zh-CN"/>
          <w14:textFill>
            <w14:solidFill>
              <w14:schemeClr w14:val="tx1"/>
            </w14:solidFill>
          </w14:textFill>
        </w:rPr>
        <w:t>设置绩效目标；同时，加强部门内部工作人员绩效管理培训，增强绩效管理意识，提升项目绩效目标的科学性、合理性。</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outlineLvl w:val="2"/>
        <w:rPr>
          <w:rFonts w:hint="default" w:eastAsia="仿宋_GB2312" w:cs="仿宋_GB2312"/>
          <w:b/>
          <w:bCs/>
          <w:color w:val="auto"/>
          <w:highlight w:val="none"/>
          <w:lang w:val="en-US" w:eastAsia="zh-CN" w:bidi="ar"/>
        </w:rPr>
      </w:pPr>
      <w:r>
        <w:rPr>
          <w:rFonts w:hint="eastAsia" w:cs="仿宋_GB2312"/>
          <w:b/>
          <w:bCs/>
          <w:color w:val="auto"/>
          <w:highlight w:val="none"/>
          <w:lang w:val="en-US" w:eastAsia="zh-CN" w:bidi="ar"/>
        </w:rPr>
        <w:t>2．加强项目预算编制管理，合理分配项目预算资金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lang w:val="en-US" w:eastAsia="zh-CN"/>
        </w:rPr>
      </w:pPr>
      <w:r>
        <w:rPr>
          <w:rFonts w:hint="eastAsia"/>
          <w:lang w:val="en-US" w:eastAsia="zh-CN"/>
        </w:rPr>
        <w:t>建议区疾控中心在以后年度编制预算时，明确项目实际实施内容，确保项目预算资金与实际工作任务相匹配；同时，加强相关工作人员预算编制培训，提高预算编制的科学性。</w:t>
      </w:r>
    </w:p>
    <w:p>
      <w:pPr>
        <w:pStyle w:val="2"/>
        <w:keepNext w:val="0"/>
        <w:keepLines w:val="0"/>
        <w:pageBreakBefore w:val="0"/>
        <w:widowControl w:val="0"/>
        <w:kinsoku/>
        <w:wordWrap/>
        <w:overflowPunct/>
        <w:topLinePunct w:val="0"/>
        <w:autoSpaceDE/>
        <w:autoSpaceDN/>
        <w:bidi w:val="0"/>
        <w:adjustRightInd/>
        <w:snapToGrid/>
        <w:textAlignment w:val="auto"/>
        <w:outlineLvl w:val="2"/>
        <w:rPr>
          <w:rFonts w:hint="default"/>
          <w:b/>
          <w:bCs/>
          <w:lang w:val="en-US" w:eastAsia="zh-CN"/>
        </w:rPr>
      </w:pPr>
      <w:r>
        <w:rPr>
          <w:rFonts w:hint="eastAsia" w:cs="仿宋_GB2312"/>
          <w:b/>
          <w:bCs/>
          <w:color w:val="auto"/>
          <w:highlight w:val="none"/>
          <w:lang w:val="en-US" w:eastAsia="zh-CN" w:bidi="ar"/>
        </w:rPr>
        <w:t>3．加强专项资金监管</w:t>
      </w:r>
    </w:p>
    <w:p>
      <w:pPr>
        <w:pStyle w:val="2"/>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建议区疾控中心加大专项资金监管力度，严格执行单位内部财务管理制度对专项资金使用的规定。</w:t>
      </w:r>
    </w:p>
    <w:p>
      <w:pPr>
        <w:ind w:left="0" w:leftChars="0" w:firstLine="0" w:firstLineChars="0"/>
        <w:rPr>
          <w:rFonts w:hint="default"/>
          <w:lang w:val="en-US" w:eastAsia="zh-CN"/>
        </w:rPr>
      </w:pPr>
    </w:p>
    <w:sectPr>
      <w:headerReference r:id="rId5" w:type="default"/>
      <w:footerReference r:id="rId6" w:type="default"/>
      <w:pgSz w:w="11906" w:h="16838"/>
      <w:pgMar w:top="1440" w:right="1803" w:bottom="1440" w:left="1803" w:header="851" w:footer="992" w:gutter="0"/>
      <w:pgNumType w:fmt="numberInDash"/>
      <w:cols w:space="0" w:num="1"/>
      <w:rtlGutter w:val="0"/>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25153EA-F469-4F87-B987-505467BB3243}"/>
  </w:font>
  <w:font w:name="黑体">
    <w:panose1 w:val="02010609060101010101"/>
    <w:charset w:val="86"/>
    <w:family w:val="auto"/>
    <w:pitch w:val="default"/>
    <w:sig w:usb0="800002BF" w:usb1="38CF7CFA" w:usb2="00000016" w:usb3="00000000" w:csb0="00040001" w:csb1="00000000"/>
    <w:embedRegular r:id="rId2" w:fontKey="{675AB340-AE61-4280-A534-BBDC76BBCED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19F2640A-B3A3-461D-A60C-0FC702945FE4}"/>
  </w:font>
  <w:font w:name="仿宋_GB2312">
    <w:altName w:val="仿宋"/>
    <w:panose1 w:val="02010609030101010101"/>
    <w:charset w:val="86"/>
    <w:family w:val="modern"/>
    <w:pitch w:val="default"/>
    <w:sig w:usb0="00000000" w:usb1="00000000" w:usb2="00000000" w:usb3="00000000" w:csb0="00040000" w:csb1="00000000"/>
    <w:embedRegular r:id="rId4" w:fontKey="{D0728A1F-99BC-4CB6-B897-A74EE30665E9}"/>
  </w:font>
  <w:font w:name="方正小标宋简体">
    <w:panose1 w:val="02000000000000000000"/>
    <w:charset w:val="86"/>
    <w:family w:val="auto"/>
    <w:pitch w:val="default"/>
    <w:sig w:usb0="00000001" w:usb1="08000000" w:usb2="00000000" w:usb3="00000000" w:csb0="00040000" w:csb1="00000000"/>
    <w:embedRegular r:id="rId5" w:fontKey="{D956B5FE-4223-455B-A3BE-EE2BB023254D}"/>
  </w:font>
  <w:font w:name="楷体">
    <w:panose1 w:val="02010609060101010101"/>
    <w:charset w:val="86"/>
    <w:family w:val="auto"/>
    <w:pitch w:val="default"/>
    <w:sig w:usb0="800002BF" w:usb1="38CF7CFA" w:usb2="00000016" w:usb3="00000000" w:csb0="00040001" w:csb1="00000000"/>
    <w:embedRegular r:id="rId6" w:fontKey="{064F807F-BBAB-4292-8CF5-9A343F88B24B}"/>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embedRegular r:id="rId7" w:fontKey="{DDB75CFE-CE4D-4E00-8032-CD5208585EF2}"/>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pPr>
                          <w:r>
                            <w:rPr>
                              <w:sz w:val="24"/>
                              <w:szCs w:val="32"/>
                            </w:rPr>
                            <w:fldChar w:fldCharType="begin"/>
                          </w:r>
                          <w:r>
                            <w:rPr>
                              <w:sz w:val="24"/>
                              <w:szCs w:val="32"/>
                            </w:rPr>
                            <w:instrText xml:space="preserve"> PAGE  \* MERGEFORMAT </w:instrText>
                          </w:r>
                          <w:r>
                            <w:rPr>
                              <w:sz w:val="24"/>
                              <w:szCs w:val="32"/>
                            </w:rPr>
                            <w:fldChar w:fldCharType="separate"/>
                          </w:r>
                          <w:r>
                            <w:rPr>
                              <w:sz w:val="24"/>
                              <w:szCs w:val="32"/>
                            </w:rPr>
                            <w:t>6</w:t>
                          </w:r>
                          <w:r>
                            <w:rPr>
                              <w:sz w:val="24"/>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9"/>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pPr>
                    <w:r>
                      <w:rPr>
                        <w:sz w:val="24"/>
                        <w:szCs w:val="32"/>
                      </w:rPr>
                      <w:fldChar w:fldCharType="begin"/>
                    </w:r>
                    <w:r>
                      <w:rPr>
                        <w:sz w:val="24"/>
                        <w:szCs w:val="32"/>
                      </w:rPr>
                      <w:instrText xml:space="preserve"> PAGE  \* MERGEFORMAT </w:instrText>
                    </w:r>
                    <w:r>
                      <w:rPr>
                        <w:sz w:val="24"/>
                        <w:szCs w:val="32"/>
                      </w:rPr>
                      <w:fldChar w:fldCharType="separate"/>
                    </w:r>
                    <w:r>
                      <w:rPr>
                        <w:sz w:val="24"/>
                        <w:szCs w:val="32"/>
                      </w:rPr>
                      <w:t>6</w:t>
                    </w:r>
                    <w:r>
                      <w:rPr>
                        <w:sz w:val="24"/>
                        <w:szCs w:val="3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D445C8"/>
    <w:multiLevelType w:val="singleLevel"/>
    <w:tmpl w:val="A9D445C8"/>
    <w:lvl w:ilvl="0" w:tentative="0">
      <w:start w:val="1"/>
      <w:numFmt w:val="chineseCounting"/>
      <w:suff w:val="nothing"/>
      <w:lvlText w:val="%1、"/>
      <w:lvlJc w:val="left"/>
      <w:rPr>
        <w:rFonts w:hint="eastAsia"/>
      </w:rPr>
    </w:lvl>
  </w:abstractNum>
  <w:abstractNum w:abstractNumId="1">
    <w:nsid w:val="AFE923CE"/>
    <w:multiLevelType w:val="singleLevel"/>
    <w:tmpl w:val="AFE923CE"/>
    <w:lvl w:ilvl="0" w:tentative="0">
      <w:start w:val="1"/>
      <w:numFmt w:val="chineseCounting"/>
      <w:suff w:val="nothing"/>
      <w:lvlText w:val="（%1）"/>
      <w:lvlJc w:val="left"/>
      <w:pPr>
        <w:ind w:left="220"/>
      </w:pPr>
      <w:rPr>
        <w:rFonts w:hint="eastAsia"/>
      </w:rPr>
    </w:lvl>
  </w:abstractNum>
  <w:abstractNum w:abstractNumId="2">
    <w:nsid w:val="F6AC3DED"/>
    <w:multiLevelType w:val="singleLevel"/>
    <w:tmpl w:val="F6AC3DED"/>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218"/>
  <w:displayHorizontalDrawingGridEvery w:val="1"/>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xZTJlOWJiZjE1ZDk1ZDVkNmVjZTQzZjMwYmZhOTcifQ=="/>
  </w:docVars>
  <w:rsids>
    <w:rsidRoot w:val="222D683B"/>
    <w:rsid w:val="00233C36"/>
    <w:rsid w:val="00375A8B"/>
    <w:rsid w:val="00662FF4"/>
    <w:rsid w:val="008F6570"/>
    <w:rsid w:val="00C0501F"/>
    <w:rsid w:val="00C06630"/>
    <w:rsid w:val="00F40AD1"/>
    <w:rsid w:val="00F76805"/>
    <w:rsid w:val="01110290"/>
    <w:rsid w:val="012640C8"/>
    <w:rsid w:val="012C4FBF"/>
    <w:rsid w:val="012D6929"/>
    <w:rsid w:val="01317F69"/>
    <w:rsid w:val="015E1343"/>
    <w:rsid w:val="019C5FC5"/>
    <w:rsid w:val="01C60176"/>
    <w:rsid w:val="01F30A5B"/>
    <w:rsid w:val="02034ED3"/>
    <w:rsid w:val="023D46AE"/>
    <w:rsid w:val="02D37455"/>
    <w:rsid w:val="02E13FE3"/>
    <w:rsid w:val="02E92702"/>
    <w:rsid w:val="02F9499D"/>
    <w:rsid w:val="02FE63FE"/>
    <w:rsid w:val="03157F84"/>
    <w:rsid w:val="032D29B2"/>
    <w:rsid w:val="0343343A"/>
    <w:rsid w:val="038A593B"/>
    <w:rsid w:val="03954E57"/>
    <w:rsid w:val="03AD1376"/>
    <w:rsid w:val="03C86D6E"/>
    <w:rsid w:val="04295D24"/>
    <w:rsid w:val="042C1B76"/>
    <w:rsid w:val="043C6FBB"/>
    <w:rsid w:val="044942A6"/>
    <w:rsid w:val="046C2B47"/>
    <w:rsid w:val="04891490"/>
    <w:rsid w:val="04900702"/>
    <w:rsid w:val="04A303BE"/>
    <w:rsid w:val="04C604DC"/>
    <w:rsid w:val="04DA07DB"/>
    <w:rsid w:val="050428B8"/>
    <w:rsid w:val="05107D5D"/>
    <w:rsid w:val="05651BEA"/>
    <w:rsid w:val="05944D1E"/>
    <w:rsid w:val="0624009C"/>
    <w:rsid w:val="062625C7"/>
    <w:rsid w:val="067D371E"/>
    <w:rsid w:val="06833487"/>
    <w:rsid w:val="06886F93"/>
    <w:rsid w:val="06B43C4C"/>
    <w:rsid w:val="06DF75B1"/>
    <w:rsid w:val="07362039"/>
    <w:rsid w:val="07467320"/>
    <w:rsid w:val="07886A3B"/>
    <w:rsid w:val="07C27D13"/>
    <w:rsid w:val="083561F5"/>
    <w:rsid w:val="085C446B"/>
    <w:rsid w:val="0871561C"/>
    <w:rsid w:val="08A62F81"/>
    <w:rsid w:val="08AA151D"/>
    <w:rsid w:val="08BD1AEA"/>
    <w:rsid w:val="09247FC9"/>
    <w:rsid w:val="093230EB"/>
    <w:rsid w:val="09353F26"/>
    <w:rsid w:val="094639BA"/>
    <w:rsid w:val="09494AAF"/>
    <w:rsid w:val="094B4D67"/>
    <w:rsid w:val="097155A2"/>
    <w:rsid w:val="09C54256"/>
    <w:rsid w:val="09F70FAD"/>
    <w:rsid w:val="09FC4F58"/>
    <w:rsid w:val="0A074C39"/>
    <w:rsid w:val="0A1A3566"/>
    <w:rsid w:val="0A2321B2"/>
    <w:rsid w:val="0A482C02"/>
    <w:rsid w:val="0A497E32"/>
    <w:rsid w:val="0A651508"/>
    <w:rsid w:val="0A881BB7"/>
    <w:rsid w:val="0A8F566A"/>
    <w:rsid w:val="0AC22F48"/>
    <w:rsid w:val="0AE126F6"/>
    <w:rsid w:val="0AF4004D"/>
    <w:rsid w:val="0B0C0669"/>
    <w:rsid w:val="0B501A80"/>
    <w:rsid w:val="0B603DEB"/>
    <w:rsid w:val="0B9041E9"/>
    <w:rsid w:val="0BE751B9"/>
    <w:rsid w:val="0C214378"/>
    <w:rsid w:val="0C3117C9"/>
    <w:rsid w:val="0CB47CA0"/>
    <w:rsid w:val="0CB743B7"/>
    <w:rsid w:val="0CC379C5"/>
    <w:rsid w:val="0CFB17CD"/>
    <w:rsid w:val="0D153816"/>
    <w:rsid w:val="0D1C428A"/>
    <w:rsid w:val="0D2E63A9"/>
    <w:rsid w:val="0D755889"/>
    <w:rsid w:val="0D8005A8"/>
    <w:rsid w:val="0D8B7494"/>
    <w:rsid w:val="0DD70B46"/>
    <w:rsid w:val="0E0374B7"/>
    <w:rsid w:val="0E053B62"/>
    <w:rsid w:val="0E225FF4"/>
    <w:rsid w:val="0E325B55"/>
    <w:rsid w:val="0E3933A8"/>
    <w:rsid w:val="0E4A79B2"/>
    <w:rsid w:val="0E627A0C"/>
    <w:rsid w:val="0ED466FB"/>
    <w:rsid w:val="0ED819DF"/>
    <w:rsid w:val="0EDE1AF2"/>
    <w:rsid w:val="0EE520A1"/>
    <w:rsid w:val="0EE726E0"/>
    <w:rsid w:val="0F902705"/>
    <w:rsid w:val="0FB731C7"/>
    <w:rsid w:val="0FBA3544"/>
    <w:rsid w:val="0FFF05BC"/>
    <w:rsid w:val="10170239"/>
    <w:rsid w:val="101E3EE3"/>
    <w:rsid w:val="10292EB1"/>
    <w:rsid w:val="102F7D69"/>
    <w:rsid w:val="10982C9B"/>
    <w:rsid w:val="113E68EA"/>
    <w:rsid w:val="119D480C"/>
    <w:rsid w:val="11A16C62"/>
    <w:rsid w:val="11A42B6C"/>
    <w:rsid w:val="11C10E95"/>
    <w:rsid w:val="11E7766D"/>
    <w:rsid w:val="11F45B66"/>
    <w:rsid w:val="121757E5"/>
    <w:rsid w:val="122C5779"/>
    <w:rsid w:val="122E16AE"/>
    <w:rsid w:val="12657010"/>
    <w:rsid w:val="12901257"/>
    <w:rsid w:val="12B45295"/>
    <w:rsid w:val="12B461FB"/>
    <w:rsid w:val="12EB4DC8"/>
    <w:rsid w:val="12EC7C3E"/>
    <w:rsid w:val="13110C33"/>
    <w:rsid w:val="13120CD4"/>
    <w:rsid w:val="13224EAE"/>
    <w:rsid w:val="137A567E"/>
    <w:rsid w:val="13BD6267"/>
    <w:rsid w:val="13C23DD6"/>
    <w:rsid w:val="13EC0060"/>
    <w:rsid w:val="14057E54"/>
    <w:rsid w:val="151D4CE2"/>
    <w:rsid w:val="15AE59B0"/>
    <w:rsid w:val="15BC68A3"/>
    <w:rsid w:val="162300EE"/>
    <w:rsid w:val="16574997"/>
    <w:rsid w:val="165A04E5"/>
    <w:rsid w:val="166337E7"/>
    <w:rsid w:val="16AA6717"/>
    <w:rsid w:val="16AE68E6"/>
    <w:rsid w:val="16E47000"/>
    <w:rsid w:val="17245CA9"/>
    <w:rsid w:val="17502D28"/>
    <w:rsid w:val="1754350F"/>
    <w:rsid w:val="1771381D"/>
    <w:rsid w:val="17722442"/>
    <w:rsid w:val="177E219B"/>
    <w:rsid w:val="17880EEC"/>
    <w:rsid w:val="17E5641E"/>
    <w:rsid w:val="17F70312"/>
    <w:rsid w:val="183728CE"/>
    <w:rsid w:val="18397AC6"/>
    <w:rsid w:val="187A1560"/>
    <w:rsid w:val="18896A31"/>
    <w:rsid w:val="18B56CFB"/>
    <w:rsid w:val="19017219"/>
    <w:rsid w:val="19115A62"/>
    <w:rsid w:val="1925333C"/>
    <w:rsid w:val="194503DE"/>
    <w:rsid w:val="194C47BD"/>
    <w:rsid w:val="19804C5A"/>
    <w:rsid w:val="19B36CD6"/>
    <w:rsid w:val="19BA7D69"/>
    <w:rsid w:val="19DD5F67"/>
    <w:rsid w:val="19FA0DA6"/>
    <w:rsid w:val="19FE5456"/>
    <w:rsid w:val="1A1A0272"/>
    <w:rsid w:val="1A214EF1"/>
    <w:rsid w:val="1A397DFA"/>
    <w:rsid w:val="1A6434A2"/>
    <w:rsid w:val="1A86682B"/>
    <w:rsid w:val="1A8735A8"/>
    <w:rsid w:val="1A97463D"/>
    <w:rsid w:val="1AB34686"/>
    <w:rsid w:val="1AB772AC"/>
    <w:rsid w:val="1ABD3AAE"/>
    <w:rsid w:val="1ACB41E4"/>
    <w:rsid w:val="1B544D3C"/>
    <w:rsid w:val="1B604568"/>
    <w:rsid w:val="1B6E58CC"/>
    <w:rsid w:val="1BAD4703"/>
    <w:rsid w:val="1C052E5F"/>
    <w:rsid w:val="1C345C49"/>
    <w:rsid w:val="1C3669F4"/>
    <w:rsid w:val="1C367203"/>
    <w:rsid w:val="1C4B7696"/>
    <w:rsid w:val="1C50481F"/>
    <w:rsid w:val="1D1F334F"/>
    <w:rsid w:val="1D44716C"/>
    <w:rsid w:val="1D6615D1"/>
    <w:rsid w:val="1D9A07EC"/>
    <w:rsid w:val="1D9C0A83"/>
    <w:rsid w:val="1E223AC5"/>
    <w:rsid w:val="1E4741E9"/>
    <w:rsid w:val="1E630598"/>
    <w:rsid w:val="1E9A1814"/>
    <w:rsid w:val="1EA84A7C"/>
    <w:rsid w:val="1EA9199F"/>
    <w:rsid w:val="1ECE74DA"/>
    <w:rsid w:val="1EE442FA"/>
    <w:rsid w:val="1F1F5237"/>
    <w:rsid w:val="1F6727EE"/>
    <w:rsid w:val="1FB80FF8"/>
    <w:rsid w:val="1FE71DC8"/>
    <w:rsid w:val="202500F4"/>
    <w:rsid w:val="203C451F"/>
    <w:rsid w:val="20A60DAA"/>
    <w:rsid w:val="20CE76BE"/>
    <w:rsid w:val="211B59D7"/>
    <w:rsid w:val="21433598"/>
    <w:rsid w:val="215E56C2"/>
    <w:rsid w:val="21EB7007"/>
    <w:rsid w:val="22022A27"/>
    <w:rsid w:val="22191424"/>
    <w:rsid w:val="222D683B"/>
    <w:rsid w:val="222E5264"/>
    <w:rsid w:val="223A310B"/>
    <w:rsid w:val="2264225E"/>
    <w:rsid w:val="228266B7"/>
    <w:rsid w:val="22903948"/>
    <w:rsid w:val="229D7369"/>
    <w:rsid w:val="22A813CE"/>
    <w:rsid w:val="22F304A4"/>
    <w:rsid w:val="22FB5744"/>
    <w:rsid w:val="232323C5"/>
    <w:rsid w:val="23302427"/>
    <w:rsid w:val="234840C9"/>
    <w:rsid w:val="234C7843"/>
    <w:rsid w:val="237E037D"/>
    <w:rsid w:val="23B96BDB"/>
    <w:rsid w:val="23DB17F1"/>
    <w:rsid w:val="23E20957"/>
    <w:rsid w:val="245E7180"/>
    <w:rsid w:val="2495154A"/>
    <w:rsid w:val="24CE3C77"/>
    <w:rsid w:val="24FF6A73"/>
    <w:rsid w:val="25000CE4"/>
    <w:rsid w:val="25010152"/>
    <w:rsid w:val="250B7B85"/>
    <w:rsid w:val="250D5650"/>
    <w:rsid w:val="25443A6D"/>
    <w:rsid w:val="255957F0"/>
    <w:rsid w:val="256354A9"/>
    <w:rsid w:val="25671327"/>
    <w:rsid w:val="25A722B0"/>
    <w:rsid w:val="25BF7602"/>
    <w:rsid w:val="25FC19F9"/>
    <w:rsid w:val="261558E3"/>
    <w:rsid w:val="2641455F"/>
    <w:rsid w:val="26623ABB"/>
    <w:rsid w:val="267505A8"/>
    <w:rsid w:val="267A54A0"/>
    <w:rsid w:val="26996192"/>
    <w:rsid w:val="26B53EAE"/>
    <w:rsid w:val="27041834"/>
    <w:rsid w:val="271A6BC5"/>
    <w:rsid w:val="27226F9E"/>
    <w:rsid w:val="27876951"/>
    <w:rsid w:val="280C412A"/>
    <w:rsid w:val="282C7A5F"/>
    <w:rsid w:val="28314465"/>
    <w:rsid w:val="2834133D"/>
    <w:rsid w:val="28377612"/>
    <w:rsid w:val="28742BA8"/>
    <w:rsid w:val="28B46C06"/>
    <w:rsid w:val="28CE61A7"/>
    <w:rsid w:val="28DD0498"/>
    <w:rsid w:val="294D0858"/>
    <w:rsid w:val="294D5048"/>
    <w:rsid w:val="296727A6"/>
    <w:rsid w:val="29B04C49"/>
    <w:rsid w:val="29EA33A2"/>
    <w:rsid w:val="2A0C40BD"/>
    <w:rsid w:val="2A2A6191"/>
    <w:rsid w:val="2A311A06"/>
    <w:rsid w:val="2A67501F"/>
    <w:rsid w:val="2A82054A"/>
    <w:rsid w:val="2AF06621"/>
    <w:rsid w:val="2B02228F"/>
    <w:rsid w:val="2B12233A"/>
    <w:rsid w:val="2BC01B47"/>
    <w:rsid w:val="2BEB4FA0"/>
    <w:rsid w:val="2BF67FF9"/>
    <w:rsid w:val="2BF97109"/>
    <w:rsid w:val="2C664BBD"/>
    <w:rsid w:val="2C837BD4"/>
    <w:rsid w:val="2CA52CB2"/>
    <w:rsid w:val="2D2C13DC"/>
    <w:rsid w:val="2D59460B"/>
    <w:rsid w:val="2D6E1179"/>
    <w:rsid w:val="2D853D69"/>
    <w:rsid w:val="2D93571D"/>
    <w:rsid w:val="2DB2767C"/>
    <w:rsid w:val="2DC80F02"/>
    <w:rsid w:val="2DC8386B"/>
    <w:rsid w:val="2DF215A0"/>
    <w:rsid w:val="2DF30DFA"/>
    <w:rsid w:val="2E554704"/>
    <w:rsid w:val="2E554EC8"/>
    <w:rsid w:val="2E7D02A4"/>
    <w:rsid w:val="2E845B80"/>
    <w:rsid w:val="2E922C94"/>
    <w:rsid w:val="2EA62062"/>
    <w:rsid w:val="2F003395"/>
    <w:rsid w:val="2F2B63B8"/>
    <w:rsid w:val="2F6161CA"/>
    <w:rsid w:val="2F8B49F6"/>
    <w:rsid w:val="2FA379D4"/>
    <w:rsid w:val="2FAB44FE"/>
    <w:rsid w:val="2FCD0055"/>
    <w:rsid w:val="2FD5639D"/>
    <w:rsid w:val="2FDE3AD8"/>
    <w:rsid w:val="2FF54F33"/>
    <w:rsid w:val="30064DEB"/>
    <w:rsid w:val="300B695C"/>
    <w:rsid w:val="30574748"/>
    <w:rsid w:val="30682F3E"/>
    <w:rsid w:val="30F442B4"/>
    <w:rsid w:val="313B3523"/>
    <w:rsid w:val="314D7BF8"/>
    <w:rsid w:val="31523A65"/>
    <w:rsid w:val="316B24E4"/>
    <w:rsid w:val="319272DC"/>
    <w:rsid w:val="31B708AF"/>
    <w:rsid w:val="31BA1045"/>
    <w:rsid w:val="31BE61CB"/>
    <w:rsid w:val="31D35353"/>
    <w:rsid w:val="31F67019"/>
    <w:rsid w:val="32070896"/>
    <w:rsid w:val="320D793C"/>
    <w:rsid w:val="32505C5F"/>
    <w:rsid w:val="3291438B"/>
    <w:rsid w:val="32AC16E8"/>
    <w:rsid w:val="32C52687"/>
    <w:rsid w:val="32F827C5"/>
    <w:rsid w:val="330D1689"/>
    <w:rsid w:val="333B6539"/>
    <w:rsid w:val="335E5643"/>
    <w:rsid w:val="337922DA"/>
    <w:rsid w:val="33A5662E"/>
    <w:rsid w:val="33D63157"/>
    <w:rsid w:val="33F65BFF"/>
    <w:rsid w:val="34150F91"/>
    <w:rsid w:val="342270B2"/>
    <w:rsid w:val="342B5AD4"/>
    <w:rsid w:val="346D676C"/>
    <w:rsid w:val="3493342F"/>
    <w:rsid w:val="34E96B19"/>
    <w:rsid w:val="351D4FE9"/>
    <w:rsid w:val="35307971"/>
    <w:rsid w:val="353853DE"/>
    <w:rsid w:val="354D5015"/>
    <w:rsid w:val="355A779B"/>
    <w:rsid w:val="35867BF2"/>
    <w:rsid w:val="35C45856"/>
    <w:rsid w:val="35E61421"/>
    <w:rsid w:val="36401903"/>
    <w:rsid w:val="36466842"/>
    <w:rsid w:val="36762E8D"/>
    <w:rsid w:val="368B7414"/>
    <w:rsid w:val="36AE0CF7"/>
    <w:rsid w:val="37014F57"/>
    <w:rsid w:val="377B18AD"/>
    <w:rsid w:val="378B48DC"/>
    <w:rsid w:val="37966B05"/>
    <w:rsid w:val="383C2B24"/>
    <w:rsid w:val="38411AE2"/>
    <w:rsid w:val="38701340"/>
    <w:rsid w:val="388D6CAF"/>
    <w:rsid w:val="389D693D"/>
    <w:rsid w:val="391D5EC0"/>
    <w:rsid w:val="393C645F"/>
    <w:rsid w:val="394410B8"/>
    <w:rsid w:val="396301D4"/>
    <w:rsid w:val="396E1505"/>
    <w:rsid w:val="39801F5A"/>
    <w:rsid w:val="39A64FEF"/>
    <w:rsid w:val="39B560A5"/>
    <w:rsid w:val="39C14E7A"/>
    <w:rsid w:val="39C56EC6"/>
    <w:rsid w:val="39C65178"/>
    <w:rsid w:val="39EC7B2C"/>
    <w:rsid w:val="3A175F8E"/>
    <w:rsid w:val="3A271859"/>
    <w:rsid w:val="3A551C9E"/>
    <w:rsid w:val="3AA97BE8"/>
    <w:rsid w:val="3AAA33CE"/>
    <w:rsid w:val="3AAC7CE7"/>
    <w:rsid w:val="3AC14A00"/>
    <w:rsid w:val="3AD64A80"/>
    <w:rsid w:val="3AF21BF3"/>
    <w:rsid w:val="3B38315F"/>
    <w:rsid w:val="3BB6283D"/>
    <w:rsid w:val="3BC82369"/>
    <w:rsid w:val="3BF62DEA"/>
    <w:rsid w:val="3C00621D"/>
    <w:rsid w:val="3C007461"/>
    <w:rsid w:val="3C204D6E"/>
    <w:rsid w:val="3C326400"/>
    <w:rsid w:val="3C3B2460"/>
    <w:rsid w:val="3C52236A"/>
    <w:rsid w:val="3C7F6FBC"/>
    <w:rsid w:val="3C930421"/>
    <w:rsid w:val="3CBB3EAC"/>
    <w:rsid w:val="3CC84260"/>
    <w:rsid w:val="3D5B5B3A"/>
    <w:rsid w:val="3D6915AE"/>
    <w:rsid w:val="3DA340FE"/>
    <w:rsid w:val="3DFF057B"/>
    <w:rsid w:val="3E2D4E13"/>
    <w:rsid w:val="3E2F4442"/>
    <w:rsid w:val="3EAB0D39"/>
    <w:rsid w:val="3EAE02CC"/>
    <w:rsid w:val="3ED93B90"/>
    <w:rsid w:val="3EFB2DD0"/>
    <w:rsid w:val="3F817630"/>
    <w:rsid w:val="3F8B4F8F"/>
    <w:rsid w:val="3F8D2738"/>
    <w:rsid w:val="3F9B7152"/>
    <w:rsid w:val="3FBD3435"/>
    <w:rsid w:val="3FDA37D1"/>
    <w:rsid w:val="3FEA413A"/>
    <w:rsid w:val="3FFB5127"/>
    <w:rsid w:val="40025D8C"/>
    <w:rsid w:val="4014520B"/>
    <w:rsid w:val="403B6174"/>
    <w:rsid w:val="40A92971"/>
    <w:rsid w:val="40D74C11"/>
    <w:rsid w:val="40E850AA"/>
    <w:rsid w:val="4102173E"/>
    <w:rsid w:val="4113290B"/>
    <w:rsid w:val="414B71AB"/>
    <w:rsid w:val="419E1094"/>
    <w:rsid w:val="41AE7C53"/>
    <w:rsid w:val="41D445AF"/>
    <w:rsid w:val="421A0CBA"/>
    <w:rsid w:val="422A35E3"/>
    <w:rsid w:val="42346F36"/>
    <w:rsid w:val="42441C65"/>
    <w:rsid w:val="425D15BF"/>
    <w:rsid w:val="426704E7"/>
    <w:rsid w:val="426709C6"/>
    <w:rsid w:val="42850A45"/>
    <w:rsid w:val="4296707D"/>
    <w:rsid w:val="42B975DE"/>
    <w:rsid w:val="431C51B2"/>
    <w:rsid w:val="43833B26"/>
    <w:rsid w:val="438B369F"/>
    <w:rsid w:val="438D724A"/>
    <w:rsid w:val="43905ACC"/>
    <w:rsid w:val="43FE2C78"/>
    <w:rsid w:val="440975E6"/>
    <w:rsid w:val="444152DB"/>
    <w:rsid w:val="44824B49"/>
    <w:rsid w:val="448A50B8"/>
    <w:rsid w:val="448C00B4"/>
    <w:rsid w:val="44BC7168"/>
    <w:rsid w:val="44FC1AAD"/>
    <w:rsid w:val="452C1174"/>
    <w:rsid w:val="45551982"/>
    <w:rsid w:val="457A2EAE"/>
    <w:rsid w:val="459B59B4"/>
    <w:rsid w:val="4625652B"/>
    <w:rsid w:val="465B23E4"/>
    <w:rsid w:val="46A93996"/>
    <w:rsid w:val="46B27D5F"/>
    <w:rsid w:val="46CF53F9"/>
    <w:rsid w:val="47482071"/>
    <w:rsid w:val="479131CA"/>
    <w:rsid w:val="47B537D1"/>
    <w:rsid w:val="48044230"/>
    <w:rsid w:val="481458B2"/>
    <w:rsid w:val="485D69E5"/>
    <w:rsid w:val="48B40A80"/>
    <w:rsid w:val="48EA0F6C"/>
    <w:rsid w:val="4923488D"/>
    <w:rsid w:val="4973318F"/>
    <w:rsid w:val="49AA6FF1"/>
    <w:rsid w:val="49C1029B"/>
    <w:rsid w:val="49C563E7"/>
    <w:rsid w:val="49E25BC5"/>
    <w:rsid w:val="49F02B7A"/>
    <w:rsid w:val="4A4D543F"/>
    <w:rsid w:val="4A5D1E1F"/>
    <w:rsid w:val="4A9727A0"/>
    <w:rsid w:val="4B1F76D7"/>
    <w:rsid w:val="4B272E16"/>
    <w:rsid w:val="4BA97CDC"/>
    <w:rsid w:val="4BD111B4"/>
    <w:rsid w:val="4BE70FE6"/>
    <w:rsid w:val="4C0D5F77"/>
    <w:rsid w:val="4C4A59CD"/>
    <w:rsid w:val="4C815D31"/>
    <w:rsid w:val="4C9D12AC"/>
    <w:rsid w:val="4D091BB2"/>
    <w:rsid w:val="4D2825CD"/>
    <w:rsid w:val="4DA57D8A"/>
    <w:rsid w:val="4DD57A2C"/>
    <w:rsid w:val="4E2A53CC"/>
    <w:rsid w:val="4E4742E0"/>
    <w:rsid w:val="4E5734D5"/>
    <w:rsid w:val="4EA31917"/>
    <w:rsid w:val="4EAA67EA"/>
    <w:rsid w:val="4ED423AC"/>
    <w:rsid w:val="4ED869C4"/>
    <w:rsid w:val="4F085171"/>
    <w:rsid w:val="4F833C28"/>
    <w:rsid w:val="4FE6424C"/>
    <w:rsid w:val="4FE92A8B"/>
    <w:rsid w:val="4FEC3C7D"/>
    <w:rsid w:val="502E43EB"/>
    <w:rsid w:val="50667029"/>
    <w:rsid w:val="509D0750"/>
    <w:rsid w:val="50AC020E"/>
    <w:rsid w:val="50B61F3A"/>
    <w:rsid w:val="50C27D8E"/>
    <w:rsid w:val="5103573A"/>
    <w:rsid w:val="51485AE0"/>
    <w:rsid w:val="518B234A"/>
    <w:rsid w:val="51A92325"/>
    <w:rsid w:val="51B0648C"/>
    <w:rsid w:val="52084672"/>
    <w:rsid w:val="524A235D"/>
    <w:rsid w:val="529E6495"/>
    <w:rsid w:val="52B4179A"/>
    <w:rsid w:val="52C30D0C"/>
    <w:rsid w:val="52E9100E"/>
    <w:rsid w:val="54880023"/>
    <w:rsid w:val="54FD1856"/>
    <w:rsid w:val="55107717"/>
    <w:rsid w:val="552A4896"/>
    <w:rsid w:val="554B41B0"/>
    <w:rsid w:val="55713F85"/>
    <w:rsid w:val="559A7D2F"/>
    <w:rsid w:val="55C00E05"/>
    <w:rsid w:val="55C00E14"/>
    <w:rsid w:val="55C2286A"/>
    <w:rsid w:val="55E36C81"/>
    <w:rsid w:val="55ED776D"/>
    <w:rsid w:val="565531E7"/>
    <w:rsid w:val="56586DAD"/>
    <w:rsid w:val="56DA23F3"/>
    <w:rsid w:val="56E37652"/>
    <w:rsid w:val="570C4433"/>
    <w:rsid w:val="570F7B05"/>
    <w:rsid w:val="57986DC9"/>
    <w:rsid w:val="57C54EF8"/>
    <w:rsid w:val="57CE5672"/>
    <w:rsid w:val="57F65022"/>
    <w:rsid w:val="581731DE"/>
    <w:rsid w:val="581868A1"/>
    <w:rsid w:val="586E2F72"/>
    <w:rsid w:val="587909FE"/>
    <w:rsid w:val="58CE46BD"/>
    <w:rsid w:val="58DB3999"/>
    <w:rsid w:val="591C7D2C"/>
    <w:rsid w:val="598A4710"/>
    <w:rsid w:val="59AE4F8B"/>
    <w:rsid w:val="59B5757F"/>
    <w:rsid w:val="59C860F6"/>
    <w:rsid w:val="59E21BB9"/>
    <w:rsid w:val="59E94918"/>
    <w:rsid w:val="59ED0F1B"/>
    <w:rsid w:val="5A144311"/>
    <w:rsid w:val="5A226BD9"/>
    <w:rsid w:val="5A2612AF"/>
    <w:rsid w:val="5A4B3E01"/>
    <w:rsid w:val="5A6752B9"/>
    <w:rsid w:val="5A6A3310"/>
    <w:rsid w:val="5A810C2B"/>
    <w:rsid w:val="5A9A57F6"/>
    <w:rsid w:val="5AB92DE2"/>
    <w:rsid w:val="5ACC7530"/>
    <w:rsid w:val="5AFA12D2"/>
    <w:rsid w:val="5B36172E"/>
    <w:rsid w:val="5B3A1682"/>
    <w:rsid w:val="5B3B17A9"/>
    <w:rsid w:val="5B423E04"/>
    <w:rsid w:val="5B4E55E7"/>
    <w:rsid w:val="5BE22F2E"/>
    <w:rsid w:val="5BE5346C"/>
    <w:rsid w:val="5BED4444"/>
    <w:rsid w:val="5C15481B"/>
    <w:rsid w:val="5C336176"/>
    <w:rsid w:val="5C3D0583"/>
    <w:rsid w:val="5C6B2EE3"/>
    <w:rsid w:val="5C8C14B7"/>
    <w:rsid w:val="5D047BEF"/>
    <w:rsid w:val="5D7738ED"/>
    <w:rsid w:val="5D951C4A"/>
    <w:rsid w:val="5DB56055"/>
    <w:rsid w:val="5DBA1E1A"/>
    <w:rsid w:val="5DC92DD4"/>
    <w:rsid w:val="5DFD1B19"/>
    <w:rsid w:val="5E1B1E5A"/>
    <w:rsid w:val="5E493B82"/>
    <w:rsid w:val="5E682737"/>
    <w:rsid w:val="5EB32EE1"/>
    <w:rsid w:val="5EEF233F"/>
    <w:rsid w:val="5F3A42F4"/>
    <w:rsid w:val="5F3A7460"/>
    <w:rsid w:val="5F3B1BCF"/>
    <w:rsid w:val="5F8E3F1F"/>
    <w:rsid w:val="5FA520D1"/>
    <w:rsid w:val="5FB17E4A"/>
    <w:rsid w:val="5FEF1B0D"/>
    <w:rsid w:val="602F61F6"/>
    <w:rsid w:val="606636CC"/>
    <w:rsid w:val="609402C3"/>
    <w:rsid w:val="609A4D83"/>
    <w:rsid w:val="60B14051"/>
    <w:rsid w:val="60B1564F"/>
    <w:rsid w:val="60BC5BB6"/>
    <w:rsid w:val="60F2285C"/>
    <w:rsid w:val="61385B55"/>
    <w:rsid w:val="618C6236"/>
    <w:rsid w:val="618C7C06"/>
    <w:rsid w:val="618E0FB5"/>
    <w:rsid w:val="61A664BA"/>
    <w:rsid w:val="61E80BC5"/>
    <w:rsid w:val="6210482D"/>
    <w:rsid w:val="621B3277"/>
    <w:rsid w:val="62387B21"/>
    <w:rsid w:val="624A2574"/>
    <w:rsid w:val="62780CD4"/>
    <w:rsid w:val="63035541"/>
    <w:rsid w:val="631F5DEC"/>
    <w:rsid w:val="63496D5C"/>
    <w:rsid w:val="63B416A8"/>
    <w:rsid w:val="63BA1D9F"/>
    <w:rsid w:val="63BA316D"/>
    <w:rsid w:val="63C04A99"/>
    <w:rsid w:val="642965F8"/>
    <w:rsid w:val="643E4345"/>
    <w:rsid w:val="6452182E"/>
    <w:rsid w:val="64923148"/>
    <w:rsid w:val="64970563"/>
    <w:rsid w:val="64B46C16"/>
    <w:rsid w:val="64B87FE1"/>
    <w:rsid w:val="64F54574"/>
    <w:rsid w:val="650E19FC"/>
    <w:rsid w:val="651D186A"/>
    <w:rsid w:val="6538152F"/>
    <w:rsid w:val="65902A02"/>
    <w:rsid w:val="659E4DDD"/>
    <w:rsid w:val="65C54604"/>
    <w:rsid w:val="65EA6431"/>
    <w:rsid w:val="660C359F"/>
    <w:rsid w:val="665C36D0"/>
    <w:rsid w:val="666C6E6D"/>
    <w:rsid w:val="66853C5E"/>
    <w:rsid w:val="66AF0431"/>
    <w:rsid w:val="66C50499"/>
    <w:rsid w:val="67693CF1"/>
    <w:rsid w:val="678D49F7"/>
    <w:rsid w:val="67937135"/>
    <w:rsid w:val="67BF70EA"/>
    <w:rsid w:val="67DF1BD3"/>
    <w:rsid w:val="67EE4E37"/>
    <w:rsid w:val="680E099D"/>
    <w:rsid w:val="680E4DEB"/>
    <w:rsid w:val="681B699C"/>
    <w:rsid w:val="685E1E32"/>
    <w:rsid w:val="686F1FB9"/>
    <w:rsid w:val="687B634F"/>
    <w:rsid w:val="68B55316"/>
    <w:rsid w:val="68D04546"/>
    <w:rsid w:val="69205616"/>
    <w:rsid w:val="694C428A"/>
    <w:rsid w:val="695971AB"/>
    <w:rsid w:val="69F11584"/>
    <w:rsid w:val="69F13D48"/>
    <w:rsid w:val="6A182985"/>
    <w:rsid w:val="6A2A363A"/>
    <w:rsid w:val="6A3E180B"/>
    <w:rsid w:val="6A8863DF"/>
    <w:rsid w:val="6A99208E"/>
    <w:rsid w:val="6A9F2E6D"/>
    <w:rsid w:val="6AFA21F6"/>
    <w:rsid w:val="6B185CBE"/>
    <w:rsid w:val="6B5A4EF3"/>
    <w:rsid w:val="6C1E4A83"/>
    <w:rsid w:val="6C24768A"/>
    <w:rsid w:val="6C8415BE"/>
    <w:rsid w:val="6CE0360C"/>
    <w:rsid w:val="6D055DA7"/>
    <w:rsid w:val="6D3C7C2C"/>
    <w:rsid w:val="6D641329"/>
    <w:rsid w:val="6D731572"/>
    <w:rsid w:val="6DED6229"/>
    <w:rsid w:val="6E1C5778"/>
    <w:rsid w:val="6E1D4468"/>
    <w:rsid w:val="6E3B7704"/>
    <w:rsid w:val="6E4B54BE"/>
    <w:rsid w:val="6E597897"/>
    <w:rsid w:val="6E5F0038"/>
    <w:rsid w:val="6E7721A5"/>
    <w:rsid w:val="6E863046"/>
    <w:rsid w:val="6EB01D67"/>
    <w:rsid w:val="6EBA7070"/>
    <w:rsid w:val="6EE9450D"/>
    <w:rsid w:val="6EF06832"/>
    <w:rsid w:val="6F5A7AB1"/>
    <w:rsid w:val="703968C4"/>
    <w:rsid w:val="70476A0A"/>
    <w:rsid w:val="705935A4"/>
    <w:rsid w:val="705947FD"/>
    <w:rsid w:val="70A27ED9"/>
    <w:rsid w:val="70CD0BFD"/>
    <w:rsid w:val="70D93845"/>
    <w:rsid w:val="71253F8E"/>
    <w:rsid w:val="712B37CA"/>
    <w:rsid w:val="71374D3A"/>
    <w:rsid w:val="71710D7E"/>
    <w:rsid w:val="71A42D7A"/>
    <w:rsid w:val="71BA3BDB"/>
    <w:rsid w:val="71BF6204"/>
    <w:rsid w:val="71D2642B"/>
    <w:rsid w:val="720D46D5"/>
    <w:rsid w:val="7212551D"/>
    <w:rsid w:val="7232239F"/>
    <w:rsid w:val="72460796"/>
    <w:rsid w:val="725F0923"/>
    <w:rsid w:val="72882735"/>
    <w:rsid w:val="72913F42"/>
    <w:rsid w:val="72AB41A3"/>
    <w:rsid w:val="72BD4135"/>
    <w:rsid w:val="72C50367"/>
    <w:rsid w:val="72CD38B3"/>
    <w:rsid w:val="72EB0620"/>
    <w:rsid w:val="72EB391B"/>
    <w:rsid w:val="72F30A22"/>
    <w:rsid w:val="72FB2C05"/>
    <w:rsid w:val="73001BE9"/>
    <w:rsid w:val="73323D97"/>
    <w:rsid w:val="73511F7D"/>
    <w:rsid w:val="73746894"/>
    <w:rsid w:val="737600F8"/>
    <w:rsid w:val="73D6268F"/>
    <w:rsid w:val="73DC3E0F"/>
    <w:rsid w:val="73E07444"/>
    <w:rsid w:val="74091FAB"/>
    <w:rsid w:val="74603384"/>
    <w:rsid w:val="7465418D"/>
    <w:rsid w:val="74750BFC"/>
    <w:rsid w:val="747C170F"/>
    <w:rsid w:val="751F6C73"/>
    <w:rsid w:val="7526589D"/>
    <w:rsid w:val="7534586B"/>
    <w:rsid w:val="757D3784"/>
    <w:rsid w:val="75944D25"/>
    <w:rsid w:val="759533FD"/>
    <w:rsid w:val="75C5075C"/>
    <w:rsid w:val="75DF1A65"/>
    <w:rsid w:val="762C0F64"/>
    <w:rsid w:val="763D251F"/>
    <w:rsid w:val="76440862"/>
    <w:rsid w:val="76541CAA"/>
    <w:rsid w:val="765D557E"/>
    <w:rsid w:val="768F3AB1"/>
    <w:rsid w:val="76A7613D"/>
    <w:rsid w:val="76F14591"/>
    <w:rsid w:val="77225031"/>
    <w:rsid w:val="77395460"/>
    <w:rsid w:val="773D3579"/>
    <w:rsid w:val="77D706EF"/>
    <w:rsid w:val="78056D8F"/>
    <w:rsid w:val="78190B30"/>
    <w:rsid w:val="784E7AD8"/>
    <w:rsid w:val="78614250"/>
    <w:rsid w:val="78614DE3"/>
    <w:rsid w:val="788365CA"/>
    <w:rsid w:val="78954665"/>
    <w:rsid w:val="78F623E9"/>
    <w:rsid w:val="78F73895"/>
    <w:rsid w:val="79187FF2"/>
    <w:rsid w:val="793F32BE"/>
    <w:rsid w:val="799F4335"/>
    <w:rsid w:val="79BD6492"/>
    <w:rsid w:val="79C025CE"/>
    <w:rsid w:val="79E77ABE"/>
    <w:rsid w:val="79EE0EA6"/>
    <w:rsid w:val="7A1A73C6"/>
    <w:rsid w:val="7A693A93"/>
    <w:rsid w:val="7A747F64"/>
    <w:rsid w:val="7A820A7C"/>
    <w:rsid w:val="7A852EFE"/>
    <w:rsid w:val="7A9C4FF2"/>
    <w:rsid w:val="7ADB4746"/>
    <w:rsid w:val="7ADD0922"/>
    <w:rsid w:val="7B1A39AE"/>
    <w:rsid w:val="7B245544"/>
    <w:rsid w:val="7B2938B8"/>
    <w:rsid w:val="7B523627"/>
    <w:rsid w:val="7B9D2387"/>
    <w:rsid w:val="7BC37DD4"/>
    <w:rsid w:val="7BF709A6"/>
    <w:rsid w:val="7C322652"/>
    <w:rsid w:val="7C3D326E"/>
    <w:rsid w:val="7C934BFB"/>
    <w:rsid w:val="7CD633D2"/>
    <w:rsid w:val="7CE4770E"/>
    <w:rsid w:val="7CED3D1F"/>
    <w:rsid w:val="7CF50F1C"/>
    <w:rsid w:val="7D07040C"/>
    <w:rsid w:val="7D467AA9"/>
    <w:rsid w:val="7D5A0EB3"/>
    <w:rsid w:val="7D711FA8"/>
    <w:rsid w:val="7D975F8E"/>
    <w:rsid w:val="7DBC35C5"/>
    <w:rsid w:val="7DCA3ECB"/>
    <w:rsid w:val="7DCD543F"/>
    <w:rsid w:val="7DE40A47"/>
    <w:rsid w:val="7E096B24"/>
    <w:rsid w:val="7E0D21D6"/>
    <w:rsid w:val="7E2175B0"/>
    <w:rsid w:val="7E584BF6"/>
    <w:rsid w:val="7E6569EA"/>
    <w:rsid w:val="7E703DCB"/>
    <w:rsid w:val="7E755474"/>
    <w:rsid w:val="7E7C48A0"/>
    <w:rsid w:val="7E844586"/>
    <w:rsid w:val="7E8913E9"/>
    <w:rsid w:val="7EA93C11"/>
    <w:rsid w:val="7EA971D2"/>
    <w:rsid w:val="7EEB4F98"/>
    <w:rsid w:val="7EF4208C"/>
    <w:rsid w:val="7F240E18"/>
    <w:rsid w:val="7F2C0BF0"/>
    <w:rsid w:val="7F7B6BCD"/>
    <w:rsid w:val="7F9F652D"/>
    <w:rsid w:val="7FA40A04"/>
    <w:rsid w:val="7FF67DE6"/>
    <w:rsid w:val="7FFA6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480" w:firstLineChars="200"/>
      <w:jc w:val="both"/>
    </w:pPr>
    <w:rPr>
      <w:rFonts w:ascii="Times New Roman" w:hAnsi="Times New Roman" w:eastAsia="仿宋_GB2312" w:cs="Times New Roman"/>
      <w:kern w:val="2"/>
      <w:sz w:val="32"/>
      <w:szCs w:val="21"/>
      <w:lang w:val="en-US" w:eastAsia="zh-CN" w:bidi="ar-SA"/>
    </w:rPr>
  </w:style>
  <w:style w:type="paragraph" w:styleId="3">
    <w:name w:val="heading 1"/>
    <w:basedOn w:val="1"/>
    <w:next w:val="1"/>
    <w:qFormat/>
    <w:uiPriority w:val="1"/>
    <w:pPr>
      <w:ind w:left="300" w:right="434" w:hanging="730"/>
      <w:outlineLvl w:val="1"/>
    </w:pPr>
    <w:rPr>
      <w:rFonts w:ascii="方正小标宋简体" w:hAnsi="方正小标宋简体" w:eastAsia="方正小标宋简体" w:cs="方正小标宋简体"/>
      <w:sz w:val="44"/>
      <w:szCs w:val="44"/>
      <w:lang w:val="zh-CN" w:eastAsia="zh-CN" w:bidi="zh-CN"/>
    </w:rPr>
  </w:style>
  <w:style w:type="paragraph" w:styleId="4">
    <w:name w:val="heading 2"/>
    <w:basedOn w:val="1"/>
    <w:next w:val="1"/>
    <w:unhideWhenUsed/>
    <w:qFormat/>
    <w:uiPriority w:val="0"/>
    <w:pPr>
      <w:keepNext/>
      <w:keepLines/>
      <w:spacing w:before="120" w:beforeLines="0" w:beforeAutospacing="0" w:after="60" w:afterLines="0" w:afterAutospacing="0" w:line="560" w:lineRule="exact"/>
      <w:outlineLvl w:val="1"/>
    </w:pPr>
    <w:rPr>
      <w:rFonts w:ascii="Arial" w:hAnsi="Arial" w:eastAsia="楷体"/>
      <w:b/>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5">
    <w:name w:val="annotation text"/>
    <w:basedOn w:val="1"/>
    <w:qFormat/>
    <w:uiPriority w:val="0"/>
    <w:pPr>
      <w:jc w:val="left"/>
    </w:pPr>
  </w:style>
  <w:style w:type="paragraph" w:styleId="6">
    <w:name w:val="Body Text"/>
    <w:basedOn w:val="1"/>
    <w:qFormat/>
    <w:uiPriority w:val="0"/>
    <w:pPr>
      <w:jc w:val="center"/>
    </w:pPr>
    <w:rPr>
      <w:b/>
      <w:bCs/>
      <w:sz w:val="44"/>
    </w:rPr>
  </w:style>
  <w:style w:type="paragraph" w:styleId="7">
    <w:name w:val="Body Text Indent"/>
    <w:basedOn w:val="1"/>
    <w:next w:val="8"/>
    <w:autoRedefine/>
    <w:qFormat/>
    <w:uiPriority w:val="0"/>
    <w:pPr>
      <w:widowControl/>
      <w:spacing w:before="100" w:beforeAutospacing="1" w:after="100" w:afterAutospacing="1"/>
      <w:jc w:val="left"/>
    </w:pPr>
    <w:rPr>
      <w:rFonts w:ascii="宋体" w:hAnsi="宋体" w:cs="Times New Roman"/>
      <w:kern w:val="0"/>
      <w:sz w:val="24"/>
    </w:rPr>
  </w:style>
  <w:style w:type="paragraph" w:styleId="8">
    <w:name w:val="Body Text Indent 2"/>
    <w:basedOn w:val="1"/>
    <w:unhideWhenUsed/>
    <w:qFormat/>
    <w:uiPriority w:val="99"/>
    <w:pPr>
      <w:widowControl w:val="0"/>
      <w:ind w:firstLine="630"/>
      <w:jc w:val="both"/>
    </w:pPr>
    <w:rPr>
      <w:rFonts w:ascii="Calibri" w:hAnsi="Calibri" w:eastAsia="宋体" w:cs="Times New Roman"/>
      <w:b/>
      <w:kern w:val="1"/>
      <w:sz w:val="32"/>
      <w:szCs w:val="32"/>
      <w:lang w:val="en-US" w:eastAsia="zh-CN" w:bidi="ar-SA"/>
    </w:rPr>
  </w:style>
  <w:style w:type="paragraph" w:styleId="9">
    <w:name w:val="footer"/>
    <w:basedOn w:val="1"/>
    <w:next w:val="10"/>
    <w:qFormat/>
    <w:uiPriority w:val="0"/>
    <w:pPr>
      <w:tabs>
        <w:tab w:val="center" w:pos="4153"/>
        <w:tab w:val="right" w:pos="8306"/>
      </w:tabs>
      <w:snapToGrid w:val="0"/>
      <w:jc w:val="left"/>
    </w:pPr>
    <w:rPr>
      <w:sz w:val="18"/>
    </w:rPr>
  </w:style>
  <w:style w:type="paragraph" w:styleId="10">
    <w:name w:val="Normal (Web)"/>
    <w:basedOn w:val="1"/>
    <w:next w:val="9"/>
    <w:qFormat/>
    <w:uiPriority w:val="0"/>
    <w:pPr>
      <w:spacing w:before="0" w:beforeAutospacing="1" w:after="0" w:afterAutospacing="1"/>
      <w:ind w:left="0" w:right="0"/>
      <w:jc w:val="left"/>
    </w:pPr>
    <w:rPr>
      <w:kern w:val="0"/>
      <w:sz w:val="24"/>
      <w:lang w:val="en-US" w:eastAsia="zh-CN" w:bidi="ar"/>
    </w:rPr>
  </w:style>
  <w:style w:type="paragraph" w:styleId="11">
    <w:name w:val="header"/>
    <w:basedOn w:val="1"/>
    <w:autoRedefine/>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Subtitle"/>
    <w:basedOn w:val="1"/>
    <w:next w:val="1"/>
    <w:qFormat/>
    <w:uiPriority w:val="0"/>
    <w:pPr>
      <w:spacing w:before="120" w:after="60"/>
      <w:ind w:firstLine="200"/>
      <w:jc w:val="left"/>
      <w:outlineLvl w:val="1"/>
    </w:pPr>
    <w:rPr>
      <w:rFonts w:ascii="Cambria" w:hAnsi="Cambria" w:eastAsia="楷体" w:cs="Times New Roman"/>
      <w:b/>
      <w:bCs/>
      <w:kern w:val="28"/>
      <w:szCs w:val="32"/>
    </w:rPr>
  </w:style>
  <w:style w:type="paragraph" w:styleId="14">
    <w:name w:val="footnote text"/>
    <w:basedOn w:val="1"/>
    <w:qFormat/>
    <w:uiPriority w:val="0"/>
    <w:pPr>
      <w:snapToGrid w:val="0"/>
      <w:jc w:val="left"/>
    </w:pPr>
    <w:rPr>
      <w:sz w:val="18"/>
      <w:szCs w:val="18"/>
    </w:rPr>
  </w:style>
  <w:style w:type="paragraph" w:styleId="15">
    <w:name w:val="toc 2"/>
    <w:basedOn w:val="1"/>
    <w:next w:val="1"/>
    <w:qFormat/>
    <w:uiPriority w:val="0"/>
    <w:pPr>
      <w:ind w:left="420" w:leftChars="200"/>
    </w:pPr>
  </w:style>
  <w:style w:type="table" w:styleId="17">
    <w:name w:val="Table Grid"/>
    <w:basedOn w:val="16"/>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footnote reference"/>
    <w:qFormat/>
    <w:uiPriority w:val="0"/>
    <w:rPr>
      <w:vertAlign w:val="superscript"/>
    </w:rPr>
  </w:style>
  <w:style w:type="paragraph" w:customStyle="1" w:styleId="20">
    <w:name w:val="表头"/>
    <w:basedOn w:val="1"/>
    <w:autoRedefine/>
    <w:qFormat/>
    <w:uiPriority w:val="0"/>
    <w:pPr>
      <w:spacing w:line="240" w:lineRule="auto"/>
      <w:ind w:firstLine="0" w:firstLineChars="0"/>
      <w:jc w:val="center"/>
    </w:pPr>
    <w:rPr>
      <w:rFonts w:eastAsia="黑体"/>
      <w:sz w:val="24"/>
    </w:rPr>
  </w:style>
  <w:style w:type="paragraph" w:customStyle="1" w:styleId="21">
    <w:name w:val="WPSOffice手动目录 1"/>
    <w:qFormat/>
    <w:uiPriority w:val="0"/>
    <w:pPr>
      <w:ind w:leftChars="0"/>
    </w:pPr>
    <w:rPr>
      <w:rFonts w:ascii="Times New Roman" w:hAnsi="Times New Roman" w:eastAsia="宋体" w:cs="Times New Roman"/>
      <w:sz w:val="20"/>
      <w:szCs w:val="20"/>
    </w:rPr>
  </w:style>
  <w:style w:type="paragraph" w:customStyle="1" w:styleId="22">
    <w:name w:val="WPSOffice手动目录 2"/>
    <w:qFormat/>
    <w:uiPriority w:val="0"/>
    <w:pPr>
      <w:ind w:leftChars="200"/>
    </w:pPr>
    <w:rPr>
      <w:rFonts w:ascii="Times New Roman" w:hAnsi="Times New Roman" w:eastAsia="宋体" w:cs="Times New Roman"/>
      <w:sz w:val="20"/>
      <w:szCs w:val="20"/>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2021-08-27T08:47:00Z</dcterms:created>
  <dc:creator>thinkpad</dc:creator>
  <cp:lastModifiedBy>断尾的猫</cp:lastModifiedBy>
  <dcterms:modified xsi:type="dcterms:W3CDTF">2024-01-12T05:42:00Z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0C81154ED3DF4107B5B4E25992482D6E</vt:lpwstr>
  </property>
</Properties>
</file>