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简体" w:hAnsi="方正小标宋简体" w:eastAsia="方正小标宋简体" w:cs="方正小标宋简体"/>
          <w:sz w:val="36"/>
          <w:szCs w:val="36"/>
        </w:rPr>
      </w:pPr>
      <w:bookmarkStart w:id="0" w:name="_Toc12107"/>
      <w:bookmarkStart w:id="1" w:name="_Toc10530"/>
      <w:bookmarkStart w:id="2" w:name="_Toc26879517"/>
      <w:bookmarkStart w:id="3" w:name="_Toc3001"/>
      <w:bookmarkStart w:id="4" w:name="_Toc30399"/>
      <w:bookmarkStart w:id="5" w:name="_Toc15391125"/>
      <w:bookmarkStart w:id="6" w:name="_Toc3406"/>
      <w:bookmarkStart w:id="7" w:name="_Toc15390477"/>
      <w:bookmarkStart w:id="8" w:name="_Toc30534"/>
      <w:bookmarkStart w:id="9" w:name="_Toc15390256"/>
      <w:bookmarkStart w:id="10" w:name="_Toc15389961"/>
      <w:bookmarkStart w:id="11" w:name="_Hlk14769019"/>
      <w:bookmarkStart w:id="12" w:name="_Toc15390207"/>
      <w:bookmarkStart w:id="13" w:name="_Toc15390046"/>
      <w:bookmarkStart w:id="14" w:name="_Toc15391284"/>
      <w:bookmarkStart w:id="15" w:name="_Toc15390427"/>
      <w:bookmarkStart w:id="16" w:name="_Toc27765"/>
      <w:bookmarkStart w:id="17" w:name="_Toc24412"/>
      <w:bookmarkStart w:id="18" w:name="_Toc8778"/>
      <w:r>
        <w:rPr>
          <w:rFonts w:hint="eastAsia" w:eastAsia="方正小标宋简体" w:cs="Times New Roman"/>
          <w:sz w:val="36"/>
          <w:szCs w:val="36"/>
          <w:lang w:val="en-US" w:eastAsia="zh-CN"/>
        </w:rPr>
        <w:t>2020</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云岩区相约云岩安心消费促销活动</w:t>
      </w:r>
      <w:r>
        <w:rPr>
          <w:rFonts w:hint="eastAsia" w:ascii="方正小标宋简体" w:hAnsi="方正小标宋简体" w:eastAsia="方正小标宋简体" w:cs="方正小标宋简体"/>
          <w:sz w:val="36"/>
          <w:szCs w:val="36"/>
        </w:rPr>
        <w:t>项目</w:t>
      </w:r>
      <w:bookmarkStart w:id="19" w:name="_Toc11049"/>
    </w:p>
    <w:p>
      <w:pPr>
        <w:ind w:firstLine="0" w:firstLineChars="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绩效评价报告</w:t>
      </w:r>
      <w:bookmarkEnd w:id="19"/>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Times New Roman" w:hAnsi="Times New Roman" w:cs="Times New Roman"/>
          <w:lang w:val="en-US" w:eastAsia="zh-CN"/>
        </w:rPr>
      </w:pPr>
      <w:bookmarkStart w:id="20" w:name="_Toc63086645"/>
    </w:p>
    <w:p>
      <w:pPr>
        <w:pStyle w:val="3"/>
        <w:ind w:firstLine="640"/>
        <w:rPr>
          <w:color w:val="000000"/>
        </w:rPr>
      </w:pPr>
      <w:bookmarkStart w:id="21" w:name="_Toc13725"/>
      <w:r>
        <w:rPr>
          <w:rFonts w:hint="eastAsia"/>
          <w:color w:val="000000"/>
        </w:rPr>
        <w:t>一、项目基本情况</w:t>
      </w:r>
      <w:bookmarkEnd w:id="0"/>
      <w:bookmarkEnd w:id="1"/>
      <w:bookmarkEnd w:id="2"/>
      <w:bookmarkEnd w:id="3"/>
      <w:bookmarkEnd w:id="20"/>
      <w:bookmarkEnd w:id="21"/>
    </w:p>
    <w:p>
      <w:pPr>
        <w:pStyle w:val="4"/>
        <w:ind w:firstLine="643"/>
        <w:rPr>
          <w:color w:val="000000"/>
        </w:rPr>
      </w:pPr>
      <w:bookmarkStart w:id="22" w:name="_Toc15391283"/>
      <w:bookmarkStart w:id="23" w:name="_Toc23587"/>
      <w:bookmarkStart w:id="24" w:name="_Toc26879518"/>
      <w:bookmarkStart w:id="25" w:name="_Toc15391124"/>
      <w:bookmarkStart w:id="26" w:name="_Toc27500"/>
      <w:bookmarkStart w:id="27" w:name="_Toc15390476"/>
      <w:bookmarkStart w:id="28" w:name="_Toc28895"/>
      <w:bookmarkStart w:id="29" w:name="_Toc25815"/>
      <w:bookmarkStart w:id="30" w:name="_Toc63086646"/>
      <w:r>
        <w:rPr>
          <w:rFonts w:hint="eastAsia"/>
          <w:color w:val="000000"/>
        </w:rPr>
        <w:t>（一）项目</w:t>
      </w:r>
      <w:bookmarkEnd w:id="22"/>
      <w:bookmarkEnd w:id="23"/>
      <w:bookmarkEnd w:id="24"/>
      <w:bookmarkEnd w:id="25"/>
      <w:bookmarkEnd w:id="26"/>
      <w:bookmarkEnd w:id="27"/>
      <w:r>
        <w:rPr>
          <w:rFonts w:hint="eastAsia"/>
          <w:color w:val="000000"/>
        </w:rPr>
        <w:t>立项背景及</w:t>
      </w:r>
      <w:bookmarkEnd w:id="4"/>
      <w:bookmarkEnd w:id="5"/>
      <w:bookmarkEnd w:id="6"/>
      <w:bookmarkEnd w:id="7"/>
      <w:bookmarkEnd w:id="8"/>
      <w:bookmarkEnd w:id="9"/>
      <w:bookmarkEnd w:id="10"/>
      <w:bookmarkEnd w:id="11"/>
      <w:bookmarkEnd w:id="12"/>
      <w:bookmarkEnd w:id="13"/>
      <w:bookmarkEnd w:id="14"/>
      <w:bookmarkEnd w:id="15"/>
      <w:bookmarkEnd w:id="28"/>
      <w:r>
        <w:rPr>
          <w:rFonts w:hint="eastAsia"/>
          <w:color w:val="000000"/>
        </w:rPr>
        <w:t>目的</w:t>
      </w:r>
      <w:bookmarkEnd w:id="29"/>
      <w:bookmarkEnd w:id="30"/>
    </w:p>
    <w:p>
      <w:pPr>
        <w:pStyle w:val="2"/>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2020年初，新冠肺炎疫情在全球范围内迅速蔓延，全球主要经济体增速下滑，虽然我国在疫情防控和刺激经济方面一直走在世界前列，但是疫情蔓延对我国经济的冲击前所未有。据国家统计局数据显示，2020年中国一季度国内生产总值（GDP）同比增速为-6.8%，呈明显放缓趋势。经济进入下行周期，在出口方面，海关总署披露数据显示，2020年一季度，中国货物贸易进出口总值同比增速为-6.4%，出口总值同比下降11.4%。</w:t>
      </w:r>
      <w:r>
        <w:rPr>
          <w:rFonts w:hint="default" w:ascii="Times New Roman" w:hAnsi="Times New Roman" w:eastAsia="仿宋_GB2312" w:cs="Times New Roman"/>
          <w:sz w:val="32"/>
          <w:szCs w:val="32"/>
          <w:lang w:val="en-US" w:eastAsia="zh-CN"/>
        </w:rPr>
        <w:t>贵州省</w:t>
      </w:r>
      <w:r>
        <w:rPr>
          <w:rFonts w:hint="default" w:ascii="Times New Roman" w:hAnsi="Times New Roman" w:eastAsia="仿宋_GB2312" w:cs="Times New Roman"/>
          <w:sz w:val="32"/>
          <w:szCs w:val="32"/>
        </w:rPr>
        <w:t>一季度全省消费品零售总额同比下降13%，贵阳市社会消费品零售总额同比下降11.7%。投资方面，</w:t>
      </w:r>
      <w:r>
        <w:rPr>
          <w:rFonts w:hint="default" w:ascii="Times New Roman" w:hAnsi="Times New Roman" w:eastAsia="仿宋_GB2312" w:cs="Times New Roman"/>
          <w:sz w:val="32"/>
          <w:szCs w:val="32"/>
          <w:lang w:val="en-US" w:eastAsia="zh-CN"/>
        </w:rPr>
        <w:t>社会资本</w:t>
      </w:r>
      <w:r>
        <w:rPr>
          <w:rFonts w:hint="default" w:ascii="Times New Roman" w:hAnsi="Times New Roman" w:eastAsia="仿宋_GB2312" w:cs="Times New Roman"/>
          <w:sz w:val="32"/>
          <w:szCs w:val="32"/>
        </w:rPr>
        <w:t>受到疫情影响，投资情况不容乐观，主要还是依靠政府部门的力量</w:t>
      </w:r>
      <w:r>
        <w:rPr>
          <w:rFonts w:hint="default" w:ascii="Times New Roman" w:hAnsi="Times New Roman" w:eastAsia="仿宋_GB2312" w:cs="Times New Roman"/>
          <w:sz w:val="32"/>
          <w:szCs w:val="32"/>
          <w:lang w:val="en-US" w:eastAsia="zh-CN"/>
        </w:rPr>
        <w:t>推动</w:t>
      </w:r>
      <w:r>
        <w:rPr>
          <w:rFonts w:hint="default" w:ascii="Times New Roman" w:hAnsi="Times New Roman" w:eastAsia="仿宋_GB2312" w:cs="Times New Roman"/>
          <w:sz w:val="32"/>
          <w:szCs w:val="32"/>
        </w:rPr>
        <w:t>。在投资与出口这两驾马车短暂“失灵”的情况下，消费在促进我国经济复苏中发挥着愈加重要的基础性作用。</w:t>
      </w:r>
    </w:p>
    <w:p>
      <w:pPr>
        <w:pStyle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为有效应对疫情对消费的影响，稳定经济社会发展大局,有力、有序恢复生产，</w:t>
      </w:r>
      <w:r>
        <w:rPr>
          <w:rFonts w:hint="default" w:ascii="Times New Roman" w:hAnsi="Times New Roman" w:eastAsia="仿宋_GB2312" w:cs="Times New Roman"/>
          <w:sz w:val="32"/>
          <w:szCs w:val="32"/>
          <w:lang w:val="en-US" w:eastAsia="zh-CN"/>
        </w:rPr>
        <w:t>充分</w:t>
      </w:r>
      <w:r>
        <w:rPr>
          <w:rFonts w:hint="default" w:ascii="Times New Roman" w:hAnsi="Times New Roman" w:eastAsia="仿宋_GB2312" w:cs="Times New Roman"/>
          <w:sz w:val="32"/>
          <w:szCs w:val="32"/>
        </w:rPr>
        <w:t>挖掘消费潜力，扩大消费领域，刺激全区贸易企业经济稳定增长</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拉动内需，复苏经济，</w:t>
      </w:r>
      <w:r>
        <w:rPr>
          <w:rFonts w:hint="default" w:ascii="Times New Roman" w:hAnsi="Times New Roman" w:eastAsia="仿宋_GB2312" w:cs="Times New Roman"/>
          <w:sz w:val="32"/>
          <w:szCs w:val="32"/>
          <w:lang w:val="en-US" w:eastAsia="zh-CN"/>
        </w:rPr>
        <w:t>云岩区商务局结合省市上级政府与云岩区委</w:t>
      </w:r>
      <w:r>
        <w:rPr>
          <w:rFonts w:hint="eastAsia" w:cs="Times New Roman"/>
          <w:sz w:val="32"/>
          <w:szCs w:val="32"/>
          <w:lang w:val="en-US" w:eastAsia="zh-CN"/>
        </w:rPr>
        <w:t>、</w:t>
      </w:r>
      <w:bookmarkStart w:id="87" w:name="_GoBack"/>
      <w:bookmarkEnd w:id="87"/>
      <w:r>
        <w:rPr>
          <w:rFonts w:hint="default" w:ascii="Times New Roman" w:hAnsi="Times New Roman" w:eastAsia="仿宋_GB2312" w:cs="Times New Roman"/>
          <w:sz w:val="32"/>
          <w:szCs w:val="32"/>
          <w:lang w:val="en-US" w:eastAsia="zh-CN"/>
        </w:rPr>
        <w:t>区政府相关决策部署，申请设立</w:t>
      </w: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rPr>
        <w:t>相约云岩安心消费</w:t>
      </w:r>
      <w:r>
        <w:rPr>
          <w:rFonts w:hint="eastAsia" w:ascii="仿宋_GB2312" w:hAnsi="仿宋_GB2312" w:eastAsia="仿宋_GB2312" w:cs="仿宋_GB2312"/>
          <w:sz w:val="32"/>
          <w:szCs w:val="32"/>
          <w:lang w:val="en-US" w:eastAsia="zh-CN"/>
        </w:rPr>
        <w:t>”</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lang w:eastAsia="zh-CN"/>
        </w:rPr>
        <w:t>。</w:t>
      </w:r>
    </w:p>
    <w:p>
      <w:pPr>
        <w:pStyle w:val="4"/>
        <w:keepNext/>
        <w:keepLines/>
        <w:pageBreakBefore w:val="0"/>
        <w:widowControl w:val="0"/>
        <w:kinsoku/>
        <w:wordWrap/>
        <w:overflowPunct/>
        <w:topLinePunct w:val="0"/>
        <w:autoSpaceDE/>
        <w:autoSpaceDN/>
        <w:bidi w:val="0"/>
        <w:adjustRightInd/>
        <w:snapToGrid/>
        <w:ind w:firstLine="643"/>
        <w:textAlignment w:val="auto"/>
        <w:rPr>
          <w:rFonts w:hint="default"/>
          <w:lang w:val="en-US" w:eastAsia="zh-CN"/>
        </w:rPr>
      </w:pPr>
      <w:bookmarkStart w:id="31" w:name="_Toc25989"/>
      <w:r>
        <w:rPr>
          <w:rFonts w:ascii="Times New Roman" w:hAnsi="Times New Roman"/>
        </w:rPr>
        <w:t>（</w:t>
      </w:r>
      <w:r>
        <w:rPr>
          <w:rFonts w:hint="eastAsia" w:ascii="Times New Roman" w:hAnsi="Times New Roman"/>
          <w:lang w:val="en-US" w:eastAsia="zh-CN"/>
        </w:rPr>
        <w:t>二</w:t>
      </w:r>
      <w:r>
        <w:rPr>
          <w:rFonts w:ascii="Times New Roman" w:hAnsi="Times New Roman"/>
        </w:rPr>
        <w:t>）</w:t>
      </w:r>
      <w:r>
        <w:rPr>
          <w:rFonts w:hint="eastAsia"/>
          <w:highlight w:val="none"/>
        </w:rPr>
        <w:t>项目</w:t>
      </w:r>
      <w:r>
        <w:rPr>
          <w:rFonts w:hint="eastAsia"/>
          <w:highlight w:val="none"/>
          <w:lang w:val="en-US" w:eastAsia="zh-CN"/>
        </w:rPr>
        <w:t>实施内容</w:t>
      </w:r>
      <w:bookmarkEnd w:id="31"/>
    </w:p>
    <w:p>
      <w:pPr>
        <w:pStyle w:val="2"/>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区商务局实施的相约云岩安心消费促销活动项目2020年度工作主要是：</w:t>
      </w:r>
    </w:p>
    <w:p>
      <w:pPr>
        <w:pStyle w:val="2"/>
        <w:numPr>
          <w:ilvl w:val="0"/>
          <w:numId w:val="0"/>
        </w:numPr>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auto"/>
          <w:sz w:val="32"/>
          <w:szCs w:val="32"/>
        </w:rPr>
        <w:t>与中国银联</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云闪付</w:t>
      </w:r>
      <w:r>
        <w:rPr>
          <w:rFonts w:hint="eastAsia" w:ascii="仿宋_GB2312" w:hAnsi="仿宋_GB2312" w:eastAsia="仿宋_GB2312" w:cs="仿宋_GB2312"/>
          <w:color w:val="auto"/>
          <w:sz w:val="32"/>
          <w:szCs w:val="32"/>
        </w:rPr>
        <w:t>”</w:t>
      </w:r>
      <w:r>
        <w:rPr>
          <w:rFonts w:hint="default" w:ascii="Times New Roman" w:hAnsi="Times New Roman" w:eastAsia="仿宋_GB2312" w:cs="Times New Roman"/>
          <w:color w:val="auto"/>
          <w:sz w:val="32"/>
          <w:szCs w:val="32"/>
        </w:rPr>
        <w:t>合作，</w:t>
      </w:r>
      <w:r>
        <w:rPr>
          <w:rFonts w:hint="default" w:ascii="Times New Roman" w:hAnsi="Times New Roman" w:eastAsia="仿宋_GB2312" w:cs="Times New Roman"/>
          <w:color w:val="auto"/>
          <w:sz w:val="32"/>
          <w:szCs w:val="32"/>
          <w:lang w:eastAsia="zh-CN"/>
        </w:rPr>
        <w:t>中国银联</w:t>
      </w:r>
      <w:r>
        <w:rPr>
          <w:rFonts w:hint="default" w:ascii="Times New Roman" w:hAnsi="Times New Roman" w:eastAsia="仿宋_GB2312" w:cs="Times New Roman"/>
          <w:color w:val="auto"/>
          <w:sz w:val="32"/>
          <w:szCs w:val="32"/>
          <w:lang w:val="en-US" w:eastAsia="zh-CN"/>
        </w:rPr>
        <w:t>云闪付</w:t>
      </w:r>
      <w:r>
        <w:rPr>
          <w:rFonts w:hint="default" w:ascii="Times New Roman" w:hAnsi="Times New Roman" w:eastAsia="仿宋_GB2312" w:cs="Times New Roman"/>
          <w:color w:val="auto"/>
          <w:sz w:val="32"/>
          <w:szCs w:val="32"/>
          <w:lang w:eastAsia="zh-CN"/>
        </w:rPr>
        <w:t>与</w:t>
      </w:r>
      <w:r>
        <w:rPr>
          <w:rFonts w:hint="default" w:ascii="Times New Roman" w:hAnsi="Times New Roman" w:eastAsia="仿宋_GB2312" w:cs="Times New Roman"/>
          <w:color w:val="auto"/>
          <w:sz w:val="32"/>
          <w:szCs w:val="32"/>
          <w:lang w:val="en-US" w:eastAsia="zh-CN"/>
        </w:rPr>
        <w:t>云岩区</w:t>
      </w:r>
      <w:r>
        <w:rPr>
          <w:rFonts w:hint="default" w:ascii="Times New Roman" w:hAnsi="Times New Roman" w:eastAsia="仿宋_GB2312" w:cs="Times New Roman"/>
          <w:color w:val="auto"/>
          <w:sz w:val="32"/>
          <w:szCs w:val="32"/>
          <w:lang w:eastAsia="zh-CN"/>
        </w:rPr>
        <w:t>区政府</w:t>
      </w:r>
      <w:r>
        <w:rPr>
          <w:rFonts w:hint="default" w:ascii="Times New Roman" w:hAnsi="Times New Roman" w:eastAsia="仿宋_GB2312" w:cs="Times New Roman"/>
          <w:color w:val="auto"/>
          <w:sz w:val="32"/>
          <w:szCs w:val="32"/>
          <w:lang w:val="en-US" w:eastAsia="zh-CN"/>
        </w:rPr>
        <w:t>按1:1比例匹配资金发放消费券；</w:t>
      </w:r>
    </w:p>
    <w:p>
      <w:pPr>
        <w:pStyle w:val="2"/>
        <w:numPr>
          <w:ilvl w:val="0"/>
          <w:numId w:val="0"/>
        </w:numPr>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区商务局针对主要</w:t>
      </w:r>
      <w:r>
        <w:rPr>
          <w:rFonts w:hint="default" w:ascii="Times New Roman" w:hAnsi="Times New Roman" w:eastAsia="仿宋_GB2312" w:cs="Times New Roman"/>
          <w:color w:val="auto"/>
          <w:sz w:val="32"/>
          <w:szCs w:val="32"/>
          <w:lang w:val="en-US" w:eastAsia="zh-CN"/>
        </w:rPr>
        <w:t>涉及</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安心</w:t>
      </w:r>
      <w:r>
        <w:rPr>
          <w:rFonts w:hint="eastAsia" w:ascii="仿宋_GB2312" w:hAnsi="仿宋_GB2312" w:eastAsia="仿宋_GB2312" w:cs="仿宋_GB2312"/>
          <w:color w:val="auto"/>
          <w:sz w:val="32"/>
          <w:szCs w:val="32"/>
          <w:lang w:eastAsia="zh-CN"/>
        </w:rPr>
        <w:t>购</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安心</w:t>
      </w:r>
      <w:r>
        <w:rPr>
          <w:rFonts w:hint="eastAsia" w:ascii="仿宋_GB2312" w:hAnsi="仿宋_GB2312" w:eastAsia="仿宋_GB2312" w:cs="仿宋_GB2312"/>
          <w:color w:val="auto"/>
          <w:sz w:val="32"/>
          <w:szCs w:val="32"/>
          <w:lang w:eastAsia="zh-CN"/>
        </w:rPr>
        <w:t>吃</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两大主题，进行</w:t>
      </w:r>
      <w:r>
        <w:rPr>
          <w:rFonts w:hint="default" w:ascii="Times New Roman" w:hAnsi="Times New Roman" w:eastAsia="仿宋_GB2312" w:cs="Times New Roman"/>
          <w:color w:val="auto"/>
          <w:sz w:val="32"/>
          <w:szCs w:val="32"/>
          <w:lang w:eastAsia="zh-CN"/>
        </w:rPr>
        <w:t>策划和宣传视频拍摄</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并完成区内个各街道办和黔灵街道的宣传工作；</w:t>
      </w:r>
    </w:p>
    <w:p>
      <w:pPr>
        <w:pStyle w:val="2"/>
        <w:numPr>
          <w:ilvl w:val="0"/>
          <w:numId w:val="0"/>
        </w:numPr>
        <w:ind w:firstLine="640" w:firstLineChars="200"/>
        <w:rPr>
          <w:rFonts w:ascii="仿宋" w:hAnsi="仿宋" w:eastAsia="仿宋"/>
          <w:sz w:val="34"/>
          <w:szCs w:val="34"/>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auto"/>
          <w:sz w:val="32"/>
          <w:szCs w:val="32"/>
          <w:lang w:val="en-US" w:eastAsia="zh-CN"/>
        </w:rPr>
        <w:t>发放便利店、饮品店</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餐饮</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家电、商业综合体百货商品3类礼包消费券，带动</w:t>
      </w:r>
      <w:r>
        <w:rPr>
          <w:rFonts w:hint="eastAsia" w:ascii="仿宋_GB2312" w:hAnsi="仿宋_GB2312" w:eastAsia="仿宋_GB2312" w:cs="仿宋_GB2312"/>
          <w:color w:val="auto"/>
          <w:sz w:val="32"/>
          <w:szCs w:val="32"/>
          <w:lang w:val="en-US" w:eastAsia="zh-CN"/>
        </w:rPr>
        <w:t>≥</w:t>
      </w:r>
      <w:r>
        <w:rPr>
          <w:rFonts w:hint="default" w:ascii="Times New Roman" w:hAnsi="Times New Roman" w:eastAsia="仿宋_GB2312" w:cs="Times New Roman"/>
          <w:color w:val="auto"/>
          <w:sz w:val="32"/>
          <w:szCs w:val="32"/>
          <w:lang w:val="en-US" w:eastAsia="zh-CN"/>
        </w:rPr>
        <w:t>2348万元消费</w:t>
      </w:r>
      <w:r>
        <w:rPr>
          <w:rFonts w:hint="default" w:ascii="Times New Roman" w:hAnsi="Times New Roman" w:eastAsia="仿宋_GB2312" w:cs="Times New Roman"/>
          <w:sz w:val="32"/>
          <w:szCs w:val="32"/>
        </w:rPr>
        <w:t>。</w:t>
      </w:r>
    </w:p>
    <w:p>
      <w:pPr>
        <w:pStyle w:val="4"/>
        <w:ind w:firstLine="643"/>
        <w:rPr>
          <w:rFonts w:ascii="Times New Roman" w:hAnsi="Times New Roman"/>
        </w:rPr>
      </w:pPr>
      <w:bookmarkStart w:id="32" w:name="_Toc19033"/>
      <w:r>
        <w:rPr>
          <w:rFonts w:ascii="Times New Roman" w:hAnsi="Times New Roman"/>
        </w:rPr>
        <w:t>（</w:t>
      </w:r>
      <w:r>
        <w:rPr>
          <w:rFonts w:hint="eastAsia" w:ascii="Times New Roman" w:hAnsi="Times New Roman"/>
          <w:lang w:val="en-US" w:eastAsia="zh-CN"/>
        </w:rPr>
        <w:t>三</w:t>
      </w:r>
      <w:r>
        <w:rPr>
          <w:rFonts w:ascii="Times New Roman" w:hAnsi="Times New Roman"/>
        </w:rPr>
        <w:t>）</w:t>
      </w:r>
      <w:bookmarkEnd w:id="16"/>
      <w:bookmarkEnd w:id="17"/>
      <w:bookmarkEnd w:id="18"/>
      <w:r>
        <w:rPr>
          <w:rFonts w:hint="eastAsia"/>
          <w:highlight w:val="none"/>
        </w:rPr>
        <w:t>项目</w:t>
      </w:r>
      <w:r>
        <w:rPr>
          <w:rFonts w:hint="eastAsia"/>
          <w:highlight w:val="none"/>
          <w:lang w:val="en-US" w:eastAsia="zh-CN"/>
        </w:rPr>
        <w:t>预算安排及执行情况</w:t>
      </w:r>
      <w:bookmarkEnd w:id="32"/>
    </w:p>
    <w:p>
      <w:pPr>
        <w:bidi w:val="0"/>
        <w:rPr>
          <w:rFonts w:hint="default"/>
          <w:highlight w:val="none"/>
          <w:lang w:val="en-US" w:eastAsia="zh-CN"/>
        </w:rPr>
      </w:pPr>
      <w:r>
        <w:rPr>
          <w:rFonts w:hint="eastAsia"/>
          <w:highlight w:val="none"/>
          <w:lang w:val="en-US" w:eastAsia="zh-CN"/>
        </w:rPr>
        <w:t>2020年年初该项目申报预算为200万元，根据《党委会议纪要》</w:t>
      </w:r>
      <w:r>
        <w:rPr>
          <w:color w:val="000000"/>
          <w:kern w:val="0"/>
          <w:highlight w:val="none"/>
        </w:rPr>
        <w:t>（</w:t>
      </w:r>
      <w:r>
        <w:rPr>
          <w:rFonts w:hint="eastAsia"/>
          <w:color w:val="000000"/>
          <w:kern w:val="0"/>
          <w:highlight w:val="none"/>
        </w:rPr>
        <w:t>云商党议〔20</w:t>
      </w:r>
      <w:r>
        <w:rPr>
          <w:rFonts w:hint="eastAsia"/>
          <w:color w:val="000000"/>
          <w:kern w:val="0"/>
          <w:highlight w:val="none"/>
          <w:lang w:val="en-US" w:eastAsia="zh-CN"/>
        </w:rPr>
        <w:t>20</w:t>
      </w:r>
      <w:r>
        <w:rPr>
          <w:rFonts w:hint="eastAsia"/>
          <w:color w:val="000000"/>
          <w:kern w:val="0"/>
          <w:highlight w:val="none"/>
        </w:rPr>
        <w:t>〕</w:t>
      </w:r>
      <w:r>
        <w:rPr>
          <w:rFonts w:hint="eastAsia"/>
          <w:color w:val="000000"/>
          <w:kern w:val="0"/>
          <w:highlight w:val="none"/>
          <w:lang w:val="en-US" w:eastAsia="zh-CN"/>
        </w:rPr>
        <w:t>07</w:t>
      </w:r>
      <w:r>
        <w:rPr>
          <w:rFonts w:hint="eastAsia"/>
          <w:color w:val="000000"/>
          <w:kern w:val="0"/>
          <w:highlight w:val="none"/>
        </w:rPr>
        <w:t>号</w:t>
      </w:r>
      <w:r>
        <w:rPr>
          <w:color w:val="000000"/>
          <w:kern w:val="0"/>
          <w:highlight w:val="none"/>
        </w:rPr>
        <w:t>）</w:t>
      </w:r>
      <w:r>
        <w:rPr>
          <w:rFonts w:hint="eastAsia"/>
          <w:color w:val="000000"/>
          <w:kern w:val="0"/>
          <w:highlight w:val="none"/>
          <w:lang w:eastAsia="zh-CN"/>
        </w:rPr>
        <w:t>，</w:t>
      </w:r>
      <w:r>
        <w:rPr>
          <w:rFonts w:hint="eastAsia" w:ascii="仿宋_GB2312" w:hAnsi="仿宋_GB2312" w:eastAsia="仿宋_GB2312" w:cs="仿宋_GB2312"/>
          <w:color w:val="auto"/>
          <w:sz w:val="32"/>
          <w:szCs w:val="32"/>
          <w:highlight w:val="none"/>
          <w:lang w:val="en-US" w:eastAsia="zh-CN"/>
        </w:rPr>
        <w:t>区财政已</w:t>
      </w:r>
      <w:r>
        <w:rPr>
          <w:rFonts w:hint="default" w:ascii="Times New Roman" w:hAnsi="Times New Roman" w:eastAsia="仿宋_GB2312" w:cs="Times New Roman"/>
          <w:color w:val="auto"/>
          <w:sz w:val="32"/>
          <w:szCs w:val="32"/>
          <w:highlight w:val="none"/>
          <w:lang w:val="en-US" w:eastAsia="zh-CN"/>
        </w:rPr>
        <w:t>将200万</w:t>
      </w:r>
      <w:r>
        <w:rPr>
          <w:rFonts w:hint="eastAsia" w:ascii="仿宋_GB2312" w:hAnsi="仿宋_GB2312" w:eastAsia="仿宋_GB2312" w:cs="仿宋_GB2312"/>
          <w:color w:val="auto"/>
          <w:sz w:val="32"/>
          <w:szCs w:val="32"/>
          <w:highlight w:val="none"/>
          <w:lang w:val="en-US" w:eastAsia="zh-CN"/>
        </w:rPr>
        <w:t>经费拨付至区商务局账户</w:t>
      </w:r>
      <w:r>
        <w:rPr>
          <w:rFonts w:hint="eastAsia"/>
          <w:color w:val="000000"/>
          <w:kern w:val="0"/>
          <w:highlight w:val="none"/>
          <w:lang w:val="en-US" w:eastAsia="zh-CN"/>
        </w:rPr>
        <w:t>，</w:t>
      </w:r>
      <w:r>
        <w:rPr>
          <w:rFonts w:hint="eastAsia"/>
          <w:highlight w:val="none"/>
          <w:lang w:val="en-US" w:eastAsia="zh-CN"/>
        </w:rPr>
        <w:t>区财政资金到位200万元（其中：18.18万元用于支付中国银联服务费，181.82万元用于消费券发放）。中国银联共匹配资金228.68万元参与项目活动（其中24.25万元用于支付服务费，204.43万元用于消费券发放）。资金到位428.68万元，全年执行预算428.68万元，预算执行率100%。</w:t>
      </w:r>
    </w:p>
    <w:p>
      <w:pPr>
        <w:pStyle w:val="4"/>
        <w:ind w:firstLine="643"/>
        <w:rPr>
          <w:rFonts w:ascii="Times New Roman" w:hAnsi="Times New Roman" w:cs="Times New Roman"/>
        </w:rPr>
      </w:pPr>
      <w:bookmarkStart w:id="33" w:name="_Toc29046"/>
      <w:r>
        <w:rPr>
          <w:rFonts w:ascii="Times New Roman" w:hAnsi="Times New Roman" w:cs="Times New Roman"/>
        </w:rPr>
        <w:t>（</w:t>
      </w:r>
      <w:r>
        <w:rPr>
          <w:rFonts w:hint="eastAsia" w:ascii="Times New Roman" w:hAnsi="Times New Roman" w:cs="Times New Roman"/>
          <w:lang w:val="en-US" w:eastAsia="zh-CN"/>
        </w:rPr>
        <w:t>四</w:t>
      </w:r>
      <w:r>
        <w:rPr>
          <w:rFonts w:ascii="Times New Roman" w:hAnsi="Times New Roman" w:cs="Times New Roman"/>
        </w:rPr>
        <w:t>）</w:t>
      </w:r>
      <w:r>
        <w:rPr>
          <w:rFonts w:hint="eastAsia" w:ascii="Times New Roman" w:hAnsi="Times New Roman" w:cs="Times New Roman"/>
        </w:rPr>
        <w:t>项目目标</w:t>
      </w:r>
      <w:bookmarkEnd w:id="33"/>
    </w:p>
    <w:p>
      <w:pPr>
        <w:ind w:firstLine="640"/>
        <w:rPr>
          <w:rFonts w:hint="eastAsia"/>
        </w:rPr>
      </w:pPr>
      <w:r>
        <w:rPr>
          <w:rFonts w:hint="eastAsia"/>
          <w:lang w:val="en-US" w:eastAsia="zh-CN"/>
        </w:rPr>
        <w:t>1</w:t>
      </w:r>
      <w:r>
        <w:rPr>
          <w:rFonts w:hint="eastAsia"/>
        </w:rPr>
        <w:t>．项</w:t>
      </w:r>
      <w:r>
        <w:rPr>
          <w:rFonts w:hint="eastAsia" w:ascii="Times New Roman" w:hAnsi="Times New Roman" w:cs="Times New Roman"/>
        </w:rPr>
        <w:t>目年度目标</w:t>
      </w:r>
    </w:p>
    <w:p>
      <w:pPr>
        <w:pStyle w:val="2"/>
        <w:rPr>
          <w:rFonts w:hint="default" w:ascii="Times New Roman" w:hAnsi="Times New Roman" w:cs="Times New Roman"/>
        </w:rPr>
      </w:pPr>
      <w:r>
        <w:rPr>
          <w:rFonts w:hint="default" w:ascii="Times New Roman" w:hAnsi="Times New Roman" w:cs="Times New Roman"/>
          <w:lang w:val="en-US" w:eastAsia="zh-CN"/>
        </w:rPr>
        <w:t>为</w:t>
      </w:r>
      <w:r>
        <w:rPr>
          <w:rFonts w:hint="default" w:ascii="Times New Roman" w:hAnsi="Times New Roman" w:eastAsia="仿宋_GB2312" w:cs="Times New Roman"/>
          <w:color w:val="auto"/>
          <w:sz w:val="32"/>
          <w:szCs w:val="32"/>
        </w:rPr>
        <w:t>有效应对疫情对消费的影响，</w:t>
      </w:r>
      <w:r>
        <w:rPr>
          <w:rFonts w:hint="default" w:ascii="Times New Roman" w:hAnsi="Times New Roman" w:cs="Times New Roman"/>
          <w:color w:val="auto"/>
          <w:sz w:val="32"/>
          <w:szCs w:val="32"/>
          <w:lang w:val="en-US" w:eastAsia="zh-CN"/>
        </w:rPr>
        <w:t>通过促销活动的形式，刺激消费需求、</w:t>
      </w:r>
      <w:r>
        <w:rPr>
          <w:rFonts w:hint="default" w:ascii="Times New Roman" w:hAnsi="Times New Roman" w:eastAsia="仿宋_GB2312" w:cs="Times New Roman"/>
          <w:color w:val="auto"/>
          <w:sz w:val="32"/>
          <w:szCs w:val="32"/>
        </w:rPr>
        <w:t>挖掘消费潜力</w:t>
      </w:r>
      <w:r>
        <w:rPr>
          <w:rFonts w:hint="default" w:ascii="Times New Roman" w:hAnsi="Times New Roman" w:cs="Times New Roman"/>
          <w:color w:val="auto"/>
          <w:sz w:val="32"/>
          <w:szCs w:val="32"/>
          <w:lang w:eastAsia="zh-CN"/>
        </w:rPr>
        <w:t>、</w:t>
      </w:r>
      <w:r>
        <w:rPr>
          <w:rFonts w:hint="default" w:ascii="Times New Roman" w:hAnsi="Times New Roman" w:eastAsia="仿宋_GB2312" w:cs="Times New Roman"/>
          <w:color w:val="auto"/>
          <w:sz w:val="32"/>
          <w:szCs w:val="32"/>
        </w:rPr>
        <w:t>扩大消费领域</w:t>
      </w:r>
      <w:r>
        <w:rPr>
          <w:rFonts w:hint="default" w:ascii="Times New Roman" w:hAnsi="Times New Roman" w:cs="Times New Roman"/>
          <w:color w:val="auto"/>
          <w:sz w:val="32"/>
          <w:szCs w:val="32"/>
          <w:lang w:eastAsia="zh-CN"/>
        </w:rPr>
        <w:t>，</w:t>
      </w:r>
      <w:r>
        <w:rPr>
          <w:rFonts w:hint="default" w:ascii="Times New Roman" w:hAnsi="Times New Roman" w:eastAsia="仿宋_GB2312" w:cs="Times New Roman"/>
          <w:color w:val="auto"/>
          <w:sz w:val="32"/>
          <w:szCs w:val="32"/>
        </w:rPr>
        <w:t>把被抑制、被冻结的合理消费潜力释放出来，使实物消费和服务消费得到回补。与中国银联</w:t>
      </w:r>
      <w:r>
        <w:rPr>
          <w:rFonts w:hint="eastAsia" w:ascii="仿宋_GB2312" w:hAnsi="仿宋_GB2312" w:eastAsia="仿宋_GB2312" w:cs="仿宋_GB2312"/>
          <w:color w:val="auto"/>
          <w:sz w:val="32"/>
          <w:szCs w:val="32"/>
        </w:rPr>
        <w:t>“云闪付”</w:t>
      </w:r>
      <w:r>
        <w:rPr>
          <w:rFonts w:hint="default" w:ascii="Times New Roman" w:hAnsi="Times New Roman" w:eastAsia="仿宋_GB2312" w:cs="Times New Roman"/>
          <w:color w:val="auto"/>
          <w:sz w:val="32"/>
          <w:szCs w:val="32"/>
        </w:rPr>
        <w:t>合作，</w:t>
      </w:r>
      <w:r>
        <w:rPr>
          <w:rFonts w:hint="default" w:ascii="Times New Roman" w:hAnsi="Times New Roman" w:eastAsia="仿宋_GB2312" w:cs="Times New Roman"/>
          <w:color w:val="auto"/>
          <w:sz w:val="32"/>
          <w:szCs w:val="32"/>
          <w:lang w:eastAsia="zh-CN"/>
        </w:rPr>
        <w:t>中国银联</w:t>
      </w:r>
      <w:r>
        <w:rPr>
          <w:rFonts w:hint="default" w:ascii="Times New Roman" w:hAnsi="Times New Roman" w:eastAsia="仿宋_GB2312" w:cs="Times New Roman"/>
          <w:color w:val="auto"/>
          <w:sz w:val="32"/>
          <w:szCs w:val="32"/>
          <w:lang w:val="en-US" w:eastAsia="zh-CN"/>
        </w:rPr>
        <w:t>云闪付</w:t>
      </w:r>
      <w:r>
        <w:rPr>
          <w:rFonts w:hint="default" w:ascii="Times New Roman" w:hAnsi="Times New Roman" w:eastAsia="仿宋_GB2312" w:cs="Times New Roman"/>
          <w:color w:val="auto"/>
          <w:sz w:val="32"/>
          <w:szCs w:val="32"/>
          <w:lang w:eastAsia="zh-CN"/>
        </w:rPr>
        <w:t>与区政府</w:t>
      </w:r>
      <w:r>
        <w:rPr>
          <w:rFonts w:hint="default" w:ascii="Times New Roman" w:hAnsi="Times New Roman" w:eastAsia="仿宋_GB2312" w:cs="Times New Roman"/>
          <w:color w:val="auto"/>
          <w:sz w:val="32"/>
          <w:szCs w:val="32"/>
          <w:lang w:val="en-US" w:eastAsia="zh-CN"/>
        </w:rPr>
        <w:t>1:1匹配消费券投放比例，</w:t>
      </w:r>
      <w:r>
        <w:rPr>
          <w:rFonts w:hint="default" w:ascii="Times New Roman" w:hAnsi="Times New Roman" w:cs="Times New Roman"/>
          <w:color w:val="auto"/>
          <w:sz w:val="32"/>
          <w:szCs w:val="32"/>
          <w:lang w:val="en-US" w:eastAsia="zh-CN"/>
        </w:rPr>
        <w:t>发放</w:t>
      </w:r>
      <w:r>
        <w:rPr>
          <w:rFonts w:hint="default" w:ascii="Times New Roman" w:hAnsi="Times New Roman" w:eastAsia="仿宋_GB2312" w:cs="Times New Roman"/>
          <w:color w:val="auto"/>
          <w:sz w:val="32"/>
          <w:szCs w:val="32"/>
          <w:lang w:val="en-US" w:eastAsia="zh-CN"/>
        </w:rPr>
        <w:t>便利店、饮品店</w:t>
      </w:r>
      <w:r>
        <w:rPr>
          <w:rFonts w:hint="default"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餐饮</w:t>
      </w:r>
      <w:r>
        <w:rPr>
          <w:rFonts w:hint="default"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家电、商业综合体百货商品3类礼包消费券</w:t>
      </w:r>
      <w:r>
        <w:rPr>
          <w:rFonts w:hint="default" w:ascii="Times New Roman" w:hAnsi="Times New Roman" w:cs="Times New Roman"/>
          <w:lang w:val="en-US" w:eastAsia="zh-CN"/>
        </w:rPr>
        <w:t>。</w:t>
      </w:r>
    </w:p>
    <w:p>
      <w:pPr>
        <w:ind w:firstLine="640"/>
      </w:pPr>
      <w:r>
        <w:t>2</w:t>
      </w:r>
      <w:r>
        <w:rPr>
          <w:rFonts w:hint="eastAsia"/>
        </w:rPr>
        <w:t>．项目年度绩效指标</w:t>
      </w:r>
    </w:p>
    <w:p>
      <w:pPr>
        <w:ind w:firstLine="640"/>
        <w:rPr>
          <w:rFonts w:hint="eastAsia"/>
        </w:rPr>
      </w:pPr>
      <w:r>
        <w:rPr>
          <w:rFonts w:hint="eastAsia"/>
        </w:rPr>
        <w:t>“云岩区</w:t>
      </w:r>
      <w:r>
        <w:rPr>
          <w:rFonts w:hint="eastAsia"/>
          <w:lang w:val="en-US" w:eastAsia="zh-CN"/>
        </w:rPr>
        <w:t>2020</w:t>
      </w:r>
      <w:r>
        <w:rPr>
          <w:rFonts w:hint="eastAsia"/>
        </w:rPr>
        <w:t>年</w:t>
      </w:r>
      <w:r>
        <w:rPr>
          <w:rFonts w:hint="eastAsia"/>
          <w:lang w:val="en-US" w:eastAsia="zh-CN"/>
        </w:rPr>
        <w:t>安心消费促销活动项目</w:t>
      </w:r>
      <w:r>
        <w:rPr>
          <w:rFonts w:hint="eastAsia"/>
        </w:rPr>
        <w:t>”，其原有年度绩效目标共包含</w:t>
      </w:r>
      <w:r>
        <w:rPr>
          <w:rFonts w:hint="eastAsia"/>
          <w:lang w:val="en-US" w:eastAsia="zh-CN"/>
        </w:rPr>
        <w:t>7</w:t>
      </w:r>
      <w:r>
        <w:rPr>
          <w:rFonts w:hint="eastAsia"/>
        </w:rPr>
        <w:t>个具体指标，存在部分绩效指标设置不合理、部分指标名称不规范、绩效指标结构不全等情况。因此，第三方在深入调研和分析的基础上为该</w:t>
      </w:r>
      <w:r>
        <w:rPr>
          <w:rFonts w:hint="eastAsia"/>
          <w:lang w:val="en-US" w:eastAsia="zh-CN"/>
        </w:rPr>
        <w:t>项目</w:t>
      </w:r>
      <w:r>
        <w:rPr>
          <w:rFonts w:hint="eastAsia"/>
        </w:rPr>
        <w:t>完善了项目绩效指标，具体指标见表1-1：</w:t>
      </w:r>
    </w:p>
    <w:p>
      <w:pPr>
        <w:pStyle w:val="18"/>
        <w:keepNext w:val="0"/>
        <w:keepLines w:val="0"/>
        <w:pageBreakBefore w:val="0"/>
        <w:widowControl w:val="0"/>
        <w:kinsoku/>
        <w:wordWrap/>
        <w:overflowPunct/>
        <w:topLinePunct w:val="0"/>
        <w:autoSpaceDE/>
        <w:autoSpaceDN/>
        <w:bidi w:val="0"/>
        <w:adjustRightInd/>
        <w:snapToGrid/>
        <w:spacing w:before="60" w:after="120"/>
        <w:textAlignment w:val="auto"/>
      </w:pPr>
      <w:r>
        <w:rPr>
          <w:rFonts w:hint="eastAsia"/>
        </w:rPr>
        <w:t>表1-1：“云岩区</w:t>
      </w:r>
      <w:r>
        <w:rPr>
          <w:rFonts w:hint="eastAsia"/>
          <w:lang w:val="en-US" w:eastAsia="zh-CN"/>
        </w:rPr>
        <w:t>2020</w:t>
      </w:r>
      <w:r>
        <w:rPr>
          <w:rFonts w:hint="eastAsia"/>
        </w:rPr>
        <w:t>年</w:t>
      </w:r>
      <w:r>
        <w:rPr>
          <w:rFonts w:hint="eastAsia"/>
          <w:lang w:val="en-US" w:eastAsia="zh-CN"/>
        </w:rPr>
        <w:t>安心消费促销活动项目</w:t>
      </w:r>
      <w:r>
        <w:rPr>
          <w:rFonts w:hint="eastAsia"/>
        </w:rPr>
        <w:t>”年度绩效指标</w:t>
      </w:r>
    </w:p>
    <w:tbl>
      <w:tblPr>
        <w:tblStyle w:val="15"/>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551"/>
        <w:gridCol w:w="3127"/>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1843" w:type="dxa"/>
            <w:vAlign w:val="center"/>
          </w:tcPr>
          <w:p>
            <w:pPr>
              <w:autoSpaceDE w:val="0"/>
              <w:adjustRightInd w:val="0"/>
              <w:spacing w:line="240" w:lineRule="auto"/>
              <w:ind w:firstLine="0" w:firstLineChars="0"/>
              <w:jc w:val="center"/>
              <w:rPr>
                <w:rFonts w:ascii="Calibri" w:hAnsi="Calibri"/>
                <w:b/>
                <w:bCs/>
                <w:sz w:val="24"/>
                <w:szCs w:val="24"/>
                <w:highlight w:val="none"/>
              </w:rPr>
            </w:pPr>
            <w:r>
              <w:rPr>
                <w:rFonts w:ascii="Calibri" w:hAnsi="Calibri"/>
                <w:b/>
                <w:bCs/>
                <w:sz w:val="24"/>
                <w:szCs w:val="24"/>
                <w:highlight w:val="none"/>
              </w:rPr>
              <w:t>一级指标</w:t>
            </w:r>
          </w:p>
        </w:tc>
        <w:tc>
          <w:tcPr>
            <w:tcW w:w="1551" w:type="dxa"/>
            <w:vAlign w:val="center"/>
          </w:tcPr>
          <w:p>
            <w:pPr>
              <w:autoSpaceDE w:val="0"/>
              <w:adjustRightInd w:val="0"/>
              <w:spacing w:line="240" w:lineRule="auto"/>
              <w:ind w:firstLine="0" w:firstLineChars="0"/>
              <w:jc w:val="center"/>
              <w:rPr>
                <w:rFonts w:ascii="Calibri" w:hAnsi="Calibri"/>
                <w:b/>
                <w:bCs/>
                <w:sz w:val="24"/>
                <w:szCs w:val="24"/>
                <w:highlight w:val="none"/>
              </w:rPr>
            </w:pPr>
            <w:r>
              <w:rPr>
                <w:rFonts w:ascii="Calibri" w:hAnsi="Calibri"/>
                <w:b/>
                <w:bCs/>
                <w:sz w:val="24"/>
                <w:szCs w:val="24"/>
                <w:highlight w:val="none"/>
              </w:rPr>
              <w:t>二级指标</w:t>
            </w:r>
          </w:p>
        </w:tc>
        <w:tc>
          <w:tcPr>
            <w:tcW w:w="3127" w:type="dxa"/>
            <w:vAlign w:val="center"/>
          </w:tcPr>
          <w:p>
            <w:pPr>
              <w:autoSpaceDE w:val="0"/>
              <w:adjustRightInd w:val="0"/>
              <w:spacing w:line="240" w:lineRule="auto"/>
              <w:ind w:firstLine="0" w:firstLineChars="0"/>
              <w:jc w:val="center"/>
              <w:rPr>
                <w:rFonts w:ascii="Calibri" w:hAnsi="Calibri"/>
                <w:b/>
                <w:bCs/>
                <w:sz w:val="24"/>
                <w:szCs w:val="24"/>
                <w:highlight w:val="none"/>
              </w:rPr>
            </w:pPr>
            <w:r>
              <w:rPr>
                <w:rFonts w:ascii="Calibri" w:hAnsi="Calibri"/>
                <w:b/>
                <w:bCs/>
                <w:sz w:val="24"/>
                <w:szCs w:val="24"/>
                <w:highlight w:val="none"/>
              </w:rPr>
              <w:t>三级指标</w:t>
            </w:r>
          </w:p>
        </w:tc>
        <w:tc>
          <w:tcPr>
            <w:tcW w:w="1698" w:type="dxa"/>
            <w:vAlign w:val="center"/>
          </w:tcPr>
          <w:p>
            <w:pPr>
              <w:autoSpaceDE w:val="0"/>
              <w:adjustRightInd w:val="0"/>
              <w:spacing w:line="240" w:lineRule="auto"/>
              <w:ind w:firstLine="0" w:firstLineChars="0"/>
              <w:jc w:val="center"/>
              <w:rPr>
                <w:rFonts w:ascii="Calibri" w:hAnsi="Calibri"/>
                <w:b/>
                <w:bCs/>
                <w:sz w:val="24"/>
                <w:szCs w:val="24"/>
                <w:highlight w:val="none"/>
              </w:rPr>
            </w:pPr>
            <w:r>
              <w:rPr>
                <w:rFonts w:hint="eastAsia" w:ascii="Calibri" w:hAnsi="Calibri"/>
                <w:b/>
                <w:bCs/>
                <w:sz w:val="24"/>
                <w:szCs w:val="24"/>
                <w:highlight w:val="none"/>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产出</w:t>
            </w:r>
          </w:p>
        </w:tc>
        <w:tc>
          <w:tcPr>
            <w:tcW w:w="1551"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数量指标</w:t>
            </w:r>
          </w:p>
        </w:tc>
        <w:tc>
          <w:tcPr>
            <w:tcW w:w="3127" w:type="dxa"/>
            <w:vAlign w:val="center"/>
          </w:tcPr>
          <w:p>
            <w:pPr>
              <w:widowControl/>
              <w:snapToGrid w:val="0"/>
              <w:spacing w:line="240" w:lineRule="auto"/>
              <w:ind w:firstLine="0" w:firstLineChars="0"/>
              <w:jc w:val="center"/>
              <w:rPr>
                <w:rFonts w:ascii="Calibri" w:hAnsi="Calibri"/>
                <w:color w:val="000000"/>
                <w:kern w:val="0"/>
                <w:sz w:val="21"/>
                <w:highlight w:val="none"/>
              </w:rPr>
            </w:pPr>
            <w:r>
              <w:rPr>
                <w:rFonts w:hint="eastAsia" w:cs="Times New Roman"/>
                <w:sz w:val="21"/>
                <w:szCs w:val="21"/>
                <w:highlight w:val="none"/>
                <w:lang w:val="en-US" w:eastAsia="zh-CN"/>
              </w:rPr>
              <w:t>消费券发放完成率</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420"/>
              <w:jc w:val="center"/>
              <w:rPr>
                <w:rFonts w:ascii="Calibri" w:hAnsi="Calibri"/>
                <w:sz w:val="21"/>
                <w:highlight w:val="none"/>
              </w:rPr>
            </w:pPr>
          </w:p>
        </w:tc>
        <w:tc>
          <w:tcPr>
            <w:tcW w:w="1551" w:type="dxa"/>
            <w:vMerge w:val="continue"/>
            <w:vAlign w:val="center"/>
          </w:tcPr>
          <w:p>
            <w:pPr>
              <w:autoSpaceDE w:val="0"/>
              <w:adjustRightInd w:val="0"/>
              <w:spacing w:line="240" w:lineRule="auto"/>
              <w:ind w:firstLine="420"/>
              <w:jc w:val="center"/>
              <w:rPr>
                <w:rFonts w:ascii="Calibri" w:hAnsi="Calibri"/>
                <w:sz w:val="21"/>
                <w:highlight w:val="none"/>
              </w:rPr>
            </w:pP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lang w:val="en-US" w:eastAsia="zh-CN"/>
              </w:rPr>
              <w:t>宣传推广工作完成率</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rPr>
            </w:pPr>
            <w:r>
              <w:rPr>
                <w:rFonts w:hint="eastAsia" w:cs="Times New Roman"/>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843" w:type="dxa"/>
            <w:vMerge w:val="continue"/>
            <w:vAlign w:val="center"/>
          </w:tcPr>
          <w:p>
            <w:pPr>
              <w:autoSpaceDE w:val="0"/>
              <w:adjustRightInd w:val="0"/>
              <w:spacing w:line="240" w:lineRule="auto"/>
              <w:ind w:firstLine="420"/>
              <w:jc w:val="center"/>
              <w:rPr>
                <w:rFonts w:ascii="Calibri" w:hAnsi="Calibri"/>
                <w:sz w:val="21"/>
                <w:highlight w:val="none"/>
              </w:rPr>
            </w:pPr>
          </w:p>
        </w:tc>
        <w:tc>
          <w:tcPr>
            <w:tcW w:w="1551"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质量指标</w:t>
            </w: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kern w:val="2"/>
                <w:sz w:val="21"/>
                <w:szCs w:val="21"/>
                <w:highlight w:val="none"/>
                <w:lang w:val="en-US" w:eastAsia="zh-CN" w:bidi="ar-SA"/>
              </w:rPr>
              <w:t>消费券投放准确性</w:t>
            </w:r>
          </w:p>
        </w:tc>
        <w:tc>
          <w:tcPr>
            <w:tcW w:w="1698" w:type="dxa"/>
            <w:vAlign w:val="center"/>
          </w:tcPr>
          <w:p>
            <w:pPr>
              <w:widowControl/>
              <w:snapToGrid w:val="0"/>
              <w:spacing w:line="240" w:lineRule="auto"/>
              <w:ind w:firstLine="0" w:firstLineChars="0"/>
              <w:jc w:val="center"/>
              <w:rPr>
                <w:rFonts w:ascii="Calibri" w:hAnsi="Calibri"/>
                <w:kern w:val="0"/>
                <w:sz w:val="21"/>
                <w:highlight w:val="none"/>
                <w:lang w:bidi="ar"/>
              </w:rPr>
            </w:pPr>
            <w:r>
              <w:rPr>
                <w:rFonts w:hint="eastAsia" w:cs="Times New Roman"/>
                <w:kern w:val="2"/>
                <w:sz w:val="21"/>
                <w:szCs w:val="21"/>
                <w:highlight w:val="none"/>
                <w:lang w:val="en-US" w:eastAsia="zh-CN" w:bidi="ar-SA"/>
              </w:rPr>
              <w:t>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43" w:type="dxa"/>
            <w:vMerge w:val="continue"/>
            <w:vAlign w:val="center"/>
          </w:tcPr>
          <w:p>
            <w:pPr>
              <w:autoSpaceDE w:val="0"/>
              <w:adjustRightInd w:val="0"/>
              <w:spacing w:line="240" w:lineRule="auto"/>
              <w:ind w:firstLine="420"/>
              <w:jc w:val="center"/>
              <w:rPr>
                <w:rFonts w:ascii="Calibri" w:hAnsi="Calibri"/>
                <w:sz w:val="21"/>
                <w:highlight w:val="none"/>
              </w:rPr>
            </w:pPr>
          </w:p>
        </w:tc>
        <w:tc>
          <w:tcPr>
            <w:tcW w:w="1551" w:type="dxa"/>
            <w:vMerge w:val="continue"/>
            <w:vAlign w:val="center"/>
          </w:tcPr>
          <w:p>
            <w:pPr>
              <w:autoSpaceDE w:val="0"/>
              <w:adjustRightInd w:val="0"/>
              <w:spacing w:line="240" w:lineRule="auto"/>
              <w:ind w:firstLine="420"/>
              <w:jc w:val="center"/>
              <w:rPr>
                <w:rFonts w:ascii="Calibri" w:hAnsi="Calibri"/>
                <w:sz w:val="21"/>
                <w:highlight w:val="none"/>
              </w:rPr>
            </w:pP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kern w:val="2"/>
                <w:sz w:val="21"/>
                <w:szCs w:val="21"/>
                <w:highlight w:val="none"/>
                <w:lang w:val="en-US" w:eastAsia="zh-CN" w:bidi="ar-SA"/>
              </w:rPr>
              <w:t>项目资金结算准确性</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kern w:val="2"/>
                <w:sz w:val="21"/>
                <w:szCs w:val="21"/>
                <w:highlight w:val="none"/>
                <w:lang w:val="en-US" w:eastAsia="zh-CN" w:bidi="ar-SA"/>
              </w:rPr>
              <w:t>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时效指标</w:t>
            </w: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vertAlign w:val="baseline"/>
                <w:lang w:val="en-US" w:eastAsia="zh-CN"/>
              </w:rPr>
              <w:t>完成及时性</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kern w:val="2"/>
                <w:sz w:val="21"/>
                <w:szCs w:val="21"/>
                <w:highlight w:val="none"/>
                <w:lang w:val="en-US" w:eastAsia="zh-CN" w:bidi="ar-SA"/>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成本指标</w:t>
            </w:r>
          </w:p>
        </w:tc>
        <w:tc>
          <w:tcPr>
            <w:tcW w:w="3127" w:type="dxa"/>
            <w:vAlign w:val="center"/>
          </w:tcPr>
          <w:p>
            <w:pPr>
              <w:widowControl/>
              <w:snapToGrid w:val="0"/>
              <w:spacing w:line="240" w:lineRule="auto"/>
              <w:ind w:firstLine="0" w:firstLineChars="0"/>
              <w:jc w:val="center"/>
              <w:rPr>
                <w:rFonts w:ascii="Calibri" w:hAnsi="Calibri"/>
                <w:color w:val="000000"/>
                <w:kern w:val="0"/>
                <w:sz w:val="21"/>
                <w:highlight w:val="none"/>
              </w:rPr>
            </w:pPr>
            <w:r>
              <w:rPr>
                <w:rFonts w:hint="eastAsia" w:cs="Times New Roman"/>
                <w:sz w:val="21"/>
                <w:szCs w:val="21"/>
                <w:highlight w:val="none"/>
                <w:lang w:val="en-US" w:eastAsia="zh-CN"/>
              </w:rPr>
              <w:t>成本控制有效性</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kern w:val="2"/>
                <w:sz w:val="21"/>
                <w:szCs w:val="21"/>
                <w:highlight w:val="none"/>
                <w:lang w:val="en-US" w:eastAsia="zh-CN" w:bidi="ar-SA"/>
              </w:rPr>
              <w:t>预算范围内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843"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效益</w:t>
            </w:r>
          </w:p>
        </w:tc>
        <w:tc>
          <w:tcPr>
            <w:tcW w:w="1551"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社会效益</w:t>
            </w: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vertAlign w:val="baseline"/>
                <w:lang w:val="en-US" w:eastAsia="zh-CN"/>
              </w:rPr>
              <w:t>促进全区商贸发展</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sz w:val="21"/>
                <w:szCs w:val="21"/>
                <w:highlight w:val="none"/>
                <w:lang w:val="en-US" w:eastAsia="zh-CN"/>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lang w:val="en-US" w:eastAsia="zh-CN"/>
              </w:rPr>
              <w:t>提升云岩消费品牌知名度</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sz w:val="21"/>
                <w:szCs w:val="21"/>
                <w:highlight w:val="none"/>
                <w:lang w:val="en-US" w:eastAsia="zh-CN"/>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Align w:val="center"/>
          </w:tcPr>
          <w:p>
            <w:pPr>
              <w:autoSpaceDE w:val="0"/>
              <w:adjustRightInd w:val="0"/>
              <w:spacing w:line="240" w:lineRule="auto"/>
              <w:ind w:firstLine="0" w:firstLineChars="0"/>
              <w:jc w:val="center"/>
              <w:rPr>
                <w:rFonts w:ascii="Calibri" w:hAnsi="Calibri"/>
                <w:spacing w:val="-4"/>
                <w:sz w:val="21"/>
                <w:highlight w:val="none"/>
              </w:rPr>
            </w:pPr>
            <w:r>
              <w:rPr>
                <w:rFonts w:ascii="Calibri" w:hAnsi="Calibri"/>
                <w:spacing w:val="-4"/>
                <w:sz w:val="21"/>
                <w:highlight w:val="none"/>
              </w:rPr>
              <w:t>满意度指标</w:t>
            </w: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vertAlign w:val="baseline"/>
                <w:lang w:val="en-US" w:eastAsia="zh-CN"/>
              </w:rPr>
              <w:t>商户满意度</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sz w:val="21"/>
                <w:szCs w:val="21"/>
                <w:highlight w:val="none"/>
                <w:lang w:val="en-US" w:eastAsia="zh-CN"/>
              </w:rPr>
              <w:t>≥90%</w:t>
            </w:r>
          </w:p>
        </w:tc>
      </w:tr>
    </w:tbl>
    <w:p>
      <w:pPr>
        <w:pStyle w:val="3"/>
        <w:keepNext/>
        <w:keepLines/>
        <w:pageBreakBefore w:val="0"/>
        <w:widowControl w:val="0"/>
        <w:kinsoku/>
        <w:wordWrap/>
        <w:overflowPunct/>
        <w:topLinePunct w:val="0"/>
        <w:autoSpaceDE/>
        <w:autoSpaceDN/>
        <w:bidi w:val="0"/>
        <w:adjustRightInd/>
        <w:snapToGrid/>
        <w:ind w:firstLine="640"/>
        <w:textAlignment w:val="auto"/>
      </w:pPr>
      <w:bookmarkStart w:id="34" w:name="_Toc11667"/>
      <w:bookmarkStart w:id="35" w:name="_Toc7361"/>
      <w:bookmarkStart w:id="36" w:name="_Toc21683"/>
      <w:bookmarkStart w:id="37" w:name="_Toc2475"/>
      <w:r>
        <w:rPr>
          <w:rFonts w:hint="eastAsia"/>
        </w:rPr>
        <w:t>二、</w:t>
      </w:r>
      <w:bookmarkEnd w:id="34"/>
      <w:bookmarkEnd w:id="35"/>
      <w:bookmarkEnd w:id="36"/>
      <w:bookmarkEnd w:id="37"/>
      <w:bookmarkStart w:id="38" w:name="_Toc27448"/>
      <w:bookmarkStart w:id="39" w:name="_Toc375"/>
      <w:r>
        <w:rPr>
          <w:rFonts w:hint="eastAsia"/>
        </w:rPr>
        <w:t>综合评价情况及结论</w:t>
      </w:r>
      <w:bookmarkEnd w:id="38"/>
      <w:bookmarkEnd w:id="39"/>
    </w:p>
    <w:p>
      <w:pPr>
        <w:pStyle w:val="4"/>
        <w:ind w:firstLine="643"/>
      </w:pPr>
      <w:bookmarkStart w:id="40" w:name="_Toc28751"/>
      <w:bookmarkStart w:id="41" w:name="_Toc25650"/>
      <w:bookmarkStart w:id="42" w:name="_Toc23114"/>
      <w:r>
        <w:t>（一）评价评分情况</w:t>
      </w:r>
      <w:bookmarkEnd w:id="40"/>
      <w:bookmarkEnd w:id="41"/>
      <w:bookmarkEnd w:id="42"/>
    </w:p>
    <w:p>
      <w:pPr>
        <w:ind w:firstLine="640"/>
        <w:rPr>
          <w:rFonts w:hint="eastAsia" w:eastAsia="仿宋_GB2312"/>
          <w:highlight w:val="none"/>
          <w:lang w:val="en-US" w:eastAsia="zh-CN"/>
        </w:rPr>
      </w:pPr>
      <w:r>
        <w:rPr>
          <w:rFonts w:hint="eastAsia"/>
          <w:highlight w:val="none"/>
        </w:rPr>
        <w:t>贵阳</w:t>
      </w:r>
      <w:r>
        <w:rPr>
          <w:highlight w:val="none"/>
        </w:rPr>
        <w:t>业越</w:t>
      </w:r>
      <w:r>
        <w:rPr>
          <w:rFonts w:hint="eastAsia"/>
          <w:highlight w:val="none"/>
        </w:rPr>
        <w:t>企业咨询管理有限公司</w:t>
      </w:r>
      <w:r>
        <w:rPr>
          <w:highlight w:val="none"/>
        </w:rPr>
        <w:t>根据既定评价指标体系</w:t>
      </w:r>
      <w:r>
        <w:rPr>
          <w:rFonts w:hint="eastAsia"/>
          <w:highlight w:val="none"/>
        </w:rPr>
        <w:t>云岩区</w:t>
      </w:r>
      <w:r>
        <w:rPr>
          <w:rFonts w:hint="eastAsia"/>
          <w:highlight w:val="none"/>
          <w:lang w:val="en-US" w:eastAsia="zh-CN"/>
        </w:rPr>
        <w:t>2020年相约云岩安心消费促销活动</w:t>
      </w:r>
      <w:r>
        <w:rPr>
          <w:rFonts w:hint="eastAsia"/>
          <w:highlight w:val="none"/>
        </w:rPr>
        <w:t>项目</w:t>
      </w:r>
      <w:r>
        <w:rPr>
          <w:rFonts w:hint="eastAsia"/>
          <w:bCs/>
          <w:color w:val="000000" w:themeColor="text1"/>
          <w:highlight w:val="none"/>
          <w14:textFill>
            <w14:solidFill>
              <w14:schemeClr w14:val="tx1"/>
            </w14:solidFill>
          </w14:textFill>
        </w:rPr>
        <w:t>支出</w:t>
      </w:r>
      <w:r>
        <w:rPr>
          <w:highlight w:val="none"/>
        </w:rPr>
        <w:t>进行了综合评价，各指标评分情况见表</w:t>
      </w:r>
      <w:r>
        <w:rPr>
          <w:rFonts w:hint="eastAsia"/>
          <w:highlight w:val="none"/>
          <w:lang w:val="en-US" w:eastAsia="zh-CN"/>
        </w:rPr>
        <w:t>2</w:t>
      </w:r>
      <w:r>
        <w:rPr>
          <w:highlight w:val="none"/>
        </w:rPr>
        <w:t>-1：</w:t>
      </w:r>
    </w:p>
    <w:p>
      <w:pPr>
        <w:pStyle w:val="18"/>
        <w:keepNext w:val="0"/>
        <w:keepLines w:val="0"/>
        <w:pageBreakBefore w:val="0"/>
        <w:widowControl w:val="0"/>
        <w:kinsoku/>
        <w:wordWrap/>
        <w:overflowPunct/>
        <w:topLinePunct w:val="0"/>
        <w:autoSpaceDE/>
        <w:autoSpaceDN/>
        <w:bidi w:val="0"/>
        <w:adjustRightInd/>
        <w:snapToGrid/>
        <w:spacing w:before="60" w:after="120"/>
        <w:textAlignment w:val="auto"/>
        <w:rPr>
          <w:szCs w:val="24"/>
          <w:highlight w:val="none"/>
        </w:rPr>
      </w:pPr>
      <w:bookmarkStart w:id="43" w:name="_Hlk14795119"/>
      <w:r>
        <w:rPr>
          <w:rFonts w:hint="eastAsia"/>
          <w:szCs w:val="24"/>
          <w:highlight w:val="none"/>
        </w:rPr>
        <w:t>表</w:t>
      </w:r>
      <w:r>
        <w:rPr>
          <w:rFonts w:hint="eastAsia"/>
          <w:szCs w:val="24"/>
          <w:highlight w:val="none"/>
          <w:lang w:val="en-US" w:eastAsia="zh-CN"/>
        </w:rPr>
        <w:t>2</w:t>
      </w:r>
      <w:r>
        <w:rPr>
          <w:rFonts w:hint="eastAsia"/>
          <w:szCs w:val="24"/>
          <w:highlight w:val="none"/>
        </w:rPr>
        <w:t>-1：</w:t>
      </w:r>
      <w:r>
        <w:rPr>
          <w:rFonts w:hint="eastAsia"/>
          <w:highlight w:val="none"/>
        </w:rPr>
        <w:t>云岩区</w:t>
      </w:r>
      <w:r>
        <w:rPr>
          <w:rFonts w:hint="eastAsia"/>
          <w:highlight w:val="none"/>
          <w:lang w:val="en-US" w:eastAsia="zh-CN"/>
        </w:rPr>
        <w:t>2020年“相约云岩安心消费促销活动</w:t>
      </w:r>
      <w:r>
        <w:rPr>
          <w:rFonts w:hint="eastAsia"/>
          <w:highlight w:val="none"/>
        </w:rPr>
        <w:t>项目</w:t>
      </w:r>
      <w:r>
        <w:rPr>
          <w:rFonts w:hint="eastAsia"/>
          <w:szCs w:val="24"/>
          <w:highlight w:val="none"/>
        </w:rPr>
        <w:t>”支出绩效评分表</w:t>
      </w:r>
    </w:p>
    <w:tbl>
      <w:tblPr>
        <w:tblStyle w:val="14"/>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984"/>
        <w:gridCol w:w="3353"/>
        <w:gridCol w:w="847"/>
        <w:gridCol w:w="1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368"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一级指标</w:t>
            </w:r>
          </w:p>
        </w:tc>
        <w:tc>
          <w:tcPr>
            <w:tcW w:w="1984"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二级指标</w:t>
            </w:r>
          </w:p>
        </w:tc>
        <w:tc>
          <w:tcPr>
            <w:tcW w:w="3353"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三级指标</w:t>
            </w:r>
          </w:p>
        </w:tc>
        <w:tc>
          <w:tcPr>
            <w:tcW w:w="847"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分值</w:t>
            </w:r>
          </w:p>
        </w:tc>
        <w:tc>
          <w:tcPr>
            <w:tcW w:w="1191"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restart"/>
            <w:vAlign w:val="center"/>
          </w:tcPr>
          <w:p>
            <w:pPr>
              <w:spacing w:line="240" w:lineRule="auto"/>
              <w:ind w:firstLine="0" w:firstLineChars="0"/>
              <w:jc w:val="center"/>
              <w:rPr>
                <w:sz w:val="21"/>
                <w:highlight w:val="none"/>
              </w:rPr>
            </w:pPr>
            <w:r>
              <w:rPr>
                <w:sz w:val="21"/>
                <w:highlight w:val="none"/>
              </w:rPr>
              <w:t>决策</w:t>
            </w:r>
          </w:p>
        </w:tc>
        <w:tc>
          <w:tcPr>
            <w:tcW w:w="1984" w:type="dxa"/>
            <w:vMerge w:val="restart"/>
            <w:vAlign w:val="center"/>
          </w:tcPr>
          <w:p>
            <w:pPr>
              <w:spacing w:line="240" w:lineRule="auto"/>
              <w:ind w:firstLine="0" w:firstLineChars="0"/>
              <w:jc w:val="center"/>
              <w:rPr>
                <w:sz w:val="21"/>
                <w:highlight w:val="none"/>
              </w:rPr>
            </w:pPr>
            <w:r>
              <w:rPr>
                <w:sz w:val="21"/>
                <w:highlight w:val="none"/>
              </w:rPr>
              <w:t>项目立项</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项目立项充分性</w:t>
            </w:r>
          </w:p>
        </w:tc>
        <w:tc>
          <w:tcPr>
            <w:tcW w:w="847" w:type="dxa"/>
            <w:vAlign w:val="center"/>
          </w:tcPr>
          <w:p>
            <w:pPr>
              <w:autoSpaceDE w:val="0"/>
              <w:spacing w:line="240" w:lineRule="auto"/>
              <w:ind w:firstLine="0" w:firstLineChars="0"/>
              <w:jc w:val="center"/>
              <w:rPr>
                <w:sz w:val="21"/>
                <w:highlight w:val="yellow"/>
              </w:rPr>
            </w:pPr>
            <w:r>
              <w:rPr>
                <w:rFonts w:hint="eastAsia"/>
                <w:sz w:val="21"/>
                <w:lang w:val="en-US" w:eastAsia="zh-CN"/>
              </w:rPr>
              <w:t>2</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项目立项规范性</w:t>
            </w:r>
          </w:p>
        </w:tc>
        <w:tc>
          <w:tcPr>
            <w:tcW w:w="847" w:type="dxa"/>
            <w:vAlign w:val="center"/>
          </w:tcPr>
          <w:p>
            <w:pPr>
              <w:autoSpaceDE w:val="0"/>
              <w:spacing w:line="240" w:lineRule="auto"/>
              <w:ind w:firstLine="0" w:firstLineChars="0"/>
              <w:jc w:val="center"/>
              <w:rPr>
                <w:sz w:val="21"/>
                <w:highlight w:val="yellow"/>
              </w:rPr>
            </w:pPr>
            <w:r>
              <w:rPr>
                <w:rFonts w:hint="eastAsia"/>
                <w:sz w:val="21"/>
                <w:lang w:val="en-US" w:eastAsia="zh-CN"/>
              </w:rPr>
              <w:t>3</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sz w:val="21"/>
                <w:highlight w:val="none"/>
              </w:rPr>
            </w:pPr>
            <w:r>
              <w:rPr>
                <w:sz w:val="21"/>
                <w:highlight w:val="none"/>
              </w:rPr>
              <w:t>绩效目标</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绩效目标合理性</w:t>
            </w:r>
          </w:p>
        </w:tc>
        <w:tc>
          <w:tcPr>
            <w:tcW w:w="847" w:type="dxa"/>
            <w:vAlign w:val="center"/>
          </w:tcPr>
          <w:p>
            <w:pPr>
              <w:autoSpaceDE w:val="0"/>
              <w:spacing w:line="240" w:lineRule="auto"/>
              <w:ind w:firstLine="0" w:firstLineChars="0"/>
              <w:jc w:val="center"/>
              <w:rPr>
                <w:sz w:val="21"/>
                <w:highlight w:val="yellow"/>
              </w:rPr>
            </w:pPr>
            <w:r>
              <w:rPr>
                <w:rFonts w:hint="eastAsia"/>
                <w:sz w:val="21"/>
                <w:lang w:val="en-US" w:eastAsia="zh-CN"/>
              </w:rPr>
              <w:t>3</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绩效指标明确性</w:t>
            </w:r>
          </w:p>
        </w:tc>
        <w:tc>
          <w:tcPr>
            <w:tcW w:w="847" w:type="dxa"/>
            <w:vAlign w:val="center"/>
          </w:tcPr>
          <w:p>
            <w:pPr>
              <w:autoSpaceDE w:val="0"/>
              <w:spacing w:line="240" w:lineRule="auto"/>
              <w:ind w:firstLine="0" w:firstLineChars="0"/>
              <w:jc w:val="center"/>
              <w:rPr>
                <w:sz w:val="21"/>
                <w:highlight w:val="yellow"/>
              </w:rPr>
            </w:pPr>
            <w:r>
              <w:rPr>
                <w:sz w:val="21"/>
              </w:rPr>
              <w:t>3</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sz w:val="21"/>
                <w:highlight w:val="none"/>
              </w:rPr>
            </w:pPr>
            <w:r>
              <w:rPr>
                <w:sz w:val="21"/>
                <w:highlight w:val="none"/>
              </w:rPr>
              <w:t>资金投入</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预算编制科学性</w:t>
            </w:r>
          </w:p>
        </w:tc>
        <w:tc>
          <w:tcPr>
            <w:tcW w:w="847" w:type="dxa"/>
            <w:vAlign w:val="center"/>
          </w:tcPr>
          <w:p>
            <w:pPr>
              <w:autoSpaceDE w:val="0"/>
              <w:spacing w:line="240" w:lineRule="auto"/>
              <w:ind w:firstLine="0" w:firstLineChars="0"/>
              <w:jc w:val="center"/>
              <w:rPr>
                <w:sz w:val="21"/>
                <w:highlight w:val="yellow"/>
              </w:rPr>
            </w:pPr>
            <w:r>
              <w:rPr>
                <w:sz w:val="21"/>
              </w:rPr>
              <w:t>3</w:t>
            </w:r>
          </w:p>
        </w:tc>
        <w:tc>
          <w:tcPr>
            <w:tcW w:w="1191" w:type="dxa"/>
            <w:vAlign w:val="center"/>
          </w:tcPr>
          <w:p>
            <w:pPr>
              <w:autoSpaceDE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资金分配合理性</w:t>
            </w:r>
          </w:p>
        </w:tc>
        <w:tc>
          <w:tcPr>
            <w:tcW w:w="847" w:type="dxa"/>
            <w:vAlign w:val="center"/>
          </w:tcPr>
          <w:p>
            <w:pPr>
              <w:autoSpaceDE w:val="0"/>
              <w:spacing w:line="240" w:lineRule="auto"/>
              <w:ind w:firstLine="0" w:firstLineChars="0"/>
              <w:jc w:val="center"/>
              <w:rPr>
                <w:sz w:val="21"/>
                <w:highlight w:val="yellow"/>
              </w:rPr>
            </w:pPr>
            <w:r>
              <w:rPr>
                <w:rFonts w:hint="eastAsia"/>
                <w:sz w:val="21"/>
                <w:lang w:val="en-US" w:eastAsia="zh-CN"/>
              </w:rPr>
              <w:t>2</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restart"/>
            <w:vAlign w:val="center"/>
          </w:tcPr>
          <w:p>
            <w:pPr>
              <w:spacing w:line="240" w:lineRule="auto"/>
              <w:ind w:firstLine="0" w:firstLineChars="0"/>
              <w:jc w:val="center"/>
              <w:rPr>
                <w:sz w:val="21"/>
                <w:highlight w:val="none"/>
              </w:rPr>
            </w:pPr>
            <w:r>
              <w:rPr>
                <w:sz w:val="21"/>
                <w:highlight w:val="none"/>
              </w:rPr>
              <w:t>过程</w:t>
            </w:r>
          </w:p>
        </w:tc>
        <w:tc>
          <w:tcPr>
            <w:tcW w:w="1984" w:type="dxa"/>
            <w:vMerge w:val="restart"/>
            <w:vAlign w:val="center"/>
          </w:tcPr>
          <w:p>
            <w:pPr>
              <w:spacing w:line="240" w:lineRule="auto"/>
              <w:ind w:firstLine="0" w:firstLineChars="0"/>
              <w:jc w:val="center"/>
              <w:rPr>
                <w:sz w:val="21"/>
                <w:highlight w:val="none"/>
              </w:rPr>
            </w:pPr>
            <w:r>
              <w:rPr>
                <w:sz w:val="21"/>
                <w:highlight w:val="none"/>
              </w:rPr>
              <w:t>资金管理</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资金到位率</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4</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预算执行率</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4</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资金使用合规性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5</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sz w:val="21"/>
                <w:highlight w:val="none"/>
              </w:rPr>
            </w:pPr>
            <w:r>
              <w:rPr>
                <w:sz w:val="21"/>
                <w:highlight w:val="none"/>
              </w:rPr>
              <w:t>项目管理</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项目管理制度健全性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lang w:val="en-US" w:eastAsia="zh-CN"/>
              </w:rPr>
              <w:t>4</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pacing w:line="0" w:lineRule="atLeast"/>
              <w:ind w:firstLine="0" w:firstLineChars="0"/>
              <w:jc w:val="center"/>
              <w:rPr>
                <w:sz w:val="21"/>
                <w:highlight w:val="none"/>
              </w:rPr>
            </w:pPr>
            <w:r>
              <w:rPr>
                <w:color w:val="000000"/>
                <w:kern w:val="0"/>
                <w:sz w:val="21"/>
                <w:highlight w:val="none"/>
              </w:rPr>
              <w:t>制度执行有效性</w:t>
            </w:r>
          </w:p>
        </w:tc>
        <w:tc>
          <w:tcPr>
            <w:tcW w:w="847" w:type="dxa"/>
            <w:vAlign w:val="center"/>
          </w:tcPr>
          <w:p>
            <w:pPr>
              <w:spacing w:line="280" w:lineRule="exact"/>
              <w:ind w:firstLine="0" w:firstLineChars="0"/>
              <w:jc w:val="center"/>
              <w:rPr>
                <w:sz w:val="21"/>
                <w:highlight w:val="yellow"/>
              </w:rPr>
            </w:pPr>
            <w:r>
              <w:rPr>
                <w:rFonts w:hint="eastAsia" w:cs="仿宋_GB2312"/>
                <w:color w:val="auto"/>
                <w:sz w:val="21"/>
                <w:lang w:val="en-US" w:eastAsia="zh-CN"/>
              </w:rPr>
              <w:t>5</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restart"/>
            <w:vAlign w:val="center"/>
          </w:tcPr>
          <w:p>
            <w:pPr>
              <w:spacing w:line="240" w:lineRule="auto"/>
              <w:ind w:firstLine="0" w:firstLineChars="0"/>
              <w:jc w:val="center"/>
              <w:rPr>
                <w:sz w:val="21"/>
                <w:highlight w:val="none"/>
              </w:rPr>
            </w:pPr>
            <w:r>
              <w:rPr>
                <w:sz w:val="21"/>
                <w:highlight w:val="none"/>
              </w:rPr>
              <w:t>产出</w:t>
            </w:r>
          </w:p>
        </w:tc>
        <w:tc>
          <w:tcPr>
            <w:tcW w:w="1984" w:type="dxa"/>
            <w:vMerge w:val="restart"/>
            <w:vAlign w:val="center"/>
          </w:tcPr>
          <w:p>
            <w:pPr>
              <w:spacing w:line="240" w:lineRule="auto"/>
              <w:ind w:firstLine="0" w:firstLineChars="0"/>
              <w:jc w:val="center"/>
              <w:rPr>
                <w:sz w:val="21"/>
                <w:highlight w:val="none"/>
              </w:rPr>
            </w:pPr>
            <w:r>
              <w:rPr>
                <w:sz w:val="21"/>
                <w:highlight w:val="none"/>
              </w:rPr>
              <w:t>数量指标</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消费券发放完成率</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8</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宣传推广工作完成率</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8</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sz w:val="21"/>
                <w:highlight w:val="none"/>
              </w:rPr>
            </w:pPr>
            <w:r>
              <w:rPr>
                <w:sz w:val="21"/>
                <w:highlight w:val="none"/>
              </w:rPr>
              <w:t>质量指标</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消费券投放准确性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5</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项目资金结算准确性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3</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Align w:val="center"/>
          </w:tcPr>
          <w:p>
            <w:pPr>
              <w:spacing w:line="240" w:lineRule="auto"/>
              <w:ind w:firstLine="0" w:firstLineChars="0"/>
              <w:jc w:val="center"/>
              <w:rPr>
                <w:sz w:val="21"/>
                <w:highlight w:val="none"/>
              </w:rPr>
            </w:pPr>
            <w:r>
              <w:rPr>
                <w:sz w:val="21"/>
                <w:highlight w:val="none"/>
              </w:rPr>
              <w:t>时效指标</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完成及时性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6</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Align w:val="center"/>
          </w:tcPr>
          <w:p>
            <w:pPr>
              <w:spacing w:line="240" w:lineRule="auto"/>
              <w:ind w:firstLine="0" w:firstLineChars="0"/>
              <w:jc w:val="center"/>
              <w:rPr>
                <w:sz w:val="21"/>
                <w:highlight w:val="none"/>
              </w:rPr>
            </w:pPr>
            <w:r>
              <w:rPr>
                <w:sz w:val="21"/>
                <w:highlight w:val="none"/>
              </w:rPr>
              <w:t>成本指标</w:t>
            </w:r>
          </w:p>
        </w:tc>
        <w:tc>
          <w:tcPr>
            <w:tcW w:w="3353" w:type="dxa"/>
            <w:vAlign w:val="center"/>
          </w:tcPr>
          <w:p>
            <w:pPr>
              <w:widowControl/>
              <w:snapToGrid w:val="0"/>
              <w:spacing w:line="240" w:lineRule="auto"/>
              <w:ind w:firstLine="0" w:firstLineChars="0"/>
              <w:jc w:val="center"/>
              <w:rPr>
                <w:color w:val="000000"/>
                <w:kern w:val="0"/>
                <w:sz w:val="21"/>
                <w:highlight w:val="none"/>
              </w:rPr>
            </w:pPr>
            <w:r>
              <w:rPr>
                <w:rFonts w:hint="eastAsia" w:cs="Times New Roman"/>
                <w:sz w:val="21"/>
                <w:szCs w:val="21"/>
                <w:highlight w:val="none"/>
                <w:lang w:val="en-US" w:eastAsia="zh-CN"/>
              </w:rPr>
              <w:t>成本控制有效性</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kern w:val="2"/>
                <w:sz w:val="21"/>
                <w:szCs w:val="21"/>
                <w:highlight w:val="none"/>
                <w:lang w:val="en-US" w:eastAsia="zh-CN" w:bidi="ar-SA"/>
              </w:rPr>
              <w:t>4</w:t>
            </w:r>
          </w:p>
        </w:tc>
        <w:tc>
          <w:tcPr>
            <w:tcW w:w="1191" w:type="dxa"/>
            <w:vAlign w:val="center"/>
          </w:tcPr>
          <w:p>
            <w:pPr>
              <w:autoSpaceDE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restart"/>
            <w:vAlign w:val="center"/>
          </w:tcPr>
          <w:p>
            <w:pPr>
              <w:spacing w:line="240" w:lineRule="auto"/>
              <w:ind w:firstLine="0" w:firstLineChars="0"/>
              <w:jc w:val="center"/>
              <w:rPr>
                <w:sz w:val="21"/>
                <w:highlight w:val="none"/>
              </w:rPr>
            </w:pPr>
            <w:r>
              <w:rPr>
                <w:sz w:val="21"/>
                <w:highlight w:val="none"/>
              </w:rPr>
              <w:t>效益</w:t>
            </w:r>
          </w:p>
        </w:tc>
        <w:tc>
          <w:tcPr>
            <w:tcW w:w="1984" w:type="dxa"/>
            <w:vMerge w:val="restart"/>
            <w:vAlign w:val="center"/>
          </w:tcPr>
          <w:p>
            <w:pPr>
              <w:spacing w:line="240" w:lineRule="auto"/>
              <w:ind w:firstLine="0" w:firstLineChars="0"/>
              <w:jc w:val="center"/>
              <w:rPr>
                <w:sz w:val="21"/>
                <w:highlight w:val="none"/>
              </w:rPr>
            </w:pPr>
            <w:r>
              <w:rPr>
                <w:sz w:val="21"/>
                <w:highlight w:val="none"/>
              </w:rPr>
              <w:t>社会效益</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促进全区商贸发展</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highlight w:val="none"/>
                <w:lang w:val="en-US" w:eastAsia="zh-CN"/>
              </w:rPr>
              <w:t>10</w:t>
            </w:r>
          </w:p>
        </w:tc>
        <w:tc>
          <w:tcPr>
            <w:tcW w:w="1191" w:type="dxa"/>
            <w:vAlign w:val="center"/>
          </w:tcPr>
          <w:p>
            <w:pPr>
              <w:spacing w:line="240" w:lineRule="auto"/>
              <w:ind w:firstLine="0" w:firstLineChars="0"/>
              <w:jc w:val="center"/>
              <w:rPr>
                <w:rFonts w:hint="eastAsia" w:ascii="Times New Roman" w:hAnsi="Times New Roman" w:cs="Times New Roman"/>
                <w:sz w:val="21"/>
              </w:rPr>
            </w:pPr>
            <w:r>
              <w:rPr>
                <w:rFonts w:hint="eastAsia" w:ascii="Times New Roman" w:hAnsi="Times New Roman" w:cs="Times New Roman"/>
                <w:sz w:val="21"/>
                <w:szCs w:val="21"/>
                <w:lang w:val="en-US" w:eastAsia="zh-CN"/>
              </w:rPr>
              <w:t>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提升云岩消费品牌知名度</w:t>
            </w:r>
          </w:p>
        </w:tc>
        <w:tc>
          <w:tcPr>
            <w:tcW w:w="847" w:type="dxa"/>
            <w:vAlign w:val="center"/>
          </w:tcPr>
          <w:p>
            <w:pPr>
              <w:widowControl/>
              <w:snapToGrid w:val="0"/>
              <w:spacing w:line="240" w:lineRule="auto"/>
              <w:ind w:firstLine="0" w:firstLineChars="0"/>
              <w:jc w:val="center"/>
              <w:rPr>
                <w:sz w:val="21"/>
                <w:highlight w:val="yellow"/>
              </w:rPr>
            </w:pPr>
            <w:r>
              <w:rPr>
                <w:rFonts w:hint="eastAsia" w:cs="Times New Roman"/>
                <w:sz w:val="21"/>
                <w:szCs w:val="21"/>
                <w:highlight w:val="none"/>
                <w:lang w:val="en-US" w:eastAsia="zh-CN"/>
              </w:rPr>
              <w:t>8</w:t>
            </w:r>
          </w:p>
        </w:tc>
        <w:tc>
          <w:tcPr>
            <w:tcW w:w="1191" w:type="dxa"/>
            <w:vAlign w:val="center"/>
          </w:tcPr>
          <w:p>
            <w:pPr>
              <w:spacing w:line="240" w:lineRule="auto"/>
              <w:ind w:firstLine="0" w:firstLineChars="0"/>
              <w:jc w:val="center"/>
              <w:rPr>
                <w:rFonts w:hint="eastAsia" w:ascii="Times New Roman" w:hAnsi="Times New Roman" w:cs="Times New Roman"/>
                <w:sz w:val="21"/>
                <w:lang w:val="en-US"/>
              </w:rPr>
            </w:pPr>
            <w:r>
              <w:rPr>
                <w:rFonts w:hint="eastAsia" w:ascii="Times New Roman" w:hAnsi="Times New Roman" w:cs="Times New Roman"/>
                <w:sz w:val="21"/>
                <w:szCs w:val="21"/>
                <w:lang w:val="en-US" w:eastAsia="zh-CN"/>
              </w:rPr>
              <w:t>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Align w:val="center"/>
          </w:tcPr>
          <w:p>
            <w:pPr>
              <w:spacing w:line="240" w:lineRule="auto"/>
              <w:ind w:firstLine="0" w:firstLineChars="0"/>
              <w:jc w:val="center"/>
              <w:rPr>
                <w:sz w:val="21"/>
                <w:highlight w:val="none"/>
              </w:rPr>
            </w:pPr>
            <w:r>
              <w:rPr>
                <w:sz w:val="21"/>
                <w:highlight w:val="none"/>
              </w:rPr>
              <w:t>满意度指标</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商户满意度</w:t>
            </w:r>
          </w:p>
        </w:tc>
        <w:tc>
          <w:tcPr>
            <w:tcW w:w="847" w:type="dxa"/>
            <w:vAlign w:val="center"/>
          </w:tcPr>
          <w:p>
            <w:pPr>
              <w:widowControl/>
              <w:snapToGrid w:val="0"/>
              <w:spacing w:line="240" w:lineRule="auto"/>
              <w:ind w:firstLine="0" w:firstLineChars="0"/>
              <w:jc w:val="center"/>
              <w:rPr>
                <w:rFonts w:hint="default"/>
                <w:sz w:val="21"/>
                <w:highlight w:val="yellow"/>
                <w:lang w:val="en-US"/>
              </w:rPr>
            </w:pPr>
            <w:r>
              <w:rPr>
                <w:rFonts w:hint="eastAsia" w:cs="Times New Roman"/>
                <w:sz w:val="21"/>
                <w:szCs w:val="21"/>
                <w:highlight w:val="none"/>
                <w:lang w:val="en-US" w:eastAsia="zh-CN"/>
              </w:rPr>
              <w:t>10</w:t>
            </w:r>
          </w:p>
        </w:tc>
        <w:tc>
          <w:tcPr>
            <w:tcW w:w="1191" w:type="dxa"/>
            <w:vAlign w:val="center"/>
          </w:tcPr>
          <w:p>
            <w:pPr>
              <w:spacing w:line="240" w:lineRule="auto"/>
              <w:ind w:firstLine="0" w:firstLineChars="0"/>
              <w:jc w:val="center"/>
              <w:rPr>
                <w:rFonts w:hint="eastAsia" w:ascii="Times New Roman" w:hAnsi="Times New Roman" w:cs="Times New Roman"/>
                <w:sz w:val="21"/>
              </w:rPr>
            </w:pPr>
            <w:r>
              <w:rPr>
                <w:rFonts w:hint="eastAsia" w:ascii="Times New Roman" w:hAnsi="Times New Roman" w:cs="Times New Roman"/>
                <w:sz w:val="21"/>
                <w:szCs w:val="21"/>
                <w:lang w:val="en-US" w:eastAsia="zh-CN"/>
              </w:rPr>
              <w:t>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05" w:type="dxa"/>
            <w:gridSpan w:val="3"/>
            <w:vAlign w:val="center"/>
          </w:tcPr>
          <w:p>
            <w:pPr>
              <w:spacing w:line="240" w:lineRule="auto"/>
              <w:ind w:firstLine="0" w:firstLineChars="0"/>
              <w:jc w:val="center"/>
              <w:rPr>
                <w:b/>
                <w:sz w:val="21"/>
                <w:highlight w:val="none"/>
              </w:rPr>
            </w:pPr>
            <w:r>
              <w:rPr>
                <w:b/>
                <w:sz w:val="21"/>
                <w:highlight w:val="none"/>
              </w:rPr>
              <w:t>总分</w:t>
            </w:r>
          </w:p>
        </w:tc>
        <w:tc>
          <w:tcPr>
            <w:tcW w:w="847" w:type="dxa"/>
            <w:vAlign w:val="center"/>
          </w:tcPr>
          <w:p>
            <w:pPr>
              <w:spacing w:line="240" w:lineRule="auto"/>
              <w:ind w:firstLine="0" w:firstLineChars="0"/>
              <w:jc w:val="center"/>
              <w:rPr>
                <w:rFonts w:hint="default" w:eastAsia="仿宋_GB2312"/>
                <w:b/>
                <w:sz w:val="21"/>
                <w:highlight w:val="none"/>
                <w:lang w:val="en-US" w:eastAsia="zh-CN"/>
              </w:rPr>
            </w:pPr>
            <w:r>
              <w:rPr>
                <w:rFonts w:hint="eastAsia"/>
                <w:b/>
                <w:sz w:val="21"/>
                <w:highlight w:val="none"/>
                <w:lang w:val="en-US" w:eastAsia="zh-CN"/>
              </w:rPr>
              <w:t>100</w:t>
            </w:r>
          </w:p>
        </w:tc>
        <w:tc>
          <w:tcPr>
            <w:tcW w:w="1191" w:type="dxa"/>
            <w:vAlign w:val="center"/>
          </w:tcPr>
          <w:p>
            <w:pPr>
              <w:widowControl/>
              <w:spacing w:line="240" w:lineRule="auto"/>
              <w:ind w:firstLine="0" w:firstLineChars="0"/>
              <w:jc w:val="center"/>
              <w:textAlignment w:val="center"/>
              <w:rPr>
                <w:rFonts w:hint="default" w:eastAsia="仿宋_GB2312"/>
                <w:b/>
                <w:color w:val="000000"/>
                <w:kern w:val="0"/>
                <w:sz w:val="21"/>
                <w:highlight w:val="none"/>
                <w:lang w:val="en-US" w:eastAsia="zh-CN" w:bidi="ar"/>
              </w:rPr>
            </w:pPr>
            <w:r>
              <w:rPr>
                <w:rFonts w:hint="eastAsia"/>
                <w:b/>
                <w:color w:val="000000"/>
                <w:kern w:val="0"/>
                <w:sz w:val="21"/>
                <w:highlight w:val="none"/>
                <w:lang w:val="en-US" w:eastAsia="zh-CN" w:bidi="ar"/>
              </w:rPr>
              <w:t>86.94</w:t>
            </w:r>
          </w:p>
        </w:tc>
      </w:tr>
    </w:tbl>
    <w:p>
      <w:pPr>
        <w:spacing w:line="240" w:lineRule="exact"/>
        <w:ind w:firstLine="0" w:firstLineChars="0"/>
        <w:jc w:val="center"/>
        <w:rPr>
          <w:bCs/>
          <w:sz w:val="24"/>
          <w:szCs w:val="24"/>
          <w:highlight w:val="yellow"/>
        </w:rPr>
      </w:pPr>
    </w:p>
    <w:bookmarkEnd w:id="43"/>
    <w:p>
      <w:pPr>
        <w:pStyle w:val="4"/>
        <w:keepNext/>
        <w:keepLines/>
        <w:pageBreakBefore w:val="0"/>
        <w:widowControl w:val="0"/>
        <w:kinsoku/>
        <w:wordWrap/>
        <w:overflowPunct/>
        <w:topLinePunct w:val="0"/>
        <w:autoSpaceDE/>
        <w:autoSpaceDN/>
        <w:bidi w:val="0"/>
        <w:adjustRightInd/>
        <w:snapToGrid/>
        <w:spacing w:before="157" w:beforeLines="50"/>
        <w:ind w:firstLine="643"/>
        <w:textAlignment w:val="auto"/>
        <w:rPr>
          <w:rFonts w:ascii="Times New Roman" w:hAnsi="Times New Roman"/>
          <w:highlight w:val="none"/>
        </w:rPr>
      </w:pPr>
      <w:bookmarkStart w:id="44" w:name="_Toc16051"/>
      <w:bookmarkStart w:id="45" w:name="_Toc12723"/>
      <w:bookmarkStart w:id="46" w:name="_Toc31518"/>
      <w:bookmarkStart w:id="47" w:name="_Toc5898"/>
      <w:bookmarkStart w:id="48" w:name="_Toc17777"/>
      <w:bookmarkStart w:id="49" w:name="_Toc31262"/>
      <w:r>
        <w:rPr>
          <w:rFonts w:ascii="Times New Roman" w:hAnsi="Times New Roman"/>
          <w:highlight w:val="none"/>
        </w:rPr>
        <w:t>（二）综合评价结论</w:t>
      </w:r>
      <w:bookmarkEnd w:id="44"/>
      <w:bookmarkEnd w:id="45"/>
      <w:bookmarkEnd w:id="46"/>
      <w:bookmarkEnd w:id="47"/>
      <w:bookmarkEnd w:id="48"/>
      <w:bookmarkEnd w:id="49"/>
    </w:p>
    <w:p>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贵阳业越企业管理咨询有限公司对云岩区</w:t>
      </w:r>
      <w:r>
        <w:rPr>
          <w:rFonts w:hint="default" w:ascii="Times New Roman" w:hAnsi="Times New Roman" w:eastAsia="仿宋_GB2312" w:cs="Times New Roman"/>
          <w:sz w:val="32"/>
          <w:szCs w:val="32"/>
          <w:highlight w:val="none"/>
          <w:lang w:val="en-US" w:eastAsia="zh-CN"/>
        </w:rPr>
        <w:t>2020</w:t>
      </w:r>
      <w:r>
        <w:rPr>
          <w:rFonts w:hint="default" w:ascii="Times New Roman" w:hAnsi="Times New Roman" w:eastAsia="仿宋_GB2312" w:cs="Times New Roman"/>
          <w:sz w:val="32"/>
          <w:szCs w:val="32"/>
          <w:highlight w:val="none"/>
        </w:rPr>
        <w:t>年</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相约云岩安心消费促销活动</w:t>
      </w:r>
      <w:r>
        <w:rPr>
          <w:rFonts w:hint="eastAsia"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rPr>
        <w:t>项目支出进行了独立第三方评价，综合绩效评价得</w:t>
      </w:r>
      <w:r>
        <w:rPr>
          <w:rFonts w:hint="default" w:ascii="Times New Roman" w:hAnsi="Times New Roman" w:eastAsia="仿宋_GB2312" w:cs="Times New Roman"/>
          <w:sz w:val="32"/>
          <w:szCs w:val="32"/>
          <w:highlight w:val="none"/>
          <w:lang w:val="en-US" w:eastAsia="zh-CN"/>
        </w:rPr>
        <w:t>86.94</w:t>
      </w:r>
      <w:r>
        <w:rPr>
          <w:rFonts w:hint="default" w:ascii="Times New Roman" w:hAnsi="Times New Roman" w:eastAsia="仿宋_GB2312" w:cs="Times New Roman"/>
          <w:sz w:val="32"/>
          <w:szCs w:val="32"/>
          <w:highlight w:val="none"/>
        </w:rPr>
        <w:t>分，根据财预〔2020〕10号文评级为</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良</w:t>
      </w:r>
      <w:r>
        <w:rPr>
          <w:rFonts w:hint="eastAsia"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2020年云岩区</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相约云岩 安心消费</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项目的实施，</w:t>
      </w:r>
      <w:r>
        <w:rPr>
          <w:rFonts w:hint="default" w:ascii="Times New Roman" w:hAnsi="Times New Roman" w:eastAsia="仿宋_GB2312" w:cs="Times New Roman"/>
          <w:color w:val="auto"/>
          <w:sz w:val="32"/>
          <w:szCs w:val="32"/>
          <w:highlight w:val="none"/>
          <w:lang w:val="en-US" w:eastAsia="zh-CN"/>
        </w:rPr>
        <w:t>在</w:t>
      </w:r>
      <w:r>
        <w:rPr>
          <w:rFonts w:hint="default" w:ascii="Times New Roman" w:hAnsi="Times New Roman" w:eastAsia="仿宋_GB2312" w:cs="Times New Roman"/>
          <w:sz w:val="32"/>
          <w:szCs w:val="32"/>
          <w:highlight w:val="none"/>
        </w:rPr>
        <w:t>稳定经济社会发展大局</w:t>
      </w:r>
      <w:r>
        <w:rPr>
          <w:rFonts w:hint="eastAsia" w:cs="Times New Roman"/>
          <w:sz w:val="32"/>
          <w:szCs w:val="32"/>
          <w:highlight w:val="none"/>
          <w:lang w:eastAsia="zh-CN"/>
        </w:rPr>
        <w:t>，</w:t>
      </w:r>
      <w:r>
        <w:rPr>
          <w:rFonts w:hint="default" w:ascii="Times New Roman" w:hAnsi="Times New Roman" w:eastAsia="仿宋_GB2312" w:cs="Times New Roman"/>
          <w:sz w:val="32"/>
          <w:szCs w:val="32"/>
          <w:highlight w:val="none"/>
        </w:rPr>
        <w:t>有力、有序恢复生产，</w:t>
      </w:r>
      <w:r>
        <w:rPr>
          <w:rFonts w:hint="default" w:ascii="Times New Roman" w:hAnsi="Times New Roman" w:eastAsia="仿宋_GB2312" w:cs="Times New Roman"/>
          <w:sz w:val="32"/>
          <w:szCs w:val="32"/>
          <w:highlight w:val="none"/>
          <w:lang w:val="en-US" w:eastAsia="zh-CN"/>
        </w:rPr>
        <w:t>充分挖掘</w:t>
      </w:r>
      <w:r>
        <w:rPr>
          <w:rFonts w:hint="eastAsia" w:ascii="仿宋_GB2312" w:hAnsi="仿宋_GB2312" w:eastAsia="仿宋_GB2312" w:cs="仿宋_GB2312"/>
          <w:sz w:val="32"/>
          <w:szCs w:val="32"/>
          <w:highlight w:val="none"/>
          <w:lang w:val="en-US" w:eastAsia="zh-CN"/>
        </w:rPr>
        <w:t>“宅经济”</w:t>
      </w:r>
      <w:r>
        <w:rPr>
          <w:rFonts w:hint="default" w:ascii="Times New Roman" w:hAnsi="Times New Roman" w:eastAsia="仿宋_GB2312" w:cs="Times New Roman"/>
          <w:sz w:val="32"/>
          <w:szCs w:val="32"/>
          <w:highlight w:val="none"/>
          <w:lang w:val="en-US" w:eastAsia="zh-CN"/>
        </w:rPr>
        <w:t>潜力，助力云岩消费复苏回补方面取得了较好的成效</w:t>
      </w:r>
      <w:bookmarkStart w:id="50" w:name="_Toc123"/>
      <w:bookmarkStart w:id="51" w:name="_Toc15390076"/>
      <w:bookmarkStart w:id="52" w:name="_Toc15390237"/>
      <w:bookmarkStart w:id="53" w:name="_Toc15389991"/>
      <w:bookmarkStart w:id="54" w:name="_Toc15391321"/>
      <w:bookmarkStart w:id="55" w:name="_Toc15390286"/>
      <w:bookmarkStart w:id="56" w:name="_Toc10168"/>
      <w:bookmarkStart w:id="57" w:name="_Toc25143"/>
      <w:bookmarkStart w:id="58" w:name="_Toc15391162"/>
      <w:bookmarkStart w:id="59" w:name="_Toc15390507"/>
      <w:bookmarkStart w:id="60" w:name="_Toc15390457"/>
      <w:bookmarkStart w:id="61" w:name="_Toc29035"/>
      <w:bookmarkStart w:id="62" w:name="_Toc22975"/>
      <w:r>
        <w:rPr>
          <w:rFonts w:hint="eastAsia" w:ascii="Times New Roman" w:hAnsi="Times New Roman"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但</w:t>
      </w:r>
      <w:r>
        <w:rPr>
          <w:rFonts w:hint="eastAsia" w:ascii="Times New Roman" w:hAnsi="Times New Roman" w:cs="Times New Roman"/>
          <w:sz w:val="32"/>
          <w:szCs w:val="32"/>
          <w:highlight w:val="none"/>
          <w:lang w:val="en-US" w:eastAsia="zh-CN"/>
        </w:rPr>
        <w:t>在</w:t>
      </w:r>
      <w:r>
        <w:rPr>
          <w:rFonts w:hint="default" w:ascii="Times New Roman" w:hAnsi="Times New Roman" w:eastAsia="仿宋_GB2312" w:cs="Times New Roman"/>
          <w:sz w:val="32"/>
          <w:szCs w:val="32"/>
          <w:highlight w:val="none"/>
          <w:lang w:val="en-US" w:eastAsia="zh-CN"/>
        </w:rPr>
        <w:t>绩效目标</w:t>
      </w:r>
      <w:r>
        <w:rPr>
          <w:rFonts w:hint="eastAsia" w:ascii="Times New Roman" w:hAnsi="Times New Roman" w:cs="Times New Roman"/>
          <w:sz w:val="32"/>
          <w:szCs w:val="32"/>
          <w:highlight w:val="none"/>
          <w:lang w:val="en-US" w:eastAsia="zh-CN"/>
        </w:rPr>
        <w:t>设置、</w:t>
      </w:r>
      <w:r>
        <w:rPr>
          <w:rFonts w:hint="default" w:ascii="Times New Roman" w:hAnsi="Times New Roman" w:eastAsia="仿宋_GB2312" w:cs="Times New Roman"/>
          <w:sz w:val="32"/>
          <w:szCs w:val="32"/>
          <w:highlight w:val="none"/>
          <w:lang w:val="en-US" w:eastAsia="zh-CN"/>
        </w:rPr>
        <w:t>预算</w:t>
      </w:r>
      <w:r>
        <w:rPr>
          <w:rFonts w:hint="eastAsia" w:ascii="Times New Roman" w:hAnsi="Times New Roman" w:cs="Times New Roman"/>
          <w:sz w:val="32"/>
          <w:szCs w:val="32"/>
          <w:highlight w:val="none"/>
          <w:lang w:val="en-US" w:eastAsia="zh-CN"/>
        </w:rPr>
        <w:t>编制科学性及合理方面仍有待提升，项目管理制度健全性方面有待完善</w:t>
      </w:r>
      <w:r>
        <w:rPr>
          <w:rFonts w:hint="default" w:ascii="Times New Roman" w:hAnsi="Times New Roman" w:eastAsia="仿宋_GB2312" w:cs="Times New Roman"/>
          <w:sz w:val="32"/>
          <w:szCs w:val="32"/>
          <w:highlight w:val="none"/>
        </w:rPr>
        <w:t>。</w:t>
      </w:r>
    </w:p>
    <w:bookmarkEnd w:id="50"/>
    <w:bookmarkEnd w:id="51"/>
    <w:bookmarkEnd w:id="52"/>
    <w:bookmarkEnd w:id="53"/>
    <w:bookmarkEnd w:id="54"/>
    <w:bookmarkEnd w:id="55"/>
    <w:bookmarkEnd w:id="56"/>
    <w:bookmarkEnd w:id="57"/>
    <w:bookmarkEnd w:id="58"/>
    <w:bookmarkEnd w:id="59"/>
    <w:bookmarkEnd w:id="60"/>
    <w:bookmarkEnd w:id="61"/>
    <w:bookmarkEnd w:id="62"/>
    <w:p>
      <w:pPr>
        <w:pStyle w:val="3"/>
        <w:bidi w:val="0"/>
      </w:pPr>
      <w:bookmarkStart w:id="63" w:name="_Toc27384"/>
      <w:bookmarkStart w:id="64" w:name="_Toc28135"/>
      <w:bookmarkStart w:id="65" w:name="_Toc23113"/>
      <w:bookmarkStart w:id="66" w:name="_Toc32144"/>
      <w:r>
        <w:rPr>
          <w:rFonts w:hint="eastAsia"/>
          <w:lang w:eastAsia="zh-CN"/>
        </w:rPr>
        <w:t>三</w:t>
      </w:r>
      <w:r>
        <w:rPr>
          <w:rFonts w:hint="eastAsia"/>
        </w:rPr>
        <w:t>、主要经验及做法、存在的问题和建议</w:t>
      </w:r>
      <w:bookmarkEnd w:id="63"/>
      <w:bookmarkEnd w:id="64"/>
      <w:bookmarkEnd w:id="65"/>
      <w:bookmarkEnd w:id="66"/>
    </w:p>
    <w:p>
      <w:pPr>
        <w:pStyle w:val="4"/>
        <w:keepNext/>
        <w:keepLines/>
        <w:pageBreakBefore w:val="0"/>
        <w:widowControl w:val="0"/>
        <w:kinsoku/>
        <w:wordWrap/>
        <w:overflowPunct/>
        <w:topLinePunct w:val="0"/>
        <w:autoSpaceDE/>
        <w:autoSpaceDN/>
        <w:bidi w:val="0"/>
        <w:adjustRightInd/>
        <w:snapToGrid/>
        <w:textAlignment w:val="auto"/>
      </w:pPr>
      <w:bookmarkStart w:id="67" w:name="_Toc31764"/>
      <w:bookmarkStart w:id="68" w:name="_Toc19405"/>
      <w:bookmarkStart w:id="69" w:name="_Toc12829"/>
      <w:bookmarkStart w:id="70" w:name="_Toc29546"/>
      <w:bookmarkStart w:id="71" w:name="_Toc25136"/>
      <w:bookmarkStart w:id="72" w:name="_Toc24697"/>
      <w:r>
        <w:t>（一）主要经验及做法</w:t>
      </w:r>
      <w:bookmarkEnd w:id="67"/>
      <w:bookmarkEnd w:id="68"/>
      <w:bookmarkEnd w:id="69"/>
      <w:bookmarkEnd w:id="70"/>
      <w:bookmarkEnd w:id="71"/>
      <w:bookmarkEnd w:id="72"/>
      <w:bookmarkStart w:id="73" w:name="_Toc30999"/>
      <w:bookmarkStart w:id="74" w:name="_Toc438552137"/>
      <w:bookmarkStart w:id="75" w:name="_Toc438552079"/>
    </w:p>
    <w:bookmarkEnd w:id="73"/>
    <w:p>
      <w:pPr>
        <w:keepNext w:val="0"/>
        <w:keepLines w:val="0"/>
        <w:widowControl/>
        <w:suppressLineNumbers w:val="0"/>
        <w:jc w:val="left"/>
        <w:rPr>
          <w:rFonts w:hint="default" w:ascii="Times New Roman" w:hAnsi="Times New Roman" w:cs="Times New Roman"/>
        </w:rPr>
      </w:pPr>
      <w:r>
        <w:rPr>
          <w:rFonts w:hint="eastAsia" w:ascii="仿宋_GB2312" w:hAnsi="仿宋_GB2312" w:eastAsia="仿宋_GB2312" w:cs="仿宋_GB2312"/>
          <w:b/>
          <w:bCs/>
          <w:color w:val="auto"/>
          <w:sz w:val="32"/>
          <w:szCs w:val="32"/>
        </w:rPr>
        <w:t>“政府+平台+商圈”的形式</w:t>
      </w:r>
      <w:r>
        <w:rPr>
          <w:rFonts w:hint="eastAsia" w:ascii="仿宋_GB2312" w:hAnsi="仿宋_GB2312" w:cs="仿宋_GB2312"/>
          <w:b/>
          <w:bCs/>
          <w:szCs w:val="32"/>
          <w:lang w:val="en-US" w:eastAsia="zh-CN"/>
        </w:rPr>
        <w:t>带动消费，</w:t>
      </w:r>
      <w:r>
        <w:rPr>
          <w:rFonts w:ascii="仿宋_GB2312" w:hAnsi="宋体" w:eastAsia="仿宋_GB2312" w:cs="仿宋_GB2312"/>
          <w:b/>
          <w:bCs/>
          <w:color w:val="000000"/>
          <w:kern w:val="0"/>
          <w:sz w:val="31"/>
          <w:szCs w:val="31"/>
          <w:lang w:val="en-US" w:eastAsia="zh-CN" w:bidi="ar"/>
        </w:rPr>
        <w:t>充分挖掘</w:t>
      </w:r>
      <w:r>
        <w:rPr>
          <w:rFonts w:hint="default" w:ascii="Times New Roman" w:hAnsi="Times New Roman" w:eastAsia="宋体" w:cs="Times New Roman"/>
          <w:b/>
          <w:bCs/>
          <w:color w:val="000000"/>
          <w:kern w:val="0"/>
          <w:sz w:val="31"/>
          <w:szCs w:val="31"/>
          <w:lang w:val="en-US" w:eastAsia="zh-CN" w:bidi="ar"/>
        </w:rPr>
        <w:t>“</w:t>
      </w:r>
      <w:r>
        <w:rPr>
          <w:rFonts w:hint="eastAsia" w:ascii="仿宋_GB2312" w:hAnsi="宋体" w:eastAsia="仿宋_GB2312" w:cs="仿宋_GB2312"/>
          <w:b/>
          <w:bCs/>
          <w:color w:val="000000"/>
          <w:kern w:val="0"/>
          <w:sz w:val="31"/>
          <w:szCs w:val="31"/>
          <w:lang w:val="en-US" w:eastAsia="zh-CN" w:bidi="ar"/>
        </w:rPr>
        <w:t>宅经济</w:t>
      </w:r>
      <w:r>
        <w:rPr>
          <w:rFonts w:hint="default" w:ascii="Times New Roman" w:hAnsi="Times New Roman" w:eastAsia="宋体" w:cs="Times New Roman"/>
          <w:b/>
          <w:bCs/>
          <w:color w:val="000000"/>
          <w:kern w:val="0"/>
          <w:sz w:val="31"/>
          <w:szCs w:val="31"/>
          <w:lang w:val="en-US" w:eastAsia="zh-CN" w:bidi="ar"/>
        </w:rPr>
        <w:t>”</w:t>
      </w:r>
      <w:r>
        <w:rPr>
          <w:rFonts w:hint="eastAsia" w:ascii="仿宋_GB2312" w:hAnsi="宋体" w:eastAsia="仿宋_GB2312" w:cs="仿宋_GB2312"/>
          <w:b/>
          <w:bCs/>
          <w:color w:val="000000"/>
          <w:kern w:val="0"/>
          <w:sz w:val="31"/>
          <w:szCs w:val="31"/>
          <w:lang w:val="en-US" w:eastAsia="zh-CN" w:bidi="ar"/>
        </w:rPr>
        <w:t>潜力，助力云岩消费复苏回补</w:t>
      </w:r>
      <w:r>
        <w:rPr>
          <w:rFonts w:hint="eastAsia" w:ascii="仿宋_GB2312" w:hAnsi="宋体" w:cs="仿宋_GB2312"/>
          <w:b/>
          <w:bCs/>
          <w:color w:val="000000"/>
          <w:kern w:val="0"/>
          <w:sz w:val="31"/>
          <w:szCs w:val="31"/>
          <w:lang w:val="en-US" w:eastAsia="zh-CN" w:bidi="ar"/>
        </w:rPr>
        <w:t>。</w:t>
      </w:r>
      <w:r>
        <w:rPr>
          <w:rFonts w:hint="default" w:ascii="Times New Roman" w:hAnsi="Times New Roman" w:cs="Times New Roman"/>
          <w:color w:val="auto"/>
          <w:sz w:val="32"/>
          <w:szCs w:val="32"/>
          <w:lang w:val="en-US" w:eastAsia="zh-CN"/>
        </w:rPr>
        <w:t>云岩区商务局</w:t>
      </w:r>
      <w:r>
        <w:rPr>
          <w:rFonts w:hint="default" w:ascii="Times New Roman" w:hAnsi="Times New Roman" w:eastAsia="仿宋_GB2312" w:cs="Times New Roman"/>
          <w:color w:val="auto"/>
          <w:sz w:val="32"/>
          <w:szCs w:val="32"/>
        </w:rPr>
        <w:t>与中国银联</w:t>
      </w:r>
      <w:r>
        <w:rPr>
          <w:rFonts w:hint="eastAsia" w:ascii="仿宋_GB2312" w:hAnsi="仿宋_GB2312" w:eastAsia="仿宋_GB2312" w:cs="仿宋_GB2312"/>
          <w:color w:val="auto"/>
          <w:sz w:val="32"/>
          <w:szCs w:val="32"/>
        </w:rPr>
        <w:t>“云闪付”</w:t>
      </w:r>
      <w:r>
        <w:rPr>
          <w:rFonts w:hint="default" w:ascii="Times New Roman" w:hAnsi="Times New Roman" w:cs="Times New Roman"/>
          <w:color w:val="auto"/>
          <w:sz w:val="32"/>
          <w:szCs w:val="32"/>
          <w:lang w:val="en-US" w:eastAsia="zh-CN"/>
        </w:rPr>
        <w:t>进行</w:t>
      </w:r>
      <w:r>
        <w:rPr>
          <w:rFonts w:hint="default" w:ascii="Times New Roman" w:hAnsi="Times New Roman" w:eastAsia="仿宋_GB2312" w:cs="Times New Roman"/>
          <w:color w:val="auto"/>
          <w:sz w:val="32"/>
          <w:szCs w:val="32"/>
        </w:rPr>
        <w:t>合作，</w:t>
      </w:r>
      <w:r>
        <w:rPr>
          <w:rFonts w:hint="default" w:ascii="Times New Roman" w:hAnsi="Times New Roman" w:eastAsia="仿宋_GB2312" w:cs="Times New Roman"/>
          <w:color w:val="auto"/>
          <w:sz w:val="32"/>
          <w:szCs w:val="32"/>
          <w:lang w:eastAsia="zh-CN"/>
        </w:rPr>
        <w:t>中国银联</w:t>
      </w:r>
      <w:r>
        <w:rPr>
          <w:rFonts w:hint="default" w:ascii="Times New Roman" w:hAnsi="Times New Roman" w:eastAsia="仿宋_GB2312" w:cs="Times New Roman"/>
          <w:color w:val="auto"/>
          <w:sz w:val="32"/>
          <w:szCs w:val="32"/>
          <w:lang w:val="en-US" w:eastAsia="zh-CN"/>
        </w:rPr>
        <w:t>云闪付</w:t>
      </w:r>
      <w:r>
        <w:rPr>
          <w:rFonts w:hint="default" w:ascii="Times New Roman" w:hAnsi="Times New Roman" w:eastAsia="仿宋_GB2312" w:cs="Times New Roman"/>
          <w:color w:val="auto"/>
          <w:sz w:val="32"/>
          <w:szCs w:val="32"/>
          <w:lang w:eastAsia="zh-CN"/>
        </w:rPr>
        <w:t>与区政府</w:t>
      </w:r>
      <w:r>
        <w:rPr>
          <w:rFonts w:hint="default" w:ascii="Times New Roman" w:hAnsi="Times New Roman" w:eastAsia="仿宋_GB2312" w:cs="Times New Roman"/>
          <w:color w:val="auto"/>
          <w:sz w:val="32"/>
          <w:szCs w:val="32"/>
          <w:lang w:val="en-US" w:eastAsia="zh-CN"/>
        </w:rPr>
        <w:t>1:1匹配消费券投放比例，</w:t>
      </w:r>
      <w:r>
        <w:rPr>
          <w:rFonts w:hint="default" w:ascii="Times New Roman" w:hAnsi="Times New Roman" w:eastAsia="仿宋_GB2312" w:cs="Times New Roman"/>
          <w:color w:val="auto"/>
          <w:sz w:val="32"/>
          <w:szCs w:val="32"/>
        </w:rPr>
        <w:t>消费者通过</w:t>
      </w:r>
      <w:r>
        <w:rPr>
          <w:rFonts w:hint="eastAsia" w:ascii="仿宋_GB2312" w:hAnsi="仿宋_GB2312" w:eastAsia="仿宋_GB2312" w:cs="仿宋_GB2312"/>
          <w:color w:val="auto"/>
          <w:sz w:val="32"/>
          <w:szCs w:val="32"/>
        </w:rPr>
        <w:t>“云闪付”</w:t>
      </w:r>
      <w:r>
        <w:rPr>
          <w:rFonts w:hint="default" w:ascii="Times New Roman" w:hAnsi="Times New Roman" w:eastAsia="仿宋_GB2312" w:cs="Times New Roman"/>
          <w:color w:val="auto"/>
          <w:sz w:val="32"/>
          <w:szCs w:val="32"/>
          <w:lang w:eastAsia="zh-CN"/>
        </w:rPr>
        <w:t>支付</w:t>
      </w:r>
      <w:r>
        <w:rPr>
          <w:rFonts w:hint="default" w:ascii="Times New Roman" w:hAnsi="Times New Roman" w:eastAsia="仿宋_GB2312" w:cs="Times New Roman"/>
          <w:color w:val="auto"/>
          <w:sz w:val="32"/>
          <w:szCs w:val="32"/>
          <w:lang w:val="en-US" w:eastAsia="zh-CN"/>
        </w:rPr>
        <w:t>平台</w:t>
      </w:r>
      <w:r>
        <w:rPr>
          <w:rFonts w:hint="default" w:ascii="Times New Roman" w:hAnsi="Times New Roman" w:eastAsia="仿宋_GB2312" w:cs="Times New Roman"/>
          <w:color w:val="auto"/>
          <w:sz w:val="32"/>
          <w:szCs w:val="32"/>
        </w:rPr>
        <w:t>领取</w:t>
      </w:r>
      <w:r>
        <w:rPr>
          <w:rFonts w:hint="default" w:ascii="Times New Roman" w:hAnsi="Times New Roman" w:eastAsia="仿宋_GB2312" w:cs="Times New Roman"/>
          <w:color w:val="auto"/>
          <w:sz w:val="32"/>
          <w:szCs w:val="32"/>
          <w:lang w:val="en-US" w:eastAsia="zh-CN"/>
        </w:rPr>
        <w:t>超市、便利店、饮品店</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餐饮</w:t>
      </w:r>
      <w:r>
        <w:rPr>
          <w:rFonts w:hint="eastAsia" w:ascii="Times New Roman" w:hAnsi="Times New Roman"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家电、商业综合体百货商品3类礼包消费券</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同时享受政府、商家、银行、平台四级叠加的折扣核销优惠</w:t>
      </w:r>
      <w:r>
        <w:rPr>
          <w:rFonts w:hint="default" w:ascii="Times New Roman" w:hAnsi="Times New Roman" w:eastAsia="仿宋_GB2312" w:cs="Times New Roman"/>
          <w:color w:val="auto"/>
          <w:sz w:val="32"/>
          <w:szCs w:val="32"/>
        </w:rPr>
        <w:t>，</w:t>
      </w:r>
      <w:r>
        <w:rPr>
          <w:rFonts w:hint="default" w:ascii="Times New Roman" w:hAnsi="Times New Roman" w:cs="Times New Roman"/>
          <w:color w:val="auto"/>
          <w:sz w:val="32"/>
          <w:szCs w:val="32"/>
          <w:lang w:val="en-US" w:eastAsia="zh-CN"/>
        </w:rPr>
        <w:t>一方面</w:t>
      </w:r>
      <w:r>
        <w:rPr>
          <w:rFonts w:hint="default" w:ascii="Times New Roman" w:hAnsi="Times New Roman" w:eastAsia="仿宋_GB2312" w:cs="Times New Roman"/>
          <w:color w:val="auto"/>
          <w:sz w:val="32"/>
          <w:szCs w:val="32"/>
        </w:rPr>
        <w:t>让消费者享受最大化的优惠</w:t>
      </w:r>
      <w:r>
        <w:rPr>
          <w:rFonts w:hint="default" w:ascii="Times New Roman" w:hAnsi="Times New Roman" w:eastAsia="仿宋_GB2312" w:cs="Times New Roman"/>
          <w:color w:val="auto"/>
          <w:sz w:val="32"/>
          <w:szCs w:val="32"/>
          <w:lang w:eastAsia="zh-CN"/>
        </w:rPr>
        <w:t>。</w:t>
      </w:r>
      <w:r>
        <w:rPr>
          <w:rFonts w:hint="default" w:ascii="Times New Roman" w:hAnsi="Times New Roman" w:cs="Times New Roman"/>
          <w:color w:val="auto"/>
          <w:sz w:val="32"/>
          <w:szCs w:val="32"/>
          <w:lang w:val="en-US" w:eastAsia="zh-CN"/>
        </w:rPr>
        <w:t>另一方面在带动消费者消费的同时，中国银联云闪付已能够起到更好的招商引流作用，通过政企合作的模式，在促进辖区经济复苏方面去得了较好的成效</w:t>
      </w:r>
      <w:r>
        <w:rPr>
          <w:rFonts w:hint="default" w:ascii="Times New Roman" w:hAnsi="Times New Roman" w:eastAsia="仿宋_GB2312" w:cs="Times New Roman"/>
          <w:color w:val="auto"/>
          <w:sz w:val="32"/>
          <w:szCs w:val="32"/>
          <w:lang w:val="en-US" w:eastAsia="zh-CN"/>
        </w:rPr>
        <w:t>。</w:t>
      </w:r>
    </w:p>
    <w:bookmarkEnd w:id="74"/>
    <w:bookmarkEnd w:id="75"/>
    <w:p>
      <w:pPr>
        <w:pStyle w:val="4"/>
        <w:keepNext/>
        <w:keepLines/>
        <w:pageBreakBefore w:val="0"/>
        <w:widowControl w:val="0"/>
        <w:kinsoku/>
        <w:wordWrap/>
        <w:overflowPunct/>
        <w:topLinePunct w:val="0"/>
        <w:autoSpaceDE/>
        <w:autoSpaceDN/>
        <w:bidi w:val="0"/>
        <w:adjustRightInd/>
        <w:snapToGrid/>
        <w:textAlignment w:val="auto"/>
      </w:pPr>
      <w:bookmarkStart w:id="76" w:name="_Toc9179"/>
      <w:bookmarkStart w:id="77" w:name="_Toc28090"/>
      <w:bookmarkStart w:id="78" w:name="_Toc471"/>
      <w:r>
        <w:t>（二）存在的</w:t>
      </w:r>
      <w:r>
        <w:rPr>
          <w:rFonts w:hint="eastAsia"/>
        </w:rPr>
        <w:t>主要</w:t>
      </w:r>
      <w:r>
        <w:t>问题</w:t>
      </w:r>
      <w:bookmarkEnd w:id="76"/>
      <w:bookmarkEnd w:id="77"/>
      <w:bookmarkEnd w:id="78"/>
    </w:p>
    <w:p>
      <w:pPr>
        <w:bidi w:val="0"/>
      </w:pPr>
      <w:bookmarkStart w:id="79" w:name="_Toc26526"/>
      <w:bookmarkStart w:id="80" w:name="_Toc11252"/>
      <w:bookmarkStart w:id="81" w:name="_Toc22558"/>
      <w:bookmarkStart w:id="82" w:name="_Toc29113"/>
      <w:bookmarkStart w:id="83" w:name="_Toc715"/>
      <w:bookmarkStart w:id="84" w:name="_Toc2420"/>
      <w:r>
        <w:rPr>
          <w:rFonts w:hint="eastAsia"/>
          <w:lang w:val="en-US" w:eastAsia="zh-CN"/>
        </w:rPr>
        <w:t>1．</w:t>
      </w:r>
      <w:r>
        <w:rPr>
          <w:rFonts w:hint="eastAsia"/>
        </w:rPr>
        <w:t>绩效目标制定</w:t>
      </w:r>
      <w:bookmarkEnd w:id="79"/>
      <w:r>
        <w:rPr>
          <w:rFonts w:hint="eastAsia"/>
        </w:rPr>
        <w:t>欠规范</w:t>
      </w:r>
      <w:bookmarkEnd w:id="80"/>
    </w:p>
    <w:p>
      <w:pPr>
        <w:ind w:firstLine="640"/>
        <w:rPr>
          <w:rFonts w:hint="eastAsia"/>
          <w:szCs w:val="32"/>
        </w:rPr>
      </w:pPr>
      <w:r>
        <w:rPr>
          <w:rFonts w:hint="eastAsia"/>
          <w:szCs w:val="32"/>
        </w:rPr>
        <w:t>项目实施单位在制定该项目绩效目标过程中</w:t>
      </w:r>
      <w:r>
        <w:rPr>
          <w:rFonts w:hint="eastAsia" w:cs="仿宋_GB2312"/>
          <w:kern w:val="0"/>
        </w:rPr>
        <w:t>，</w:t>
      </w:r>
      <w:r>
        <w:rPr>
          <w:rFonts w:hint="eastAsia" w:cs="仿宋_GB2312"/>
          <w:kern w:val="0"/>
          <w:lang w:val="en-US" w:eastAsia="zh-CN"/>
        </w:rPr>
        <w:t>存在以下不足之处：一是指标设置错误</w:t>
      </w:r>
      <w:r>
        <w:rPr>
          <w:rFonts w:hint="eastAsia" w:cs="仿宋_GB2312"/>
          <w:kern w:val="0"/>
        </w:rPr>
        <w:t>，如</w:t>
      </w:r>
      <w:r>
        <w:rPr>
          <w:rFonts w:hint="eastAsia" w:cs="仿宋_GB2312"/>
          <w:kern w:val="0"/>
          <w:lang w:val="en-US" w:eastAsia="zh-CN"/>
        </w:rPr>
        <w:t>数量指标“区政府经费200万元、银联经费200万元”为投入的资金数</w:t>
      </w:r>
      <w:r>
        <w:rPr>
          <w:rFonts w:hint="eastAsia" w:cs="仿宋_GB2312"/>
          <w:kern w:val="0"/>
        </w:rPr>
        <w:t>，</w:t>
      </w:r>
      <w:r>
        <w:rPr>
          <w:rFonts w:hint="eastAsia" w:cs="仿宋_GB2312"/>
          <w:kern w:val="0"/>
          <w:lang w:val="en-US" w:eastAsia="zh-CN"/>
        </w:rPr>
        <w:t>非产出数量指标；二是绩效指标归类错误，如满意度指标“增强政企间的沟通交流，提升政企之间的关系，应设置为效益指标；三是缺少满意度指标值；四是未将绩效目标有效分解为具体的绩效指标，绩效目标申报表难以反映项目产出及效益</w:t>
      </w:r>
      <w:r>
        <w:rPr>
          <w:rFonts w:hint="eastAsia"/>
          <w:szCs w:val="32"/>
        </w:rPr>
        <w:t>。</w:t>
      </w:r>
    </w:p>
    <w:p>
      <w:pPr>
        <w:bidi w:val="0"/>
        <w:rPr>
          <w:rFonts w:hint="default"/>
          <w:lang w:val="en-US" w:eastAsia="zh-CN"/>
        </w:rPr>
      </w:pPr>
      <w:r>
        <w:rPr>
          <w:rFonts w:hint="eastAsia"/>
          <w:lang w:val="en-US" w:eastAsia="zh-CN"/>
        </w:rPr>
        <w:t>2．预算编制不完整</w:t>
      </w:r>
    </w:p>
    <w:p>
      <w:pPr>
        <w:pStyle w:val="2"/>
        <w:rPr>
          <w:rFonts w:hint="eastAsia" w:cs="仿宋_GB2312"/>
          <w:kern w:val="0"/>
          <w:highlight w:val="none"/>
          <w:lang w:val="en-US" w:eastAsia="zh-CN"/>
        </w:rPr>
      </w:pPr>
      <w:r>
        <w:rPr>
          <w:rFonts w:hint="eastAsia"/>
          <w:color w:val="auto"/>
          <w:lang w:val="en-US" w:eastAsia="zh-CN"/>
        </w:rPr>
        <w:t>在预算编制方面存在以下不足之处：一是，在预算编制过程中，未将用于投放消费券预算资金与项目实施单位服务费用两个部分分开测算，</w:t>
      </w:r>
      <w:r>
        <w:rPr>
          <w:rFonts w:hint="eastAsia" w:cs="仿宋_GB2312"/>
          <w:color w:val="auto"/>
          <w:kern w:val="0"/>
          <w:highlight w:val="none"/>
          <w:lang w:val="en-US" w:eastAsia="zh-CN"/>
        </w:rPr>
        <w:t>该项目由云岩区商务局与中国银联云闪付合作，由云闪付负责具体实施，其中项目总投资的10%作为支付中国银联云闪付服务费用，但在预算编制中未将该部分资金编制在内</w:t>
      </w:r>
      <w:r>
        <w:rPr>
          <w:rFonts w:hint="eastAsia"/>
          <w:color w:val="auto"/>
          <w:lang w:val="en-US" w:eastAsia="zh-CN"/>
        </w:rPr>
        <w:t>；二是，预算确定的资金量与各类消费券投放数量无法一一对应</w:t>
      </w:r>
      <w:r>
        <w:rPr>
          <w:rFonts w:hint="eastAsia" w:cs="仿宋_GB2312"/>
          <w:kern w:val="0"/>
          <w:highlight w:val="none"/>
          <w:lang w:val="en-US" w:eastAsia="zh-CN"/>
        </w:rPr>
        <w:t>。</w:t>
      </w:r>
    </w:p>
    <w:p>
      <w:pPr>
        <w:numPr>
          <w:ilvl w:val="0"/>
          <w:numId w:val="1"/>
        </w:numPr>
        <w:rPr>
          <w:rFonts w:hint="eastAsia" w:cs="仿宋_GB2312"/>
          <w:kern w:val="0"/>
          <w:highlight w:val="none"/>
          <w:lang w:val="en-US" w:eastAsia="zh-CN"/>
        </w:rPr>
      </w:pPr>
      <w:r>
        <w:rPr>
          <w:rFonts w:hint="eastAsia" w:cs="仿宋_GB2312"/>
          <w:kern w:val="0"/>
          <w:highlight w:val="none"/>
          <w:lang w:val="en-US" w:eastAsia="zh-CN"/>
        </w:rPr>
        <w:t>项目管理制度不完善</w:t>
      </w:r>
    </w:p>
    <w:p>
      <w:pPr>
        <w:pStyle w:val="2"/>
        <w:rPr>
          <w:rFonts w:hint="eastAsia"/>
          <w:lang w:val="en-US" w:eastAsia="zh-CN"/>
        </w:rPr>
      </w:pPr>
      <w:r>
        <w:rPr>
          <w:rFonts w:hint="eastAsia" w:cs="仿宋_GB2312"/>
          <w:kern w:val="0"/>
          <w:highlight w:val="none"/>
          <w:lang w:val="en-US" w:eastAsia="zh-CN"/>
        </w:rPr>
        <w:t>项目由中国银联云闪付具体负责实施，针对项目云闪付制定了《云岩区消费券投放与使用的工作方案》，方案中明确了活动内容、活动实施细则，但是缺少</w:t>
      </w:r>
      <w:r>
        <w:rPr>
          <w:rFonts w:hint="eastAsia"/>
          <w:lang w:val="en-US" w:eastAsia="zh-CN"/>
        </w:rPr>
        <w:t>专业的风险防控机制、反馈渠道和监督渠道。</w:t>
      </w:r>
    </w:p>
    <w:p>
      <w:pPr>
        <w:pStyle w:val="4"/>
        <w:keepNext/>
        <w:keepLines/>
        <w:pageBreakBefore w:val="0"/>
        <w:widowControl w:val="0"/>
        <w:kinsoku/>
        <w:wordWrap/>
        <w:overflowPunct/>
        <w:topLinePunct w:val="0"/>
        <w:autoSpaceDE/>
        <w:autoSpaceDN/>
        <w:bidi w:val="0"/>
        <w:adjustRightInd/>
        <w:snapToGrid/>
        <w:ind w:firstLine="643"/>
        <w:textAlignment w:val="auto"/>
        <w:rPr>
          <w:rFonts w:ascii="Times New Roman" w:hAnsi="Times New Roman"/>
        </w:rPr>
      </w:pPr>
      <w:bookmarkStart w:id="85" w:name="_Toc27967"/>
      <w:bookmarkStart w:id="86" w:name="_Toc20237"/>
      <w:r>
        <w:rPr>
          <w:rFonts w:ascii="Times New Roman" w:hAnsi="Times New Roman"/>
        </w:rPr>
        <w:t>（三）相关建议</w:t>
      </w:r>
      <w:bookmarkEnd w:id="81"/>
      <w:bookmarkEnd w:id="82"/>
      <w:bookmarkEnd w:id="83"/>
      <w:bookmarkEnd w:id="84"/>
      <w:bookmarkEnd w:id="85"/>
      <w:bookmarkEnd w:id="86"/>
    </w:p>
    <w:p>
      <w:pPr>
        <w:numPr>
          <w:ilvl w:val="0"/>
          <w:numId w:val="0"/>
        </w:numPr>
        <w:ind w:firstLine="640" w:firstLineChars="200"/>
      </w:pPr>
      <w:r>
        <w:rPr>
          <w:rFonts w:hint="eastAsia"/>
          <w:lang w:val="en-US" w:eastAsia="zh-CN"/>
        </w:rPr>
        <w:t>1</w:t>
      </w:r>
      <w:r>
        <w:t>．</w:t>
      </w:r>
      <w:r>
        <w:rPr>
          <w:rFonts w:hint="eastAsia"/>
        </w:rPr>
        <w:t>科学设置项目绩效指标</w:t>
      </w:r>
    </w:p>
    <w:p>
      <w:pPr>
        <w:pStyle w:val="2"/>
        <w:rPr>
          <w:rFonts w:hint="eastAsia" w:cs="仿宋_GB2312"/>
          <w:kern w:val="0"/>
          <w:highlight w:val="none"/>
        </w:rPr>
      </w:pPr>
      <w:r>
        <w:rPr>
          <w:rFonts w:hint="eastAsia" w:cs="仿宋_GB2312"/>
          <w:kern w:val="0"/>
          <w:highlight w:val="none"/>
        </w:rPr>
        <w:t>建议</w:t>
      </w:r>
      <w:r>
        <w:rPr>
          <w:rFonts w:hint="eastAsia" w:cs="仿宋_GB2312"/>
          <w:kern w:val="0"/>
          <w:highlight w:val="none"/>
          <w:lang w:val="en-US" w:eastAsia="zh-CN"/>
        </w:rPr>
        <w:t>云岩区</w:t>
      </w:r>
      <w:r>
        <w:rPr>
          <w:rFonts w:hint="eastAsia" w:cs="仿宋_GB2312"/>
          <w:kern w:val="0"/>
          <w:highlight w:val="none"/>
        </w:rPr>
        <w:t>局根据项目实际情况设置项目绩效目标，一是，严格按照</w:t>
      </w:r>
      <w:r>
        <w:rPr>
          <w:rFonts w:hint="eastAsia" w:cs="仿宋_GB2312"/>
          <w:kern w:val="0"/>
          <w:highlight w:val="none"/>
          <w:lang w:val="en-US" w:eastAsia="zh-CN"/>
        </w:rPr>
        <w:t>云岩区预算绩效管理</w:t>
      </w:r>
      <w:r>
        <w:rPr>
          <w:rFonts w:hint="eastAsia" w:cs="仿宋_GB2312"/>
          <w:kern w:val="0"/>
          <w:highlight w:val="none"/>
        </w:rPr>
        <w:t>相关规定设置项目支出绩效目标，以便于评价项目的绩效目标实现情况；二是，应科学合理</w:t>
      </w:r>
      <w:r>
        <w:rPr>
          <w:rFonts w:hint="eastAsia" w:cs="仿宋_GB2312"/>
          <w:kern w:val="0"/>
          <w:highlight w:val="none"/>
          <w:lang w:val="en-US" w:eastAsia="zh-CN"/>
        </w:rPr>
        <w:t>将绩效目标分解未具体的绩效指标，并</w:t>
      </w:r>
      <w:r>
        <w:rPr>
          <w:rFonts w:hint="eastAsia" w:cs="仿宋_GB2312"/>
          <w:kern w:val="0"/>
          <w:highlight w:val="none"/>
        </w:rPr>
        <w:t>设置</w:t>
      </w:r>
      <w:r>
        <w:rPr>
          <w:rFonts w:hint="eastAsia" w:cs="仿宋_GB2312"/>
          <w:kern w:val="0"/>
          <w:highlight w:val="none"/>
          <w:lang w:val="en-US" w:eastAsia="zh-CN"/>
        </w:rPr>
        <w:t>相应的</w:t>
      </w:r>
      <w:r>
        <w:rPr>
          <w:rFonts w:hint="eastAsia" w:cs="仿宋_GB2312"/>
          <w:kern w:val="0"/>
          <w:highlight w:val="none"/>
        </w:rPr>
        <w:t>指标值，指标</w:t>
      </w:r>
      <w:r>
        <w:rPr>
          <w:rFonts w:hint="eastAsia" w:cs="仿宋_GB2312"/>
          <w:kern w:val="0"/>
          <w:highlight w:val="none"/>
          <w:lang w:val="en-US" w:eastAsia="zh-CN"/>
        </w:rPr>
        <w:t>和指标值应设置准确</w:t>
      </w:r>
      <w:r>
        <w:rPr>
          <w:rFonts w:hint="eastAsia" w:cs="仿宋_GB2312"/>
          <w:kern w:val="0"/>
          <w:highlight w:val="none"/>
        </w:rPr>
        <w:t>，</w:t>
      </w:r>
      <w:r>
        <w:rPr>
          <w:rFonts w:hint="eastAsia" w:cs="仿宋_GB2312"/>
          <w:kern w:val="0"/>
          <w:highlight w:val="none"/>
          <w:lang w:val="en-US" w:eastAsia="zh-CN"/>
        </w:rPr>
        <w:t>使</w:t>
      </w:r>
      <w:r>
        <w:rPr>
          <w:rFonts w:hint="eastAsia" w:cs="仿宋_GB2312"/>
          <w:kern w:val="0"/>
          <w:highlight w:val="none"/>
        </w:rPr>
        <w:t>绩效指标指标值一一对应，增强项目绩效指标科学性。</w:t>
      </w:r>
    </w:p>
    <w:p>
      <w:pPr>
        <w:numPr>
          <w:ilvl w:val="0"/>
          <w:numId w:val="0"/>
        </w:numPr>
        <w:ind w:firstLine="640" w:firstLineChars="200"/>
        <w:rPr>
          <w:rFonts w:hint="eastAsia"/>
          <w:lang w:val="en-US" w:eastAsia="zh-CN"/>
        </w:rPr>
      </w:pPr>
      <w:r>
        <w:rPr>
          <w:rFonts w:hint="eastAsia"/>
          <w:lang w:val="en-US" w:eastAsia="zh-CN"/>
        </w:rPr>
        <w:t>2</w:t>
      </w:r>
      <w:r>
        <w:rPr>
          <w:rFonts w:hint="eastAsia"/>
        </w:rPr>
        <w:t>．</w:t>
      </w:r>
      <w:r>
        <w:rPr>
          <w:rFonts w:hint="eastAsia"/>
          <w:lang w:val="en-US" w:eastAsia="zh-CN"/>
        </w:rPr>
        <w:t>科学编制项目预算</w:t>
      </w:r>
    </w:p>
    <w:p>
      <w:pPr>
        <w:numPr>
          <w:ilvl w:val="-1"/>
          <w:numId w:val="0"/>
        </w:numPr>
        <w:ind w:firstLine="640" w:firstLineChars="200"/>
      </w:pPr>
      <w:r>
        <w:rPr>
          <w:rFonts w:hint="eastAsia"/>
          <w:lang w:val="en-US" w:eastAsia="zh-CN"/>
        </w:rPr>
        <w:t>在编制项目预算方面</w:t>
      </w:r>
      <w:r>
        <w:rPr>
          <w:rFonts w:hint="eastAsia"/>
        </w:rPr>
        <w:t>，</w:t>
      </w:r>
      <w:r>
        <w:rPr>
          <w:rFonts w:hint="eastAsia"/>
          <w:lang w:val="en-US" w:eastAsia="zh-CN"/>
        </w:rPr>
        <w:t>建议云岩区商务局在以后年度类似项目的预算编制过程中，应</w:t>
      </w:r>
      <w:r>
        <w:rPr>
          <w:rFonts w:hint="eastAsia"/>
        </w:rPr>
        <w:t>对项目进行科学评估，</w:t>
      </w:r>
      <w:r>
        <w:rPr>
          <w:rFonts w:hint="eastAsia"/>
          <w:lang w:val="en-US" w:eastAsia="zh-CN"/>
        </w:rPr>
        <w:t>提供充分的测算依据</w:t>
      </w:r>
      <w:r>
        <w:rPr>
          <w:rFonts w:hint="eastAsia"/>
        </w:rPr>
        <w:t>确保投资额与工作任务相匹配</w:t>
      </w:r>
      <w:r>
        <w:rPr>
          <w:rFonts w:hint="eastAsia"/>
          <w:lang w:eastAsia="zh-CN"/>
        </w:rPr>
        <w:t>，</w:t>
      </w:r>
      <w:r>
        <w:rPr>
          <w:rFonts w:hint="eastAsia"/>
        </w:rPr>
        <w:t>根据实际情况对项目所需经费进行测算</w:t>
      </w:r>
      <w:r>
        <w:rPr>
          <w:rFonts w:hint="eastAsia"/>
          <w:lang w:eastAsia="zh-CN"/>
        </w:rPr>
        <w:t>。</w:t>
      </w:r>
    </w:p>
    <w:p>
      <w:pPr>
        <w:numPr>
          <w:ilvl w:val="0"/>
          <w:numId w:val="0"/>
        </w:numPr>
        <w:ind w:firstLine="640" w:firstLineChars="200"/>
        <w:rPr>
          <w:rFonts w:hint="eastAsia"/>
          <w:lang w:val="en-US" w:eastAsia="zh-CN"/>
        </w:rPr>
      </w:pPr>
      <w:r>
        <w:rPr>
          <w:rFonts w:hint="eastAsia"/>
          <w:lang w:val="en-US" w:eastAsia="zh-CN"/>
        </w:rPr>
        <w:t>3</w:t>
      </w:r>
      <w:r>
        <w:rPr>
          <w:rFonts w:hint="eastAsia"/>
        </w:rPr>
        <w:t>．</w:t>
      </w:r>
      <w:r>
        <w:rPr>
          <w:rFonts w:hint="eastAsia"/>
          <w:lang w:val="en-US" w:eastAsia="zh-CN"/>
        </w:rPr>
        <w:t>完善项目管理制度</w:t>
      </w:r>
    </w:p>
    <w:p>
      <w:pPr>
        <w:pStyle w:val="19"/>
        <w:numPr>
          <w:ilvl w:val="-1"/>
          <w:numId w:val="0"/>
        </w:numPr>
        <w:ind w:firstLine="640"/>
        <w:rPr>
          <w:rFonts w:hint="eastAsia"/>
          <w:lang w:val="en-US" w:eastAsia="zh-CN"/>
        </w:rPr>
      </w:pPr>
      <w:r>
        <w:rPr>
          <w:rFonts w:hint="eastAsia"/>
          <w:lang w:val="en-US" w:eastAsia="zh-CN"/>
        </w:rPr>
        <w:t>为保障项目实施过程规范，提高项目管理效能，建议在以后年度的类似项目中，应加强项目过程监督管理，工作方案中应当完善</w:t>
      </w:r>
      <w:r>
        <w:rPr>
          <w:rFonts w:hint="eastAsia" w:cs="仿宋_GB2312"/>
          <w:kern w:val="0"/>
          <w:highlight w:val="none"/>
          <w:lang w:val="en-US" w:eastAsia="zh-CN"/>
        </w:rPr>
        <w:t>风险防控</w:t>
      </w:r>
      <w:r>
        <w:rPr>
          <w:rFonts w:hint="eastAsia"/>
          <w:lang w:val="en-US" w:eastAsia="zh-CN"/>
        </w:rPr>
        <w:t>机制、反馈渠道和监督渠道，保障项目过程公平、透明、可回溯，提升财政资金使用效益。</w:t>
      </w:r>
    </w:p>
    <w:p/>
    <w:sectPr>
      <w:headerReference r:id="rId5" w:type="default"/>
      <w:footerReference r:id="rId6" w:type="default"/>
      <w:pgSz w:w="11906" w:h="16838"/>
      <w:pgMar w:top="1440" w:right="1803" w:bottom="1440" w:left="1803" w:header="851" w:footer="992" w:gutter="0"/>
      <w:pgNumType w:fmt="numberInDash"/>
      <w:cols w:space="0" w:num="1"/>
      <w:docGrid w:type="lines" w:linePitch="45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050AFF0-DE03-4612-A746-8E25004C9B56}"/>
  </w:font>
  <w:font w:name="仿宋_GB2312">
    <w:altName w:val="仿宋"/>
    <w:panose1 w:val="02010609030101010101"/>
    <w:charset w:val="86"/>
    <w:family w:val="modern"/>
    <w:pitch w:val="default"/>
    <w:sig w:usb0="00000000" w:usb1="00000000" w:usb2="00000000" w:usb3="00000000" w:csb0="00040000" w:csb1="00000000"/>
    <w:embedRegular r:id="rId2" w:fontKey="{5A256D81-DFC3-4E20-BDC8-F6305FE0CD61}"/>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4303BFB9-F107-4FDB-B6B9-B6CF04D82B48}"/>
  </w:font>
  <w:font w:name="仿宋">
    <w:panose1 w:val="02010609060101010101"/>
    <w:charset w:val="86"/>
    <w:family w:val="modern"/>
    <w:pitch w:val="default"/>
    <w:sig w:usb0="800002BF" w:usb1="38CF7CFA" w:usb2="00000016" w:usb3="00000000" w:csb0="00040001" w:csb1="00000000"/>
    <w:embedRegular r:id="rId4" w:fontKey="{69A90B67-E29B-4C65-81AE-4C1AC864DA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1</w:t>
                          </w:r>
                          <w:r>
                            <w:rPr>
                              <w:sz w:val="24"/>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9"/>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1</w:t>
                    </w:r>
                    <w:r>
                      <w:rPr>
                        <w:sz w:val="24"/>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561A77"/>
    <w:multiLevelType w:val="singleLevel"/>
    <w:tmpl w:val="36561A7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xZTJlOWJiZjE1ZDk1ZDVkNmVjZTQzZjMwYmZhOTcifQ=="/>
  </w:docVars>
  <w:rsids>
    <w:rsidRoot w:val="2E566913"/>
    <w:rsid w:val="0003543E"/>
    <w:rsid w:val="000E0A31"/>
    <w:rsid w:val="001C37ED"/>
    <w:rsid w:val="002145A0"/>
    <w:rsid w:val="00250213"/>
    <w:rsid w:val="0030564B"/>
    <w:rsid w:val="00354465"/>
    <w:rsid w:val="00391F45"/>
    <w:rsid w:val="00480DC0"/>
    <w:rsid w:val="0053755F"/>
    <w:rsid w:val="005A2D75"/>
    <w:rsid w:val="005C7BC0"/>
    <w:rsid w:val="006F0AFF"/>
    <w:rsid w:val="00717826"/>
    <w:rsid w:val="007B7169"/>
    <w:rsid w:val="007D329D"/>
    <w:rsid w:val="007E7EB6"/>
    <w:rsid w:val="00802E27"/>
    <w:rsid w:val="00860F62"/>
    <w:rsid w:val="008660A0"/>
    <w:rsid w:val="00892B4F"/>
    <w:rsid w:val="008A54B5"/>
    <w:rsid w:val="009537C4"/>
    <w:rsid w:val="009720B7"/>
    <w:rsid w:val="00A4167A"/>
    <w:rsid w:val="00AC0A3B"/>
    <w:rsid w:val="00B90D6B"/>
    <w:rsid w:val="00BD614E"/>
    <w:rsid w:val="00C97735"/>
    <w:rsid w:val="00CC035E"/>
    <w:rsid w:val="00D236DD"/>
    <w:rsid w:val="00D31E74"/>
    <w:rsid w:val="00DB746D"/>
    <w:rsid w:val="00E12452"/>
    <w:rsid w:val="00EE7FEC"/>
    <w:rsid w:val="00F2459A"/>
    <w:rsid w:val="00F603DE"/>
    <w:rsid w:val="00FD021B"/>
    <w:rsid w:val="02B64B27"/>
    <w:rsid w:val="04CF3341"/>
    <w:rsid w:val="067B0665"/>
    <w:rsid w:val="075A6FC4"/>
    <w:rsid w:val="083F71D0"/>
    <w:rsid w:val="085E52D4"/>
    <w:rsid w:val="08B57995"/>
    <w:rsid w:val="08CE2B07"/>
    <w:rsid w:val="09DC4C53"/>
    <w:rsid w:val="0A6E6ABA"/>
    <w:rsid w:val="0A724AC2"/>
    <w:rsid w:val="0AF455F3"/>
    <w:rsid w:val="0BAA786D"/>
    <w:rsid w:val="0BC35C62"/>
    <w:rsid w:val="0C83533E"/>
    <w:rsid w:val="0CA15394"/>
    <w:rsid w:val="127D2A20"/>
    <w:rsid w:val="13014103"/>
    <w:rsid w:val="13253B26"/>
    <w:rsid w:val="13A37B19"/>
    <w:rsid w:val="17050190"/>
    <w:rsid w:val="19B35CD6"/>
    <w:rsid w:val="1A7B623E"/>
    <w:rsid w:val="1A894643"/>
    <w:rsid w:val="1A9201C4"/>
    <w:rsid w:val="1AC558A3"/>
    <w:rsid w:val="1B1E4B60"/>
    <w:rsid w:val="1B5D17C1"/>
    <w:rsid w:val="1B691402"/>
    <w:rsid w:val="1BD50AC9"/>
    <w:rsid w:val="1F323382"/>
    <w:rsid w:val="1F680E7C"/>
    <w:rsid w:val="1FEC3E9F"/>
    <w:rsid w:val="20730A5A"/>
    <w:rsid w:val="232E0F5A"/>
    <w:rsid w:val="24D76B1E"/>
    <w:rsid w:val="28C317C1"/>
    <w:rsid w:val="28EE6FFD"/>
    <w:rsid w:val="2A82296D"/>
    <w:rsid w:val="2D58228E"/>
    <w:rsid w:val="2D89524A"/>
    <w:rsid w:val="2E273A03"/>
    <w:rsid w:val="2E566913"/>
    <w:rsid w:val="320B5AD5"/>
    <w:rsid w:val="3348187C"/>
    <w:rsid w:val="338B68C1"/>
    <w:rsid w:val="33F507F3"/>
    <w:rsid w:val="344631FC"/>
    <w:rsid w:val="36D950D7"/>
    <w:rsid w:val="3A5F26B0"/>
    <w:rsid w:val="3B7E5B78"/>
    <w:rsid w:val="3C2110E6"/>
    <w:rsid w:val="3C46083A"/>
    <w:rsid w:val="3D7F734E"/>
    <w:rsid w:val="3E0916B3"/>
    <w:rsid w:val="3F280481"/>
    <w:rsid w:val="3F415DCE"/>
    <w:rsid w:val="3F883A12"/>
    <w:rsid w:val="41F260AC"/>
    <w:rsid w:val="44397D6D"/>
    <w:rsid w:val="45F41306"/>
    <w:rsid w:val="460A2D17"/>
    <w:rsid w:val="48552326"/>
    <w:rsid w:val="4C2E4161"/>
    <w:rsid w:val="4C3021B9"/>
    <w:rsid w:val="4E8B1FE2"/>
    <w:rsid w:val="4F2F51D6"/>
    <w:rsid w:val="500C5ABD"/>
    <w:rsid w:val="50E801A9"/>
    <w:rsid w:val="51524A82"/>
    <w:rsid w:val="51F952FE"/>
    <w:rsid w:val="52135A3C"/>
    <w:rsid w:val="52816FA9"/>
    <w:rsid w:val="558073B2"/>
    <w:rsid w:val="575471E9"/>
    <w:rsid w:val="581E63D5"/>
    <w:rsid w:val="5C056C63"/>
    <w:rsid w:val="5D343EBD"/>
    <w:rsid w:val="5E392465"/>
    <w:rsid w:val="5EF976CC"/>
    <w:rsid w:val="605C41F9"/>
    <w:rsid w:val="614F287F"/>
    <w:rsid w:val="63496724"/>
    <w:rsid w:val="63E83437"/>
    <w:rsid w:val="64762FA0"/>
    <w:rsid w:val="668F277E"/>
    <w:rsid w:val="66BA5FC2"/>
    <w:rsid w:val="67D43646"/>
    <w:rsid w:val="68A56E00"/>
    <w:rsid w:val="68BC09AA"/>
    <w:rsid w:val="6BDF1794"/>
    <w:rsid w:val="6C4225BF"/>
    <w:rsid w:val="6ED5114B"/>
    <w:rsid w:val="706F57C5"/>
    <w:rsid w:val="70A94E25"/>
    <w:rsid w:val="70FD02FA"/>
    <w:rsid w:val="71F5708C"/>
    <w:rsid w:val="731B5B5E"/>
    <w:rsid w:val="7437610E"/>
    <w:rsid w:val="751F324F"/>
    <w:rsid w:val="75214A98"/>
    <w:rsid w:val="75912F6C"/>
    <w:rsid w:val="75F85B68"/>
    <w:rsid w:val="77F019A4"/>
    <w:rsid w:val="79235DDD"/>
    <w:rsid w:val="7D640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8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link w:val="20"/>
    <w:qFormat/>
    <w:uiPriority w:val="0"/>
    <w:pPr>
      <w:keepNext/>
      <w:keepLines/>
      <w:spacing w:before="120" w:after="120"/>
      <w:ind w:firstLine="200"/>
      <w:outlineLvl w:val="0"/>
    </w:pPr>
    <w:rPr>
      <w:rFonts w:eastAsia="黑体"/>
      <w:bCs/>
      <w:kern w:val="44"/>
      <w:szCs w:val="44"/>
    </w:rPr>
  </w:style>
  <w:style w:type="paragraph" w:styleId="4">
    <w:name w:val="heading 2"/>
    <w:basedOn w:val="3"/>
    <w:next w:val="5"/>
    <w:qFormat/>
    <w:uiPriority w:val="0"/>
    <w:pPr>
      <w:keepNext/>
      <w:keepLines/>
      <w:spacing w:before="120" w:after="60"/>
      <w:ind w:firstLine="200"/>
      <w:outlineLvl w:val="1"/>
    </w:pPr>
    <w:rPr>
      <w:rFonts w:ascii="等线 Light" w:hAnsi="等线 Light" w:eastAsia="楷体"/>
      <w:b/>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556"/>
    </w:pPr>
    <w:rPr>
      <w:rFonts w:cs="仿宋_GB2312"/>
      <w:kern w:val="0"/>
    </w:rPr>
  </w:style>
  <w:style w:type="paragraph" w:styleId="5">
    <w:name w:val="Body Text"/>
    <w:basedOn w:val="1"/>
    <w:qFormat/>
    <w:uiPriority w:val="0"/>
    <w:pPr>
      <w:spacing w:after="120"/>
    </w:pPr>
    <w:rPr>
      <w:rFonts w:cs="Times New Roman"/>
    </w:rPr>
  </w:style>
  <w:style w:type="paragraph" w:styleId="6">
    <w:name w:val="annotation text"/>
    <w:basedOn w:val="1"/>
    <w:autoRedefine/>
    <w:qFormat/>
    <w:uiPriority w:val="0"/>
    <w:pPr>
      <w:jc w:val="left"/>
    </w:pPr>
  </w:style>
  <w:style w:type="paragraph" w:styleId="7">
    <w:name w:val="Body Text Indent"/>
    <w:basedOn w:val="1"/>
    <w:qFormat/>
    <w:uiPriority w:val="0"/>
    <w:pPr>
      <w:spacing w:after="120"/>
      <w:ind w:left="420" w:leftChars="200"/>
    </w:pPr>
  </w:style>
  <w:style w:type="paragraph" w:styleId="8">
    <w:name w:val="Balloon Text"/>
    <w:basedOn w:val="1"/>
    <w:link w:val="27"/>
    <w:qFormat/>
    <w:uiPriority w:val="0"/>
    <w:pPr>
      <w:spacing w:line="240" w:lineRule="auto"/>
    </w:pPr>
    <w:rPr>
      <w:sz w:val="18"/>
      <w:szCs w:val="18"/>
    </w:rPr>
  </w:style>
  <w:style w:type="paragraph" w:styleId="9">
    <w:name w:val="footer"/>
    <w:basedOn w:val="1"/>
    <w:next w:val="10"/>
    <w:qFormat/>
    <w:uiPriority w:val="0"/>
    <w:pPr>
      <w:tabs>
        <w:tab w:val="center" w:pos="4153"/>
        <w:tab w:val="right" w:pos="8306"/>
      </w:tabs>
      <w:snapToGrid w:val="0"/>
      <w:jc w:val="left"/>
    </w:pPr>
    <w:rPr>
      <w:sz w:val="18"/>
    </w:rPr>
  </w:style>
  <w:style w:type="paragraph" w:styleId="10">
    <w:name w:val="Normal (Web)"/>
    <w:basedOn w:val="1"/>
    <w:next w:val="9"/>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1">
    <w:name w:val="header"/>
    <w:basedOn w:val="1"/>
    <w:link w:val="29"/>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table" w:styleId="15">
    <w:name w:val="Table Grid"/>
    <w:basedOn w:val="14"/>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rPr>
  </w:style>
  <w:style w:type="paragraph" w:customStyle="1" w:styleId="18">
    <w:name w:val="表头"/>
    <w:basedOn w:val="1"/>
    <w:qFormat/>
    <w:uiPriority w:val="0"/>
    <w:pPr>
      <w:spacing w:line="240" w:lineRule="auto"/>
      <w:ind w:firstLine="0" w:firstLineChars="0"/>
      <w:jc w:val="center"/>
    </w:pPr>
    <w:rPr>
      <w:rFonts w:eastAsia="黑体"/>
      <w:sz w:val="24"/>
    </w:rPr>
  </w:style>
  <w:style w:type="paragraph" w:customStyle="1" w:styleId="19">
    <w:name w:val="报告正文"/>
    <w:basedOn w:val="1"/>
    <w:next w:val="7"/>
    <w:qFormat/>
    <w:uiPriority w:val="0"/>
    <w:pPr>
      <w:ind w:firstLine="643"/>
    </w:pPr>
  </w:style>
  <w:style w:type="character" w:customStyle="1" w:styleId="20">
    <w:name w:val="标题 1 Char"/>
    <w:link w:val="3"/>
    <w:qFormat/>
    <w:uiPriority w:val="9"/>
    <w:rPr>
      <w:rFonts w:eastAsia="黑体"/>
      <w:bCs/>
      <w:kern w:val="44"/>
      <w:szCs w:val="44"/>
    </w:rPr>
  </w:style>
  <w:style w:type="character" w:customStyle="1" w:styleId="21">
    <w:name w:val="font121"/>
    <w:basedOn w:val="16"/>
    <w:qFormat/>
    <w:uiPriority w:val="0"/>
    <w:rPr>
      <w:rFonts w:hint="eastAsia" w:ascii="宋体" w:hAnsi="宋体" w:eastAsia="宋体" w:cs="宋体"/>
      <w:b/>
      <w:color w:val="000000"/>
      <w:sz w:val="40"/>
      <w:szCs w:val="40"/>
      <w:u w:val="none"/>
    </w:rPr>
  </w:style>
  <w:style w:type="character" w:customStyle="1" w:styleId="22">
    <w:name w:val="font91"/>
    <w:basedOn w:val="16"/>
    <w:autoRedefine/>
    <w:qFormat/>
    <w:uiPriority w:val="0"/>
    <w:rPr>
      <w:rFonts w:hint="eastAsia" w:ascii="宋体" w:hAnsi="宋体" w:eastAsia="宋体" w:cs="宋体"/>
      <w:b/>
      <w:color w:val="000000"/>
      <w:sz w:val="32"/>
      <w:szCs w:val="32"/>
      <w:u w:val="none"/>
    </w:rPr>
  </w:style>
  <w:style w:type="character" w:customStyle="1" w:styleId="23">
    <w:name w:val="font21"/>
    <w:basedOn w:val="16"/>
    <w:qFormat/>
    <w:uiPriority w:val="0"/>
    <w:rPr>
      <w:rFonts w:hint="eastAsia" w:ascii="宋体" w:hAnsi="宋体" w:eastAsia="宋体" w:cs="宋体"/>
      <w:b/>
      <w:color w:val="000000"/>
      <w:sz w:val="24"/>
      <w:szCs w:val="24"/>
      <w:u w:val="none"/>
    </w:rPr>
  </w:style>
  <w:style w:type="character" w:customStyle="1" w:styleId="24">
    <w:name w:val="font81"/>
    <w:basedOn w:val="16"/>
    <w:qFormat/>
    <w:uiPriority w:val="0"/>
    <w:rPr>
      <w:rFonts w:hint="eastAsia" w:ascii="宋体" w:hAnsi="宋体" w:eastAsia="宋体" w:cs="宋体"/>
      <w:b/>
      <w:color w:val="000000"/>
      <w:sz w:val="24"/>
      <w:szCs w:val="24"/>
      <w:u w:val="none"/>
    </w:rPr>
  </w:style>
  <w:style w:type="character" w:customStyle="1" w:styleId="25">
    <w:name w:val="font41"/>
    <w:basedOn w:val="16"/>
    <w:qFormat/>
    <w:uiPriority w:val="0"/>
    <w:rPr>
      <w:rFonts w:hint="eastAsia" w:ascii="宋体" w:hAnsi="宋体" w:eastAsia="宋体" w:cs="宋体"/>
      <w:color w:val="000000"/>
      <w:sz w:val="24"/>
      <w:szCs w:val="24"/>
      <w:u w:val="none"/>
    </w:rPr>
  </w:style>
  <w:style w:type="character" w:customStyle="1" w:styleId="26">
    <w:name w:val="font61"/>
    <w:basedOn w:val="16"/>
    <w:qFormat/>
    <w:uiPriority w:val="0"/>
    <w:rPr>
      <w:rFonts w:hint="eastAsia" w:ascii="宋体" w:hAnsi="宋体" w:eastAsia="宋体" w:cs="宋体"/>
      <w:color w:val="000000"/>
      <w:sz w:val="24"/>
      <w:szCs w:val="24"/>
      <w:u w:val="none"/>
    </w:rPr>
  </w:style>
  <w:style w:type="character" w:customStyle="1" w:styleId="27">
    <w:name w:val="批注框文本 Char"/>
    <w:basedOn w:val="16"/>
    <w:link w:val="8"/>
    <w:qFormat/>
    <w:uiPriority w:val="0"/>
    <w:rPr>
      <w:rFonts w:eastAsia="仿宋_GB2312"/>
      <w:kern w:val="2"/>
      <w:sz w:val="18"/>
      <w:szCs w:val="18"/>
    </w:rPr>
  </w:style>
  <w:style w:type="paragraph" w:styleId="28">
    <w:name w:val="List Paragraph"/>
    <w:basedOn w:val="1"/>
    <w:autoRedefine/>
    <w:unhideWhenUsed/>
    <w:qFormat/>
    <w:uiPriority w:val="99"/>
    <w:pPr>
      <w:ind w:firstLine="420"/>
    </w:pPr>
  </w:style>
  <w:style w:type="character" w:customStyle="1" w:styleId="29">
    <w:name w:val="页眉 Char"/>
    <w:basedOn w:val="16"/>
    <w:link w:val="11"/>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DFD939-F154-480B-B344-C5EA40DC2ABE}">
  <ds:schemaRefs/>
</ds:datastoreItem>
</file>

<file path=docProps/app.xml><?xml version="1.0" encoding="utf-8"?>
<Properties xmlns="http://schemas.openxmlformats.org/officeDocument/2006/extended-properties" xmlns:vt="http://schemas.openxmlformats.org/officeDocument/2006/docPropsVTypes">
  <Template>Normal</Template>
  <Pages>46</Pages>
  <Words>4635</Words>
  <Characters>26424</Characters>
  <Lines>220</Lines>
  <Paragraphs>61</Paragraphs>
  <TotalTime>1</TotalTime>
  <ScaleCrop>false</ScaleCrop>
  <LinksUpToDate>false</LinksUpToDate>
  <CharactersWithSpaces>30998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2020-08-19T07:17:00Z</dcterms:created>
  <dc:creator>万岁爷de故事</dc:creator>
  <cp:lastModifiedBy>断尾的猫</cp:lastModifiedBy>
  <dcterms:modified xsi:type="dcterms:W3CDTF">2024-01-12T06:22:10Z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1675902B8B5A42EB8CAA49D84FDE1D90</vt:lpwstr>
  </property>
</Properties>
</file>