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简体" w:hAnsi="方正小标宋简体" w:eastAsia="方正小标宋简体" w:cs="方正小标宋简体"/>
          <w:sz w:val="36"/>
          <w:szCs w:val="36"/>
          <w:lang w:val="en-US" w:eastAsia="zh-CN"/>
        </w:rPr>
      </w:pPr>
      <w:bookmarkStart w:id="0" w:name="_Toc12299"/>
      <w:bookmarkStart w:id="1" w:name="_Toc14128"/>
      <w:bookmarkStart w:id="2" w:name="_Toc6323"/>
      <w:bookmarkStart w:id="3" w:name="_Toc8778"/>
      <w:bookmarkStart w:id="4" w:name="_Toc24412"/>
      <w:bookmarkStart w:id="5" w:name="_Toc27765"/>
      <w:r>
        <w:rPr>
          <w:rFonts w:hint="eastAsia" w:eastAsia="方正小标宋简体" w:cs="Times New Roman"/>
          <w:sz w:val="36"/>
          <w:szCs w:val="36"/>
          <w:lang w:val="en-US" w:eastAsia="zh-CN"/>
        </w:rPr>
        <w:t>2020</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云岩区区级公共文化建设</w:t>
      </w:r>
      <w:r>
        <w:rPr>
          <w:rFonts w:hint="eastAsia" w:ascii="方正小标宋简体" w:hAnsi="方正小标宋简体" w:eastAsia="方正小标宋简体" w:cs="方正小标宋简体"/>
          <w:sz w:val="36"/>
          <w:szCs w:val="36"/>
        </w:rPr>
        <w:t>项目</w:t>
      </w:r>
      <w:bookmarkStart w:id="6" w:name="_Toc11049"/>
      <w:r>
        <w:rPr>
          <w:rFonts w:hint="eastAsia" w:ascii="方正小标宋简体" w:hAnsi="方正小标宋简体" w:eastAsia="方正小标宋简体" w:cs="方正小标宋简体"/>
          <w:sz w:val="36"/>
          <w:szCs w:val="36"/>
          <w:lang w:val="en-US" w:eastAsia="zh-CN"/>
        </w:rPr>
        <w:t>预算</w:t>
      </w:r>
    </w:p>
    <w:p>
      <w:pPr>
        <w:ind w:firstLine="0" w:firstLineChars="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财政支出</w:t>
      </w:r>
      <w:r>
        <w:rPr>
          <w:rFonts w:hint="eastAsia" w:ascii="方正小标宋简体" w:hAnsi="方正小标宋简体" w:eastAsia="方正小标宋简体" w:cs="方正小标宋简体"/>
          <w:sz w:val="36"/>
          <w:szCs w:val="36"/>
        </w:rPr>
        <w:t>绩效评价报告</w:t>
      </w:r>
      <w:bookmarkEnd w:id="6"/>
    </w:p>
    <w:p>
      <w:pPr>
        <w:pStyle w:val="2"/>
        <w:ind w:firstLine="640"/>
        <w:jc w:val="center"/>
      </w:pPr>
    </w:p>
    <w:p>
      <w:pPr>
        <w:pStyle w:val="3"/>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color w:val="000000"/>
          <w:sz w:val="32"/>
          <w:szCs w:val="44"/>
          <w:lang w:val="en-US" w:eastAsia="zh-CN"/>
        </w:rPr>
      </w:pPr>
      <w:bookmarkStart w:id="7" w:name="_Toc26055"/>
      <w:r>
        <w:rPr>
          <w:rFonts w:hint="eastAsia" w:ascii="Times New Roman" w:hAnsi="Times New Roman" w:cs="Times New Roman"/>
          <w:color w:val="000000"/>
          <w:sz w:val="32"/>
          <w:szCs w:val="44"/>
          <w:lang w:val="en-US" w:eastAsia="zh-CN"/>
        </w:rPr>
        <w:t>一、项目基本情况</w:t>
      </w:r>
      <w:bookmarkEnd w:id="0"/>
      <w:bookmarkEnd w:id="1"/>
      <w:bookmarkEnd w:id="2"/>
      <w:bookmarkEnd w:id="7"/>
    </w:p>
    <w:p>
      <w:pPr>
        <w:pStyle w:val="4"/>
        <w:keepNext/>
        <w:keepLines/>
        <w:pageBreakBefore w:val="0"/>
        <w:widowControl w:val="0"/>
        <w:kinsoku/>
        <w:wordWrap/>
        <w:overflowPunct/>
        <w:topLinePunct w:val="0"/>
        <w:autoSpaceDE/>
        <w:autoSpaceDN/>
        <w:bidi w:val="0"/>
        <w:adjustRightInd/>
        <w:snapToGrid/>
        <w:textAlignment w:val="auto"/>
        <w:rPr>
          <w:rFonts w:hint="eastAsia"/>
          <w:lang w:val="en-US" w:eastAsia="zh-CN"/>
        </w:rPr>
      </w:pPr>
      <w:bookmarkStart w:id="8" w:name="_Toc2822"/>
      <w:bookmarkStart w:id="9" w:name="_Toc7900"/>
      <w:bookmarkStart w:id="10" w:name="_Toc1875"/>
      <w:bookmarkStart w:id="11" w:name="_Toc18487"/>
      <w:r>
        <w:rPr>
          <w:rFonts w:hint="eastAsia"/>
          <w:lang w:eastAsia="zh-CN"/>
        </w:rPr>
        <w:t>（</w:t>
      </w:r>
      <w:r>
        <w:rPr>
          <w:rFonts w:hint="eastAsia"/>
          <w:lang w:val="en-US" w:eastAsia="zh-CN"/>
        </w:rPr>
        <w:t>一</w:t>
      </w:r>
      <w:r>
        <w:rPr>
          <w:rFonts w:hint="eastAsia"/>
          <w:lang w:eastAsia="zh-CN"/>
        </w:rPr>
        <w:t>）</w:t>
      </w:r>
      <w:r>
        <w:rPr>
          <w:rFonts w:hint="eastAsia"/>
          <w:lang w:val="en-US" w:eastAsia="zh-CN"/>
        </w:rPr>
        <w:t>项目背景及依据</w:t>
      </w:r>
      <w:bookmarkEnd w:id="8"/>
      <w:bookmarkEnd w:id="9"/>
      <w:bookmarkEnd w:id="10"/>
      <w:bookmarkEnd w:id="11"/>
    </w:p>
    <w:p>
      <w:pPr>
        <w:bidi w:val="0"/>
        <w:rPr>
          <w:rFonts w:hint="default"/>
          <w:lang w:val="en-US" w:eastAsia="zh-CN"/>
        </w:rPr>
      </w:pPr>
      <w:r>
        <w:rPr>
          <w:rFonts w:hint="eastAsia"/>
          <w:lang w:val="en-US" w:eastAsia="zh-CN"/>
        </w:rPr>
        <w:t>1．立项背景</w:t>
      </w:r>
    </w:p>
    <w:p>
      <w:pPr>
        <w:bidi w:val="0"/>
        <w:rPr>
          <w:rFonts w:hint="default"/>
          <w:lang w:val="en-US" w:eastAsia="zh-CN"/>
        </w:rPr>
      </w:pPr>
      <w:r>
        <w:rPr>
          <w:rFonts w:hint="eastAsia" w:hAnsi="仿宋_GB2312"/>
          <w:color w:val="000000"/>
          <w:kern w:val="0"/>
          <w:lang w:val="en-US" w:eastAsia="zh-CN"/>
        </w:rPr>
        <w:t>为</w:t>
      </w:r>
      <w:r>
        <w:rPr>
          <w:rFonts w:hAnsi="仿宋_GB2312"/>
          <w:color w:val="000000"/>
          <w:kern w:val="0"/>
        </w:rPr>
        <w:t>深入贯彻习近平总书记系列重要讲话精神，紧密结合市委、市政府各项重大决策部署，以保障人民群众的基本文化权益和激发</w:t>
      </w:r>
      <w:r>
        <w:rPr>
          <w:rFonts w:hint="eastAsia" w:hAnsi="仿宋_GB2312"/>
          <w:color w:val="000000"/>
          <w:kern w:val="0"/>
          <w:lang w:val="en-US" w:eastAsia="zh-CN"/>
        </w:rPr>
        <w:t>公共</w:t>
      </w:r>
      <w:r>
        <w:rPr>
          <w:rFonts w:hAnsi="仿宋_GB2312"/>
          <w:color w:val="000000"/>
          <w:kern w:val="0"/>
        </w:rPr>
        <w:t>文化创造活力为根本，以强化文化资源整合、创新文化管理机制、提升文化服务效能为重点，</w:t>
      </w:r>
      <w:r>
        <w:rPr>
          <w:rFonts w:hAnsi="仿宋_GB2312"/>
          <w:kern w:val="0"/>
        </w:rPr>
        <w:t>因地制宜推进基层综合性文化服务中心建设。把服务群众同教育引导群众结合起来，把满足需求同提高素养结合起来，促进基本公共文化服务标准化均衡化，使基层公共文化服务得到全面加强和提升</w:t>
      </w:r>
      <w:r>
        <w:rPr>
          <w:rFonts w:hint="eastAsia"/>
          <w:lang w:val="en-US" w:eastAsia="zh-CN"/>
        </w:rPr>
        <w:t>。</w:t>
      </w:r>
    </w:p>
    <w:p>
      <w:pPr>
        <w:bidi w:val="0"/>
        <w:rPr>
          <w:rFonts w:hint="eastAsia"/>
        </w:rPr>
      </w:pPr>
      <w:r>
        <w:rPr>
          <w:rFonts w:hint="eastAsia"/>
          <w:lang w:val="en-US" w:eastAsia="zh-CN"/>
        </w:rPr>
        <w:t>2．项目立项依据</w:t>
      </w:r>
    </w:p>
    <w:p>
      <w:pPr>
        <w:bidi w:val="0"/>
        <w:rPr>
          <w:rFonts w:hint="default" w:eastAsia="仿宋_GB2312"/>
          <w:lang w:val="en-US" w:eastAsia="zh-CN"/>
        </w:rPr>
      </w:pPr>
      <w:r>
        <w:rPr>
          <w:color w:val="000000"/>
          <w:kern w:val="0"/>
        </w:rPr>
        <w:t>为贯彻落实《国务院办公厅关于推进基层综合性文化服务中心建设的指导意见》（国办发〔2015〕74号）</w:t>
      </w:r>
      <w:r>
        <w:rPr>
          <w:rFonts w:hint="eastAsia"/>
          <w:color w:val="000000"/>
          <w:kern w:val="0"/>
          <w:lang w:eastAsia="zh-CN"/>
        </w:rPr>
        <w:t>、</w:t>
      </w:r>
      <w:r>
        <w:rPr>
          <w:color w:val="000000"/>
          <w:kern w:val="0"/>
        </w:rPr>
        <w:t>《省人民政府办公厅关于印发贵州省推进基层综合性文化服务中心建设实施方案的通知》（黔府办函</w:t>
      </w:r>
      <w:r>
        <w:t>〔2017〕117号</w:t>
      </w:r>
      <w:r>
        <w:rPr>
          <w:color w:val="000000"/>
          <w:kern w:val="0"/>
        </w:rPr>
        <w:t>）</w:t>
      </w:r>
      <w:r>
        <w:rPr>
          <w:rFonts w:hint="eastAsia"/>
          <w:color w:val="000000"/>
          <w:kern w:val="0"/>
          <w:lang w:eastAsia="zh-CN"/>
        </w:rPr>
        <w:t>、</w:t>
      </w:r>
      <w:r>
        <w:rPr>
          <w:color w:val="000000"/>
          <w:kern w:val="0"/>
        </w:rPr>
        <w:t>《贵阳市推进基层综合性文化服务中心建设实施方案》</w:t>
      </w:r>
      <w:r>
        <w:t>（筑府办函〔2018〕68号）</w:t>
      </w:r>
      <w:r>
        <w:rPr>
          <w:rFonts w:hint="eastAsia"/>
          <w:lang w:val="en-US" w:eastAsia="zh-CN"/>
        </w:rPr>
        <w:t>等</w:t>
      </w:r>
      <w:r>
        <w:rPr>
          <w:kern w:val="0"/>
        </w:rPr>
        <w:t>文件精神，</w:t>
      </w:r>
      <w:r>
        <w:rPr>
          <w:color w:val="000000"/>
          <w:kern w:val="0"/>
        </w:rPr>
        <w:t>推进</w:t>
      </w:r>
      <w:r>
        <w:rPr>
          <w:rFonts w:hint="eastAsia"/>
          <w:color w:val="000000"/>
          <w:kern w:val="0"/>
          <w:lang w:val="en-US" w:eastAsia="zh-CN"/>
        </w:rPr>
        <w:t>云岩</w:t>
      </w:r>
      <w:r>
        <w:rPr>
          <w:color w:val="000000"/>
          <w:kern w:val="0"/>
        </w:rPr>
        <w:t>区基层公共文化资源有效整合和统筹利用，切实提升基层公共文化设施建设、管理和服务水平</w:t>
      </w:r>
      <w:r>
        <w:rPr>
          <w:rFonts w:hint="eastAsia"/>
          <w:lang w:val="en-US" w:eastAsia="zh-CN"/>
        </w:rPr>
        <w:t>。</w:t>
      </w:r>
    </w:p>
    <w:bookmarkEnd w:id="3"/>
    <w:bookmarkEnd w:id="4"/>
    <w:bookmarkEnd w:id="5"/>
    <w:p>
      <w:pPr>
        <w:pStyle w:val="4"/>
        <w:keepNext/>
        <w:keepLines/>
        <w:pageBreakBefore w:val="0"/>
        <w:widowControl w:val="0"/>
        <w:kinsoku/>
        <w:wordWrap/>
        <w:overflowPunct/>
        <w:topLinePunct w:val="0"/>
        <w:autoSpaceDE/>
        <w:autoSpaceDN/>
        <w:bidi w:val="0"/>
        <w:adjustRightInd/>
        <w:snapToGrid/>
        <w:ind w:firstLine="643"/>
        <w:textAlignment w:val="auto"/>
        <w:rPr>
          <w:rFonts w:hint="eastAsia" w:ascii="Times New Roman" w:hAnsi="Times New Roman"/>
          <w:lang w:val="en-US" w:eastAsia="zh-CN"/>
        </w:rPr>
      </w:pPr>
      <w:bookmarkStart w:id="12" w:name="_Toc25586"/>
      <w:bookmarkStart w:id="13" w:name="_Toc21437"/>
      <w:bookmarkStart w:id="14" w:name="_Toc5989"/>
      <w:bookmarkStart w:id="15" w:name="_Toc9184"/>
      <w:r>
        <w:rPr>
          <w:rFonts w:hint="eastAsia"/>
          <w:lang w:eastAsia="zh-CN"/>
        </w:rPr>
        <w:t>（</w:t>
      </w:r>
      <w:r>
        <w:rPr>
          <w:rFonts w:hint="eastAsia"/>
          <w:lang w:val="en-US" w:eastAsia="zh-CN"/>
        </w:rPr>
        <w:t>二</w:t>
      </w:r>
      <w:r>
        <w:rPr>
          <w:rFonts w:hint="eastAsia"/>
          <w:lang w:eastAsia="zh-CN"/>
        </w:rPr>
        <w:t>）</w:t>
      </w:r>
      <w:r>
        <w:rPr>
          <w:rFonts w:hint="eastAsia"/>
        </w:rPr>
        <w:t>项目实施内容</w:t>
      </w:r>
      <w:bookmarkEnd w:id="12"/>
      <w:bookmarkEnd w:id="13"/>
      <w:bookmarkEnd w:id="14"/>
      <w:bookmarkEnd w:id="15"/>
      <w:bookmarkStart w:id="16" w:name="_Toc66171911"/>
      <w:bookmarkStart w:id="17" w:name="_Toc8390"/>
      <w:bookmarkStart w:id="18" w:name="_Toc6159611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highlight w:val="none"/>
          <w:lang w:val="en-US" w:eastAsia="zh-CN"/>
        </w:rPr>
      </w:pPr>
      <w:r>
        <w:rPr>
          <w:rFonts w:hint="eastAsia"/>
          <w:highlight w:val="none"/>
          <w:lang w:val="en-US" w:eastAsia="zh-CN"/>
        </w:rPr>
        <w:t>区级公共文化建设项目2020年度主要工作内容为：完成特色文化校园建设2所、特色文化社区建设2所、多彩贵州文化云云岩建设</w:t>
      </w:r>
      <w:r>
        <w:rPr>
          <w:rFonts w:hint="eastAsia" w:ascii="Times New Roman" w:hAnsi="Times New Roman"/>
          <w:highlight w:val="none"/>
          <w:lang w:val="en-US" w:eastAsia="zh-CN"/>
        </w:rPr>
        <w:t>、</w:t>
      </w:r>
      <w:r>
        <w:rPr>
          <w:rFonts w:hint="eastAsia"/>
          <w:highlight w:val="none"/>
          <w:lang w:val="en-US" w:eastAsia="zh-CN"/>
        </w:rPr>
        <w:t>举办</w:t>
      </w:r>
      <w:r>
        <w:rPr>
          <w:rFonts w:hint="eastAsia" w:ascii="Times New Roman" w:hAnsi="Times New Roman"/>
          <w:highlight w:val="none"/>
          <w:lang w:val="en-US" w:eastAsia="zh-CN"/>
        </w:rPr>
        <w:t>各项文艺演出</w:t>
      </w:r>
      <w:r>
        <w:rPr>
          <w:rFonts w:hint="eastAsia"/>
          <w:highlight w:val="none"/>
          <w:lang w:val="en-US" w:eastAsia="zh-CN"/>
        </w:rPr>
        <w:t>10场及支付文化信息资源共享工程支中心网费</w:t>
      </w:r>
      <w:r>
        <w:rPr>
          <w:rFonts w:hint="eastAsia" w:ascii="Times New Roman" w:hAnsi="Times New Roman"/>
          <w:highlight w:val="none"/>
          <w:lang w:val="en-US" w:eastAsia="zh-CN"/>
        </w:rPr>
        <w:t>。</w:t>
      </w:r>
    </w:p>
    <w:bookmarkEnd w:id="16"/>
    <w:bookmarkEnd w:id="17"/>
    <w:bookmarkEnd w:id="18"/>
    <w:p>
      <w:pPr>
        <w:pStyle w:val="4"/>
        <w:keepNext/>
        <w:keepLines/>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eastAsia"/>
          <w:highlight w:val="none"/>
          <w:lang w:val="en-US" w:eastAsia="zh-CN"/>
        </w:rPr>
      </w:pPr>
      <w:bookmarkStart w:id="19" w:name="_Toc23982"/>
      <w:bookmarkStart w:id="20" w:name="_Toc9786"/>
      <w:bookmarkStart w:id="21" w:name="_Toc22550"/>
      <w:bookmarkStart w:id="22" w:name="_Toc10777"/>
      <w:r>
        <w:rPr>
          <w:rFonts w:hint="eastAsia"/>
          <w:highlight w:val="none"/>
          <w:lang w:eastAsia="zh-CN"/>
        </w:rPr>
        <w:t>（</w:t>
      </w:r>
      <w:r>
        <w:rPr>
          <w:rFonts w:hint="eastAsia"/>
          <w:highlight w:val="none"/>
          <w:lang w:val="en-US" w:eastAsia="zh-CN"/>
        </w:rPr>
        <w:t>三</w:t>
      </w:r>
      <w:r>
        <w:rPr>
          <w:rFonts w:hint="eastAsia"/>
          <w:highlight w:val="none"/>
          <w:lang w:eastAsia="zh-CN"/>
        </w:rPr>
        <w:t>）</w:t>
      </w:r>
      <w:r>
        <w:rPr>
          <w:rFonts w:hint="eastAsia"/>
          <w:highlight w:val="none"/>
        </w:rPr>
        <w:t>项目</w:t>
      </w:r>
      <w:r>
        <w:rPr>
          <w:rFonts w:hint="eastAsia"/>
          <w:highlight w:val="none"/>
          <w:lang w:val="en-US" w:eastAsia="zh-CN"/>
        </w:rPr>
        <w:t>预算安排及执行情况</w:t>
      </w:r>
      <w:bookmarkEnd w:id="19"/>
      <w:bookmarkEnd w:id="20"/>
      <w:bookmarkEnd w:id="21"/>
      <w:bookmarkEnd w:id="22"/>
    </w:p>
    <w:p>
      <w:pPr>
        <w:bidi w:val="0"/>
        <w:rPr>
          <w:rFonts w:hint="default"/>
          <w:highlight w:val="none"/>
          <w:lang w:val="en-US" w:eastAsia="zh-CN"/>
        </w:rPr>
      </w:pPr>
      <w:r>
        <w:rPr>
          <w:rFonts w:hint="eastAsia"/>
          <w:highlight w:val="none"/>
          <w:lang w:val="en-US" w:eastAsia="zh-CN"/>
        </w:rPr>
        <w:t>2020年年初申报项目预算77万元，根据《关于下达2020年财政预算指标通知》</w:t>
      </w:r>
      <w:r>
        <w:rPr>
          <w:color w:val="000000"/>
          <w:kern w:val="0"/>
          <w:highlight w:val="none"/>
        </w:rPr>
        <w:t>（</w:t>
      </w:r>
      <w:r>
        <w:rPr>
          <w:rFonts w:hint="eastAsia"/>
          <w:color w:val="000000"/>
          <w:kern w:val="0"/>
          <w:highlight w:val="none"/>
          <w:lang w:val="en-US" w:eastAsia="zh-CN"/>
        </w:rPr>
        <w:t>云财字</w:t>
      </w:r>
      <w:r>
        <w:rPr>
          <w:color w:val="000000"/>
          <w:kern w:val="0"/>
          <w:highlight w:val="none"/>
        </w:rPr>
        <w:t>〔</w:t>
      </w:r>
      <w:r>
        <w:rPr>
          <w:rFonts w:hint="eastAsia"/>
          <w:color w:val="000000"/>
          <w:kern w:val="0"/>
          <w:highlight w:val="none"/>
          <w:lang w:val="en-US" w:eastAsia="zh-CN"/>
        </w:rPr>
        <w:t>2020</w:t>
      </w:r>
      <w:r>
        <w:rPr>
          <w:color w:val="000000"/>
          <w:kern w:val="0"/>
          <w:highlight w:val="none"/>
        </w:rPr>
        <w:t>〕</w:t>
      </w:r>
      <w:r>
        <w:rPr>
          <w:rFonts w:hint="eastAsia"/>
          <w:color w:val="000000"/>
          <w:kern w:val="0"/>
          <w:highlight w:val="none"/>
          <w:lang w:val="en-US" w:eastAsia="zh-CN"/>
        </w:rPr>
        <w:t>92</w:t>
      </w:r>
      <w:r>
        <w:rPr>
          <w:color w:val="000000"/>
          <w:kern w:val="0"/>
          <w:highlight w:val="none"/>
        </w:rPr>
        <w:t>号）</w:t>
      </w:r>
      <w:r>
        <w:rPr>
          <w:rFonts w:hint="eastAsia"/>
          <w:color w:val="000000"/>
          <w:kern w:val="0"/>
          <w:highlight w:val="none"/>
          <w:lang w:val="en-US" w:eastAsia="zh-CN"/>
        </w:rPr>
        <w:t>文件，实际下达项目预算指标61.63万元，年中项目预算调减21.21万元，调整后的项目预算为40.42万元。实际</w:t>
      </w:r>
      <w:r>
        <w:rPr>
          <w:rFonts w:hint="eastAsia"/>
          <w:highlight w:val="none"/>
          <w:lang w:val="en-US" w:eastAsia="zh-CN"/>
        </w:rPr>
        <w:t>到位资金40.42万元，全年执行预算40.42万元，到位资金执行率100%。</w:t>
      </w:r>
    </w:p>
    <w:p>
      <w:pPr>
        <w:pStyle w:val="4"/>
        <w:keepNext/>
        <w:keepLines/>
        <w:pageBreakBefore w:val="0"/>
        <w:widowControl w:val="0"/>
        <w:kinsoku/>
        <w:wordWrap/>
        <w:overflowPunct/>
        <w:topLinePunct w:val="0"/>
        <w:autoSpaceDE/>
        <w:autoSpaceDN/>
        <w:bidi w:val="0"/>
        <w:adjustRightInd/>
        <w:snapToGrid/>
        <w:ind w:firstLine="643"/>
        <w:textAlignment w:val="auto"/>
        <w:rPr>
          <w:rFonts w:ascii="Times New Roman" w:hAnsi="Times New Roman"/>
        </w:rPr>
      </w:pPr>
      <w:bookmarkStart w:id="23" w:name="_Toc129"/>
      <w:bookmarkStart w:id="24" w:name="_Toc11335"/>
      <w:bookmarkStart w:id="25" w:name="_Toc17510"/>
      <w:r>
        <w:rPr>
          <w:rFonts w:ascii="Times New Roman" w:hAnsi="Times New Roman"/>
        </w:rPr>
        <w:t>（</w:t>
      </w:r>
      <w:r>
        <w:rPr>
          <w:rFonts w:hint="eastAsia" w:ascii="Times New Roman" w:hAnsi="Times New Roman"/>
          <w:lang w:val="en-US" w:eastAsia="zh-CN"/>
        </w:rPr>
        <w:t>四</w:t>
      </w:r>
      <w:r>
        <w:rPr>
          <w:rFonts w:ascii="Times New Roman" w:hAnsi="Times New Roman"/>
        </w:rPr>
        <w:t>）</w:t>
      </w:r>
      <w:r>
        <w:rPr>
          <w:rFonts w:hint="eastAsia" w:ascii="Times New Roman" w:hAnsi="Times New Roman"/>
        </w:rPr>
        <w:t>项目目标</w:t>
      </w:r>
      <w:bookmarkEnd w:id="23"/>
      <w:bookmarkEnd w:id="24"/>
      <w:bookmarkEnd w:id="25"/>
    </w:p>
    <w:p>
      <w:pPr>
        <w:bidi w:val="0"/>
        <w:rPr>
          <w:rFonts w:hint="eastAsia"/>
          <w:lang w:val="en-US" w:eastAsia="zh-CN"/>
        </w:rPr>
      </w:pPr>
      <w:bookmarkStart w:id="26" w:name="_Toc2475"/>
      <w:bookmarkStart w:id="27" w:name="_Toc11667"/>
      <w:bookmarkStart w:id="28" w:name="_Toc21683"/>
      <w:r>
        <w:rPr>
          <w:rFonts w:hint="eastAsia"/>
          <w:lang w:val="en-US" w:eastAsia="zh-CN"/>
        </w:rPr>
        <w:t>1．项目年度绩效目标</w:t>
      </w:r>
    </w:p>
    <w:p>
      <w:pPr>
        <w:bidi w:val="0"/>
        <w:rPr>
          <w:rFonts w:hint="eastAsia"/>
          <w:highlight w:val="none"/>
          <w:lang w:val="en-US" w:eastAsia="zh-CN"/>
        </w:rPr>
      </w:pPr>
      <w:r>
        <w:rPr>
          <w:rFonts w:hint="eastAsia"/>
          <w:highlight w:val="none"/>
          <w:lang w:val="en-US" w:eastAsia="zh-CN"/>
        </w:rPr>
        <w:t>目标一：支付2020年云岩区文化信息资源共享支中心网费，解决支中心上网问题。</w:t>
      </w:r>
    </w:p>
    <w:p>
      <w:pPr>
        <w:bidi w:val="0"/>
        <w:rPr>
          <w:rFonts w:hint="eastAsia"/>
          <w:highlight w:val="none"/>
          <w:lang w:val="en-US" w:eastAsia="zh-CN"/>
        </w:rPr>
      </w:pPr>
      <w:r>
        <w:rPr>
          <w:rFonts w:hint="eastAsia"/>
          <w:highlight w:val="none"/>
          <w:lang w:val="en-US" w:eastAsia="zh-CN"/>
        </w:rPr>
        <w:t>目标二：2020年完成特色文化校园建设2所、特色文化社区建设2所。</w:t>
      </w:r>
    </w:p>
    <w:p>
      <w:pPr>
        <w:bidi w:val="0"/>
        <w:rPr>
          <w:rFonts w:hint="eastAsia"/>
          <w:highlight w:val="none"/>
          <w:lang w:val="en-US" w:eastAsia="zh-CN"/>
        </w:rPr>
      </w:pPr>
      <w:r>
        <w:rPr>
          <w:rFonts w:hint="eastAsia"/>
          <w:highlight w:val="none"/>
          <w:lang w:val="en-US" w:eastAsia="zh-CN"/>
        </w:rPr>
        <w:t>目标三：加快多彩贵州文化云云岩云平台建设，在多彩贵州文化云有专人编辑、管理云岩区文化内容，理出项目，对全区进行文化机构摸底建设初步架构，进行试点工作。</w:t>
      </w:r>
    </w:p>
    <w:p>
      <w:pPr>
        <w:bidi w:val="0"/>
        <w:rPr>
          <w:rFonts w:hint="eastAsia"/>
          <w:highlight w:val="none"/>
          <w:lang w:val="en-US" w:eastAsia="zh-CN"/>
        </w:rPr>
      </w:pPr>
      <w:r>
        <w:rPr>
          <w:rFonts w:hint="eastAsia"/>
          <w:highlight w:val="none"/>
          <w:lang w:val="en-US" w:eastAsia="zh-CN"/>
        </w:rPr>
        <w:t>目标四：红色话剧创作进校园及社区、特色茶文化进校园及各项文艺活动演出10场。</w:t>
      </w:r>
    </w:p>
    <w:p>
      <w:pPr>
        <w:bidi w:val="0"/>
        <w:rPr>
          <w:rFonts w:hint="default"/>
          <w:lang w:val="en-US" w:eastAsia="zh-CN"/>
        </w:rPr>
      </w:pPr>
      <w:r>
        <w:rPr>
          <w:rFonts w:hint="eastAsia"/>
          <w:lang w:val="en-US" w:eastAsia="zh-CN"/>
        </w:rPr>
        <w:t>2．具体绩效指标</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cs="仿宋_GB2312"/>
          <w:sz w:val="32"/>
          <w:szCs w:val="32"/>
          <w:highlight w:val="none"/>
          <w:lang w:val="en-US" w:eastAsia="zh-CN"/>
        </w:rPr>
      </w:pPr>
      <w:r>
        <w:rPr>
          <w:rFonts w:hint="eastAsia"/>
        </w:rPr>
        <w:t>云岩区</w:t>
      </w:r>
      <w:r>
        <w:rPr>
          <w:rFonts w:hint="eastAsia"/>
          <w:lang w:val="en-US" w:eastAsia="zh-CN"/>
        </w:rPr>
        <w:t>2020</w:t>
      </w:r>
      <w:r>
        <w:rPr>
          <w:rFonts w:hint="eastAsia"/>
        </w:rPr>
        <w:t>年度</w:t>
      </w:r>
      <w:r>
        <w:rPr>
          <w:rFonts w:hint="eastAsia"/>
          <w:lang w:val="en-US" w:eastAsia="zh-CN"/>
        </w:rPr>
        <w:t>公共文化建设项目</w:t>
      </w:r>
      <w:r>
        <w:rPr>
          <w:rFonts w:hint="eastAsia"/>
        </w:rPr>
        <w:t>，其原有年度绩效目标共包含</w:t>
      </w:r>
      <w:r>
        <w:rPr>
          <w:rFonts w:hint="eastAsia"/>
          <w:lang w:val="en-US" w:eastAsia="zh-CN"/>
        </w:rPr>
        <w:t>6</w:t>
      </w:r>
      <w:r>
        <w:rPr>
          <w:rFonts w:hint="eastAsia"/>
        </w:rPr>
        <w:t>个具体指标，绩效指标可操作性较强，但存在部分绩效指标设置不合理、部分指标名称不规范、绩效指标结构不全等情况。因此，第三方在深入调研和分析的基础上为该专项完善了项目绩效指标，具体指标见表1-1：</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ascii="Times New Roman" w:hAnsi="Times New Roman" w:eastAsia="黑体" w:cs="Times New Roman"/>
          <w:sz w:val="24"/>
          <w:szCs w:val="24"/>
          <w:highlight w:val="none"/>
          <w:lang w:val="en-US" w:eastAsia="zh-CN"/>
        </w:rPr>
      </w:pPr>
      <w:r>
        <w:rPr>
          <w:rFonts w:hint="default" w:ascii="Times New Roman" w:hAnsi="Times New Roman" w:eastAsia="黑体" w:cs="Times New Roman"/>
          <w:sz w:val="24"/>
          <w:szCs w:val="24"/>
          <w:highlight w:val="none"/>
          <w:lang w:val="en-US" w:eastAsia="zh-CN"/>
        </w:rPr>
        <w:t>表1-</w:t>
      </w:r>
      <w:r>
        <w:rPr>
          <w:rFonts w:hint="eastAsia" w:eastAsia="黑体" w:cs="Times New Roman"/>
          <w:sz w:val="24"/>
          <w:szCs w:val="24"/>
          <w:highlight w:val="none"/>
          <w:lang w:val="en-US" w:eastAsia="zh-CN"/>
        </w:rPr>
        <w:t>1</w:t>
      </w:r>
      <w:r>
        <w:rPr>
          <w:rFonts w:hint="default" w:ascii="Times New Roman" w:hAnsi="Times New Roman" w:eastAsia="黑体" w:cs="Times New Roman"/>
          <w:sz w:val="24"/>
          <w:szCs w:val="24"/>
          <w:highlight w:val="none"/>
          <w:lang w:val="en-US" w:eastAsia="zh-CN"/>
        </w:rPr>
        <w:t>：项目绩效目标表</w:t>
      </w:r>
    </w:p>
    <w:tbl>
      <w:tblPr>
        <w:tblStyle w:val="17"/>
        <w:tblW w:w="8421" w:type="dxa"/>
        <w:tblInd w:w="93" w:type="dxa"/>
        <w:shd w:val="clear" w:color="auto" w:fill="auto"/>
        <w:tblLayout w:type="autofit"/>
        <w:tblCellMar>
          <w:top w:w="0" w:type="dxa"/>
          <w:left w:w="108" w:type="dxa"/>
          <w:bottom w:w="0" w:type="dxa"/>
          <w:right w:w="108" w:type="dxa"/>
        </w:tblCellMar>
      </w:tblPr>
      <w:tblGrid>
        <w:gridCol w:w="1143"/>
        <w:gridCol w:w="1166"/>
        <w:gridCol w:w="3480"/>
        <w:gridCol w:w="1316"/>
        <w:gridCol w:w="1316"/>
      </w:tblGrid>
      <w:tr>
        <w:tblPrEx>
          <w:shd w:val="clear" w:color="auto" w:fill="auto"/>
          <w:tblCellMar>
            <w:top w:w="0" w:type="dxa"/>
            <w:left w:w="108" w:type="dxa"/>
            <w:bottom w:w="0" w:type="dxa"/>
            <w:right w:w="108" w:type="dxa"/>
          </w:tblCellMar>
        </w:tblPrEx>
        <w:trPr>
          <w:trHeight w:val="397" w:hRule="atLeast"/>
          <w:tblHeader/>
        </w:trPr>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highlight w:val="none"/>
                <w:u w:val="none"/>
              </w:rPr>
            </w:pPr>
            <w:r>
              <w:rPr>
                <w:rFonts w:hint="default" w:ascii="Times New Roman" w:hAnsi="Times New Roman" w:eastAsia="仿宋_GB2312" w:cs="Times New Roman"/>
                <w:b/>
                <w:bCs/>
                <w:i w:val="0"/>
                <w:iCs w:val="0"/>
                <w:color w:val="000000"/>
                <w:kern w:val="0"/>
                <w:sz w:val="21"/>
                <w:szCs w:val="21"/>
                <w:highlight w:val="none"/>
                <w:u w:val="none"/>
                <w:lang w:val="en-US" w:eastAsia="zh-CN" w:bidi="ar"/>
              </w:rPr>
              <w:t>一级指标</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highlight w:val="none"/>
                <w:u w:val="none"/>
              </w:rPr>
            </w:pPr>
            <w:r>
              <w:rPr>
                <w:rFonts w:hint="default" w:ascii="Times New Roman" w:hAnsi="Times New Roman" w:eastAsia="仿宋_GB2312" w:cs="Times New Roman"/>
                <w:b/>
                <w:bCs/>
                <w:i w:val="0"/>
                <w:iCs w:val="0"/>
                <w:color w:val="000000"/>
                <w:kern w:val="0"/>
                <w:sz w:val="21"/>
                <w:szCs w:val="21"/>
                <w:highlight w:val="none"/>
                <w:u w:val="none"/>
                <w:lang w:val="en-US" w:eastAsia="zh-CN" w:bidi="ar"/>
              </w:rPr>
              <w:t>二级指标</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highlight w:val="none"/>
                <w:u w:val="none"/>
              </w:rPr>
            </w:pPr>
            <w:r>
              <w:rPr>
                <w:rFonts w:hint="default" w:ascii="Times New Roman" w:hAnsi="Times New Roman" w:eastAsia="仿宋_GB2312" w:cs="Times New Roman"/>
                <w:b/>
                <w:bCs/>
                <w:i w:val="0"/>
                <w:iCs w:val="0"/>
                <w:color w:val="000000"/>
                <w:kern w:val="0"/>
                <w:sz w:val="21"/>
                <w:szCs w:val="21"/>
                <w:highlight w:val="none"/>
                <w:u w:val="none"/>
                <w:lang w:val="en-US" w:eastAsia="zh-CN" w:bidi="ar"/>
              </w:rPr>
              <w:t>三级指标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highlight w:val="none"/>
                <w:u w:val="none"/>
              </w:rPr>
            </w:pPr>
            <w:r>
              <w:rPr>
                <w:rFonts w:hint="default" w:ascii="Times New Roman" w:hAnsi="Times New Roman" w:eastAsia="仿宋_GB2312" w:cs="Times New Roman"/>
                <w:b/>
                <w:bCs/>
                <w:i w:val="0"/>
                <w:iCs w:val="0"/>
                <w:color w:val="000000"/>
                <w:kern w:val="0"/>
                <w:sz w:val="21"/>
                <w:szCs w:val="21"/>
                <w:highlight w:val="none"/>
                <w:u w:val="none"/>
                <w:lang w:val="en-US" w:eastAsia="zh-CN" w:bidi="ar"/>
              </w:rPr>
              <w:t>年度指标值</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kern w:val="0"/>
                <w:sz w:val="21"/>
                <w:szCs w:val="21"/>
                <w:highlight w:val="none"/>
                <w:u w:val="none"/>
                <w:lang w:val="en-US" w:eastAsia="zh-CN" w:bidi="ar"/>
              </w:rPr>
            </w:pPr>
          </w:p>
        </w:tc>
      </w:tr>
      <w:tr>
        <w:tblPrEx>
          <w:tblCellMar>
            <w:top w:w="0" w:type="dxa"/>
            <w:left w:w="108" w:type="dxa"/>
            <w:bottom w:w="0" w:type="dxa"/>
            <w:right w:w="108" w:type="dxa"/>
          </w:tblCellMar>
        </w:tblPrEx>
        <w:trPr>
          <w:trHeight w:val="327" w:hRule="atLeast"/>
        </w:trPr>
        <w:tc>
          <w:tcPr>
            <w:tcW w:w="1143"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lang w:val="en-US" w:eastAsia="zh-CN"/>
              </w:rPr>
            </w:pPr>
            <w:r>
              <w:rPr>
                <w:rFonts w:hint="eastAsia" w:ascii="Times New Roman" w:hAnsi="Times New Roman" w:cs="Times New Roman"/>
                <w:i w:val="0"/>
                <w:iCs w:val="0"/>
                <w:color w:val="000000"/>
                <w:kern w:val="0"/>
                <w:sz w:val="21"/>
                <w:szCs w:val="21"/>
                <w:highlight w:val="none"/>
                <w:u w:val="none"/>
                <w:lang w:val="en-US" w:eastAsia="zh-CN" w:bidi="ar"/>
              </w:rPr>
              <w:t>产出指标</w:t>
            </w:r>
          </w:p>
        </w:tc>
        <w:tc>
          <w:tcPr>
            <w:tcW w:w="116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ascii="Times New Roman" w:hAnsi="Times New Roman" w:cs="Times New Roman"/>
                <w:i w:val="0"/>
                <w:iCs w:val="0"/>
                <w:color w:val="000000"/>
                <w:kern w:val="0"/>
                <w:sz w:val="21"/>
                <w:szCs w:val="21"/>
                <w:highlight w:val="none"/>
                <w:u w:val="none"/>
                <w:lang w:val="en-US" w:eastAsia="zh-CN" w:bidi="ar"/>
              </w:rPr>
              <w:t>数量</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vertAlign w:val="baseline"/>
                <w:lang w:val="en-US" w:eastAsia="zh-CN"/>
              </w:rPr>
              <w:t>文化活动演出</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≥10场</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307" w:hRule="atLeast"/>
        </w:trPr>
        <w:tc>
          <w:tcPr>
            <w:tcW w:w="114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vertAlign w:val="baseline"/>
                <w:lang w:val="en-US" w:eastAsia="zh-CN"/>
              </w:rPr>
              <w:t>特色文化校园、社区建设</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4所</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397" w:hRule="atLeast"/>
        </w:trPr>
        <w:tc>
          <w:tcPr>
            <w:tcW w:w="114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imes New Roman" w:hAnsi="Times New Roman" w:cs="Times New Roman"/>
                <w:i w:val="0"/>
                <w:iCs w:val="0"/>
                <w:color w:val="000000"/>
                <w:kern w:val="0"/>
                <w:sz w:val="21"/>
                <w:szCs w:val="21"/>
                <w:highlight w:val="none"/>
                <w:u w:val="none"/>
                <w:lang w:val="en-US" w:eastAsia="zh-CN" w:bidi="ar"/>
              </w:rPr>
            </w:pPr>
            <w:r>
              <w:rPr>
                <w:rFonts w:hint="default" w:cs="Times New Roman"/>
                <w:sz w:val="21"/>
                <w:szCs w:val="21"/>
                <w:highlight w:val="none"/>
                <w:vertAlign w:val="baseline"/>
                <w:lang w:val="en-US" w:eastAsia="zh-CN"/>
              </w:rPr>
              <w:t>开展</w:t>
            </w:r>
            <w:r>
              <w:rPr>
                <w:rFonts w:hint="eastAsia" w:ascii="仿宋_GB2312" w:hAnsi="仿宋_GB2312" w:cs="仿宋_GB2312"/>
                <w:sz w:val="21"/>
                <w:szCs w:val="21"/>
                <w:highlight w:val="none"/>
                <w:vertAlign w:val="baseline"/>
                <w:lang w:val="en-US" w:eastAsia="zh-CN"/>
              </w:rPr>
              <w:t>“</w:t>
            </w:r>
            <w:r>
              <w:rPr>
                <w:rFonts w:hint="default" w:cs="Times New Roman"/>
                <w:sz w:val="21"/>
                <w:szCs w:val="21"/>
                <w:highlight w:val="none"/>
                <w:vertAlign w:val="baseline"/>
                <w:lang w:val="en-US" w:eastAsia="zh-CN"/>
              </w:rPr>
              <w:t>毓香云岩黔茶飘香</w:t>
            </w:r>
            <w:r>
              <w:rPr>
                <w:rFonts w:hint="eastAsia" w:ascii="仿宋_GB2312" w:hAnsi="仿宋_GB2312" w:cs="仿宋_GB2312"/>
                <w:sz w:val="21"/>
                <w:szCs w:val="21"/>
                <w:highlight w:val="none"/>
                <w:vertAlign w:val="baseline"/>
                <w:lang w:val="en-US" w:eastAsia="zh-CN"/>
              </w:rPr>
              <w:t>”</w:t>
            </w:r>
            <w:r>
              <w:rPr>
                <w:rFonts w:hint="default" w:cs="Times New Roman"/>
                <w:sz w:val="21"/>
                <w:szCs w:val="21"/>
                <w:highlight w:val="none"/>
                <w:vertAlign w:val="baseline"/>
                <w:lang w:val="en-US" w:eastAsia="zh-CN"/>
              </w:rPr>
              <w:t>万人品茗活动</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完成</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389" w:hRule="atLeast"/>
        </w:trPr>
        <w:tc>
          <w:tcPr>
            <w:tcW w:w="114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多彩贵州文化云</w:t>
            </w:r>
            <w:r>
              <w:rPr>
                <w:rFonts w:hint="eastAsia" w:cs="Times New Roman"/>
                <w:sz w:val="21"/>
                <w:szCs w:val="21"/>
                <w:highlight w:val="none"/>
                <w:vertAlign w:val="baseline"/>
                <w:lang w:val="en-US" w:eastAsia="zh-CN"/>
              </w:rPr>
              <w:t>云岩云平台建设</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1个</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247" w:hRule="atLeast"/>
        </w:trPr>
        <w:tc>
          <w:tcPr>
            <w:tcW w:w="114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ascii="Times New Roman" w:hAnsi="Times New Roman" w:cs="Times New Roman"/>
                <w:i w:val="0"/>
                <w:iCs w:val="0"/>
                <w:color w:val="000000"/>
                <w:kern w:val="0"/>
                <w:sz w:val="21"/>
                <w:szCs w:val="21"/>
                <w:highlight w:val="none"/>
                <w:u w:val="none"/>
                <w:lang w:val="en-US" w:eastAsia="zh-CN" w:bidi="ar"/>
              </w:rPr>
              <w:t>质量</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kern w:val="2"/>
                <w:sz w:val="21"/>
                <w:szCs w:val="21"/>
                <w:highlight w:val="none"/>
                <w:vertAlign w:val="baseline"/>
                <w:lang w:val="en-US" w:eastAsia="zh-CN" w:bidi="ar-SA"/>
              </w:rPr>
              <w:t>演出活动完成质量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kern w:val="2"/>
                <w:sz w:val="21"/>
                <w:szCs w:val="21"/>
                <w:highlight w:val="none"/>
                <w:lang w:val="en-US" w:eastAsia="zh-CN" w:bidi="ar-SA"/>
              </w:rPr>
              <w:t>符合要求</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kern w:val="2"/>
                <w:sz w:val="21"/>
                <w:szCs w:val="21"/>
                <w:highlight w:val="none"/>
                <w:lang w:val="en-US" w:eastAsia="zh-CN" w:bidi="ar-SA"/>
              </w:rPr>
            </w:pPr>
          </w:p>
        </w:tc>
      </w:tr>
      <w:tr>
        <w:tblPrEx>
          <w:tblCellMar>
            <w:top w:w="0" w:type="dxa"/>
            <w:left w:w="108" w:type="dxa"/>
            <w:bottom w:w="0" w:type="dxa"/>
            <w:right w:w="108" w:type="dxa"/>
          </w:tblCellMar>
        </w:tblPrEx>
        <w:trPr>
          <w:trHeight w:val="90" w:hRule="atLeast"/>
        </w:trPr>
        <w:tc>
          <w:tcPr>
            <w:tcW w:w="1143"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kern w:val="2"/>
                <w:sz w:val="21"/>
                <w:szCs w:val="21"/>
                <w:highlight w:val="none"/>
                <w:lang w:val="en-US" w:eastAsia="zh-CN" w:bidi="ar-SA"/>
              </w:rPr>
              <w:t>文化校园、社区建设完成质量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kern w:val="2"/>
                <w:sz w:val="21"/>
                <w:szCs w:val="21"/>
                <w:highlight w:val="none"/>
                <w:lang w:val="en-US" w:eastAsia="zh-CN" w:bidi="ar-SA"/>
              </w:rPr>
              <w:t>达标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kern w:val="2"/>
                <w:sz w:val="21"/>
                <w:szCs w:val="21"/>
                <w:highlight w:val="none"/>
                <w:lang w:val="en-US" w:eastAsia="zh-CN" w:bidi="ar-SA"/>
              </w:rPr>
            </w:pPr>
          </w:p>
        </w:tc>
      </w:tr>
      <w:tr>
        <w:tblPrEx>
          <w:tblCellMar>
            <w:top w:w="0" w:type="dxa"/>
            <w:left w:w="108" w:type="dxa"/>
            <w:bottom w:w="0" w:type="dxa"/>
            <w:right w:w="108" w:type="dxa"/>
          </w:tblCellMar>
        </w:tblPrEx>
        <w:trPr>
          <w:trHeight w:val="397" w:hRule="atLeast"/>
        </w:trPr>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ascii="Times New Roman" w:hAnsi="Times New Roman" w:cs="Times New Roman"/>
                <w:i w:val="0"/>
                <w:iCs w:val="0"/>
                <w:color w:val="000000"/>
                <w:kern w:val="0"/>
                <w:sz w:val="21"/>
                <w:szCs w:val="21"/>
                <w:highlight w:val="none"/>
                <w:u w:val="none"/>
                <w:lang w:val="en-US" w:eastAsia="zh-CN" w:bidi="ar"/>
              </w:rPr>
              <w:t>时效</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公共文化建设工作完成及时性</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及时</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287" w:hRule="atLeast"/>
        </w:trPr>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ascii="Times New Roman" w:hAnsi="Times New Roman" w:cs="Times New Roman"/>
                <w:i w:val="0"/>
                <w:iCs w:val="0"/>
                <w:color w:val="000000"/>
                <w:kern w:val="0"/>
                <w:sz w:val="21"/>
                <w:szCs w:val="21"/>
                <w:highlight w:val="none"/>
                <w:u w:val="none"/>
                <w:lang w:val="en-US" w:eastAsia="zh-CN" w:bidi="ar"/>
              </w:rPr>
              <w:t>成本</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成本控制有效性</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kern w:val="2"/>
                <w:sz w:val="21"/>
                <w:szCs w:val="21"/>
                <w:highlight w:val="none"/>
                <w:lang w:val="en-US" w:eastAsia="zh-CN" w:bidi="ar-SA"/>
              </w:rPr>
              <w:t>预算范围内</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cs="Times New Roman"/>
                <w:kern w:val="2"/>
                <w:sz w:val="21"/>
                <w:szCs w:val="21"/>
                <w:highlight w:val="none"/>
                <w:lang w:val="en-US" w:eastAsia="zh-CN" w:bidi="ar-SA"/>
              </w:rPr>
            </w:pPr>
          </w:p>
        </w:tc>
      </w:tr>
      <w:tr>
        <w:tblPrEx>
          <w:tblCellMar>
            <w:top w:w="0" w:type="dxa"/>
            <w:left w:w="108" w:type="dxa"/>
            <w:bottom w:w="0" w:type="dxa"/>
            <w:right w:w="108" w:type="dxa"/>
          </w:tblCellMar>
        </w:tblPrEx>
        <w:trPr>
          <w:trHeight w:val="327" w:hRule="atLeast"/>
        </w:trPr>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lang w:val="en-US" w:eastAsia="zh-CN"/>
              </w:rPr>
            </w:pPr>
            <w:r>
              <w:rPr>
                <w:rFonts w:hint="eastAsia" w:ascii="Times New Roman" w:hAnsi="Times New Roman" w:cs="Times New Roman"/>
                <w:i w:val="0"/>
                <w:iCs w:val="0"/>
                <w:color w:val="000000"/>
                <w:kern w:val="0"/>
                <w:sz w:val="21"/>
                <w:szCs w:val="21"/>
                <w:highlight w:val="none"/>
                <w:u w:val="none"/>
                <w:lang w:val="en-US" w:eastAsia="zh-CN" w:bidi="ar"/>
              </w:rPr>
              <w:t>效益指标</w:t>
            </w:r>
          </w:p>
        </w:tc>
        <w:tc>
          <w:tcPr>
            <w:tcW w:w="11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社会</w:t>
            </w:r>
            <w:r>
              <w:rPr>
                <w:rFonts w:hint="eastAsia" w:ascii="Times New Roman" w:hAnsi="Times New Roman" w:cs="Times New Roman"/>
                <w:i w:val="0"/>
                <w:iCs w:val="0"/>
                <w:color w:val="000000"/>
                <w:kern w:val="0"/>
                <w:sz w:val="21"/>
                <w:szCs w:val="21"/>
                <w:highlight w:val="none"/>
                <w:u w:val="none"/>
                <w:lang w:val="en-US" w:eastAsia="zh-CN" w:bidi="ar"/>
              </w:rPr>
              <w:t>效益</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cs="Times New Roman"/>
                <w:sz w:val="21"/>
                <w:szCs w:val="21"/>
                <w:highlight w:val="none"/>
                <w:vertAlign w:val="baseline"/>
                <w:lang w:val="en-US" w:eastAsia="zh-CN"/>
              </w:rPr>
              <w:t>传播正能量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有效</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267" w:hRule="atLeast"/>
        </w:trPr>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cs="Times New Roman"/>
                <w:sz w:val="21"/>
                <w:szCs w:val="21"/>
                <w:highlight w:val="none"/>
                <w:lang w:val="en-US" w:eastAsia="zh-CN"/>
              </w:rPr>
              <w:t>丰富群众文化生活</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有效</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424" w:hRule="atLeast"/>
        </w:trPr>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可持续影响指标</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vertAlign w:val="baseline"/>
                <w:lang w:val="en-US" w:eastAsia="zh-CN"/>
              </w:rPr>
              <w:t>公共文化建设长效机制健全性</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cs="Times New Roman"/>
                <w:i w:val="0"/>
                <w:iCs w:val="0"/>
                <w:color w:val="000000"/>
                <w:kern w:val="0"/>
                <w:sz w:val="21"/>
                <w:szCs w:val="21"/>
                <w:highlight w:val="none"/>
                <w:u w:val="none"/>
                <w:lang w:val="en-US" w:eastAsia="zh-CN" w:bidi="ar"/>
              </w:rPr>
            </w:pPr>
            <w:r>
              <w:rPr>
                <w:rFonts w:hint="eastAsia" w:cs="Times New Roman"/>
                <w:sz w:val="21"/>
                <w:szCs w:val="21"/>
                <w:highlight w:val="none"/>
                <w:lang w:val="en-US" w:eastAsia="zh-CN"/>
              </w:rPr>
              <w:t>健全</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cs="Times New Roman"/>
                <w:sz w:val="21"/>
                <w:szCs w:val="21"/>
                <w:highlight w:val="none"/>
                <w:lang w:val="en-US" w:eastAsia="zh-CN"/>
              </w:rPr>
            </w:pPr>
          </w:p>
        </w:tc>
      </w:tr>
      <w:tr>
        <w:tblPrEx>
          <w:tblCellMar>
            <w:top w:w="0" w:type="dxa"/>
            <w:left w:w="108" w:type="dxa"/>
            <w:bottom w:w="0" w:type="dxa"/>
            <w:right w:w="108" w:type="dxa"/>
          </w:tblCellMar>
        </w:tblPrEx>
        <w:trPr>
          <w:trHeight w:val="397" w:hRule="atLeast"/>
        </w:trPr>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满意度指标</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服务对象满意度</w:t>
            </w:r>
          </w:p>
        </w:tc>
        <w:tc>
          <w:tcPr>
            <w:tcW w:w="3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人民群众满意度</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i w:val="0"/>
                <w:iCs w:val="0"/>
                <w:color w:val="000000"/>
                <w:kern w:val="0"/>
                <w:sz w:val="21"/>
                <w:szCs w:val="21"/>
                <w:highlight w:val="none"/>
                <w:u w:val="none"/>
                <w:lang w:val="en-US" w:eastAsia="zh-CN" w:bidi="ar"/>
              </w:rPr>
            </w:pPr>
            <w:r>
              <w:rPr>
                <w:rFonts w:hint="eastAsia" w:cs="Times New Roman"/>
                <w:i w:val="0"/>
                <w:iCs w:val="0"/>
                <w:color w:val="000000"/>
                <w:kern w:val="0"/>
                <w:sz w:val="21"/>
                <w:szCs w:val="21"/>
                <w:highlight w:val="none"/>
                <w:u w:val="none"/>
                <w:lang w:val="en-US" w:eastAsia="zh-CN" w:bidi="ar"/>
              </w:rPr>
              <w:t>≥90%</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eastAsia" w:cs="Times New Roman"/>
                <w:i w:val="0"/>
                <w:iCs w:val="0"/>
                <w:color w:val="000000"/>
                <w:kern w:val="0"/>
                <w:sz w:val="21"/>
                <w:szCs w:val="21"/>
                <w:highlight w:val="none"/>
                <w:u w:val="none"/>
                <w:lang w:val="en-US" w:eastAsia="zh-CN" w:bidi="ar"/>
              </w:rPr>
            </w:pPr>
          </w:p>
        </w:tc>
      </w:tr>
      <w:bookmarkEnd w:id="26"/>
      <w:bookmarkEnd w:id="27"/>
      <w:bookmarkEnd w:id="28"/>
    </w:tbl>
    <w:p>
      <w:pPr>
        <w:pStyle w:val="3"/>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eastAsia" w:ascii="Times New Roman" w:hAnsi="Times New Roman" w:cs="Times New Roman"/>
          <w:color w:val="000000"/>
          <w:sz w:val="32"/>
          <w:szCs w:val="44"/>
          <w:lang w:val="en-US" w:eastAsia="zh-CN"/>
        </w:rPr>
      </w:pPr>
      <w:bookmarkStart w:id="29" w:name="_Toc15391155"/>
      <w:bookmarkStart w:id="30" w:name="_Toc6452"/>
      <w:bookmarkStart w:id="31" w:name="_Toc21247"/>
      <w:bookmarkStart w:id="32" w:name="_Toc17348"/>
      <w:bookmarkStart w:id="33" w:name="_Toc18561"/>
      <w:bookmarkStart w:id="34" w:name="_Toc16541"/>
      <w:bookmarkStart w:id="35" w:name="_Toc15391314"/>
      <w:bookmarkStart w:id="36" w:name="_Toc31591"/>
      <w:bookmarkStart w:id="37" w:name="_Toc17310"/>
      <w:bookmarkStart w:id="38" w:name="_Toc1296"/>
      <w:bookmarkStart w:id="39" w:name="_Toc4039"/>
      <w:bookmarkStart w:id="40" w:name="_Toc23113"/>
      <w:bookmarkStart w:id="41" w:name="_Toc21085"/>
      <w:bookmarkStart w:id="42" w:name="_Toc23327"/>
      <w:bookmarkStart w:id="43" w:name="_Toc28135"/>
      <w:bookmarkStart w:id="44" w:name="_Toc32144"/>
      <w:r>
        <w:rPr>
          <w:rFonts w:hint="eastAsia" w:cs="Times New Roman"/>
          <w:color w:val="000000"/>
          <w:sz w:val="32"/>
          <w:szCs w:val="44"/>
          <w:lang w:val="en-US" w:eastAsia="zh-CN"/>
        </w:rPr>
        <w:t>二</w:t>
      </w:r>
      <w:r>
        <w:rPr>
          <w:rFonts w:hint="eastAsia" w:ascii="Times New Roman" w:hAnsi="Times New Roman" w:cs="Times New Roman"/>
          <w:color w:val="000000"/>
          <w:sz w:val="32"/>
          <w:szCs w:val="44"/>
          <w:lang w:val="en-US" w:eastAsia="zh-CN"/>
        </w:rPr>
        <w:t>、</w:t>
      </w:r>
      <w:bookmarkEnd w:id="29"/>
      <w:bookmarkEnd w:id="30"/>
      <w:bookmarkEnd w:id="31"/>
      <w:bookmarkEnd w:id="32"/>
      <w:bookmarkEnd w:id="33"/>
      <w:bookmarkEnd w:id="34"/>
      <w:bookmarkEnd w:id="35"/>
      <w:bookmarkStart w:id="45" w:name="_Toc375"/>
      <w:r>
        <w:rPr>
          <w:rFonts w:hint="eastAsia" w:ascii="Times New Roman" w:hAnsi="Times New Roman" w:cs="Times New Roman"/>
          <w:color w:val="000000"/>
          <w:sz w:val="32"/>
          <w:szCs w:val="44"/>
          <w:lang w:val="en-US" w:eastAsia="zh-CN"/>
        </w:rPr>
        <w:t>综合评价情况及</w:t>
      </w:r>
      <w:bookmarkStart w:id="89" w:name="_GoBack"/>
      <w:bookmarkEnd w:id="89"/>
      <w:r>
        <w:rPr>
          <w:rFonts w:hint="eastAsia" w:ascii="Times New Roman" w:hAnsi="Times New Roman" w:cs="Times New Roman"/>
          <w:color w:val="000000"/>
          <w:sz w:val="32"/>
          <w:szCs w:val="44"/>
          <w:lang w:val="en-US" w:eastAsia="zh-CN"/>
        </w:rPr>
        <w:t>结论</w:t>
      </w:r>
      <w:bookmarkEnd w:id="36"/>
      <w:bookmarkEnd w:id="37"/>
      <w:bookmarkEnd w:id="38"/>
      <w:bookmarkEnd w:id="45"/>
    </w:p>
    <w:p>
      <w:pPr>
        <w:pStyle w:val="4"/>
        <w:ind w:firstLine="643"/>
        <w:rPr>
          <w:rFonts w:hint="eastAsia" w:cs="Times New Roman"/>
          <w:color w:val="000000"/>
        </w:rPr>
      </w:pPr>
      <w:bookmarkStart w:id="46" w:name="_Toc23114"/>
      <w:bookmarkStart w:id="47" w:name="_Toc9152"/>
      <w:bookmarkStart w:id="48" w:name="_Toc23420"/>
      <w:bookmarkStart w:id="49" w:name="_Toc28751"/>
      <w:bookmarkStart w:id="50" w:name="_Toc24610"/>
      <w:r>
        <w:rPr>
          <w:rFonts w:hint="eastAsia" w:cs="Times New Roman"/>
          <w:color w:val="000000"/>
        </w:rPr>
        <w:t>（一）</w:t>
      </w:r>
      <w:r>
        <w:rPr>
          <w:rFonts w:hint="eastAsia" w:cs="Times New Roman"/>
          <w:color w:val="000000"/>
          <w:lang w:val="en-US" w:eastAsia="zh-CN"/>
        </w:rPr>
        <w:t>综合</w:t>
      </w:r>
      <w:r>
        <w:rPr>
          <w:rFonts w:hint="eastAsia" w:cs="Times New Roman"/>
          <w:color w:val="000000"/>
        </w:rPr>
        <w:t>评分情况</w:t>
      </w:r>
      <w:bookmarkEnd w:id="46"/>
      <w:bookmarkEnd w:id="47"/>
      <w:bookmarkEnd w:id="48"/>
      <w:bookmarkEnd w:id="49"/>
      <w:bookmarkEnd w:id="50"/>
    </w:p>
    <w:p>
      <w:pPr>
        <w:ind w:firstLine="640"/>
      </w:pPr>
      <w:r>
        <w:rPr>
          <w:rFonts w:hint="eastAsia"/>
        </w:rPr>
        <w:t>贵阳</w:t>
      </w:r>
      <w:r>
        <w:t>业越</w:t>
      </w:r>
      <w:r>
        <w:rPr>
          <w:rFonts w:hint="eastAsia"/>
        </w:rPr>
        <w:t>企业咨询管理有限公司</w:t>
      </w:r>
      <w:r>
        <w:t>根据既定评价指标体系对</w:t>
      </w:r>
      <w:r>
        <w:rPr>
          <w:rFonts w:hint="eastAsia"/>
          <w:bCs/>
          <w:color w:val="000000" w:themeColor="text1"/>
          <w:lang w:val="en-US" w:eastAsia="zh-CN"/>
          <w14:textFill>
            <w14:solidFill>
              <w14:schemeClr w14:val="tx1"/>
            </w14:solidFill>
          </w14:textFill>
        </w:rPr>
        <w:t>2020年云岩区公共文化建设</w:t>
      </w:r>
      <w:r>
        <w:rPr>
          <w:rFonts w:hint="eastAsia"/>
          <w:bCs/>
          <w:color w:val="000000" w:themeColor="text1"/>
          <w14:textFill>
            <w14:solidFill>
              <w14:schemeClr w14:val="tx1"/>
            </w14:solidFill>
          </w14:textFill>
        </w:rPr>
        <w:t>项目支出</w:t>
      </w:r>
      <w:r>
        <w:t>进行了综合评价，各指标评分情况见表</w:t>
      </w:r>
      <w:r>
        <w:rPr>
          <w:rFonts w:hint="eastAsia"/>
          <w:lang w:val="en-US" w:eastAsia="zh-CN"/>
        </w:rPr>
        <w:t>2</w:t>
      </w:r>
      <w:r>
        <w:t>-1：</w:t>
      </w:r>
    </w:p>
    <w:p>
      <w:pPr>
        <w:pStyle w:val="23"/>
        <w:keepNext w:val="0"/>
        <w:keepLines w:val="0"/>
        <w:pageBreakBefore w:val="0"/>
        <w:widowControl w:val="0"/>
        <w:kinsoku/>
        <w:wordWrap/>
        <w:overflowPunct/>
        <w:topLinePunct w:val="0"/>
        <w:autoSpaceDE/>
        <w:autoSpaceDN/>
        <w:bidi w:val="0"/>
        <w:adjustRightInd/>
        <w:snapToGrid/>
        <w:spacing w:before="60" w:beforeLines="0" w:after="120"/>
        <w:textAlignment w:val="auto"/>
        <w:rPr>
          <w:rFonts w:hint="eastAsia" w:ascii="Times New Roman" w:hAnsi="Times New Roman" w:cs="Times New Roman"/>
          <w:szCs w:val="24"/>
          <w:highlight w:val="none"/>
        </w:rPr>
      </w:pPr>
      <w:r>
        <w:rPr>
          <w:rFonts w:hint="eastAsia" w:ascii="Times New Roman" w:hAnsi="Times New Roman" w:cs="Times New Roman"/>
          <w:szCs w:val="24"/>
          <w:highlight w:val="none"/>
        </w:rPr>
        <w:t>表</w:t>
      </w:r>
      <w:r>
        <w:rPr>
          <w:rFonts w:hint="eastAsia" w:cs="Times New Roman"/>
          <w:szCs w:val="24"/>
          <w:highlight w:val="none"/>
          <w:lang w:val="en-US" w:eastAsia="zh-CN"/>
        </w:rPr>
        <w:t>2</w:t>
      </w:r>
      <w:r>
        <w:rPr>
          <w:rFonts w:hint="eastAsia" w:ascii="Times New Roman" w:hAnsi="Times New Roman" w:cs="Times New Roman"/>
          <w:szCs w:val="24"/>
          <w:highlight w:val="none"/>
        </w:rPr>
        <w:t>-1：20</w:t>
      </w:r>
      <w:r>
        <w:rPr>
          <w:rFonts w:hint="eastAsia" w:cs="Times New Roman"/>
          <w:szCs w:val="24"/>
          <w:highlight w:val="none"/>
          <w:lang w:val="en-US" w:eastAsia="zh-CN"/>
        </w:rPr>
        <w:t>20</w:t>
      </w:r>
      <w:r>
        <w:rPr>
          <w:rFonts w:hint="eastAsia" w:ascii="Times New Roman" w:hAnsi="Times New Roman" w:cs="Times New Roman"/>
          <w:szCs w:val="24"/>
          <w:highlight w:val="none"/>
        </w:rPr>
        <w:t>年“云岩区</w:t>
      </w:r>
      <w:r>
        <w:rPr>
          <w:rFonts w:hint="eastAsia" w:ascii="Times New Roman" w:hAnsi="Times New Roman" w:cs="Times New Roman"/>
          <w:szCs w:val="24"/>
          <w:highlight w:val="none"/>
          <w:lang w:val="en-US" w:eastAsia="zh-CN"/>
        </w:rPr>
        <w:t>公共文化建设</w:t>
      </w:r>
      <w:r>
        <w:rPr>
          <w:rFonts w:hint="eastAsia" w:ascii="Times New Roman" w:hAnsi="Times New Roman" w:cs="Times New Roman"/>
          <w:szCs w:val="24"/>
          <w:highlight w:val="none"/>
        </w:rPr>
        <w:t>”</w:t>
      </w:r>
      <w:r>
        <w:rPr>
          <w:rFonts w:hint="eastAsia" w:ascii="Times New Roman" w:hAnsi="Times New Roman" w:cs="Times New Roman"/>
          <w:szCs w:val="24"/>
          <w:highlight w:val="none"/>
          <w:lang w:val="en-US" w:eastAsia="zh-CN"/>
        </w:rPr>
        <w:t>项目</w:t>
      </w:r>
      <w:r>
        <w:rPr>
          <w:rFonts w:hint="eastAsia" w:ascii="Times New Roman" w:hAnsi="Times New Roman" w:cs="Times New Roman"/>
          <w:szCs w:val="24"/>
          <w:highlight w:val="none"/>
        </w:rPr>
        <w:t>支出绩效评分表</w:t>
      </w:r>
    </w:p>
    <w:tbl>
      <w:tblPr>
        <w:tblStyle w:val="17"/>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984"/>
        <w:gridCol w:w="3353"/>
        <w:gridCol w:w="847"/>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368"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一级指标</w:t>
            </w:r>
          </w:p>
        </w:tc>
        <w:tc>
          <w:tcPr>
            <w:tcW w:w="1984"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二级指标</w:t>
            </w:r>
          </w:p>
        </w:tc>
        <w:tc>
          <w:tcPr>
            <w:tcW w:w="3353"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三级指标</w:t>
            </w:r>
          </w:p>
        </w:tc>
        <w:tc>
          <w:tcPr>
            <w:tcW w:w="847"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分值</w:t>
            </w:r>
          </w:p>
        </w:tc>
        <w:tc>
          <w:tcPr>
            <w:tcW w:w="1191"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决策</w:t>
            </w:r>
          </w:p>
        </w:tc>
        <w:tc>
          <w:tcPr>
            <w:tcW w:w="1984" w:type="dxa"/>
            <w:vMerge w:val="restart"/>
            <w:vAlign w:val="center"/>
          </w:tcPr>
          <w:p>
            <w:pPr>
              <w:spacing w:line="240" w:lineRule="auto"/>
              <w:ind w:firstLine="0" w:firstLineChars="0"/>
              <w:jc w:val="center"/>
              <w:rPr>
                <w:sz w:val="21"/>
                <w:highlight w:val="none"/>
              </w:rPr>
            </w:pPr>
            <w:r>
              <w:rPr>
                <w:sz w:val="21"/>
                <w:highlight w:val="none"/>
              </w:rPr>
              <w:t>项目立项</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项目立项充分性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yellow"/>
              </w:rPr>
            </w:pPr>
            <w:r>
              <w:rPr>
                <w:sz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项目立项规范性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3</w:t>
            </w:r>
          </w:p>
        </w:tc>
        <w:tc>
          <w:tcPr>
            <w:tcW w:w="1191" w:type="dxa"/>
            <w:vAlign w:val="center"/>
          </w:tcPr>
          <w:p>
            <w:pPr>
              <w:autoSpaceDE w:val="0"/>
              <w:spacing w:line="240" w:lineRule="auto"/>
              <w:ind w:firstLine="0" w:firstLineChars="0"/>
              <w:jc w:val="center"/>
              <w:rPr>
                <w:sz w:val="21"/>
                <w:highlight w:val="yellow"/>
              </w:rPr>
            </w:pPr>
            <w:r>
              <w:rPr>
                <w:rFonts w:hint="eastAsia"/>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绩效目标</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绩效目标合理性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yellow"/>
              </w:rPr>
            </w:pPr>
            <w:r>
              <w:rPr>
                <w:rFonts w:hint="eastAsia"/>
                <w:sz w:val="21"/>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绩效指标明确性</w:t>
            </w:r>
          </w:p>
        </w:tc>
        <w:tc>
          <w:tcPr>
            <w:tcW w:w="847" w:type="dxa"/>
            <w:vAlign w:val="center"/>
          </w:tcPr>
          <w:p>
            <w:pPr>
              <w:widowControl/>
              <w:snapToGrid w:val="0"/>
              <w:spacing w:line="240" w:lineRule="auto"/>
              <w:ind w:firstLine="0" w:firstLineChars="0"/>
              <w:jc w:val="center"/>
              <w:rPr>
                <w:sz w:val="21"/>
                <w:highlight w:val="yellow"/>
              </w:rPr>
            </w:pPr>
            <w:r>
              <w:rPr>
                <w:rFonts w:cs="Times New Roman"/>
                <w:sz w:val="21"/>
                <w:szCs w:val="21"/>
              </w:rPr>
              <w:t>3</w:t>
            </w:r>
          </w:p>
        </w:tc>
        <w:tc>
          <w:tcPr>
            <w:tcW w:w="1191" w:type="dxa"/>
            <w:vAlign w:val="center"/>
          </w:tcPr>
          <w:p>
            <w:pPr>
              <w:autoSpaceDE w:val="0"/>
              <w:spacing w:line="240" w:lineRule="auto"/>
              <w:ind w:firstLine="0" w:firstLineChars="0"/>
              <w:jc w:val="center"/>
              <w:rPr>
                <w:sz w:val="21"/>
                <w:highlight w:val="yellow"/>
              </w:rPr>
            </w:pPr>
            <w:r>
              <w:rPr>
                <w:rFonts w:hint="eastAsia"/>
                <w:sz w:val="21"/>
                <w:highlight w:val="none"/>
                <w:lang w:val="en-US" w:eastAsia="zh-CN"/>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资金投入</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预算编制科学性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3</w:t>
            </w:r>
          </w:p>
        </w:tc>
        <w:tc>
          <w:tcPr>
            <w:tcW w:w="1191" w:type="dxa"/>
            <w:vAlign w:val="center"/>
          </w:tcPr>
          <w:p>
            <w:pPr>
              <w:autoSpaceDE w:val="0"/>
              <w:spacing w:line="240" w:lineRule="auto"/>
              <w:ind w:firstLine="0" w:firstLineChars="0"/>
              <w:jc w:val="center"/>
              <w:rPr>
                <w:sz w:val="21"/>
                <w:highlight w:val="yellow"/>
              </w:rPr>
            </w:pPr>
            <w:r>
              <w:rPr>
                <w:rFonts w:hint="eastAsia"/>
                <w:sz w:val="21"/>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资金分配合理性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yellow"/>
              </w:rPr>
            </w:pPr>
            <w:r>
              <w:rPr>
                <w:rFonts w:hint="eastAsia"/>
                <w:sz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过程</w:t>
            </w:r>
          </w:p>
        </w:tc>
        <w:tc>
          <w:tcPr>
            <w:tcW w:w="1984" w:type="dxa"/>
            <w:vMerge w:val="restart"/>
            <w:vAlign w:val="center"/>
          </w:tcPr>
          <w:p>
            <w:pPr>
              <w:spacing w:line="240" w:lineRule="auto"/>
              <w:ind w:firstLine="0" w:firstLineChars="0"/>
              <w:jc w:val="center"/>
              <w:rPr>
                <w:sz w:val="21"/>
                <w:highlight w:val="none"/>
              </w:rPr>
            </w:pPr>
            <w:r>
              <w:rPr>
                <w:sz w:val="21"/>
                <w:highlight w:val="none"/>
              </w:rPr>
              <w:t>资金管理</w:t>
            </w:r>
          </w:p>
        </w:tc>
        <w:tc>
          <w:tcPr>
            <w:tcW w:w="3353" w:type="dxa"/>
            <w:vAlign w:val="center"/>
          </w:tcPr>
          <w:p>
            <w:pPr>
              <w:widowControl/>
              <w:snapToGrid w:val="0"/>
              <w:spacing w:line="240" w:lineRule="auto"/>
              <w:ind w:firstLine="0" w:firstLineChars="0"/>
              <w:jc w:val="center"/>
              <w:rPr>
                <w:sz w:val="21"/>
                <w:highlight w:val="none"/>
              </w:rPr>
            </w:pPr>
            <w:r>
              <w:rPr>
                <w:rFonts w:cs="Times New Roman"/>
                <w:sz w:val="21"/>
                <w:szCs w:val="21"/>
                <w:highlight w:val="none"/>
              </w:rPr>
              <w:t>资金到位率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3</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cs="Times New Roman"/>
                <w:sz w:val="21"/>
                <w:szCs w:val="21"/>
                <w:highlight w:val="none"/>
              </w:rPr>
              <w:t>预算执行率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3</w:t>
            </w:r>
          </w:p>
        </w:tc>
        <w:tc>
          <w:tcPr>
            <w:tcW w:w="1191" w:type="dxa"/>
            <w:vAlign w:val="center"/>
          </w:tcPr>
          <w:p>
            <w:pPr>
              <w:widowControl/>
              <w:snapToGrid w:val="0"/>
              <w:spacing w:line="240" w:lineRule="auto"/>
              <w:ind w:firstLine="0" w:firstLineChars="0"/>
              <w:jc w:val="center"/>
              <w:rPr>
                <w:rFonts w:hint="eastAsia" w:eastAsia="仿宋_GB2312"/>
                <w:sz w:val="21"/>
                <w:lang w:eastAsia="zh-CN"/>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资金使用合规性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5</w:t>
            </w:r>
          </w:p>
        </w:tc>
        <w:tc>
          <w:tcPr>
            <w:tcW w:w="1191" w:type="dxa"/>
            <w:vAlign w:val="center"/>
          </w:tcPr>
          <w:p>
            <w:pPr>
              <w:widowControl/>
              <w:snapToGrid w:val="0"/>
              <w:spacing w:line="240" w:lineRule="auto"/>
              <w:ind w:firstLine="0" w:firstLineChars="0"/>
              <w:jc w:val="center"/>
              <w:rPr>
                <w:rFonts w:hint="eastAsia"/>
                <w:sz w:val="21"/>
                <w:lang w:val="en-US"/>
              </w:rPr>
            </w:pPr>
            <w:r>
              <w:rPr>
                <w:rFonts w:hint="eastAsia"/>
                <w:sz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项目管理</w:t>
            </w:r>
          </w:p>
        </w:tc>
        <w:tc>
          <w:tcPr>
            <w:tcW w:w="3353" w:type="dxa"/>
            <w:vAlign w:val="center"/>
          </w:tcPr>
          <w:p>
            <w:pPr>
              <w:widowControl/>
              <w:snapToGrid w:val="0"/>
              <w:spacing w:line="240" w:lineRule="auto"/>
              <w:ind w:firstLine="0" w:firstLineChars="0"/>
              <w:jc w:val="center"/>
              <w:rPr>
                <w:sz w:val="21"/>
                <w:highlight w:val="none"/>
              </w:rPr>
            </w:pPr>
            <w:r>
              <w:rPr>
                <w:rFonts w:cs="Times New Roman"/>
                <w:sz w:val="21"/>
                <w:szCs w:val="21"/>
                <w:highlight w:val="none"/>
              </w:rPr>
              <w:t>管理制度健全性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4</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spacing w:line="280" w:lineRule="exact"/>
              <w:ind w:firstLine="0" w:firstLineChars="0"/>
              <w:jc w:val="center"/>
              <w:rPr>
                <w:sz w:val="21"/>
                <w:highlight w:val="none"/>
              </w:rPr>
            </w:pPr>
            <w:r>
              <w:rPr>
                <w:rFonts w:hint="eastAsia" w:ascii="Times New Roman" w:hAnsi="Times New Roman" w:eastAsia="仿宋_GB2312" w:cs="仿宋_GB2312"/>
                <w:color w:val="auto"/>
                <w:sz w:val="21"/>
                <w:highlight w:val="none"/>
              </w:rPr>
              <w:t>制度执行有效性</w:t>
            </w:r>
          </w:p>
        </w:tc>
        <w:tc>
          <w:tcPr>
            <w:tcW w:w="847" w:type="dxa"/>
            <w:vAlign w:val="center"/>
          </w:tcPr>
          <w:p>
            <w:pPr>
              <w:spacing w:line="280" w:lineRule="exact"/>
              <w:ind w:firstLine="0" w:firstLineChars="0"/>
              <w:jc w:val="center"/>
              <w:rPr>
                <w:sz w:val="21"/>
                <w:highlight w:val="yellow"/>
              </w:rPr>
            </w:pPr>
            <w:r>
              <w:rPr>
                <w:rFonts w:hint="eastAsia" w:cs="仿宋_GB2312"/>
                <w:color w:val="auto"/>
                <w:sz w:val="21"/>
                <w:lang w:val="en-US" w:eastAsia="zh-CN"/>
              </w:rPr>
              <w:t>5</w:t>
            </w:r>
          </w:p>
        </w:tc>
        <w:tc>
          <w:tcPr>
            <w:tcW w:w="1191" w:type="dxa"/>
            <w:vAlign w:val="center"/>
          </w:tcPr>
          <w:p>
            <w:pPr>
              <w:widowControl/>
              <w:snapToGrid w:val="0"/>
              <w:spacing w:line="240" w:lineRule="auto"/>
              <w:ind w:firstLine="0" w:firstLineChars="0"/>
              <w:jc w:val="center"/>
              <w:rPr>
                <w:rFonts w:hint="eastAsia" w:eastAsia="仿宋_GB2312"/>
                <w:sz w:val="21"/>
                <w:lang w:val="en-US" w:eastAsia="zh-CN"/>
              </w:rPr>
            </w:pPr>
            <w:r>
              <w:rPr>
                <w:rFonts w:hint="eastAsia"/>
                <w:sz w:val="21"/>
                <w:lang w:val="en-US" w:eastAsia="zh-CN"/>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产出</w:t>
            </w:r>
          </w:p>
        </w:tc>
        <w:tc>
          <w:tcPr>
            <w:tcW w:w="1984" w:type="dxa"/>
            <w:vMerge w:val="restart"/>
            <w:vAlign w:val="center"/>
          </w:tcPr>
          <w:p>
            <w:pPr>
              <w:spacing w:line="240" w:lineRule="auto"/>
              <w:ind w:firstLine="0" w:firstLineChars="0"/>
              <w:jc w:val="center"/>
              <w:rPr>
                <w:sz w:val="21"/>
                <w:highlight w:val="none"/>
              </w:rPr>
            </w:pPr>
            <w:r>
              <w:rPr>
                <w:sz w:val="21"/>
                <w:highlight w:val="none"/>
              </w:rPr>
              <w:t>数量指标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文化活动演出</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5</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特色文化校园、社区建设</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4</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default" w:cs="Times New Roman"/>
                <w:sz w:val="21"/>
                <w:szCs w:val="21"/>
                <w:highlight w:val="none"/>
                <w:vertAlign w:val="baseline"/>
                <w:lang w:val="en-US" w:eastAsia="zh-CN"/>
              </w:rPr>
              <w:t>开展“毓香云岩黔茶飘香”万人品茗活动</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3</w:t>
            </w:r>
          </w:p>
        </w:tc>
        <w:tc>
          <w:tcPr>
            <w:tcW w:w="1191" w:type="dxa"/>
            <w:vAlign w:val="center"/>
          </w:tcPr>
          <w:p>
            <w:pPr>
              <w:widowControl/>
              <w:snapToGrid w:val="0"/>
              <w:spacing w:line="240" w:lineRule="auto"/>
              <w:ind w:firstLine="0" w:firstLineChars="0"/>
              <w:jc w:val="center"/>
              <w:textAlignment w:val="auto"/>
              <w:rPr>
                <w:rFonts w:hint="eastAsia"/>
                <w:kern w:val="2"/>
                <w:sz w:val="21"/>
              </w:rPr>
            </w:pPr>
            <w:r>
              <w:rPr>
                <w:rFonts w:hint="eastAsia"/>
                <w:kern w:val="2"/>
                <w:sz w:val="21"/>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多彩贵州文化云</w:t>
            </w:r>
            <w:r>
              <w:rPr>
                <w:rFonts w:hint="eastAsia" w:cs="Times New Roman"/>
                <w:sz w:val="21"/>
                <w:szCs w:val="21"/>
                <w:highlight w:val="none"/>
                <w:vertAlign w:val="baseline"/>
                <w:lang w:val="en-US" w:eastAsia="zh-CN"/>
              </w:rPr>
              <w:t>云岩云平台建设</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3</w:t>
            </w:r>
          </w:p>
        </w:tc>
        <w:tc>
          <w:tcPr>
            <w:tcW w:w="1191" w:type="dxa"/>
            <w:vAlign w:val="center"/>
          </w:tcPr>
          <w:p>
            <w:pPr>
              <w:widowControl/>
              <w:snapToGrid w:val="0"/>
              <w:spacing w:line="240" w:lineRule="auto"/>
              <w:ind w:firstLine="0" w:firstLineChars="0"/>
              <w:jc w:val="center"/>
              <w:textAlignment w:val="auto"/>
              <w:rPr>
                <w:rFonts w:hint="eastAsia"/>
                <w:kern w:val="2"/>
                <w:sz w:val="21"/>
              </w:rPr>
            </w:pPr>
            <w:r>
              <w:rPr>
                <w:rFonts w:hint="eastAsia"/>
                <w:kern w:val="2"/>
                <w:sz w:val="21"/>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质量指标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vertAlign w:val="baseline"/>
                <w:lang w:val="en-US" w:eastAsia="zh-CN" w:bidi="ar-SA"/>
              </w:rPr>
              <w:t>演出活动完成质量</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4</w:t>
            </w:r>
          </w:p>
        </w:tc>
        <w:tc>
          <w:tcPr>
            <w:tcW w:w="1191" w:type="dxa"/>
            <w:vAlign w:val="center"/>
          </w:tcPr>
          <w:p>
            <w:pPr>
              <w:widowControl/>
              <w:snapToGrid w:val="0"/>
              <w:spacing w:line="240" w:lineRule="auto"/>
              <w:ind w:firstLine="0" w:firstLineChars="0"/>
              <w:jc w:val="center"/>
              <w:rPr>
                <w:rFonts w:hint="eastAsia"/>
                <w:kern w:val="2"/>
                <w:sz w:val="21"/>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文化校园、社区建设完成质量</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4</w:t>
            </w:r>
          </w:p>
        </w:tc>
        <w:tc>
          <w:tcPr>
            <w:tcW w:w="1191" w:type="dxa"/>
            <w:vAlign w:val="center"/>
          </w:tcPr>
          <w:p>
            <w:pPr>
              <w:widowControl/>
              <w:snapToGrid w:val="0"/>
              <w:spacing w:line="240" w:lineRule="auto"/>
              <w:ind w:firstLine="0" w:firstLineChars="0"/>
              <w:jc w:val="center"/>
              <w:rPr>
                <w:rFonts w:hint="eastAsia"/>
                <w:kern w:val="2"/>
                <w:sz w:val="21"/>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时效指标</w:t>
            </w:r>
          </w:p>
        </w:tc>
        <w:tc>
          <w:tcPr>
            <w:tcW w:w="3353" w:type="dxa"/>
            <w:vAlign w:val="center"/>
          </w:tcPr>
          <w:p>
            <w:pPr>
              <w:widowControl/>
              <w:spacing w:line="240" w:lineRule="auto"/>
              <w:ind w:firstLine="0" w:firstLineChars="0"/>
              <w:jc w:val="center"/>
              <w:textAlignment w:val="center"/>
              <w:rPr>
                <w:sz w:val="21"/>
                <w:highlight w:val="none"/>
              </w:rPr>
            </w:pPr>
            <w:r>
              <w:rPr>
                <w:rFonts w:hint="eastAsia" w:cs="Times New Roman"/>
                <w:sz w:val="21"/>
                <w:szCs w:val="21"/>
                <w:highlight w:val="none"/>
                <w:lang w:val="en-US" w:eastAsia="zh-CN"/>
              </w:rPr>
              <w:t>公共文化建设工作完成及时性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5</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成本指标</w:t>
            </w:r>
          </w:p>
        </w:tc>
        <w:tc>
          <w:tcPr>
            <w:tcW w:w="3353" w:type="dxa"/>
            <w:vAlign w:val="center"/>
          </w:tcPr>
          <w:p>
            <w:pPr>
              <w:widowControl/>
              <w:spacing w:line="240" w:lineRule="auto"/>
              <w:ind w:firstLine="0" w:firstLineChars="0"/>
              <w:jc w:val="center"/>
              <w:textAlignment w:val="center"/>
              <w:rPr>
                <w:color w:val="000000"/>
                <w:kern w:val="0"/>
                <w:sz w:val="21"/>
                <w:highlight w:val="none"/>
              </w:rPr>
            </w:pPr>
            <w:r>
              <w:rPr>
                <w:rFonts w:hint="eastAsia" w:cs="Times New Roman"/>
                <w:sz w:val="21"/>
                <w:szCs w:val="21"/>
                <w:highlight w:val="none"/>
                <w:lang w:val="en-US" w:eastAsia="zh-CN"/>
              </w:rPr>
              <w:t>成本控制有效性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5</w:t>
            </w:r>
          </w:p>
        </w:tc>
        <w:tc>
          <w:tcPr>
            <w:tcW w:w="1191" w:type="dxa"/>
            <w:vAlign w:val="center"/>
          </w:tcPr>
          <w:p>
            <w:pPr>
              <w:widowControl/>
              <w:snapToGrid w:val="0"/>
              <w:spacing w:line="240" w:lineRule="auto"/>
              <w:ind w:firstLine="0" w:firstLineChars="0"/>
              <w:jc w:val="center"/>
              <w:rPr>
                <w:rFonts w:hint="eastAsia" w:eastAsia="仿宋_GB2312"/>
                <w:sz w:val="21"/>
                <w:lang w:val="en-US" w:eastAsia="zh-CN"/>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效益</w:t>
            </w:r>
          </w:p>
        </w:tc>
        <w:tc>
          <w:tcPr>
            <w:tcW w:w="1984" w:type="dxa"/>
            <w:vMerge w:val="restart"/>
            <w:vAlign w:val="center"/>
          </w:tcPr>
          <w:p>
            <w:pPr>
              <w:spacing w:line="240" w:lineRule="auto"/>
              <w:ind w:firstLine="0" w:firstLineChars="0"/>
              <w:jc w:val="center"/>
              <w:rPr>
                <w:sz w:val="21"/>
                <w:highlight w:val="none"/>
              </w:rPr>
            </w:pPr>
            <w:r>
              <w:rPr>
                <w:sz w:val="21"/>
                <w:highlight w:val="none"/>
              </w:rPr>
              <w:t>社会效益</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传播正能量</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8</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丰富群众文化生活</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10</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可持续影响</w:t>
            </w:r>
          </w:p>
        </w:tc>
        <w:tc>
          <w:tcPr>
            <w:tcW w:w="3353" w:type="dxa"/>
            <w:vAlign w:val="center"/>
          </w:tcPr>
          <w:p>
            <w:pPr>
              <w:widowControl/>
              <w:spacing w:line="240" w:lineRule="auto"/>
              <w:ind w:firstLine="0" w:firstLineChars="0"/>
              <w:jc w:val="center"/>
              <w:textAlignment w:val="center"/>
              <w:rPr>
                <w:sz w:val="21"/>
                <w:highlight w:val="none"/>
              </w:rPr>
            </w:pPr>
            <w:r>
              <w:rPr>
                <w:rFonts w:hint="eastAsia" w:cs="Times New Roman"/>
                <w:sz w:val="21"/>
                <w:szCs w:val="21"/>
                <w:highlight w:val="none"/>
                <w:vertAlign w:val="baseline"/>
                <w:lang w:val="en-US" w:eastAsia="zh-CN"/>
              </w:rPr>
              <w:t>公共文化建设长效机制健全性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4</w:t>
            </w:r>
          </w:p>
        </w:tc>
        <w:tc>
          <w:tcPr>
            <w:tcW w:w="1191" w:type="dxa"/>
            <w:vAlign w:val="center"/>
          </w:tcPr>
          <w:p>
            <w:pPr>
              <w:widowControl/>
              <w:snapToGrid w:val="0"/>
              <w:spacing w:line="240" w:lineRule="auto"/>
              <w:ind w:firstLine="0" w:firstLineChars="0"/>
              <w:jc w:val="center"/>
              <w:rPr>
                <w:rFonts w:hint="eastAsia" w:eastAsia="仿宋_GB2312"/>
                <w:kern w:val="2"/>
                <w:sz w:val="21"/>
                <w:lang w:val="en-US" w:eastAsia="zh-CN" w:bidi="ar"/>
              </w:rPr>
            </w:pPr>
            <w:r>
              <w:rPr>
                <w:rFonts w:hint="eastAsia"/>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满意度指标</w:t>
            </w:r>
          </w:p>
        </w:tc>
        <w:tc>
          <w:tcPr>
            <w:tcW w:w="3353" w:type="dxa"/>
            <w:vAlign w:val="center"/>
          </w:tcPr>
          <w:p>
            <w:pPr>
              <w:widowControl/>
              <w:spacing w:line="240" w:lineRule="auto"/>
              <w:ind w:firstLine="0" w:firstLineChars="0"/>
              <w:jc w:val="center"/>
              <w:textAlignment w:val="center"/>
              <w:rPr>
                <w:sz w:val="21"/>
                <w:highlight w:val="none"/>
              </w:rPr>
            </w:pPr>
            <w:r>
              <w:rPr>
                <w:rFonts w:hint="eastAsia" w:cs="Times New Roman"/>
                <w:sz w:val="21"/>
                <w:szCs w:val="21"/>
                <w:highlight w:val="none"/>
                <w:vertAlign w:val="baseline"/>
                <w:lang w:val="en-US" w:eastAsia="zh-CN"/>
              </w:rPr>
              <w:t>受益对象</w:t>
            </w:r>
            <w:r>
              <w:rPr>
                <w:rFonts w:hint="eastAsia" w:cs="Times New Roman"/>
                <w:sz w:val="21"/>
                <w:szCs w:val="21"/>
                <w:highlight w:val="none"/>
                <w:lang w:val="en-US" w:eastAsia="zh-CN"/>
              </w:rPr>
              <w:t>满意度</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10</w:t>
            </w:r>
          </w:p>
        </w:tc>
        <w:tc>
          <w:tcPr>
            <w:tcW w:w="1191" w:type="dxa"/>
            <w:vAlign w:val="center"/>
          </w:tcPr>
          <w:p>
            <w:pPr>
              <w:widowControl/>
              <w:snapToGrid w:val="0"/>
              <w:spacing w:line="240" w:lineRule="auto"/>
              <w:ind w:firstLine="0" w:firstLineChars="0"/>
              <w:jc w:val="center"/>
              <w:rPr>
                <w:rFonts w:hint="eastAsia"/>
                <w:sz w:val="21"/>
              </w:rPr>
            </w:pPr>
            <w:r>
              <w:rPr>
                <w:rFonts w:hint="eastAsia"/>
                <w:sz w:val="21"/>
                <w:szCs w:val="21"/>
                <w:lang w:val="en-US" w:eastAsia="zh-CN"/>
              </w:rPr>
              <w:t>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05" w:type="dxa"/>
            <w:gridSpan w:val="3"/>
            <w:vAlign w:val="center"/>
          </w:tcPr>
          <w:p>
            <w:pPr>
              <w:spacing w:line="240" w:lineRule="auto"/>
              <w:ind w:firstLine="0" w:firstLineChars="0"/>
              <w:jc w:val="center"/>
              <w:rPr>
                <w:b/>
                <w:sz w:val="21"/>
                <w:highlight w:val="none"/>
              </w:rPr>
            </w:pPr>
            <w:r>
              <w:rPr>
                <w:b/>
                <w:sz w:val="21"/>
                <w:highlight w:val="none"/>
              </w:rPr>
              <w:t>总分</w:t>
            </w:r>
          </w:p>
        </w:tc>
        <w:tc>
          <w:tcPr>
            <w:tcW w:w="847" w:type="dxa"/>
            <w:vAlign w:val="center"/>
          </w:tcPr>
          <w:p>
            <w:pPr>
              <w:spacing w:line="240" w:lineRule="auto"/>
              <w:ind w:firstLine="0" w:firstLineChars="0"/>
              <w:jc w:val="center"/>
              <w:rPr>
                <w:b/>
                <w:sz w:val="21"/>
                <w:highlight w:val="none"/>
              </w:rPr>
            </w:pPr>
            <w:r>
              <w:rPr>
                <w:b/>
                <w:sz w:val="21"/>
                <w:highlight w:val="none"/>
              </w:rPr>
              <w:t>100</w:t>
            </w:r>
          </w:p>
        </w:tc>
        <w:tc>
          <w:tcPr>
            <w:tcW w:w="1191" w:type="dxa"/>
            <w:vAlign w:val="center"/>
          </w:tcPr>
          <w:p>
            <w:pPr>
              <w:widowControl/>
              <w:spacing w:line="240" w:lineRule="auto"/>
              <w:ind w:firstLine="0" w:firstLineChars="0"/>
              <w:jc w:val="center"/>
              <w:textAlignment w:val="center"/>
              <w:rPr>
                <w:rFonts w:hint="default" w:eastAsia="仿宋_GB2312"/>
                <w:b/>
                <w:color w:val="000000"/>
                <w:kern w:val="0"/>
                <w:sz w:val="21"/>
                <w:highlight w:val="none"/>
                <w:lang w:val="en-US" w:eastAsia="zh-CN" w:bidi="ar"/>
              </w:rPr>
            </w:pPr>
            <w:r>
              <w:rPr>
                <w:rFonts w:hint="eastAsia"/>
                <w:b/>
                <w:color w:val="000000"/>
                <w:kern w:val="0"/>
                <w:sz w:val="21"/>
                <w:highlight w:val="none"/>
                <w:lang w:val="en-US" w:eastAsia="zh-CN" w:bidi="ar"/>
              </w:rPr>
              <w:t>84.75</w:t>
            </w:r>
          </w:p>
        </w:tc>
      </w:tr>
    </w:tbl>
    <w:p>
      <w:pPr>
        <w:pStyle w:val="4"/>
        <w:keepNext/>
        <w:keepLines/>
        <w:pageBreakBefore w:val="0"/>
        <w:widowControl w:val="0"/>
        <w:kinsoku/>
        <w:wordWrap/>
        <w:overflowPunct/>
        <w:topLinePunct w:val="0"/>
        <w:autoSpaceDE/>
        <w:autoSpaceDN/>
        <w:bidi w:val="0"/>
        <w:adjustRightInd/>
        <w:snapToGrid/>
        <w:spacing w:before="157" w:beforeLines="50"/>
        <w:ind w:firstLine="643"/>
        <w:textAlignment w:val="auto"/>
        <w:rPr>
          <w:rFonts w:hint="eastAsia" w:ascii="等线 Light" w:hAnsi="等线 Light" w:cs="Times New Roman"/>
          <w:color w:val="000000"/>
        </w:rPr>
      </w:pPr>
      <w:bookmarkStart w:id="51" w:name="_Toc17777"/>
      <w:bookmarkStart w:id="52" w:name="_Toc31262"/>
      <w:bookmarkStart w:id="53" w:name="_Toc31518"/>
      <w:bookmarkStart w:id="54" w:name="_Toc16705"/>
      <w:bookmarkStart w:id="55" w:name="_Toc19406"/>
      <w:bookmarkStart w:id="56" w:name="_Toc18376"/>
      <w:bookmarkStart w:id="57" w:name="_Toc12723"/>
      <w:bookmarkStart w:id="58" w:name="_Toc5898"/>
      <w:r>
        <w:rPr>
          <w:rFonts w:hint="eastAsia" w:ascii="等线 Light" w:hAnsi="等线 Light" w:cs="Times New Roman"/>
          <w:color w:val="000000"/>
        </w:rPr>
        <w:t>（二）综合评价结论</w:t>
      </w:r>
      <w:bookmarkEnd w:id="51"/>
      <w:bookmarkEnd w:id="52"/>
      <w:bookmarkEnd w:id="53"/>
      <w:bookmarkEnd w:id="54"/>
      <w:bookmarkEnd w:id="55"/>
      <w:bookmarkEnd w:id="56"/>
      <w:bookmarkEnd w:id="57"/>
      <w:bookmarkEnd w:id="58"/>
    </w:p>
    <w:p>
      <w:pPr>
        <w:ind w:firstLine="640"/>
        <w:rPr>
          <w:rFonts w:hint="eastAsia" w:cs="Times New Roman"/>
          <w:color w:val="000000"/>
          <w:sz w:val="32"/>
          <w:szCs w:val="44"/>
          <w:lang w:val="en-US" w:eastAsia="zh-CN"/>
        </w:rPr>
      </w:pPr>
      <w:r>
        <w:rPr>
          <w:rFonts w:hint="eastAsia"/>
          <w:highlight w:val="none"/>
        </w:rPr>
        <w:t>贵阳</w:t>
      </w:r>
      <w:r>
        <w:rPr>
          <w:highlight w:val="none"/>
        </w:rPr>
        <w:t>业越</w:t>
      </w:r>
      <w:r>
        <w:rPr>
          <w:rFonts w:hint="eastAsia"/>
          <w:highlight w:val="none"/>
        </w:rPr>
        <w:t>企业管理咨询有限公司</w:t>
      </w:r>
      <w:r>
        <w:rPr>
          <w:highlight w:val="none"/>
        </w:rPr>
        <w:t>对</w:t>
      </w:r>
      <w:r>
        <w:rPr>
          <w:rFonts w:hint="eastAsia"/>
          <w:highlight w:val="none"/>
        </w:rPr>
        <w:t>云岩区</w:t>
      </w:r>
      <w:r>
        <w:rPr>
          <w:rFonts w:hint="eastAsia"/>
          <w:highlight w:val="none"/>
          <w:lang w:val="en-US" w:eastAsia="zh-CN"/>
        </w:rPr>
        <w:t>2020年公共文化建设</w:t>
      </w:r>
      <w:r>
        <w:rPr>
          <w:rFonts w:hint="eastAsia"/>
          <w:highlight w:val="none"/>
        </w:rPr>
        <w:t>项目支出</w:t>
      </w:r>
      <w:r>
        <w:rPr>
          <w:highlight w:val="none"/>
        </w:rPr>
        <w:t>进行了独立第三方评价，</w:t>
      </w:r>
      <w:r>
        <w:rPr>
          <w:rFonts w:hint="eastAsia"/>
          <w:highlight w:val="none"/>
        </w:rPr>
        <w:t>综合绩效评价得</w:t>
      </w:r>
      <w:r>
        <w:rPr>
          <w:rFonts w:hint="eastAsia"/>
          <w:color w:val="auto"/>
          <w:highlight w:val="none"/>
          <w:lang w:val="en-US" w:eastAsia="zh-CN"/>
        </w:rPr>
        <w:t>84.75</w:t>
      </w:r>
      <w:r>
        <w:rPr>
          <w:rFonts w:hint="eastAsia"/>
          <w:color w:val="auto"/>
          <w:highlight w:val="none"/>
        </w:rPr>
        <w:t>分，根据财预</w:t>
      </w:r>
      <w:r>
        <w:rPr>
          <w:color w:val="auto"/>
          <w:highlight w:val="none"/>
        </w:rPr>
        <w:t>〔</w:t>
      </w:r>
      <w:r>
        <w:rPr>
          <w:rFonts w:hint="eastAsia"/>
          <w:color w:val="auto"/>
          <w:highlight w:val="none"/>
        </w:rPr>
        <w:t>2020</w:t>
      </w:r>
      <w:r>
        <w:rPr>
          <w:color w:val="auto"/>
          <w:highlight w:val="none"/>
        </w:rPr>
        <w:t>〕</w:t>
      </w:r>
      <w:r>
        <w:rPr>
          <w:rFonts w:hint="eastAsia"/>
          <w:color w:val="auto"/>
          <w:highlight w:val="none"/>
        </w:rPr>
        <w:t>10号文评级为“</w:t>
      </w:r>
      <w:r>
        <w:rPr>
          <w:rFonts w:hint="eastAsia"/>
          <w:color w:val="auto"/>
          <w:highlight w:val="none"/>
          <w:lang w:val="en-US" w:eastAsia="zh-CN"/>
        </w:rPr>
        <w:t>良</w:t>
      </w:r>
      <w:r>
        <w:rPr>
          <w:rFonts w:hint="eastAsia"/>
          <w:color w:val="auto"/>
          <w:highlight w:val="none"/>
        </w:rPr>
        <w:t>”</w:t>
      </w:r>
      <w:r>
        <w:rPr>
          <w:rFonts w:hint="eastAsia"/>
          <w:highlight w:val="none"/>
        </w:rPr>
        <w:t>。</w:t>
      </w:r>
      <w:r>
        <w:rPr>
          <w:rFonts w:hint="eastAsia"/>
          <w:highlight w:val="none"/>
          <w:lang w:val="en-US" w:eastAsia="zh-CN"/>
        </w:rPr>
        <w:t>2020年</w:t>
      </w:r>
      <w:r>
        <w:rPr>
          <w:rFonts w:hint="eastAsia"/>
          <w:highlight w:val="none"/>
        </w:rPr>
        <w:t>区</w:t>
      </w:r>
      <w:r>
        <w:rPr>
          <w:rFonts w:hint="eastAsia"/>
          <w:highlight w:val="none"/>
          <w:lang w:val="en-US" w:eastAsia="zh-CN"/>
        </w:rPr>
        <w:t>文体局“区级公共文化建设”项目的实施，通过</w:t>
      </w:r>
      <w:r>
        <w:rPr>
          <w:rFonts w:hint="eastAsia" w:cs="仿宋_GB2312"/>
          <w:kern w:val="0"/>
          <w:highlight w:val="none"/>
          <w:lang w:val="en-US" w:eastAsia="zh-CN"/>
        </w:rPr>
        <w:t>积极宣传并开展各类</w:t>
      </w:r>
      <w:r>
        <w:rPr>
          <w:rFonts w:hint="eastAsia" w:ascii="Times New Roman" w:hAnsi="Times New Roman" w:eastAsia="仿宋_GB2312" w:cs="仿宋_GB2312"/>
          <w:i w:val="0"/>
          <w:caps w:val="0"/>
          <w:spacing w:val="0"/>
          <w:kern w:val="0"/>
          <w:sz w:val="32"/>
          <w:szCs w:val="21"/>
          <w:highlight w:val="none"/>
          <w:shd w:val="clear"/>
        </w:rPr>
        <w:t>文化活动</w:t>
      </w:r>
      <w:r>
        <w:rPr>
          <w:rFonts w:hint="eastAsia" w:cs="仿宋_GB2312"/>
          <w:i w:val="0"/>
          <w:caps w:val="0"/>
          <w:spacing w:val="0"/>
          <w:kern w:val="0"/>
          <w:sz w:val="32"/>
          <w:szCs w:val="21"/>
          <w:highlight w:val="none"/>
          <w:shd w:val="clear"/>
          <w:lang w:eastAsia="zh-CN"/>
        </w:rPr>
        <w:t>，</w:t>
      </w:r>
      <w:r>
        <w:rPr>
          <w:rFonts w:hint="eastAsia" w:cs="仿宋_GB2312"/>
          <w:i w:val="0"/>
          <w:caps w:val="0"/>
          <w:spacing w:val="0"/>
          <w:kern w:val="0"/>
          <w:sz w:val="32"/>
          <w:szCs w:val="21"/>
          <w:highlight w:val="none"/>
          <w:shd w:val="clear"/>
          <w:lang w:val="en-US" w:eastAsia="zh-CN"/>
        </w:rPr>
        <w:t>宣传</w:t>
      </w:r>
      <w:r>
        <w:rPr>
          <w:rFonts w:hint="eastAsia" w:ascii="仿宋_GB2312" w:hAnsi="仿宋_GB2312" w:eastAsia="仿宋_GB2312" w:cs="仿宋_GB2312"/>
          <w:color w:val="auto"/>
          <w:kern w:val="2"/>
          <w:sz w:val="32"/>
          <w:szCs w:val="32"/>
          <w:rtl w:val="0"/>
          <w:lang w:val="zh-CN" w:eastAsia="zh-CN"/>
        </w:rPr>
        <w:t>革命先烈的英勇事迹</w:t>
      </w:r>
      <w:r>
        <w:rPr>
          <w:rFonts w:hint="eastAsia" w:ascii="仿宋_GB2312" w:hAnsi="仿宋_GB2312" w:cs="仿宋_GB2312"/>
          <w:color w:val="auto"/>
          <w:kern w:val="2"/>
          <w:sz w:val="32"/>
          <w:szCs w:val="32"/>
          <w:rtl w:val="0"/>
          <w:lang w:val="en-US" w:eastAsia="zh-CN"/>
        </w:rPr>
        <w:t>，依托多彩贵州文化云平台，在传承中华文化，弘扬传统美德和丰富群众文化生活方面</w:t>
      </w:r>
      <w:r>
        <w:rPr>
          <w:rFonts w:hint="eastAsia"/>
          <w:highlight w:val="none"/>
          <w:lang w:val="en-US" w:eastAsia="zh-CN"/>
        </w:rPr>
        <w:t>取得了较好的成效</w:t>
      </w:r>
      <w:r>
        <w:rPr>
          <w:rFonts w:hint="eastAsia"/>
          <w:highlight w:val="none"/>
        </w:rPr>
        <w:t>，但同时也存在</w:t>
      </w:r>
      <w:r>
        <w:rPr>
          <w:rFonts w:hint="eastAsia"/>
          <w:highlight w:val="none"/>
          <w:lang w:val="en-US" w:eastAsia="zh-CN"/>
        </w:rPr>
        <w:t>绩效目标不明确、预算编制科学性不足以及</w:t>
      </w:r>
      <w:r>
        <w:rPr>
          <w:rFonts w:hint="eastAsia"/>
          <w:highlight w:val="none"/>
        </w:rPr>
        <w:t>挤占项目经费等</w:t>
      </w:r>
      <w:r>
        <w:rPr>
          <w:rFonts w:hint="eastAsia"/>
          <w:highlight w:val="none"/>
          <w:lang w:val="en-US" w:eastAsia="zh-CN"/>
        </w:rPr>
        <w:t>情形</w:t>
      </w:r>
      <w:r>
        <w:rPr>
          <w:rFonts w:hint="eastAsia"/>
          <w:highlight w:val="none"/>
        </w:rPr>
        <w:t>。</w:t>
      </w:r>
    </w:p>
    <w:p>
      <w:pPr>
        <w:pStyle w:val="3"/>
        <w:keepNext/>
        <w:keepLines/>
        <w:pageBreakBefore w:val="0"/>
        <w:widowControl w:val="0"/>
        <w:kinsoku/>
        <w:wordWrap/>
        <w:overflowPunct/>
        <w:topLinePunct w:val="0"/>
        <w:autoSpaceDE/>
        <w:autoSpaceDN/>
        <w:bidi w:val="0"/>
        <w:adjustRightInd/>
        <w:snapToGrid/>
        <w:spacing w:line="560" w:lineRule="exact"/>
        <w:textAlignment w:val="auto"/>
        <w:rPr>
          <w:rFonts w:hint="eastAsia"/>
          <w:sz w:val="32"/>
          <w:szCs w:val="32"/>
          <w:lang w:val="en-US" w:eastAsia="zh-CN"/>
        </w:rPr>
      </w:pPr>
      <w:r>
        <w:rPr>
          <w:rFonts w:hint="eastAsia" w:cs="Times New Roman"/>
          <w:color w:val="000000"/>
          <w:sz w:val="32"/>
          <w:szCs w:val="44"/>
          <w:lang w:val="en-US" w:eastAsia="zh-CN"/>
        </w:rPr>
        <w:t>三</w:t>
      </w:r>
      <w:r>
        <w:rPr>
          <w:rFonts w:hint="eastAsia" w:ascii="Times New Roman" w:hAnsi="Times New Roman" w:cs="Times New Roman"/>
          <w:color w:val="000000"/>
          <w:sz w:val="32"/>
          <w:szCs w:val="44"/>
          <w:lang w:val="en-US" w:eastAsia="zh-CN"/>
        </w:rPr>
        <w:t>、主要经验及做法、存在的问题和建议</w:t>
      </w:r>
      <w:bookmarkEnd w:id="39"/>
      <w:bookmarkEnd w:id="40"/>
      <w:bookmarkEnd w:id="41"/>
      <w:bookmarkEnd w:id="42"/>
      <w:bookmarkEnd w:id="43"/>
      <w:bookmarkEnd w:id="44"/>
    </w:p>
    <w:p>
      <w:pPr>
        <w:pStyle w:val="4"/>
        <w:rPr>
          <w:rFonts w:hint="eastAsia" w:eastAsia="楷体" w:cs="Times New Roman"/>
          <w:b/>
          <w:bCs/>
          <w:color w:val="000000"/>
          <w:szCs w:val="32"/>
        </w:rPr>
      </w:pPr>
      <w:bookmarkStart w:id="59" w:name="_Toc25136"/>
      <w:bookmarkStart w:id="60" w:name="_Toc24697"/>
      <w:bookmarkStart w:id="61" w:name="_Toc21521"/>
      <w:bookmarkStart w:id="62" w:name="_Toc12829"/>
      <w:bookmarkStart w:id="63" w:name="_Toc29486"/>
      <w:bookmarkStart w:id="64" w:name="_Toc31764"/>
      <w:bookmarkStart w:id="65" w:name="_Toc24247"/>
      <w:bookmarkStart w:id="66" w:name="_Toc29546"/>
      <w:r>
        <w:rPr>
          <w:rFonts w:hint="eastAsia" w:eastAsia="楷体" w:cs="Times New Roman"/>
          <w:b/>
          <w:bCs/>
          <w:color w:val="000000"/>
          <w:szCs w:val="32"/>
        </w:rPr>
        <w:t>（一）主要经验及做法</w:t>
      </w:r>
      <w:bookmarkEnd w:id="59"/>
      <w:bookmarkEnd w:id="60"/>
      <w:bookmarkEnd w:id="61"/>
      <w:bookmarkEnd w:id="62"/>
      <w:bookmarkEnd w:id="63"/>
      <w:bookmarkEnd w:id="64"/>
      <w:bookmarkEnd w:id="65"/>
      <w:bookmarkEnd w:id="66"/>
      <w:bookmarkStart w:id="67" w:name="_Toc30999"/>
      <w:bookmarkStart w:id="68" w:name="_Toc438552137"/>
      <w:bookmarkStart w:id="69" w:name="_Toc438552079"/>
    </w:p>
    <w:bookmarkEnd w:id="67"/>
    <w:p>
      <w:pPr>
        <w:bidi w:val="0"/>
        <w:rPr>
          <w:rFonts w:hint="eastAsia"/>
          <w:lang w:val="en-US" w:eastAsia="zh-CN"/>
        </w:rPr>
      </w:pPr>
      <w:r>
        <w:rPr>
          <w:rFonts w:hint="eastAsia"/>
          <w:b/>
          <w:bCs/>
          <w:lang w:val="en-US" w:eastAsia="zh-CN"/>
        </w:rPr>
        <w:t>丰富群众文化活动，强化文化服务供给。</w:t>
      </w:r>
      <w:r>
        <w:rPr>
          <w:rFonts w:hint="eastAsia" w:ascii="仿宋_GB2312" w:hAnsi="仿宋_GB2312" w:cs="仿宋_GB2312"/>
          <w:b w:val="0"/>
          <w:bCs w:val="0"/>
          <w:color w:val="auto"/>
          <w:kern w:val="2"/>
          <w:sz w:val="32"/>
          <w:szCs w:val="32"/>
          <w:rtl w:val="0"/>
          <w:lang w:val="en-US" w:eastAsia="zh-CN"/>
        </w:rPr>
        <w:t>一方面，</w:t>
      </w:r>
      <w:r>
        <w:rPr>
          <w:rFonts w:hint="eastAsia" w:ascii="仿宋_GB2312" w:hAnsi="仿宋_GB2312" w:cs="仿宋_GB2312"/>
          <w:color w:val="auto"/>
          <w:kern w:val="2"/>
          <w:sz w:val="32"/>
          <w:szCs w:val="32"/>
          <w:rtl w:val="0"/>
          <w:lang w:val="en-US" w:eastAsia="zh-CN"/>
        </w:rPr>
        <w:t>区文体局</w:t>
      </w:r>
      <w:r>
        <w:rPr>
          <w:rFonts w:hint="eastAsia" w:ascii="仿宋_GB2312" w:hAnsi="仿宋_GB2312" w:eastAsia="仿宋_GB2312" w:cs="仿宋_GB2312"/>
          <w:color w:val="auto"/>
          <w:kern w:val="2"/>
          <w:sz w:val="32"/>
          <w:szCs w:val="32"/>
          <w:rtl w:val="0"/>
          <w:lang w:val="zh-CN" w:eastAsia="zh-CN"/>
        </w:rPr>
        <w:t>联合</w:t>
      </w:r>
      <w:r>
        <w:rPr>
          <w:rFonts w:hint="eastAsia" w:ascii="仿宋_GB2312" w:hAnsi="仿宋_GB2312" w:eastAsia="仿宋_GB2312" w:cs="仿宋_GB2312"/>
          <w:color w:val="auto"/>
          <w:kern w:val="2"/>
          <w:sz w:val="32"/>
          <w:szCs w:val="32"/>
          <w:rtl w:val="0"/>
          <w:lang w:val="en-US" w:eastAsia="zh-CN"/>
        </w:rPr>
        <w:t>各街道（镇）</w:t>
      </w:r>
      <w:r>
        <w:rPr>
          <w:rFonts w:hint="eastAsia" w:ascii="仿宋_GB2312" w:hAnsi="仿宋_GB2312" w:eastAsia="仿宋_GB2312" w:cs="仿宋_GB2312"/>
          <w:color w:val="auto"/>
          <w:kern w:val="2"/>
          <w:sz w:val="32"/>
          <w:szCs w:val="32"/>
          <w:rtl w:val="0"/>
          <w:lang w:val="zh-CN" w:eastAsia="zh-CN"/>
        </w:rPr>
        <w:t>在元旦、春节、清明、端午等节假日期间开展公益演出、绘画展、线上音乐会、先进典型事迹巡讲、快闪和主题慰问演出等</w:t>
      </w:r>
      <w:r>
        <w:rPr>
          <w:rFonts w:hint="eastAsia" w:ascii="Times New Roman" w:hAnsi="Times New Roman" w:eastAsia="仿宋_GB2312" w:cs="仿宋_GB2312"/>
          <w:color w:val="auto"/>
          <w:kern w:val="2"/>
          <w:sz w:val="32"/>
          <w:szCs w:val="32"/>
          <w:rtl w:val="0"/>
          <w:lang w:val="zh-CN" w:eastAsia="zh-CN"/>
        </w:rPr>
        <w:t>20</w:t>
      </w:r>
      <w:r>
        <w:rPr>
          <w:rFonts w:hint="eastAsia" w:ascii="仿宋_GB2312" w:hAnsi="仿宋_GB2312" w:eastAsia="仿宋_GB2312" w:cs="仿宋_GB2312"/>
          <w:color w:val="auto"/>
          <w:kern w:val="2"/>
          <w:sz w:val="32"/>
          <w:szCs w:val="32"/>
          <w:rtl w:val="0"/>
          <w:lang w:val="zh-CN" w:eastAsia="zh-CN"/>
        </w:rPr>
        <w:t>余项群众文艺演出活动；</w:t>
      </w:r>
      <w:r>
        <w:rPr>
          <w:rFonts w:hint="eastAsia" w:ascii="仿宋_GB2312" w:hAnsi="仿宋_GB2312" w:cs="仿宋_GB2312"/>
          <w:b w:val="0"/>
          <w:bCs w:val="0"/>
          <w:color w:val="auto"/>
          <w:kern w:val="2"/>
          <w:sz w:val="32"/>
          <w:szCs w:val="32"/>
          <w:rtl w:val="0"/>
          <w:lang w:val="en-US" w:eastAsia="zh-CN"/>
        </w:rPr>
        <w:t>另一方面，</w:t>
      </w:r>
      <w:r>
        <w:rPr>
          <w:rFonts w:hint="eastAsia" w:ascii="仿宋_GB2312" w:hAnsi="仿宋_GB2312" w:eastAsia="仿宋_GB2312" w:cs="仿宋_GB2312"/>
          <w:color w:val="auto"/>
          <w:kern w:val="2"/>
          <w:sz w:val="32"/>
          <w:szCs w:val="32"/>
          <w:rtl w:val="0"/>
          <w:lang w:val="zh-CN" w:eastAsia="zh-CN"/>
        </w:rPr>
        <w:t>借助</w:t>
      </w:r>
      <w:r>
        <w:rPr>
          <w:rFonts w:hint="eastAsia" w:ascii="仿宋_GB2312" w:hAnsi="仿宋_GB2312" w:eastAsia="仿宋_GB2312" w:cs="仿宋_GB2312"/>
          <w:color w:val="auto"/>
          <w:kern w:val="2"/>
          <w:sz w:val="32"/>
          <w:szCs w:val="32"/>
          <w:lang w:val="en-US" w:eastAsia="zh-CN"/>
        </w:rPr>
        <w:t>“全民读书月”、</w:t>
      </w:r>
      <w:r>
        <w:rPr>
          <w:rFonts w:hint="eastAsia" w:ascii="仿宋" w:hAnsi="仿宋" w:eastAsia="仿宋" w:cs="Times New Roman"/>
          <w:color w:val="auto"/>
          <w:kern w:val="2"/>
          <w:sz w:val="32"/>
          <w:szCs w:val="32"/>
          <w:lang w:val="en-US" w:eastAsia="zh-CN"/>
        </w:rPr>
        <w:t>“世界读书日”</w:t>
      </w:r>
      <w:r>
        <w:rPr>
          <w:rFonts w:hint="eastAsia" w:ascii="仿宋_GB2312" w:hAnsi="仿宋_GB2312" w:eastAsia="仿宋_GB2312" w:cs="仿宋_GB2312"/>
          <w:color w:val="auto"/>
          <w:kern w:val="2"/>
          <w:sz w:val="32"/>
          <w:szCs w:val="32"/>
          <w:rtl w:val="0"/>
          <w:lang w:val="zh-CN" w:eastAsia="zh-CN"/>
        </w:rPr>
        <w:t>相继开展了“阅享云岩”公共文化季活动。</w:t>
      </w:r>
      <w:r>
        <w:rPr>
          <w:rFonts w:hint="eastAsia" w:ascii="仿宋_GB2312" w:hAnsi="仿宋_GB2312" w:eastAsia="仿宋_GB2312" w:cs="仿宋_GB2312"/>
          <w:color w:val="auto"/>
          <w:kern w:val="2"/>
          <w:sz w:val="32"/>
          <w:szCs w:val="32"/>
          <w:lang w:val="en-US" w:eastAsia="zh-CN"/>
        </w:rPr>
        <w:t>开通了“两</w:t>
      </w:r>
      <w:r>
        <w:rPr>
          <w:rFonts w:hint="eastAsia" w:ascii="仿宋_GB2312" w:hAnsi="仿宋_GB2312" w:eastAsia="仿宋_GB2312" w:cs="仿宋_GB2312"/>
          <w:color w:val="auto"/>
          <w:kern w:val="2"/>
          <w:sz w:val="32"/>
          <w:szCs w:val="32"/>
          <w:highlight w:val="none"/>
          <w:lang w:val="en-US" w:eastAsia="zh-CN"/>
        </w:rPr>
        <w:t>微一</w:t>
      </w:r>
      <w:r>
        <w:rPr>
          <w:rFonts w:hint="eastAsia" w:ascii="仿宋_GB2312" w:hAnsi="仿宋_GB2312" w:eastAsia="仿宋_GB2312" w:cs="仿宋_GB2312"/>
          <w:color w:val="auto"/>
          <w:kern w:val="2"/>
          <w:sz w:val="32"/>
          <w:szCs w:val="32"/>
          <w:lang w:val="en-US" w:eastAsia="zh-CN"/>
        </w:rPr>
        <w:t>抖”（微信公众号、微博、抖音）全民阅读服务传播平台。利用平台</w:t>
      </w:r>
      <w:r>
        <w:rPr>
          <w:rFonts w:hint="eastAsia" w:ascii="仿宋_GB2312" w:hAnsi="仿宋_GB2312" w:eastAsia="仿宋_GB2312" w:cs="仿宋_GB2312"/>
          <w:color w:val="auto"/>
          <w:kern w:val="2"/>
          <w:sz w:val="32"/>
          <w:szCs w:val="32"/>
          <w:rtl w:val="0"/>
          <w:lang w:val="zh-CN" w:eastAsia="zh-CN"/>
        </w:rPr>
        <w:t>开展了“我们的节日·清明”“缅怀先烈·云游红色文化”等线上活动，宣传展示云岩区红色文化资源、以文明祭奠革命英烈、敬献鲜花形式及利用红色文化</w:t>
      </w:r>
      <w:r>
        <w:rPr>
          <w:rFonts w:hint="default" w:ascii="Times New Roman" w:hAnsi="Times New Roman" w:eastAsia="仿宋_GB2312" w:cs="Times New Roman"/>
          <w:color w:val="auto"/>
          <w:kern w:val="2"/>
          <w:sz w:val="32"/>
          <w:szCs w:val="32"/>
          <w:rtl w:val="0"/>
          <w:lang w:val="zh-CN" w:eastAsia="zh-CN"/>
        </w:rPr>
        <w:t>VR</w:t>
      </w:r>
      <w:r>
        <w:rPr>
          <w:rFonts w:hint="eastAsia" w:ascii="仿宋_GB2312" w:hAnsi="仿宋_GB2312" w:eastAsia="仿宋_GB2312" w:cs="仿宋_GB2312"/>
          <w:color w:val="auto"/>
          <w:kern w:val="2"/>
          <w:sz w:val="32"/>
          <w:szCs w:val="32"/>
          <w:rtl w:val="0"/>
          <w:lang w:val="zh-CN" w:eastAsia="zh-CN"/>
        </w:rPr>
        <w:t>地图进行网上宣传，了解革命先烈的英勇事迹，培育弘扬新时代爱国主义精神和民族精神。</w:t>
      </w:r>
      <w:r>
        <w:rPr>
          <w:rFonts w:hint="eastAsia" w:ascii="仿宋_GB2312" w:hAnsi="仿宋_GB2312" w:eastAsia="仿宋_GB2312" w:cs="仿宋_GB2312"/>
          <w:color w:val="auto"/>
          <w:kern w:val="2"/>
          <w:sz w:val="32"/>
          <w:szCs w:val="32"/>
          <w:lang w:val="en-US" w:eastAsia="zh-CN"/>
        </w:rPr>
        <w:t>搭建网络直播间</w:t>
      </w:r>
      <w:r>
        <w:rPr>
          <w:rFonts w:hint="eastAsia" w:ascii="仿宋_GB2312" w:hAnsi="仿宋_GB2312" w:cs="仿宋_GB2312"/>
          <w:color w:val="auto"/>
          <w:kern w:val="2"/>
          <w:sz w:val="32"/>
          <w:szCs w:val="32"/>
          <w:lang w:val="en-US" w:eastAsia="zh-CN"/>
        </w:rPr>
        <w:t>，</w:t>
      </w:r>
      <w:r>
        <w:rPr>
          <w:rFonts w:hint="eastAsia" w:ascii="仿宋_GB2312" w:hAnsi="仿宋_GB2312" w:eastAsia="仿宋_GB2312" w:cs="仿宋_GB2312"/>
          <w:color w:val="auto"/>
          <w:kern w:val="2"/>
          <w:sz w:val="32"/>
          <w:szCs w:val="32"/>
          <w:lang w:val="en-US" w:eastAsia="zh-CN"/>
        </w:rPr>
        <w:t>围绕世界读书日，以“阅读的力量”为主题，</w:t>
      </w:r>
      <w:r>
        <w:rPr>
          <w:rFonts w:hint="eastAsia" w:ascii="仿宋_GB2312" w:hAnsi="仿宋_GB2312" w:cs="仿宋_GB2312"/>
          <w:color w:val="auto"/>
          <w:kern w:val="2"/>
          <w:sz w:val="32"/>
          <w:szCs w:val="32"/>
          <w:lang w:val="en-US" w:eastAsia="zh-CN"/>
        </w:rPr>
        <w:t>利用</w:t>
      </w:r>
      <w:r>
        <w:rPr>
          <w:rFonts w:hint="eastAsia" w:ascii="仿宋_GB2312" w:hAnsi="仿宋_GB2312" w:eastAsia="仿宋_GB2312" w:cs="仿宋_GB2312"/>
          <w:color w:val="auto"/>
          <w:kern w:val="2"/>
          <w:sz w:val="32"/>
          <w:szCs w:val="32"/>
          <w:lang w:val="en-US" w:eastAsia="zh-CN"/>
        </w:rPr>
        <w:t>在线短视频，开展了“人人朗读”云岩区朗读短视频挑战活动，邀请了云岩区机关干部群众、市民</w:t>
      </w:r>
      <w:r>
        <w:rPr>
          <w:rFonts w:hint="eastAsia" w:ascii="仿宋_GB2312" w:hAnsi="仿宋_GB2312" w:cs="仿宋_GB2312"/>
          <w:color w:val="auto"/>
          <w:kern w:val="2"/>
          <w:sz w:val="32"/>
          <w:szCs w:val="32"/>
          <w:lang w:val="en-US" w:eastAsia="zh-CN"/>
        </w:rPr>
        <w:t>群众</w:t>
      </w:r>
      <w:r>
        <w:rPr>
          <w:rFonts w:hint="eastAsia" w:ascii="仿宋_GB2312" w:hAnsi="仿宋_GB2312" w:eastAsia="仿宋_GB2312" w:cs="仿宋_GB2312"/>
          <w:color w:val="auto"/>
          <w:kern w:val="2"/>
          <w:sz w:val="32"/>
          <w:szCs w:val="32"/>
          <w:lang w:val="en-US" w:eastAsia="zh-CN"/>
        </w:rPr>
        <w:t>参与本次活动</w:t>
      </w:r>
      <w:r>
        <w:rPr>
          <w:rFonts w:hint="eastAsia" w:ascii="仿宋_GB2312" w:hAnsi="仿宋_GB2312" w:cs="仿宋_GB2312"/>
          <w:color w:val="auto"/>
          <w:kern w:val="2"/>
          <w:sz w:val="32"/>
          <w:szCs w:val="32"/>
          <w:lang w:val="en-US" w:eastAsia="zh-CN"/>
        </w:rPr>
        <w:t>，拓宽</w:t>
      </w:r>
      <w:r>
        <w:rPr>
          <w:rFonts w:hint="eastAsia" w:ascii="仿宋_GB2312" w:hAnsi="仿宋_GB2312" w:eastAsia="仿宋_GB2312" w:cs="仿宋_GB2312"/>
          <w:b w:val="0"/>
          <w:bCs w:val="0"/>
          <w:color w:val="auto"/>
          <w:kern w:val="2"/>
          <w:sz w:val="32"/>
          <w:szCs w:val="32"/>
          <w:rtl w:val="0"/>
          <w:lang w:val="zh-CN" w:eastAsia="zh-CN"/>
        </w:rPr>
        <w:t>全民阅读眼界。</w:t>
      </w:r>
    </w:p>
    <w:bookmarkEnd w:id="68"/>
    <w:bookmarkEnd w:id="69"/>
    <w:p>
      <w:pPr>
        <w:pStyle w:val="4"/>
        <w:spacing w:before="0" w:after="0"/>
        <w:ind w:firstLine="643"/>
        <w:rPr>
          <w:rFonts w:hint="eastAsia" w:ascii="等线 Light" w:hAnsi="等线 Light" w:cs="Times New Roman"/>
          <w:color w:val="000000"/>
        </w:rPr>
      </w:pPr>
      <w:bookmarkStart w:id="70" w:name="_Toc9179"/>
      <w:bookmarkStart w:id="71" w:name="_Toc17506"/>
      <w:bookmarkStart w:id="72" w:name="_Toc9425"/>
      <w:bookmarkStart w:id="73" w:name="_Toc28090"/>
      <w:bookmarkStart w:id="74" w:name="_Toc21762"/>
      <w:r>
        <w:rPr>
          <w:rFonts w:hint="eastAsia" w:ascii="等线 Light" w:hAnsi="等线 Light" w:cs="Times New Roman"/>
          <w:color w:val="000000"/>
        </w:rPr>
        <w:t>（二）存在的主要问题</w:t>
      </w:r>
      <w:bookmarkEnd w:id="70"/>
      <w:bookmarkEnd w:id="71"/>
      <w:bookmarkEnd w:id="72"/>
      <w:bookmarkEnd w:id="73"/>
      <w:bookmarkEnd w:id="74"/>
    </w:p>
    <w:p>
      <w:pPr>
        <w:bidi w:val="0"/>
        <w:rPr>
          <w:rFonts w:hint="default" w:eastAsia="仿宋_GB2312"/>
          <w:b/>
          <w:bCs/>
          <w:lang w:val="en-US" w:eastAsia="zh-CN"/>
        </w:rPr>
      </w:pPr>
      <w:bookmarkStart w:id="75" w:name="_Toc26526"/>
      <w:bookmarkStart w:id="76" w:name="_Toc11252"/>
      <w:bookmarkStart w:id="77" w:name="_Toc2420"/>
      <w:bookmarkStart w:id="78" w:name="_Toc22558"/>
      <w:bookmarkStart w:id="79" w:name="_Toc29113"/>
      <w:bookmarkStart w:id="80" w:name="_Toc715"/>
      <w:r>
        <w:rPr>
          <w:rFonts w:hint="eastAsia"/>
          <w:b/>
          <w:bCs/>
        </w:rPr>
        <w:t>1．绩效目标</w:t>
      </w:r>
      <w:bookmarkEnd w:id="75"/>
      <w:r>
        <w:rPr>
          <w:rFonts w:hint="eastAsia"/>
          <w:b/>
          <w:bCs/>
          <w:lang w:val="en-US" w:eastAsia="zh-CN"/>
        </w:rPr>
        <w:t>编制</w:t>
      </w:r>
      <w:bookmarkEnd w:id="76"/>
      <w:r>
        <w:rPr>
          <w:rFonts w:hint="eastAsia"/>
          <w:b/>
          <w:bCs/>
          <w:lang w:val="en-US" w:eastAsia="zh-CN"/>
        </w:rPr>
        <w:t>合理性有待加强</w:t>
      </w:r>
    </w:p>
    <w:p>
      <w:pPr>
        <w:ind w:firstLine="640"/>
        <w:rPr>
          <w:rFonts w:hint="eastAsia"/>
          <w:szCs w:val="32"/>
        </w:rPr>
      </w:pPr>
      <w:r>
        <w:rPr>
          <w:rFonts w:hint="eastAsia"/>
          <w:szCs w:val="32"/>
          <w:lang w:val="en-US" w:eastAsia="zh-CN"/>
        </w:rPr>
        <w:t>区文体局</w:t>
      </w:r>
      <w:r>
        <w:rPr>
          <w:rFonts w:hint="eastAsia"/>
          <w:szCs w:val="32"/>
        </w:rPr>
        <w:t>在制定该项目绩效目标过程中，存在部分绩效目标</w:t>
      </w:r>
      <w:r>
        <w:rPr>
          <w:rFonts w:hint="eastAsia"/>
          <w:szCs w:val="32"/>
          <w:lang w:val="en-US" w:eastAsia="zh-CN"/>
        </w:rPr>
        <w:t>不合理的情形：一是</w:t>
      </w:r>
      <w:r>
        <w:rPr>
          <w:rFonts w:hint="eastAsia" w:cs="仿宋_GB2312"/>
          <w:kern w:val="0"/>
          <w:lang w:val="en-US" w:eastAsia="zh-CN"/>
        </w:rPr>
        <w:t>存在预算资金未根据项目实施内容进行科学测算；二是部分</w:t>
      </w:r>
      <w:r>
        <w:rPr>
          <w:rFonts w:hint="eastAsia" w:cs="仿宋_GB2312"/>
          <w:kern w:val="0"/>
        </w:rPr>
        <w:t>绩效指标</w:t>
      </w:r>
      <w:r>
        <w:rPr>
          <w:rFonts w:hint="eastAsia" w:cs="仿宋_GB2312"/>
          <w:kern w:val="0"/>
          <w:lang w:val="en-US" w:eastAsia="zh-CN"/>
        </w:rPr>
        <w:t>名称较冗杂，不够精炼，</w:t>
      </w:r>
      <w:r>
        <w:rPr>
          <w:rFonts w:hint="eastAsia" w:cs="仿宋_GB2312"/>
          <w:kern w:val="0"/>
        </w:rPr>
        <w:t>如</w:t>
      </w:r>
      <w:r>
        <w:rPr>
          <w:rFonts w:hint="eastAsia" w:cs="仿宋_GB2312"/>
          <w:kern w:val="0"/>
          <w:lang w:val="en-US" w:eastAsia="zh-CN"/>
        </w:rPr>
        <w:t>质量指标“</w:t>
      </w:r>
      <w:r>
        <w:rPr>
          <w:rFonts w:hint="eastAsia" w:cs="仿宋_GB2312"/>
          <w:kern w:val="0"/>
        </w:rPr>
        <w:t>利用公共数字文化项目和资源，为基层群众提供数字阅读、文化娱乐、公共信息等服务”</w:t>
      </w:r>
      <w:r>
        <w:rPr>
          <w:rFonts w:hint="eastAsia" w:cs="仿宋_GB2312"/>
          <w:kern w:val="0"/>
          <w:lang w:val="en-US" w:eastAsia="zh-CN"/>
        </w:rPr>
        <w:t>；三是绩效指标</w:t>
      </w:r>
      <w:r>
        <w:rPr>
          <w:rFonts w:hint="eastAsia" w:cs="仿宋_GB2312"/>
          <w:kern w:val="0"/>
        </w:rPr>
        <w:t>不明确，</w:t>
      </w:r>
      <w:r>
        <w:rPr>
          <w:rFonts w:hint="eastAsia" w:cs="仿宋_GB2312"/>
          <w:kern w:val="0"/>
          <w:lang w:val="en-US" w:eastAsia="zh-CN"/>
        </w:rPr>
        <w:t>部分指标未设置清晰、可衡量的指标值，指标难以衡量</w:t>
      </w:r>
      <w:r>
        <w:rPr>
          <w:rFonts w:hint="eastAsia" w:cs="仿宋_GB2312"/>
          <w:kern w:val="0"/>
          <w:lang w:eastAsia="zh-CN"/>
        </w:rPr>
        <w:t>，</w:t>
      </w:r>
      <w:r>
        <w:rPr>
          <w:rFonts w:hint="eastAsia" w:cs="仿宋_GB2312"/>
          <w:kern w:val="0"/>
          <w:lang w:val="en-US" w:eastAsia="zh-CN"/>
        </w:rPr>
        <w:t>如效益指标“民生为本，对接需求。把保障人民群众基本文化权益作为工作的出发点和落脚点”</w:t>
      </w:r>
      <w:r>
        <w:rPr>
          <w:rFonts w:hint="eastAsia" w:cs="仿宋_GB2312"/>
          <w:kern w:val="0"/>
          <w:lang w:eastAsia="zh-CN"/>
        </w:rPr>
        <w:t>；</w:t>
      </w:r>
      <w:r>
        <w:rPr>
          <w:rFonts w:hint="eastAsia" w:cs="仿宋_GB2312"/>
          <w:kern w:val="0"/>
          <w:lang w:val="en-US" w:eastAsia="zh-CN"/>
        </w:rPr>
        <w:t>四是缺乏关键效益指标，未设置服务对象满意度指标；五是指标归类错误，如质量指标“将高雅艺术带入校园及群众身边”，该应设置为效益指标。</w:t>
      </w:r>
    </w:p>
    <w:p>
      <w:pPr>
        <w:bidi w:val="0"/>
        <w:rPr>
          <w:rFonts w:hint="default"/>
          <w:b/>
          <w:bCs/>
          <w:lang w:val="en-US" w:eastAsia="zh-CN"/>
        </w:rPr>
      </w:pPr>
      <w:bookmarkStart w:id="81" w:name="_Toc15938"/>
      <w:bookmarkStart w:id="82" w:name="_Toc22463"/>
      <w:r>
        <w:rPr>
          <w:rFonts w:hint="eastAsia"/>
          <w:b/>
          <w:bCs/>
          <w:lang w:val="en-US" w:eastAsia="zh-CN"/>
        </w:rPr>
        <w:t>2</w:t>
      </w:r>
      <w:r>
        <w:rPr>
          <w:rFonts w:hint="eastAsia"/>
          <w:b/>
          <w:bCs/>
        </w:rPr>
        <w:t>．</w:t>
      </w:r>
      <w:r>
        <w:rPr>
          <w:rFonts w:hint="eastAsia"/>
          <w:b/>
          <w:bCs/>
          <w:lang w:val="en-US" w:eastAsia="zh-CN"/>
        </w:rPr>
        <w:t>预算编制科学性不足</w:t>
      </w:r>
    </w:p>
    <w:p>
      <w:pPr>
        <w:adjustRightInd w:val="0"/>
        <w:snapToGrid w:val="0"/>
        <w:ind w:firstLine="643"/>
        <w:rPr>
          <w:rFonts w:cs="仿宋_GB2312"/>
          <w:kern w:val="0"/>
          <w:highlight w:val="none"/>
        </w:rPr>
      </w:pPr>
      <w:r>
        <w:rPr>
          <w:rFonts w:hint="eastAsia" w:ascii="仿宋_GB2312" w:hAnsi="仿宋_GB2312" w:cs="仿宋_GB2312"/>
          <w:szCs w:val="32"/>
          <w:highlight w:val="none"/>
          <w:lang w:val="en-US" w:eastAsia="zh-CN"/>
        </w:rPr>
        <w:t>区文体局</w:t>
      </w:r>
      <w:r>
        <w:rPr>
          <w:rFonts w:hint="eastAsia" w:cs="仿宋_GB2312"/>
          <w:kern w:val="0"/>
          <w:highlight w:val="none"/>
          <w:lang w:val="en-US" w:eastAsia="zh-CN"/>
        </w:rPr>
        <w:t>在</w:t>
      </w:r>
      <w:r>
        <w:rPr>
          <w:rFonts w:hint="eastAsia" w:cs="仿宋_GB2312"/>
          <w:kern w:val="0"/>
          <w:highlight w:val="none"/>
        </w:rPr>
        <w:t>编制项目预算</w:t>
      </w:r>
      <w:r>
        <w:rPr>
          <w:rFonts w:hint="eastAsia" w:cs="仿宋_GB2312"/>
          <w:kern w:val="0"/>
          <w:highlight w:val="none"/>
          <w:lang w:val="en-US" w:eastAsia="zh-CN"/>
        </w:rPr>
        <w:t>和资金分配时</w:t>
      </w:r>
      <w:r>
        <w:rPr>
          <w:rFonts w:hint="eastAsia" w:cs="仿宋_GB2312"/>
          <w:kern w:val="0"/>
          <w:highlight w:val="none"/>
        </w:rPr>
        <w:t>，</w:t>
      </w:r>
      <w:r>
        <w:rPr>
          <w:rFonts w:hint="eastAsia" w:cs="仿宋_GB2312"/>
          <w:kern w:val="0"/>
          <w:highlight w:val="none"/>
          <w:lang w:val="en-US" w:eastAsia="zh-CN"/>
        </w:rPr>
        <w:t>存在以下不足之处：一是</w:t>
      </w:r>
      <w:r>
        <w:rPr>
          <w:rFonts w:hint="eastAsia" w:cs="仿宋_GB2312"/>
          <w:kern w:val="0"/>
          <w:highlight w:val="none"/>
        </w:rPr>
        <w:t>预算测算依据不充分，</w:t>
      </w:r>
      <w:r>
        <w:rPr>
          <w:rFonts w:hint="eastAsia" w:cs="仿宋_GB2312"/>
          <w:kern w:val="0"/>
          <w:highlight w:val="none"/>
          <w:lang w:val="en-US" w:eastAsia="zh-CN"/>
        </w:rPr>
        <w:t>区文体局参考往年度</w:t>
      </w:r>
      <w:r>
        <w:rPr>
          <w:rFonts w:hint="eastAsia" w:cs="仿宋_GB2312"/>
          <w:kern w:val="0"/>
          <w:highlight w:val="none"/>
        </w:rPr>
        <w:t>项目</w:t>
      </w:r>
      <w:r>
        <w:rPr>
          <w:rFonts w:hint="eastAsia" w:cs="仿宋_GB2312"/>
          <w:kern w:val="0"/>
          <w:highlight w:val="none"/>
          <w:lang w:val="en-US" w:eastAsia="zh-CN"/>
        </w:rPr>
        <w:t>实施经验及资金使用情况，</w:t>
      </w:r>
      <w:r>
        <w:rPr>
          <w:rFonts w:hint="eastAsia" w:cs="仿宋_GB2312"/>
          <w:kern w:val="0"/>
          <w:highlight w:val="none"/>
        </w:rPr>
        <w:t>未针对各项费用进行科学测算</w:t>
      </w:r>
      <w:r>
        <w:rPr>
          <w:rFonts w:hint="eastAsia" w:cs="仿宋_GB2312"/>
          <w:kern w:val="0"/>
          <w:highlight w:val="none"/>
          <w:lang w:val="en-US" w:eastAsia="zh-CN"/>
        </w:rPr>
        <w:t>，预算资金与各项工作任务无法对应；二是，区财政批复预算资金少于申报预算资金，未针对财政批复后的预算资金进行合理</w:t>
      </w:r>
      <w:r>
        <w:rPr>
          <w:rFonts w:hint="eastAsia" w:cs="仿宋_GB2312"/>
          <w:kern w:val="0"/>
          <w:highlight w:val="none"/>
        </w:rPr>
        <w:t>分配；</w:t>
      </w:r>
      <w:r>
        <w:rPr>
          <w:rFonts w:hint="eastAsia" w:cs="仿宋_GB2312"/>
          <w:kern w:val="0"/>
          <w:highlight w:val="none"/>
          <w:lang w:val="en-US" w:eastAsia="zh-CN"/>
        </w:rPr>
        <w:t>三是，原有预算资金分配方案缺乏依据，分配额度与实际需求不符。</w:t>
      </w:r>
    </w:p>
    <w:p>
      <w:pPr>
        <w:bidi w:val="0"/>
        <w:rPr>
          <w:rFonts w:hint="default" w:ascii="仿宋_GB2312" w:hAnsi="仿宋_GB2312" w:eastAsia="仿宋_GB2312" w:cs="仿宋_GB2312"/>
          <w:b/>
          <w:bCs/>
          <w:szCs w:val="32"/>
          <w:highlight w:val="yellow"/>
          <w:lang w:val="en-US" w:eastAsia="zh-CN"/>
        </w:rPr>
      </w:pPr>
      <w:r>
        <w:rPr>
          <w:rFonts w:hint="eastAsia"/>
          <w:b/>
          <w:bCs/>
          <w:lang w:val="en-US" w:eastAsia="zh-CN"/>
        </w:rPr>
        <w:t>3</w:t>
      </w:r>
      <w:bookmarkEnd w:id="81"/>
      <w:bookmarkEnd w:id="82"/>
      <w:r>
        <w:rPr>
          <w:rFonts w:hint="eastAsia"/>
          <w:b/>
          <w:bCs/>
        </w:rPr>
        <w:t>．</w:t>
      </w:r>
      <w:r>
        <w:rPr>
          <w:rFonts w:hint="eastAsia"/>
          <w:b/>
          <w:bCs/>
          <w:szCs w:val="32"/>
          <w:lang w:val="en-US" w:eastAsia="zh-CN"/>
        </w:rPr>
        <w:t>资金使用欠规范</w:t>
      </w:r>
    </w:p>
    <w:p>
      <w:pPr>
        <w:bidi w:val="0"/>
        <w:rPr>
          <w:rFonts w:hint="eastAsia" w:cs="仿宋_GB2312"/>
          <w:color w:val="auto"/>
          <w:kern w:val="0"/>
          <w:highlight w:val="none"/>
          <w:lang w:val="en-US" w:eastAsia="zh-CN"/>
        </w:rPr>
      </w:pPr>
      <w:r>
        <w:rPr>
          <w:rFonts w:hint="eastAsia" w:ascii="仿宋_GB2312" w:hAnsi="仿宋_GB2312" w:cs="仿宋_GB2312"/>
          <w:szCs w:val="32"/>
          <w:highlight w:val="none"/>
        </w:rPr>
        <w:t>根据现场</w:t>
      </w:r>
      <w:r>
        <w:rPr>
          <w:rFonts w:hint="eastAsia" w:ascii="仿宋_GB2312" w:hAnsi="仿宋_GB2312" w:cs="仿宋_GB2312"/>
          <w:szCs w:val="32"/>
          <w:highlight w:val="none"/>
          <w:lang w:val="en-US" w:eastAsia="zh-CN"/>
        </w:rPr>
        <w:t>查阅项目相关预算支出原始凭证</w:t>
      </w:r>
      <w:r>
        <w:rPr>
          <w:rFonts w:hint="eastAsia" w:ascii="仿宋_GB2312" w:hAnsi="仿宋_GB2312" w:cs="仿宋_GB2312"/>
          <w:szCs w:val="32"/>
          <w:highlight w:val="none"/>
        </w:rPr>
        <w:t>，</w:t>
      </w:r>
      <w:r>
        <w:rPr>
          <w:rFonts w:hint="eastAsia" w:ascii="仿宋_GB2312" w:hAnsi="仿宋_GB2312" w:cs="仿宋_GB2312"/>
          <w:szCs w:val="32"/>
          <w:highlight w:val="none"/>
          <w:lang w:val="en-US" w:eastAsia="zh-CN"/>
        </w:rPr>
        <w:t>项目资金使用存在以下几个问题：</w:t>
      </w:r>
      <w:r>
        <w:rPr>
          <w:rFonts w:hint="eastAsia" w:cs="仿宋_GB2312"/>
          <w:color w:val="auto"/>
          <w:kern w:val="0"/>
          <w:highlight w:val="none"/>
          <w:lang w:val="en-US" w:eastAsia="zh-CN"/>
        </w:rPr>
        <w:t>一是存在</w:t>
      </w:r>
      <w:r>
        <w:rPr>
          <w:rFonts w:hint="eastAsia" w:cs="仿宋_GB2312"/>
          <w:color w:val="auto"/>
          <w:kern w:val="0"/>
          <w:highlight w:val="none"/>
        </w:rPr>
        <w:t>挤占项目经费的</w:t>
      </w:r>
      <w:r>
        <w:rPr>
          <w:rFonts w:hint="eastAsia" w:cs="仿宋_GB2312"/>
          <w:color w:val="auto"/>
          <w:kern w:val="0"/>
          <w:highlight w:val="none"/>
          <w:lang w:val="en-US" w:eastAsia="zh-CN"/>
        </w:rPr>
        <w:t>情形</w:t>
      </w:r>
      <w:r>
        <w:rPr>
          <w:rFonts w:hint="eastAsia" w:cs="仿宋_GB2312"/>
          <w:color w:val="auto"/>
          <w:kern w:val="0"/>
          <w:highlight w:val="none"/>
        </w:rPr>
        <w:t>，如</w:t>
      </w:r>
      <w:r>
        <w:rPr>
          <w:rFonts w:hint="eastAsia" w:cs="仿宋_GB2312"/>
          <w:color w:val="auto"/>
          <w:kern w:val="0"/>
          <w:highlight w:val="none"/>
          <w:lang w:val="en-US" w:eastAsia="zh-CN"/>
        </w:rPr>
        <w:t>2020年8月31日凭证记账51，用于支</w:t>
      </w:r>
      <w:r>
        <w:rPr>
          <w:rFonts w:hint="eastAsia" w:cs="仿宋_GB2312"/>
          <w:color w:val="auto"/>
          <w:kern w:val="0"/>
          <w:highlight w:val="none"/>
        </w:rPr>
        <w:t>付区级公共文化各科室购办公用品及办公耗材</w:t>
      </w:r>
      <w:r>
        <w:rPr>
          <w:rFonts w:hint="eastAsia" w:cs="仿宋_GB2312"/>
          <w:color w:val="auto"/>
          <w:kern w:val="0"/>
          <w:highlight w:val="none"/>
          <w:lang w:val="en-US" w:eastAsia="zh-CN"/>
        </w:rPr>
        <w:t>费用3895元；2020年8月31日记账57，用于支付各办公室购茶叶费用6140元；二是部分支出不符合项目预算批复和规定的用途，如2020年8月21日记账42、2020年11月27日记账55、2020年12月23日记账41和12月28日记账51，合计105690.72元，用于支付临聘人员工资。</w:t>
      </w:r>
    </w:p>
    <w:p>
      <w:pPr>
        <w:bidi w:val="0"/>
        <w:rPr>
          <w:rFonts w:hint="default"/>
          <w:b/>
          <w:bCs/>
          <w:lang w:val="en-US" w:eastAsia="zh-CN"/>
        </w:rPr>
      </w:pPr>
      <w:bookmarkStart w:id="83" w:name="_Toc154"/>
      <w:bookmarkStart w:id="84" w:name="_Toc14702"/>
      <w:r>
        <w:rPr>
          <w:rFonts w:hint="eastAsia"/>
          <w:b/>
          <w:bCs/>
        </w:rPr>
        <w:t>4</w:t>
      </w:r>
      <w:r>
        <w:rPr>
          <w:b/>
          <w:bCs/>
        </w:rPr>
        <w:t>．</w:t>
      </w:r>
      <w:bookmarkEnd w:id="83"/>
      <w:bookmarkEnd w:id="84"/>
      <w:r>
        <w:rPr>
          <w:rFonts w:hint="eastAsia"/>
          <w:b/>
          <w:bCs/>
          <w:lang w:val="en-US" w:eastAsia="zh-CN"/>
        </w:rPr>
        <w:t>政府采购程序倒置</w:t>
      </w:r>
    </w:p>
    <w:p>
      <w:pPr>
        <w:pStyle w:val="2"/>
        <w:ind w:firstLine="640"/>
        <w:rPr>
          <w:szCs w:val="32"/>
        </w:rPr>
      </w:pPr>
      <w:r>
        <w:rPr>
          <w:rFonts w:hint="eastAsia" w:ascii="仿宋_GB2312" w:hAnsi="仿宋_GB2312" w:cs="仿宋_GB2312"/>
          <w:szCs w:val="32"/>
          <w:highlight w:val="none"/>
        </w:rPr>
        <w:t>根据现场调研及资料评审</w:t>
      </w:r>
      <w:r>
        <w:rPr>
          <w:rFonts w:hint="eastAsia"/>
          <w:szCs w:val="32"/>
        </w:rPr>
        <w:t>，</w:t>
      </w:r>
      <w:r>
        <w:rPr>
          <w:rFonts w:hint="eastAsia" w:cs="仿宋_GB2312"/>
          <w:kern w:val="0"/>
          <w:highlight w:val="none"/>
          <w:lang w:val="en-US" w:eastAsia="zh-CN"/>
        </w:rPr>
        <w:t>在项目采购方面存在政府采购程序倒置的情形</w:t>
      </w:r>
      <w:r>
        <w:rPr>
          <w:rFonts w:hint="eastAsia" w:cs="仿宋_GB2312"/>
          <w:kern w:val="0"/>
          <w:highlight w:val="none"/>
          <w:lang w:eastAsia="zh-CN"/>
        </w:rPr>
        <w:t>：</w:t>
      </w:r>
      <w:r>
        <w:rPr>
          <w:rFonts w:hint="eastAsia" w:cs="仿宋_GB2312"/>
          <w:kern w:val="0"/>
          <w:highlight w:val="none"/>
          <w:lang w:val="en-US" w:eastAsia="zh-CN"/>
        </w:rPr>
        <w:t>如“绘美云岩”系列活动之防控疫情阻击战全国美术作品展览，该项活动经费共21.92万元，其中区级公共文化经费支出20万元，活动开展时间为2020年5月15日至2020年6月28日，但与贵阳中天美术馆签订合同时间为2020年6月1日，政府采购申请为2020年6月5日，合同签订时间和申请政府采购时间均位于活动开展时间之后</w:t>
      </w:r>
      <w:r>
        <w:rPr>
          <w:rFonts w:hint="eastAsia" w:cs="仿宋_GB2312"/>
          <w:kern w:val="0"/>
          <w:highlight w:val="none"/>
        </w:rPr>
        <w:t>。</w:t>
      </w:r>
    </w:p>
    <w:p>
      <w:pPr>
        <w:pStyle w:val="4"/>
        <w:ind w:firstLine="643"/>
        <w:rPr>
          <w:rFonts w:hint="eastAsia" w:ascii="等线 Light" w:hAnsi="等线 Light" w:cs="Times New Roman"/>
          <w:color w:val="000000"/>
        </w:rPr>
      </w:pPr>
      <w:bookmarkStart w:id="85" w:name="_Toc21407"/>
      <w:bookmarkStart w:id="86" w:name="_Toc22432"/>
      <w:bookmarkStart w:id="87" w:name="_Toc27967"/>
      <w:bookmarkStart w:id="88" w:name="_Toc8444"/>
      <w:r>
        <w:rPr>
          <w:rFonts w:hint="eastAsia" w:ascii="等线 Light" w:hAnsi="等线 Light" w:cs="Times New Roman"/>
          <w:color w:val="000000"/>
        </w:rPr>
        <w:t>（三）相关建议</w:t>
      </w:r>
      <w:bookmarkEnd w:id="77"/>
      <w:bookmarkEnd w:id="78"/>
      <w:bookmarkEnd w:id="79"/>
      <w:bookmarkEnd w:id="80"/>
      <w:bookmarkEnd w:id="85"/>
      <w:bookmarkEnd w:id="86"/>
      <w:bookmarkEnd w:id="87"/>
      <w:bookmarkEnd w:id="88"/>
    </w:p>
    <w:p>
      <w:pPr>
        <w:numPr>
          <w:ilvl w:val="0"/>
          <w:numId w:val="0"/>
        </w:numPr>
        <w:ind w:firstLine="643" w:firstLineChars="200"/>
        <w:rPr>
          <w:rFonts w:hint="eastAsia"/>
        </w:rPr>
      </w:pPr>
      <w:r>
        <w:rPr>
          <w:rFonts w:hint="eastAsia"/>
          <w:b/>
          <w:bCs/>
        </w:rPr>
        <w:t>1．科学设置项目绩效指标</w:t>
      </w:r>
    </w:p>
    <w:p>
      <w:pPr>
        <w:numPr>
          <w:ilvl w:val="0"/>
          <w:numId w:val="0"/>
        </w:numPr>
        <w:ind w:firstLine="640" w:firstLineChars="200"/>
        <w:rPr>
          <w:rFonts w:hint="eastAsia"/>
        </w:rPr>
      </w:pPr>
      <w:r>
        <w:rPr>
          <w:rFonts w:hint="eastAsia"/>
        </w:rPr>
        <w:t>建议</w:t>
      </w:r>
      <w:r>
        <w:rPr>
          <w:rFonts w:hint="eastAsia"/>
          <w:lang w:val="en-US" w:eastAsia="zh-CN"/>
        </w:rPr>
        <w:t>区文体局</w:t>
      </w:r>
      <w:r>
        <w:rPr>
          <w:rFonts w:hint="eastAsia"/>
        </w:rPr>
        <w:t>根据项目实际情况设置项目绩效目标，一是严格按照相关规定设置项目支出绩效目标，以便于</w:t>
      </w:r>
      <w:r>
        <w:rPr>
          <w:rFonts w:hint="eastAsia"/>
          <w:lang w:val="en-US" w:eastAsia="zh-CN"/>
        </w:rPr>
        <w:t>衡量</w:t>
      </w:r>
      <w:r>
        <w:rPr>
          <w:rFonts w:hint="eastAsia"/>
        </w:rPr>
        <w:t>项目的绩效目标实现情况；二是应科学合理设置绩效指标和指标值，指标值应明确，指标名称应精炼，同时应细分三级绩效指标以使指标与指标值一一对应，增强项目绩效指标科学性和可操作性。</w:t>
      </w:r>
    </w:p>
    <w:p>
      <w:pPr>
        <w:numPr>
          <w:ilvl w:val="0"/>
          <w:numId w:val="1"/>
        </w:numPr>
        <w:ind w:firstLine="643" w:firstLineChars="200"/>
        <w:rPr>
          <w:rFonts w:hint="eastAsia"/>
          <w:b/>
          <w:bCs/>
          <w:lang w:val="en-US" w:eastAsia="zh-CN"/>
        </w:rPr>
      </w:pPr>
      <w:r>
        <w:rPr>
          <w:rFonts w:hint="eastAsia"/>
          <w:b/>
          <w:bCs/>
        </w:rPr>
        <w:t>提高预算编制科学性</w:t>
      </w:r>
    </w:p>
    <w:p>
      <w:pPr>
        <w:numPr>
          <w:ilvl w:val="0"/>
          <w:numId w:val="0"/>
        </w:numPr>
        <w:ind w:firstLine="640" w:firstLineChars="200"/>
        <w:rPr>
          <w:rFonts w:hint="default"/>
          <w:lang w:val="en-US" w:eastAsia="zh-CN"/>
        </w:rPr>
      </w:pPr>
      <w:r>
        <w:rPr>
          <w:rFonts w:hint="eastAsia"/>
          <w:lang w:val="en-US" w:eastAsia="zh-CN"/>
        </w:rPr>
        <w:t>建议区文体局在以后年度类似项目的预算编制过程中，应</w:t>
      </w:r>
      <w:r>
        <w:rPr>
          <w:rFonts w:hint="eastAsia"/>
        </w:rPr>
        <w:t>对项目进行科学评估，</w:t>
      </w:r>
      <w:r>
        <w:rPr>
          <w:rFonts w:hint="eastAsia"/>
          <w:lang w:val="en-US" w:eastAsia="zh-CN"/>
        </w:rPr>
        <w:t>提供充分的测算依据</w:t>
      </w:r>
      <w:r>
        <w:rPr>
          <w:rFonts w:hint="eastAsia"/>
        </w:rPr>
        <w:t>确保投资额与工作任务相匹配</w:t>
      </w:r>
      <w:r>
        <w:rPr>
          <w:rFonts w:hint="eastAsia"/>
          <w:lang w:eastAsia="zh-CN"/>
        </w:rPr>
        <w:t>，</w:t>
      </w:r>
      <w:r>
        <w:rPr>
          <w:rFonts w:hint="eastAsia"/>
          <w:lang w:val="en-US" w:eastAsia="zh-CN"/>
        </w:rPr>
        <w:t>根据项目实施内容及相关标准测算所需费用。</w:t>
      </w:r>
    </w:p>
    <w:p>
      <w:pPr>
        <w:numPr>
          <w:ilvl w:val="0"/>
          <w:numId w:val="1"/>
        </w:numPr>
        <w:ind w:firstLine="643" w:firstLineChars="200"/>
        <w:rPr>
          <w:rFonts w:hint="eastAsia"/>
          <w:b/>
          <w:bCs/>
        </w:rPr>
      </w:pPr>
      <w:r>
        <w:rPr>
          <w:rFonts w:hint="eastAsia"/>
          <w:b/>
          <w:bCs/>
        </w:rPr>
        <w:t>加强财务管理监督</w:t>
      </w:r>
    </w:p>
    <w:p>
      <w:pPr>
        <w:numPr>
          <w:ilvl w:val="-1"/>
          <w:numId w:val="0"/>
        </w:numPr>
        <w:ind w:firstLine="640" w:firstLineChars="200"/>
        <w:rPr>
          <w:rFonts w:hint="eastAsia"/>
        </w:rPr>
      </w:pPr>
      <w:r>
        <w:rPr>
          <w:rFonts w:hint="eastAsia"/>
        </w:rPr>
        <w:t>为提升项目完成质量，强化资金监管，建议区</w:t>
      </w:r>
      <w:r>
        <w:rPr>
          <w:rFonts w:hint="eastAsia"/>
          <w:lang w:val="en-US" w:eastAsia="zh-CN"/>
        </w:rPr>
        <w:t>文体局</w:t>
      </w:r>
      <w:r>
        <w:rPr>
          <w:rFonts w:hint="eastAsia"/>
        </w:rPr>
        <w:t>在以后年度的项目</w:t>
      </w:r>
      <w:r>
        <w:rPr>
          <w:rFonts w:hint="eastAsia"/>
          <w:lang w:val="en-US" w:eastAsia="zh-CN"/>
        </w:rPr>
        <w:t>实施过程</w:t>
      </w:r>
      <w:r>
        <w:rPr>
          <w:rFonts w:hint="eastAsia"/>
        </w:rPr>
        <w:t>中</w:t>
      </w:r>
      <w:r>
        <w:rPr>
          <w:rFonts w:hint="eastAsia"/>
          <w:lang w:eastAsia="zh-CN"/>
        </w:rPr>
        <w:t>，</w:t>
      </w:r>
      <w:r>
        <w:rPr>
          <w:rFonts w:hint="eastAsia"/>
        </w:rPr>
        <w:t>加强对项目经费使用的监督和管理，</w:t>
      </w:r>
      <w:r>
        <w:rPr>
          <w:rFonts w:hint="eastAsia"/>
          <w:lang w:val="en-US" w:eastAsia="zh-CN"/>
        </w:rPr>
        <w:t>明确项目经费使用范畴，</w:t>
      </w:r>
      <w:r>
        <w:rPr>
          <w:rFonts w:hint="eastAsia"/>
        </w:rPr>
        <w:t>尤其是对重点领域经费使用情况，</w:t>
      </w:r>
      <w:r>
        <w:rPr>
          <w:rFonts w:hint="eastAsia"/>
          <w:lang w:val="en-US" w:eastAsia="zh-CN"/>
        </w:rPr>
        <w:t>应当</w:t>
      </w:r>
      <w:r>
        <w:rPr>
          <w:rFonts w:hint="eastAsia"/>
        </w:rPr>
        <w:t>对项目实施进度及资金使用情况监督和指导，</w:t>
      </w:r>
      <w:r>
        <w:rPr>
          <w:rFonts w:hint="eastAsia"/>
          <w:lang w:val="en-US" w:eastAsia="zh-CN"/>
        </w:rPr>
        <w:t>坚持专款专用原则，</w:t>
      </w:r>
      <w:r>
        <w:rPr>
          <w:rFonts w:hint="eastAsia"/>
        </w:rPr>
        <w:t>保障财政资金科学、规范化使用，形成常态化的监督管理体系，</w:t>
      </w:r>
      <w:r>
        <w:rPr>
          <w:rFonts w:hint="eastAsia"/>
          <w:lang w:val="en-US" w:eastAsia="zh-CN"/>
        </w:rPr>
        <w:t>可根据实际情况制定并完善项目专项资金管理办法</w:t>
      </w:r>
      <w:r>
        <w:rPr>
          <w:rFonts w:hint="eastAsia"/>
        </w:rPr>
        <w:t>。</w:t>
      </w:r>
    </w:p>
    <w:p>
      <w:pPr>
        <w:numPr>
          <w:ilvl w:val="0"/>
          <w:numId w:val="1"/>
        </w:numPr>
        <w:ind w:left="0" w:leftChars="0" w:firstLine="643" w:firstLineChars="200"/>
        <w:rPr>
          <w:rFonts w:hint="eastAsia"/>
          <w:b/>
          <w:bCs/>
          <w:lang w:val="en-US" w:eastAsia="zh-CN"/>
        </w:rPr>
      </w:pPr>
      <w:r>
        <w:rPr>
          <w:rFonts w:hint="eastAsia"/>
          <w:b/>
          <w:bCs/>
          <w:lang w:val="en-US" w:eastAsia="zh-CN"/>
        </w:rPr>
        <w:t>加强项目管理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lang w:val="en-US"/>
        </w:rPr>
      </w:pPr>
      <w:r>
        <w:rPr>
          <w:rFonts w:hint="eastAsia"/>
        </w:rPr>
        <w:t>建议区</w:t>
      </w:r>
      <w:r>
        <w:rPr>
          <w:rFonts w:hint="eastAsia"/>
          <w:lang w:val="en-US" w:eastAsia="zh-CN"/>
        </w:rPr>
        <w:t>文体局在以后年度项目实施过程中，根据项目确定的实施内容，科学、合理规划，涉及政府采购事项应提前谋划，严格云岩区政府及单位相关政府采购制度执行。</w:t>
      </w:r>
    </w:p>
    <w:p>
      <w:pPr>
        <w:pStyle w:val="2"/>
        <w:rPr>
          <w:rFonts w:hint="eastAsia" w:eastAsia="仿宋_GB2312"/>
          <w:lang w:eastAsia="zh-CN"/>
        </w:rPr>
      </w:pPr>
    </w:p>
    <w:sectPr>
      <w:headerReference r:id="rId3" w:type="default"/>
      <w:footerReference r:id="rId4" w:type="default"/>
      <w:pgSz w:w="11905" w:h="16838"/>
      <w:pgMar w:top="1440" w:right="1803" w:bottom="1440" w:left="1803" w:header="851" w:footer="992" w:gutter="0"/>
      <w:pgNumType w:fmt="numberInDash"/>
      <w:cols w:space="0" w:num="1"/>
      <w:rtlGutter w:val="0"/>
      <w:docGrid w:type="lines" w:linePitch="45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1</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1</w:t>
                    </w:r>
                    <w:r>
                      <w:rPr>
                        <w:sz w:val="24"/>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D6351"/>
    <w:multiLevelType w:val="singleLevel"/>
    <w:tmpl w:val="643D635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225"/>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66913"/>
    <w:rsid w:val="0003543E"/>
    <w:rsid w:val="000E0A31"/>
    <w:rsid w:val="001C37ED"/>
    <w:rsid w:val="00250213"/>
    <w:rsid w:val="0030564B"/>
    <w:rsid w:val="00354465"/>
    <w:rsid w:val="00391F45"/>
    <w:rsid w:val="00480DC0"/>
    <w:rsid w:val="0053755F"/>
    <w:rsid w:val="005A2D75"/>
    <w:rsid w:val="005C7BC0"/>
    <w:rsid w:val="006F0AFF"/>
    <w:rsid w:val="00717826"/>
    <w:rsid w:val="007B7169"/>
    <w:rsid w:val="007D329D"/>
    <w:rsid w:val="007E7EB6"/>
    <w:rsid w:val="00802E27"/>
    <w:rsid w:val="00860F62"/>
    <w:rsid w:val="008660A0"/>
    <w:rsid w:val="00892B4F"/>
    <w:rsid w:val="008A54B5"/>
    <w:rsid w:val="009537C4"/>
    <w:rsid w:val="009720B7"/>
    <w:rsid w:val="00A4167A"/>
    <w:rsid w:val="00AC0A3B"/>
    <w:rsid w:val="00B90D6B"/>
    <w:rsid w:val="00C97735"/>
    <w:rsid w:val="00CC035E"/>
    <w:rsid w:val="00D236DD"/>
    <w:rsid w:val="00D31E74"/>
    <w:rsid w:val="00DB746D"/>
    <w:rsid w:val="00E12452"/>
    <w:rsid w:val="00EE7FEC"/>
    <w:rsid w:val="00F2459A"/>
    <w:rsid w:val="00F603DE"/>
    <w:rsid w:val="00FD021B"/>
    <w:rsid w:val="01062699"/>
    <w:rsid w:val="01507DC6"/>
    <w:rsid w:val="026A3CE8"/>
    <w:rsid w:val="034106E6"/>
    <w:rsid w:val="03FB0C35"/>
    <w:rsid w:val="04B41014"/>
    <w:rsid w:val="04D2783D"/>
    <w:rsid w:val="05575210"/>
    <w:rsid w:val="06CC1B4D"/>
    <w:rsid w:val="06CD78B1"/>
    <w:rsid w:val="07240F56"/>
    <w:rsid w:val="07395097"/>
    <w:rsid w:val="087E15BA"/>
    <w:rsid w:val="08B57995"/>
    <w:rsid w:val="0A3536CA"/>
    <w:rsid w:val="0A490EDD"/>
    <w:rsid w:val="0AD661B3"/>
    <w:rsid w:val="0B386398"/>
    <w:rsid w:val="0D020A0B"/>
    <w:rsid w:val="0E5D1798"/>
    <w:rsid w:val="10F61A67"/>
    <w:rsid w:val="11833722"/>
    <w:rsid w:val="11DB425A"/>
    <w:rsid w:val="11E724A0"/>
    <w:rsid w:val="123C57D6"/>
    <w:rsid w:val="13B636C0"/>
    <w:rsid w:val="13C123D6"/>
    <w:rsid w:val="1420724F"/>
    <w:rsid w:val="162569BB"/>
    <w:rsid w:val="18DA5790"/>
    <w:rsid w:val="19101530"/>
    <w:rsid w:val="19CD414F"/>
    <w:rsid w:val="1A3C5986"/>
    <w:rsid w:val="1A894643"/>
    <w:rsid w:val="1A9201C4"/>
    <w:rsid w:val="1B191994"/>
    <w:rsid w:val="1B745102"/>
    <w:rsid w:val="1B9F2CD7"/>
    <w:rsid w:val="1CB22851"/>
    <w:rsid w:val="1CFA341E"/>
    <w:rsid w:val="1D5921FD"/>
    <w:rsid w:val="1E5F1352"/>
    <w:rsid w:val="1E667FE4"/>
    <w:rsid w:val="1F3C14BC"/>
    <w:rsid w:val="202B1981"/>
    <w:rsid w:val="202F465F"/>
    <w:rsid w:val="20E06FAA"/>
    <w:rsid w:val="21514C92"/>
    <w:rsid w:val="21CF3819"/>
    <w:rsid w:val="22F13EA3"/>
    <w:rsid w:val="233A4603"/>
    <w:rsid w:val="235F792A"/>
    <w:rsid w:val="237A5D3F"/>
    <w:rsid w:val="238735C1"/>
    <w:rsid w:val="245C795B"/>
    <w:rsid w:val="248C01A1"/>
    <w:rsid w:val="26111DDA"/>
    <w:rsid w:val="26CD578F"/>
    <w:rsid w:val="26CF53D2"/>
    <w:rsid w:val="27595274"/>
    <w:rsid w:val="27740CBF"/>
    <w:rsid w:val="27CA00FA"/>
    <w:rsid w:val="284336A0"/>
    <w:rsid w:val="289E4061"/>
    <w:rsid w:val="2A5C7350"/>
    <w:rsid w:val="2A681383"/>
    <w:rsid w:val="2B650BDE"/>
    <w:rsid w:val="2BE85C5B"/>
    <w:rsid w:val="2C4A007B"/>
    <w:rsid w:val="2DC00B05"/>
    <w:rsid w:val="2E566913"/>
    <w:rsid w:val="2EAB217E"/>
    <w:rsid w:val="30043F7E"/>
    <w:rsid w:val="300A2CD7"/>
    <w:rsid w:val="303E2F2A"/>
    <w:rsid w:val="326439A6"/>
    <w:rsid w:val="32CF51C9"/>
    <w:rsid w:val="32F07687"/>
    <w:rsid w:val="342E5B08"/>
    <w:rsid w:val="35295A5F"/>
    <w:rsid w:val="35450918"/>
    <w:rsid w:val="36DC0197"/>
    <w:rsid w:val="379A28AD"/>
    <w:rsid w:val="383A69FC"/>
    <w:rsid w:val="3A3B0725"/>
    <w:rsid w:val="3A6660F4"/>
    <w:rsid w:val="3AC02BA5"/>
    <w:rsid w:val="3C3262E0"/>
    <w:rsid w:val="3C636CD0"/>
    <w:rsid w:val="3DF0360E"/>
    <w:rsid w:val="3E03671E"/>
    <w:rsid w:val="3E406017"/>
    <w:rsid w:val="3EAE4ECB"/>
    <w:rsid w:val="3F670894"/>
    <w:rsid w:val="3FF905FB"/>
    <w:rsid w:val="406614FC"/>
    <w:rsid w:val="407B7E9A"/>
    <w:rsid w:val="41934DC9"/>
    <w:rsid w:val="4504461A"/>
    <w:rsid w:val="45531441"/>
    <w:rsid w:val="45876B54"/>
    <w:rsid w:val="45B940C0"/>
    <w:rsid w:val="45DB57DD"/>
    <w:rsid w:val="463954C0"/>
    <w:rsid w:val="46575ABF"/>
    <w:rsid w:val="46585C5E"/>
    <w:rsid w:val="478D1E44"/>
    <w:rsid w:val="47E47A02"/>
    <w:rsid w:val="482A25E9"/>
    <w:rsid w:val="48C51F9A"/>
    <w:rsid w:val="49583186"/>
    <w:rsid w:val="4B073153"/>
    <w:rsid w:val="4BD7309B"/>
    <w:rsid w:val="4D356D15"/>
    <w:rsid w:val="4D7E48A9"/>
    <w:rsid w:val="4EAC4012"/>
    <w:rsid w:val="4EDD579A"/>
    <w:rsid w:val="4F7834B4"/>
    <w:rsid w:val="4F861767"/>
    <w:rsid w:val="507815CE"/>
    <w:rsid w:val="509B4084"/>
    <w:rsid w:val="510B02AC"/>
    <w:rsid w:val="51B1267F"/>
    <w:rsid w:val="52A306BE"/>
    <w:rsid w:val="5572111D"/>
    <w:rsid w:val="55986DE4"/>
    <w:rsid w:val="571668DF"/>
    <w:rsid w:val="572B7CC1"/>
    <w:rsid w:val="59041339"/>
    <w:rsid w:val="5A1043D0"/>
    <w:rsid w:val="5B58779C"/>
    <w:rsid w:val="5C140920"/>
    <w:rsid w:val="5C1A0DA9"/>
    <w:rsid w:val="5C493D91"/>
    <w:rsid w:val="5DD95E7B"/>
    <w:rsid w:val="5DF46F31"/>
    <w:rsid w:val="5EB974CC"/>
    <w:rsid w:val="5FD60EEB"/>
    <w:rsid w:val="62982E1B"/>
    <w:rsid w:val="62E429BE"/>
    <w:rsid w:val="62F35BF8"/>
    <w:rsid w:val="65446BB1"/>
    <w:rsid w:val="6B1B0157"/>
    <w:rsid w:val="6B435D4D"/>
    <w:rsid w:val="6C323A57"/>
    <w:rsid w:val="6C7925B0"/>
    <w:rsid w:val="6D2C4F9D"/>
    <w:rsid w:val="6D612B04"/>
    <w:rsid w:val="6E234734"/>
    <w:rsid w:val="6E3537C2"/>
    <w:rsid w:val="6F7145B8"/>
    <w:rsid w:val="6F925910"/>
    <w:rsid w:val="701E3F32"/>
    <w:rsid w:val="70722DE8"/>
    <w:rsid w:val="71912DE9"/>
    <w:rsid w:val="735A0961"/>
    <w:rsid w:val="746142FE"/>
    <w:rsid w:val="748235B2"/>
    <w:rsid w:val="74E74522"/>
    <w:rsid w:val="757779AE"/>
    <w:rsid w:val="771D40B4"/>
    <w:rsid w:val="77504E30"/>
    <w:rsid w:val="777850C9"/>
    <w:rsid w:val="77792F25"/>
    <w:rsid w:val="777C610E"/>
    <w:rsid w:val="77944BDB"/>
    <w:rsid w:val="7BDD1388"/>
    <w:rsid w:val="7DB20A4B"/>
    <w:rsid w:val="7DE44248"/>
    <w:rsid w:val="7E664087"/>
    <w:rsid w:val="7E78372F"/>
    <w:rsid w:val="7E954324"/>
    <w:rsid w:val="7F4B2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25"/>
    <w:qFormat/>
    <w:uiPriority w:val="0"/>
    <w:pPr>
      <w:keepNext/>
      <w:keepLines/>
      <w:spacing w:before="120" w:after="120"/>
      <w:ind w:firstLine="200"/>
      <w:outlineLvl w:val="0"/>
    </w:pPr>
    <w:rPr>
      <w:rFonts w:eastAsia="黑体"/>
      <w:bCs/>
      <w:kern w:val="44"/>
      <w:szCs w:val="44"/>
    </w:rPr>
  </w:style>
  <w:style w:type="paragraph" w:styleId="4">
    <w:name w:val="heading 2"/>
    <w:basedOn w:val="3"/>
    <w:next w:val="5"/>
    <w:qFormat/>
    <w:uiPriority w:val="0"/>
    <w:pPr>
      <w:keepNext/>
      <w:keepLines/>
      <w:spacing w:before="120" w:after="60"/>
      <w:ind w:firstLine="200"/>
      <w:outlineLvl w:val="1"/>
    </w:pPr>
    <w:rPr>
      <w:rFonts w:ascii="等线 Light" w:hAnsi="等线 Light" w:eastAsia="楷体"/>
      <w:b/>
      <w:szCs w:val="32"/>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rFonts w:ascii="Times New Roman" w:hAnsi="Times New Roman"/>
      <w:b/>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556"/>
    </w:pPr>
    <w:rPr>
      <w:rFonts w:cs="仿宋_GB2312"/>
      <w:kern w:val="0"/>
    </w:rPr>
  </w:style>
  <w:style w:type="paragraph" w:styleId="5">
    <w:name w:val="Body Text"/>
    <w:basedOn w:val="1"/>
    <w:qFormat/>
    <w:uiPriority w:val="0"/>
    <w:pPr>
      <w:spacing w:after="120"/>
    </w:pPr>
    <w:rPr>
      <w:rFonts w:cs="Times New Roman"/>
    </w:rPr>
  </w:style>
  <w:style w:type="paragraph" w:styleId="7">
    <w:name w:val="Body Text Indent"/>
    <w:basedOn w:val="1"/>
    <w:next w:val="8"/>
    <w:qFormat/>
    <w:uiPriority w:val="0"/>
    <w:pPr>
      <w:spacing w:after="120"/>
      <w:ind w:left="420" w:leftChars="200"/>
    </w:pPr>
  </w:style>
  <w:style w:type="paragraph" w:styleId="8">
    <w:name w:val="Body Text Indent 2"/>
    <w:basedOn w:val="1"/>
    <w:qFormat/>
    <w:uiPriority w:val="0"/>
    <w:pPr>
      <w:ind w:firstLine="630"/>
    </w:pPr>
    <w:rPr>
      <w:rFonts w:ascii="Calibri" w:hAnsi="Calibri" w:eastAsia="宋体" w:cs="Times New Roman"/>
      <w:b/>
      <w:sz w:val="32"/>
    </w:rPr>
  </w:style>
  <w:style w:type="paragraph" w:styleId="9">
    <w:name w:val="Balloon Text"/>
    <w:basedOn w:val="1"/>
    <w:link w:val="3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link w:val="3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rPr>
      <w:rFonts w:ascii="Times New Roman" w:hAnsi="Times New Roman"/>
    </w:rPr>
  </w:style>
  <w:style w:type="paragraph" w:styleId="13">
    <w:name w:val="footnote text"/>
    <w:basedOn w:val="1"/>
    <w:qFormat/>
    <w:uiPriority w:val="0"/>
    <w:pPr>
      <w:snapToGrid w:val="0"/>
      <w:jc w:val="left"/>
    </w:pPr>
    <w:rPr>
      <w:sz w:val="18"/>
    </w:rPr>
  </w:style>
  <w:style w:type="paragraph" w:styleId="14">
    <w:name w:val="toc 2"/>
    <w:basedOn w:val="1"/>
    <w:next w:val="1"/>
    <w:qFormat/>
    <w:uiPriority w:val="0"/>
    <w:pPr>
      <w:ind w:left="0" w:leftChars="0"/>
    </w:pPr>
    <w:rPr>
      <w:rFonts w:ascii="Times New Roman" w:hAnsi="Times New Roman"/>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6">
    <w:name w:val="Body Text First Indent 2"/>
    <w:basedOn w:val="7"/>
    <w:qFormat/>
    <w:uiPriority w:val="0"/>
    <w:pPr>
      <w:ind w:left="0" w:leftChars="0" w:firstLine="420" w:firstLineChars="200"/>
    </w:pPr>
    <w:rPr>
      <w:rFonts w:ascii="Times New Roman" w:hAnsi="Times New Roman"/>
    </w:rPr>
  </w:style>
  <w:style w:type="table" w:styleId="18">
    <w:name w:val="Table Grid"/>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footnote reference"/>
    <w:basedOn w:val="19"/>
    <w:qFormat/>
    <w:uiPriority w:val="0"/>
    <w:rPr>
      <w:vertAlign w:val="superscript"/>
    </w:rPr>
  </w:style>
  <w:style w:type="paragraph" w:customStyle="1" w:styleId="21">
    <w:name w:val="闻政正文"/>
    <w:basedOn w:val="1"/>
    <w:qFormat/>
    <w:uiPriority w:val="0"/>
    <w:pPr>
      <w:spacing w:line="500" w:lineRule="exact"/>
      <w:ind w:firstLine="200" w:firstLineChars="200"/>
    </w:pPr>
    <w:rPr>
      <w:rFonts w:ascii="Times New Roman" w:hAnsi="Times New Roman" w:eastAsia="仿宋_GB2312" w:cs="Times New Roman"/>
      <w:kern w:val="0"/>
      <w:sz w:val="28"/>
      <w:szCs w:val="28"/>
      <w:lang w:val="zh-CN"/>
    </w:rPr>
  </w:style>
  <w:style w:type="paragraph" w:customStyle="1" w:styleId="22">
    <w:name w:val="正文-公1"/>
    <w:basedOn w:val="1"/>
    <w:next w:val="11"/>
    <w:qFormat/>
    <w:uiPriority w:val="0"/>
    <w:pPr>
      <w:ind w:firstLine="200" w:firstLineChars="200"/>
    </w:pPr>
    <w:rPr>
      <w:color w:val="000000"/>
    </w:rPr>
  </w:style>
  <w:style w:type="paragraph" w:customStyle="1" w:styleId="23">
    <w:name w:val="表头"/>
    <w:basedOn w:val="1"/>
    <w:qFormat/>
    <w:uiPriority w:val="0"/>
    <w:pPr>
      <w:spacing w:line="240" w:lineRule="auto"/>
      <w:ind w:firstLine="0" w:firstLineChars="0"/>
      <w:jc w:val="center"/>
    </w:pPr>
    <w:rPr>
      <w:rFonts w:eastAsia="黑体"/>
      <w:sz w:val="24"/>
    </w:rPr>
  </w:style>
  <w:style w:type="paragraph" w:customStyle="1" w:styleId="24">
    <w:name w:val="报告正文"/>
    <w:basedOn w:val="1"/>
    <w:next w:val="7"/>
    <w:qFormat/>
    <w:uiPriority w:val="0"/>
    <w:pPr>
      <w:ind w:firstLine="643"/>
    </w:pPr>
  </w:style>
  <w:style w:type="character" w:customStyle="1" w:styleId="25">
    <w:name w:val="标题 1 Char"/>
    <w:link w:val="3"/>
    <w:qFormat/>
    <w:uiPriority w:val="9"/>
    <w:rPr>
      <w:rFonts w:eastAsia="黑体"/>
      <w:bCs/>
      <w:kern w:val="44"/>
      <w:szCs w:val="44"/>
    </w:rPr>
  </w:style>
  <w:style w:type="character" w:customStyle="1" w:styleId="26">
    <w:name w:val="font121"/>
    <w:basedOn w:val="19"/>
    <w:qFormat/>
    <w:uiPriority w:val="0"/>
    <w:rPr>
      <w:rFonts w:hint="eastAsia" w:ascii="宋体" w:hAnsi="宋体" w:eastAsia="宋体" w:cs="宋体"/>
      <w:b/>
      <w:color w:val="000000"/>
      <w:sz w:val="40"/>
      <w:szCs w:val="40"/>
      <w:u w:val="none"/>
    </w:rPr>
  </w:style>
  <w:style w:type="character" w:customStyle="1" w:styleId="27">
    <w:name w:val="font91"/>
    <w:basedOn w:val="19"/>
    <w:qFormat/>
    <w:uiPriority w:val="0"/>
    <w:rPr>
      <w:rFonts w:hint="eastAsia" w:ascii="宋体" w:hAnsi="宋体" w:eastAsia="宋体" w:cs="宋体"/>
      <w:b/>
      <w:color w:val="000000"/>
      <w:sz w:val="32"/>
      <w:szCs w:val="32"/>
      <w:u w:val="none"/>
    </w:rPr>
  </w:style>
  <w:style w:type="character" w:customStyle="1" w:styleId="28">
    <w:name w:val="font21"/>
    <w:basedOn w:val="19"/>
    <w:qFormat/>
    <w:uiPriority w:val="0"/>
    <w:rPr>
      <w:rFonts w:hint="eastAsia" w:ascii="宋体" w:hAnsi="宋体" w:eastAsia="宋体" w:cs="宋体"/>
      <w:b/>
      <w:color w:val="000000"/>
      <w:sz w:val="24"/>
      <w:szCs w:val="24"/>
      <w:u w:val="none"/>
    </w:rPr>
  </w:style>
  <w:style w:type="character" w:customStyle="1" w:styleId="29">
    <w:name w:val="font81"/>
    <w:basedOn w:val="19"/>
    <w:qFormat/>
    <w:uiPriority w:val="0"/>
    <w:rPr>
      <w:rFonts w:hint="eastAsia" w:ascii="宋体" w:hAnsi="宋体" w:eastAsia="宋体" w:cs="宋体"/>
      <w:b/>
      <w:color w:val="000000"/>
      <w:sz w:val="24"/>
      <w:szCs w:val="24"/>
      <w:u w:val="none"/>
    </w:rPr>
  </w:style>
  <w:style w:type="character" w:customStyle="1" w:styleId="30">
    <w:name w:val="font41"/>
    <w:basedOn w:val="19"/>
    <w:qFormat/>
    <w:uiPriority w:val="0"/>
    <w:rPr>
      <w:rFonts w:hint="eastAsia" w:ascii="宋体" w:hAnsi="宋体" w:eastAsia="宋体" w:cs="宋体"/>
      <w:color w:val="000000"/>
      <w:sz w:val="24"/>
      <w:szCs w:val="24"/>
      <w:u w:val="none"/>
    </w:rPr>
  </w:style>
  <w:style w:type="character" w:customStyle="1" w:styleId="31">
    <w:name w:val="font61"/>
    <w:basedOn w:val="19"/>
    <w:qFormat/>
    <w:uiPriority w:val="0"/>
    <w:rPr>
      <w:rFonts w:hint="eastAsia" w:ascii="宋体" w:hAnsi="宋体" w:eastAsia="宋体" w:cs="宋体"/>
      <w:color w:val="000000"/>
      <w:sz w:val="24"/>
      <w:szCs w:val="24"/>
      <w:u w:val="none"/>
    </w:rPr>
  </w:style>
  <w:style w:type="character" w:customStyle="1" w:styleId="32">
    <w:name w:val="批注框文本 Char"/>
    <w:basedOn w:val="19"/>
    <w:link w:val="9"/>
    <w:qFormat/>
    <w:uiPriority w:val="0"/>
    <w:rPr>
      <w:rFonts w:eastAsia="仿宋_GB2312"/>
      <w:kern w:val="2"/>
      <w:sz w:val="18"/>
      <w:szCs w:val="18"/>
    </w:rPr>
  </w:style>
  <w:style w:type="paragraph" w:styleId="33">
    <w:name w:val="List Paragraph"/>
    <w:basedOn w:val="1"/>
    <w:unhideWhenUsed/>
    <w:qFormat/>
    <w:uiPriority w:val="99"/>
    <w:pPr>
      <w:ind w:firstLine="420"/>
    </w:pPr>
  </w:style>
  <w:style w:type="character" w:customStyle="1" w:styleId="34">
    <w:name w:val="页眉 Char"/>
    <w:basedOn w:val="19"/>
    <w:link w:val="11"/>
    <w:qFormat/>
    <w:uiPriority w:val="0"/>
    <w:rPr>
      <w:rFonts w:eastAsia="仿宋_GB2312"/>
      <w:kern w:val="2"/>
      <w:sz w:val="18"/>
      <w:szCs w:val="18"/>
    </w:rPr>
  </w:style>
  <w:style w:type="paragraph" w:customStyle="1" w:styleId="35">
    <w:name w:val="正文1"/>
    <w:qFormat/>
    <w:uiPriority w:val="0"/>
    <w:pPr>
      <w:widowControl w:val="0"/>
      <w:suppressAutoHyphens w:val="0"/>
      <w:bidi w:val="0"/>
      <w:spacing w:before="0" w:after="0"/>
      <w:jc w:val="both"/>
    </w:pPr>
    <w:rPr>
      <w:rFonts w:asciiTheme="minorHAnsi" w:hAnsiTheme="minorHAnsi" w:eastAsiaTheme="minorEastAsia" w:cstheme="minorBidi"/>
      <w:color w:val="auto"/>
      <w:kern w:val="2"/>
      <w:sz w:val="21"/>
      <w:szCs w:val="24"/>
      <w:lang w:val="en-US" w:eastAsia="zh-CN" w:bidi="ar-SA"/>
    </w:rPr>
  </w:style>
  <w:style w:type="paragraph" w:customStyle="1" w:styleId="36">
    <w:name w:val="Other|1"/>
    <w:basedOn w:val="1"/>
    <w:qFormat/>
    <w:uiPriority w:val="0"/>
    <w:pPr>
      <w:widowControl w:val="0"/>
      <w:shd w:val="clear" w:color="auto" w:fill="auto"/>
      <w:spacing w:line="240" w:lineRule="auto"/>
      <w:ind w:firstLine="0" w:firstLineChars="0"/>
    </w:pPr>
    <w:rPr>
      <w:rFonts w:ascii="宋体" w:hAnsi="宋体" w:eastAsia="宋体" w:cs="宋体"/>
      <w:color w:val="3A3A3A"/>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DFD939-F154-480B-B344-C5EA40DC2ABE}">
  <ds:schemaRefs/>
</ds:datastoreItem>
</file>

<file path=docProps/app.xml><?xml version="1.0" encoding="utf-8"?>
<Properties xmlns="http://schemas.openxmlformats.org/officeDocument/2006/extended-properties" xmlns:vt="http://schemas.openxmlformats.org/officeDocument/2006/docPropsVTypes">
  <Template>Normal</Template>
  <Pages>46</Pages>
  <Words>4635</Words>
  <Characters>26424</Characters>
  <Lines>220</Lines>
  <Paragraphs>61</Paragraphs>
  <TotalTime>0</TotalTime>
  <ScaleCrop>false</ScaleCrop>
  <LinksUpToDate>false</LinksUpToDate>
  <CharactersWithSpaces>30998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2020-08-19T07:17:00Z</dcterms:created>
  <dc:creator>万岁爷de故事</dc:creator>
  <cp:lastModifiedBy>YYY</cp:lastModifiedBy>
  <dcterms:modified xsi:type="dcterms:W3CDTF">2022-08-10T10:48:22Z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D67FF56A7A044E62A68AA32F5D58FB4D</vt:lpwstr>
  </property>
</Properties>
</file>