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2"/>
        <w:spacing w:before="0" w:beforeAutospacing="0" w:after="0" w:afterAutospacing="0"/>
        <w:ind w:firstLine="0" w:firstLineChars="0"/>
        <w:jc w:val="center"/>
        <w:rPr>
          <w:rFonts w:hint="eastAsia" w:eastAsia="方正小标宋简体" w:cs="Times New Roman"/>
          <w:color w:val="auto"/>
          <w:sz w:val="36"/>
          <w:szCs w:val="44"/>
          <w:highlight w:val="none"/>
          <w:lang w:val="en-US" w:eastAsia="zh-CN"/>
        </w:rPr>
      </w:pPr>
      <w:bookmarkStart w:id="0" w:name="OLE_LINK1"/>
      <w:bookmarkEnd w:id="0"/>
      <w:bookmarkStart w:id="1" w:name="_Toc61596110"/>
      <w:bookmarkStart w:id="2" w:name="_Toc5319"/>
      <w:bookmarkStart w:id="3" w:name="_Toc25922"/>
      <w:bookmarkStart w:id="4" w:name="_Toc59197260"/>
      <w:bookmarkStart w:id="5" w:name="_Toc26879517"/>
      <w:bookmarkStart w:id="6" w:name="_Toc12107"/>
      <w:bookmarkStart w:id="7" w:name="_Toc10530"/>
      <w:bookmarkStart w:id="8" w:name="_Toc15390477"/>
      <w:bookmarkStart w:id="9" w:name="_Toc15391125"/>
      <w:bookmarkStart w:id="10" w:name="_Toc3406"/>
      <w:bookmarkStart w:id="11" w:name="_Toc30399"/>
      <w:bookmarkStart w:id="12" w:name="_Toc15390046"/>
      <w:bookmarkStart w:id="13" w:name="_Toc15389961"/>
      <w:bookmarkStart w:id="14" w:name="_Toc15390427"/>
      <w:bookmarkStart w:id="15" w:name="_Hlk14769019"/>
      <w:bookmarkStart w:id="16" w:name="_Toc30534"/>
      <w:bookmarkStart w:id="17" w:name="_Toc15391284"/>
      <w:bookmarkStart w:id="18" w:name="_Toc15390207"/>
      <w:bookmarkStart w:id="19" w:name="_Toc15390256"/>
      <w:r>
        <w:rPr>
          <w:rFonts w:hint="eastAsia" w:eastAsia="方正小标宋简体" w:cs="Times New Roman"/>
          <w:color w:val="auto"/>
          <w:sz w:val="36"/>
          <w:szCs w:val="44"/>
          <w:highlight w:val="none"/>
        </w:rPr>
        <w:t>2020年</w:t>
      </w:r>
      <w:bookmarkEnd w:id="1"/>
      <w:bookmarkStart w:id="20" w:name="_Toc61596111"/>
      <w:r>
        <w:rPr>
          <w:rFonts w:hint="eastAsia" w:eastAsia="方正小标宋简体" w:cs="Times New Roman"/>
          <w:color w:val="auto"/>
          <w:sz w:val="36"/>
          <w:szCs w:val="44"/>
          <w:highlight w:val="none"/>
          <w:lang w:val="en-US" w:eastAsia="zh-CN"/>
        </w:rPr>
        <w:t>云岩区残疾人康复</w:t>
      </w:r>
      <w:r>
        <w:rPr>
          <w:rFonts w:hint="eastAsia" w:eastAsia="方正小标宋简体" w:cs="Times New Roman"/>
          <w:color w:val="auto"/>
          <w:sz w:val="36"/>
          <w:szCs w:val="44"/>
          <w:highlight w:val="none"/>
        </w:rPr>
        <w:t>项目</w:t>
      </w:r>
      <w:bookmarkEnd w:id="2"/>
      <w:bookmarkEnd w:id="3"/>
      <w:bookmarkStart w:id="21" w:name="_Toc15595"/>
      <w:bookmarkStart w:id="22" w:name="_Toc23428"/>
      <w:r>
        <w:rPr>
          <w:rFonts w:hint="eastAsia" w:eastAsia="方正小标宋简体" w:cs="Times New Roman"/>
          <w:color w:val="auto"/>
          <w:sz w:val="36"/>
          <w:szCs w:val="44"/>
          <w:highlight w:val="none"/>
          <w:lang w:val="en-US" w:eastAsia="zh-CN"/>
        </w:rPr>
        <w:t>预算</w:t>
      </w:r>
    </w:p>
    <w:p>
      <w:pPr>
        <w:pStyle w:val="17"/>
        <w:keepNext w:val="0"/>
        <w:keepLines w:val="0"/>
        <w:pageBreakBefore w:val="0"/>
        <w:widowControl w:val="0"/>
        <w:tabs>
          <w:tab w:val="right" w:leader="dot" w:pos="8834"/>
        </w:tabs>
        <w:kinsoku/>
        <w:wordWrap/>
        <w:overflowPunct/>
        <w:topLinePunct w:val="0"/>
        <w:autoSpaceDE/>
        <w:autoSpaceDN/>
        <w:bidi w:val="0"/>
        <w:adjustRightInd/>
        <w:snapToGrid/>
        <w:spacing w:line="500" w:lineRule="exact"/>
        <w:ind w:firstLine="0" w:firstLineChars="0"/>
        <w:jc w:val="center"/>
        <w:textAlignment w:val="auto"/>
        <w:rPr>
          <w:rFonts w:eastAsia="方正小标宋简体" w:cs="Times New Roman"/>
          <w:color w:val="auto"/>
          <w:sz w:val="36"/>
          <w:szCs w:val="44"/>
          <w:highlight w:val="none"/>
        </w:rPr>
      </w:pPr>
      <w:r>
        <w:rPr>
          <w:rFonts w:hint="eastAsia" w:eastAsia="方正小标宋简体" w:cs="Times New Roman"/>
          <w:color w:val="auto"/>
          <w:sz w:val="36"/>
          <w:szCs w:val="44"/>
          <w:highlight w:val="none"/>
        </w:rPr>
        <w:t>财政支出绩效评价报告</w:t>
      </w:r>
      <w:bookmarkEnd w:id="4"/>
      <w:bookmarkEnd w:id="20"/>
      <w:bookmarkEnd w:id="21"/>
      <w:bookmarkEnd w:id="22"/>
    </w:p>
    <w:p>
      <w:pPr>
        <w:pStyle w:val="2"/>
        <w:ind w:left="0" w:leftChars="0" w:firstLine="0" w:firstLineChars="0"/>
        <w:rPr>
          <w:color w:val="auto"/>
          <w:highlight w:val="none"/>
        </w:rPr>
      </w:pPr>
    </w:p>
    <w:p>
      <w:pPr>
        <w:pStyle w:val="3"/>
        <w:keepNext/>
        <w:keepLines/>
        <w:pageBreakBefore w:val="0"/>
        <w:widowControl w:val="0"/>
        <w:kinsoku/>
        <w:wordWrap/>
        <w:overflowPunct/>
        <w:topLinePunct w:val="0"/>
        <w:autoSpaceDE/>
        <w:autoSpaceDN/>
        <w:bidi w:val="0"/>
        <w:adjustRightInd/>
        <w:snapToGrid/>
        <w:ind w:firstLine="640"/>
        <w:textAlignment w:val="auto"/>
        <w:rPr>
          <w:color w:val="auto"/>
          <w:highlight w:val="none"/>
        </w:rPr>
      </w:pPr>
      <w:bookmarkStart w:id="23" w:name="_Toc20045"/>
      <w:r>
        <w:rPr>
          <w:rFonts w:hint="eastAsia"/>
          <w:color w:val="auto"/>
          <w:highlight w:val="none"/>
        </w:rPr>
        <w:t>一、项目基本情况</w:t>
      </w:r>
      <w:bookmarkEnd w:id="5"/>
      <w:bookmarkEnd w:id="6"/>
      <w:bookmarkEnd w:id="7"/>
      <w:bookmarkEnd w:id="23"/>
    </w:p>
    <w:p>
      <w:pPr>
        <w:pStyle w:val="4"/>
        <w:keepNext/>
        <w:keepLines/>
        <w:pageBreakBefore w:val="0"/>
        <w:widowControl w:val="0"/>
        <w:kinsoku/>
        <w:wordWrap/>
        <w:overflowPunct/>
        <w:topLinePunct w:val="0"/>
        <w:autoSpaceDE/>
        <w:autoSpaceDN/>
        <w:bidi w:val="0"/>
        <w:adjustRightInd/>
        <w:snapToGrid/>
        <w:ind w:firstLine="643"/>
        <w:textAlignment w:val="auto"/>
        <w:rPr>
          <w:rFonts w:hint="eastAsia" w:ascii="Times New Roman" w:hAnsi="Times New Roman"/>
          <w:color w:val="auto"/>
          <w:highlight w:val="none"/>
        </w:rPr>
      </w:pPr>
      <w:bookmarkStart w:id="24" w:name="_Toc15391283"/>
      <w:bookmarkStart w:id="25" w:name="_Toc23587"/>
      <w:bookmarkStart w:id="26" w:name="_Toc26879518"/>
      <w:bookmarkStart w:id="27" w:name="_Toc15390476"/>
      <w:bookmarkStart w:id="28" w:name="_Toc27500"/>
      <w:bookmarkStart w:id="29" w:name="_Toc15391124"/>
      <w:bookmarkStart w:id="30" w:name="_Toc4275"/>
      <w:r>
        <w:rPr>
          <w:rFonts w:hint="eastAsia" w:ascii="Times New Roman" w:hAnsi="Times New Roman"/>
          <w:color w:val="auto"/>
          <w:highlight w:val="none"/>
        </w:rPr>
        <w:t>（一）项目</w:t>
      </w:r>
      <w:bookmarkEnd w:id="24"/>
      <w:bookmarkEnd w:id="25"/>
      <w:bookmarkEnd w:id="26"/>
      <w:bookmarkEnd w:id="27"/>
      <w:bookmarkEnd w:id="28"/>
      <w:bookmarkEnd w:id="29"/>
      <w:r>
        <w:rPr>
          <w:rFonts w:hint="eastAsia" w:ascii="Times New Roman" w:hAnsi="Times New Roman"/>
          <w:color w:val="auto"/>
          <w:highlight w:val="none"/>
        </w:rPr>
        <w:t>背景</w:t>
      </w:r>
      <w:bookmarkEnd w:id="8"/>
      <w:bookmarkEnd w:id="9"/>
      <w:bookmarkEnd w:id="10"/>
      <w:bookmarkEnd w:id="11"/>
      <w:bookmarkEnd w:id="12"/>
      <w:bookmarkEnd w:id="13"/>
      <w:bookmarkEnd w:id="14"/>
      <w:bookmarkEnd w:id="15"/>
      <w:bookmarkEnd w:id="16"/>
      <w:bookmarkEnd w:id="17"/>
      <w:bookmarkEnd w:id="18"/>
      <w:bookmarkEnd w:id="19"/>
      <w:bookmarkEnd w:id="30"/>
      <w:bookmarkStart w:id="31" w:name="_Toc15390433"/>
      <w:bookmarkStart w:id="32" w:name="_Toc32459"/>
      <w:bookmarkStart w:id="33" w:name="_Toc15389967"/>
      <w:bookmarkStart w:id="34" w:name="_Toc15390483"/>
      <w:bookmarkStart w:id="35" w:name="_Toc8393"/>
      <w:bookmarkStart w:id="36" w:name="_Toc15391131"/>
      <w:bookmarkStart w:id="37" w:name="_Toc15390213"/>
      <w:bookmarkStart w:id="38" w:name="_Toc19014"/>
      <w:bookmarkStart w:id="39" w:name="_Toc15391290"/>
      <w:bookmarkStart w:id="40" w:name="_Toc15390052"/>
      <w:bookmarkStart w:id="41" w:name="_Toc15390262"/>
    </w:p>
    <w:p>
      <w:pPr>
        <w:rPr>
          <w:rFonts w:hint="eastAsia"/>
          <w:color w:val="auto"/>
          <w:highlight w:val="none"/>
        </w:rPr>
      </w:pPr>
      <w:r>
        <w:rPr>
          <w:rFonts w:hint="eastAsia"/>
          <w:color w:val="auto"/>
          <w:highlight w:val="none"/>
        </w:rPr>
        <w:t>随着社会经济形势的迅速发展</w:t>
      </w:r>
      <w:r>
        <w:rPr>
          <w:rFonts w:hint="eastAsia"/>
          <w:color w:val="auto"/>
          <w:highlight w:val="none"/>
          <w:lang w:eastAsia="zh-CN"/>
        </w:rPr>
        <w:t>，</w:t>
      </w:r>
      <w:r>
        <w:rPr>
          <w:rFonts w:hint="eastAsia"/>
          <w:color w:val="auto"/>
          <w:highlight w:val="none"/>
        </w:rPr>
        <w:t>残疾人的生活水平和社会发展整体水平差距较</w:t>
      </w:r>
      <w:r>
        <w:rPr>
          <w:rFonts w:hint="eastAsia"/>
          <w:color w:val="auto"/>
          <w:highlight w:val="none"/>
          <w:lang w:val="en-US" w:eastAsia="zh-CN"/>
        </w:rPr>
        <w:t>大</w:t>
      </w:r>
      <w:r>
        <w:rPr>
          <w:rFonts w:hint="eastAsia"/>
          <w:color w:val="auto"/>
          <w:highlight w:val="none"/>
        </w:rPr>
        <w:t>。残疾人在就业、就医、就学、康复和生</w:t>
      </w:r>
      <w:r>
        <w:rPr>
          <w:rFonts w:hint="eastAsia"/>
          <w:color w:val="auto"/>
          <w:highlight w:val="none"/>
          <w:lang w:val="en-US" w:eastAsia="zh-CN"/>
        </w:rPr>
        <w:t>活</w:t>
      </w:r>
      <w:r>
        <w:rPr>
          <w:rFonts w:hint="eastAsia"/>
          <w:color w:val="auto"/>
          <w:highlight w:val="none"/>
        </w:rPr>
        <w:t>质量等方面还存在许多一时难以解决的</w:t>
      </w:r>
      <w:r>
        <w:rPr>
          <w:rFonts w:hint="eastAsia"/>
          <w:color w:val="auto"/>
          <w:highlight w:val="none"/>
          <w:lang w:val="en-US" w:eastAsia="zh-CN"/>
        </w:rPr>
        <w:t>问</w:t>
      </w:r>
      <w:r>
        <w:rPr>
          <w:rFonts w:hint="eastAsia"/>
          <w:color w:val="auto"/>
          <w:highlight w:val="none"/>
        </w:rPr>
        <w:t>题。这些</w:t>
      </w:r>
      <w:r>
        <w:rPr>
          <w:rFonts w:hint="eastAsia"/>
          <w:color w:val="auto"/>
          <w:highlight w:val="none"/>
          <w:lang w:val="en-US" w:eastAsia="zh-CN"/>
        </w:rPr>
        <w:t>因素将</w:t>
      </w:r>
      <w:r>
        <w:rPr>
          <w:rFonts w:hint="eastAsia"/>
          <w:color w:val="auto"/>
          <w:highlight w:val="none"/>
        </w:rPr>
        <w:t>会直接影响</w:t>
      </w:r>
      <w:r>
        <w:rPr>
          <w:rFonts w:hint="eastAsia"/>
          <w:color w:val="auto"/>
          <w:highlight w:val="none"/>
          <w:lang w:val="en-US" w:eastAsia="zh-CN"/>
        </w:rPr>
        <w:t>区域</w:t>
      </w:r>
      <w:r>
        <w:rPr>
          <w:rFonts w:hint="eastAsia"/>
          <w:color w:val="auto"/>
          <w:highlight w:val="none"/>
        </w:rPr>
        <w:t>经济发展和社会稳定。</w:t>
      </w:r>
    </w:p>
    <w:p>
      <w:pPr>
        <w:rPr>
          <w:rFonts w:hint="eastAsia" w:ascii="Times New Roman" w:hAnsi="Times New Roman"/>
          <w:color w:val="auto"/>
          <w:highlight w:val="none"/>
          <w:lang w:eastAsia="zh-CN"/>
        </w:rPr>
      </w:pPr>
      <w:r>
        <w:rPr>
          <w:rFonts w:hint="eastAsia" w:ascii="Times New Roman" w:hAnsi="Times New Roman"/>
          <w:color w:val="auto"/>
          <w:highlight w:val="none"/>
          <w:lang w:eastAsia="zh-CN"/>
        </w:rPr>
        <w:t>《</w:t>
      </w:r>
      <w:r>
        <w:rPr>
          <w:rFonts w:hint="eastAsia" w:ascii="Times New Roman" w:hAnsi="Times New Roman"/>
          <w:color w:val="auto"/>
          <w:highlight w:val="none"/>
        </w:rPr>
        <w:t>残疾人康复服务“十三五”实施方案</w:t>
      </w:r>
      <w:r>
        <w:rPr>
          <w:rFonts w:hint="eastAsia" w:ascii="Times New Roman" w:hAnsi="Times New Roman"/>
          <w:color w:val="auto"/>
          <w:highlight w:val="none"/>
          <w:lang w:eastAsia="zh-CN"/>
        </w:rPr>
        <w:t>》</w:t>
      </w:r>
      <w:r>
        <w:rPr>
          <w:rFonts w:hint="eastAsia" w:ascii="Times New Roman" w:hAnsi="Times New Roman"/>
          <w:color w:val="auto"/>
          <w:highlight w:val="none"/>
          <w:lang w:val="en-US" w:eastAsia="zh-CN"/>
        </w:rPr>
        <w:t>指出：“我国目前需</w:t>
      </w:r>
      <w:r>
        <w:rPr>
          <w:rFonts w:hint="eastAsia" w:ascii="Times New Roman" w:hAnsi="Times New Roman"/>
          <w:color w:val="auto"/>
          <w:highlight w:val="none"/>
        </w:rPr>
        <w:t>构建与经济社会发展相协调、与残疾人康复需求相适应的多元化康复服务体系、多层次康复保障制度，普遍满足城乡残疾人的基本康复服务需求</w:t>
      </w:r>
      <w:r>
        <w:rPr>
          <w:rFonts w:hint="eastAsia" w:ascii="Times New Roman" w:hAnsi="Times New Roman"/>
          <w:color w:val="auto"/>
          <w:highlight w:val="none"/>
          <w:lang w:val="en-US" w:eastAsia="zh-CN"/>
        </w:rPr>
        <w:t>”。此外，</w:t>
      </w:r>
      <w:r>
        <w:rPr>
          <w:rFonts w:hint="eastAsia"/>
          <w:color w:val="auto"/>
          <w:highlight w:val="none"/>
          <w:lang w:val="en-US" w:eastAsia="zh-CN"/>
        </w:rPr>
        <w:t>文件</w:t>
      </w:r>
      <w:r>
        <w:rPr>
          <w:rFonts w:hint="eastAsia" w:ascii="Times New Roman" w:hAnsi="Times New Roman"/>
          <w:color w:val="auto"/>
          <w:highlight w:val="none"/>
          <w:lang w:val="en-US" w:eastAsia="zh-CN"/>
        </w:rPr>
        <w:t>还</w:t>
      </w:r>
      <w:r>
        <w:rPr>
          <w:rFonts w:hint="eastAsia"/>
          <w:color w:val="auto"/>
          <w:highlight w:val="none"/>
          <w:lang w:val="en-US" w:eastAsia="zh-CN"/>
        </w:rPr>
        <w:t>表明</w:t>
      </w:r>
      <w:r>
        <w:rPr>
          <w:rFonts w:hint="eastAsia" w:ascii="Times New Roman" w:hAnsi="Times New Roman"/>
          <w:color w:val="auto"/>
          <w:highlight w:val="none"/>
          <w:lang w:val="en-US" w:eastAsia="zh-CN"/>
        </w:rPr>
        <w:t>了残联、民政等相关部门</w:t>
      </w:r>
      <w:r>
        <w:rPr>
          <w:rFonts w:hint="eastAsia"/>
          <w:color w:val="auto"/>
          <w:highlight w:val="none"/>
          <w:lang w:val="en-US" w:eastAsia="zh-CN"/>
        </w:rPr>
        <w:t>需</w:t>
      </w:r>
      <w:r>
        <w:rPr>
          <w:rFonts w:hint="eastAsia" w:ascii="Times New Roman" w:hAnsi="Times New Roman"/>
          <w:color w:val="auto"/>
          <w:highlight w:val="none"/>
          <w:lang w:val="en-US" w:eastAsia="zh-CN"/>
        </w:rPr>
        <w:t>在各单位职责内</w:t>
      </w:r>
      <w:r>
        <w:rPr>
          <w:rFonts w:hint="eastAsia" w:ascii="Times New Roman" w:hAnsi="Times New Roman"/>
          <w:color w:val="auto"/>
          <w:highlight w:val="none"/>
        </w:rPr>
        <w:t>做好残疾预防和残疾人康复服务，为残疾人康复创造条件。各级残联主动维护残疾人合法权益，接受政府委托，动员社会力量开展残疾预防和残疾人康复工作</w:t>
      </w:r>
      <w:r>
        <w:rPr>
          <w:rFonts w:hint="eastAsia" w:ascii="Times New Roman" w:hAnsi="Times New Roman"/>
          <w:color w:val="auto"/>
          <w:highlight w:val="none"/>
          <w:lang w:eastAsia="zh-CN"/>
        </w:rPr>
        <w:t>。</w:t>
      </w:r>
    </w:p>
    <w:p>
      <w:pPr>
        <w:bidi w:val="0"/>
        <w:rPr>
          <w:rFonts w:hint="eastAsia"/>
          <w:lang w:eastAsia="zh-CN"/>
        </w:rPr>
      </w:pPr>
      <w:r>
        <w:rPr>
          <w:rFonts w:hint="eastAsia"/>
        </w:rPr>
        <w:t>要基</w:t>
      </w:r>
      <w:r>
        <w:rPr>
          <w:rFonts w:hint="eastAsia"/>
          <w:lang w:val="en-US" w:eastAsia="zh-CN"/>
        </w:rPr>
        <w:t>本</w:t>
      </w:r>
      <w:r>
        <w:rPr>
          <w:rFonts w:hint="eastAsia"/>
        </w:rPr>
        <w:t>改善残疾人状况，实现残疾人共同进入小康社会的宏伟目标，就必须进一步加强基层残疾人组织建设</w:t>
      </w:r>
      <w:r>
        <w:rPr>
          <w:rFonts w:hint="eastAsia"/>
          <w:lang w:eastAsia="zh-CN"/>
        </w:rPr>
        <w:t>，</w:t>
      </w:r>
      <w:r>
        <w:rPr>
          <w:rFonts w:hint="eastAsia"/>
        </w:rPr>
        <w:t>提高基层为残疾人服务的能力和水平。</w:t>
      </w:r>
      <w:r>
        <w:rPr>
          <w:rFonts w:hint="eastAsia"/>
          <w:lang w:val="en-US" w:eastAsia="zh-CN"/>
        </w:rPr>
        <w:t>为实现“</w:t>
      </w:r>
      <w:r>
        <w:rPr>
          <w:rFonts w:hint="eastAsia" w:ascii="Times New Roman" w:hAnsi="Times New Roman"/>
          <w:color w:val="auto"/>
          <w:highlight w:val="none"/>
        </w:rPr>
        <w:t>人人享有基本康复服务</w:t>
      </w:r>
      <w:r>
        <w:rPr>
          <w:rFonts w:hint="eastAsia"/>
          <w:lang w:val="en-US" w:eastAsia="zh-CN"/>
        </w:rPr>
        <w:t>”的目标，区残联设立“</w:t>
      </w:r>
      <w:r>
        <w:rPr>
          <w:rFonts w:hint="eastAsia" w:ascii="仿宋_GB2312" w:cs="Times New Roman"/>
          <w:spacing w:val="6"/>
          <w:szCs w:val="32"/>
          <w:lang w:val="en-US" w:eastAsia="zh-CN"/>
        </w:rPr>
        <w:t>残疾人康复</w:t>
      </w:r>
      <w:r>
        <w:rPr>
          <w:rFonts w:hint="eastAsia" w:cs="Times New Roman"/>
          <w:spacing w:val="6"/>
          <w:szCs w:val="32"/>
        </w:rPr>
        <w:t>项目</w:t>
      </w:r>
      <w:r>
        <w:rPr>
          <w:rFonts w:hint="eastAsia"/>
          <w:lang w:val="en-US" w:eastAsia="zh-CN"/>
        </w:rPr>
        <w:t>”。</w:t>
      </w:r>
    </w:p>
    <w:p>
      <w:pPr>
        <w:pStyle w:val="4"/>
        <w:keepNext/>
        <w:keepLines/>
        <w:pageBreakBefore w:val="0"/>
        <w:widowControl w:val="0"/>
        <w:kinsoku/>
        <w:wordWrap/>
        <w:overflowPunct/>
        <w:topLinePunct w:val="0"/>
        <w:autoSpaceDE/>
        <w:autoSpaceDN/>
        <w:bidi w:val="0"/>
        <w:adjustRightInd/>
        <w:snapToGrid/>
        <w:ind w:firstLine="643"/>
        <w:textAlignment w:val="auto"/>
        <w:rPr>
          <w:rFonts w:hint="default" w:ascii="Times New Roman" w:hAnsi="Times New Roman" w:eastAsia="楷体"/>
          <w:color w:val="auto"/>
          <w:highlight w:val="none"/>
          <w:lang w:val="en-US" w:eastAsia="zh-CN"/>
        </w:rPr>
      </w:pPr>
      <w:bookmarkStart w:id="42" w:name="_Toc26353"/>
      <w:r>
        <w:rPr>
          <w:rFonts w:hint="eastAsia" w:ascii="Times New Roman" w:hAnsi="Times New Roman"/>
          <w:color w:val="auto"/>
          <w:highlight w:val="none"/>
        </w:rPr>
        <w:t>（二）</w:t>
      </w:r>
      <w:bookmarkEnd w:id="31"/>
      <w:bookmarkEnd w:id="32"/>
      <w:bookmarkEnd w:id="33"/>
      <w:bookmarkEnd w:id="34"/>
      <w:bookmarkEnd w:id="35"/>
      <w:bookmarkEnd w:id="36"/>
      <w:bookmarkEnd w:id="37"/>
      <w:bookmarkEnd w:id="38"/>
      <w:bookmarkEnd w:id="39"/>
      <w:bookmarkEnd w:id="40"/>
      <w:bookmarkEnd w:id="41"/>
      <w:bookmarkEnd w:id="42"/>
      <w:r>
        <w:rPr>
          <w:rFonts w:hint="eastAsia" w:ascii="Times New Roman" w:hAnsi="Times New Roman"/>
          <w:color w:val="auto"/>
          <w:highlight w:val="none"/>
          <w:lang w:val="en-US" w:eastAsia="zh-CN"/>
        </w:rPr>
        <w:t>立项依据</w:t>
      </w:r>
    </w:p>
    <w:p>
      <w:pPr>
        <w:rPr>
          <w:rFonts w:hint="eastAsia" w:ascii="Times New Roman" w:hAnsi="Times New Roman"/>
          <w:color w:val="auto"/>
          <w:highlight w:val="none"/>
          <w:lang w:eastAsia="zh-CN"/>
        </w:rPr>
      </w:pPr>
      <w:bookmarkStart w:id="43" w:name="_Toc15390260"/>
      <w:bookmarkStart w:id="44" w:name="_Toc15390211"/>
      <w:bookmarkStart w:id="45" w:name="_Toc26711"/>
      <w:bookmarkStart w:id="46" w:name="_Toc15390481"/>
      <w:bookmarkStart w:id="47" w:name="_Toc9884"/>
      <w:bookmarkStart w:id="48" w:name="_Toc15390050"/>
      <w:bookmarkStart w:id="49" w:name="_Toc15389965"/>
      <w:bookmarkStart w:id="50" w:name="_Toc15390431"/>
      <w:bookmarkStart w:id="51" w:name="_Toc20883"/>
      <w:bookmarkStart w:id="52" w:name="_Toc15391288"/>
      <w:bookmarkStart w:id="53" w:name="_Toc15391129"/>
      <w:r>
        <w:rPr>
          <w:rFonts w:hint="eastAsia"/>
          <w:color w:val="auto"/>
          <w:highlight w:val="none"/>
          <w:lang w:val="en-US" w:eastAsia="zh-CN"/>
        </w:rPr>
        <w:t>1．</w:t>
      </w:r>
      <w:r>
        <w:rPr>
          <w:rFonts w:hint="eastAsia" w:ascii="Times New Roman" w:hAnsi="Times New Roman"/>
          <w:color w:val="auto"/>
          <w:highlight w:val="none"/>
          <w:lang w:eastAsia="zh-CN"/>
        </w:rPr>
        <w:t>《</w:t>
      </w:r>
      <w:r>
        <w:rPr>
          <w:rFonts w:hint="eastAsia" w:ascii="Times New Roman" w:hAnsi="Times New Roman"/>
          <w:color w:val="auto"/>
          <w:highlight w:val="none"/>
        </w:rPr>
        <w:t>残疾人康复服务“十三五”实施方案</w:t>
      </w:r>
      <w:r>
        <w:rPr>
          <w:rFonts w:hint="eastAsia" w:ascii="Times New Roman" w:hAnsi="Times New Roman"/>
          <w:color w:val="auto"/>
          <w:highlight w:val="none"/>
          <w:lang w:eastAsia="zh-CN"/>
        </w:rPr>
        <w:t>》</w:t>
      </w:r>
      <w:r>
        <w:rPr>
          <w:color w:val="auto"/>
          <w:highlight w:val="none"/>
        </w:rPr>
        <w:t>（</w:t>
      </w:r>
      <w:r>
        <w:rPr>
          <w:rFonts w:hint="eastAsia"/>
          <w:color w:val="auto"/>
          <w:highlight w:val="none"/>
          <w:lang w:val="en-US" w:eastAsia="zh-CN"/>
        </w:rPr>
        <w:t>残联发</w:t>
      </w:r>
      <w:r>
        <w:rPr>
          <w:color w:val="auto"/>
          <w:highlight w:val="none"/>
        </w:rPr>
        <w:t>〔201</w:t>
      </w:r>
      <w:r>
        <w:rPr>
          <w:rFonts w:hint="eastAsia"/>
          <w:color w:val="auto"/>
          <w:highlight w:val="none"/>
          <w:lang w:val="en-US" w:eastAsia="zh-CN"/>
        </w:rPr>
        <w:t>6</w:t>
      </w:r>
      <w:r>
        <w:rPr>
          <w:color w:val="auto"/>
          <w:highlight w:val="none"/>
        </w:rPr>
        <w:t>〕</w:t>
      </w:r>
      <w:r>
        <w:rPr>
          <w:rFonts w:hint="eastAsia"/>
          <w:color w:val="auto"/>
          <w:highlight w:val="none"/>
          <w:lang w:val="en-US" w:eastAsia="zh-CN"/>
        </w:rPr>
        <w:t>52</w:t>
      </w:r>
      <w:r>
        <w:rPr>
          <w:color w:val="auto"/>
          <w:highlight w:val="none"/>
        </w:rPr>
        <w:t>号）</w:t>
      </w:r>
    </w:p>
    <w:p>
      <w:pPr>
        <w:rPr>
          <w:rFonts w:hint="eastAsia" w:ascii="Times New Roman" w:hAnsi="Times New Roman"/>
          <w:color w:val="auto"/>
          <w:highlight w:val="none"/>
        </w:rPr>
      </w:pPr>
      <w:r>
        <w:rPr>
          <w:rFonts w:hint="eastAsia" w:ascii="Times New Roman" w:hAnsi="Times New Roman"/>
          <w:color w:val="auto"/>
          <w:highlight w:val="none"/>
          <w:lang w:eastAsia="zh-CN"/>
        </w:rPr>
        <w:t>“</w:t>
      </w:r>
      <w:r>
        <w:rPr>
          <w:rFonts w:hint="eastAsia" w:ascii="Times New Roman" w:hAnsi="Times New Roman"/>
          <w:color w:val="auto"/>
          <w:highlight w:val="none"/>
        </w:rPr>
        <w:t>制定残疾人基本康复服务目录，以残疾儿童、持证残疾人为重点，实施精准康复服务，确保残疾人</w:t>
      </w:r>
      <w:r>
        <w:rPr>
          <w:rFonts w:hint="eastAsia" w:ascii="Times New Roman" w:hAnsi="Times New Roman"/>
          <w:color w:val="auto"/>
          <w:highlight w:val="none"/>
          <w:lang w:val="en-US" w:eastAsia="zh-CN"/>
        </w:rPr>
        <w:t>‘</w:t>
      </w:r>
      <w:r>
        <w:rPr>
          <w:rFonts w:hint="eastAsia" w:ascii="Times New Roman" w:hAnsi="Times New Roman"/>
          <w:color w:val="auto"/>
          <w:highlight w:val="none"/>
        </w:rPr>
        <w:t>人人享有基本康复服务</w:t>
      </w:r>
      <w:r>
        <w:rPr>
          <w:rFonts w:hint="eastAsia" w:ascii="Times New Roman" w:hAnsi="Times New Roman"/>
          <w:color w:val="auto"/>
          <w:highlight w:val="none"/>
          <w:lang w:val="en-US" w:eastAsia="zh-CN"/>
        </w:rPr>
        <w:t>’”</w:t>
      </w:r>
      <w:r>
        <w:rPr>
          <w:rFonts w:hint="eastAsia" w:ascii="Times New Roman" w:hAnsi="Times New Roman"/>
          <w:color w:val="auto"/>
          <w:highlight w:val="none"/>
        </w:rPr>
        <w:t>。</w:t>
      </w:r>
    </w:p>
    <w:p>
      <w:pPr>
        <w:pStyle w:val="2"/>
        <w:rPr>
          <w:rFonts w:hint="eastAsia"/>
          <w:color w:val="auto"/>
          <w:highlight w:val="none"/>
          <w:lang w:val="en-US" w:eastAsia="zh-CN"/>
        </w:rPr>
      </w:pPr>
      <w:r>
        <w:rPr>
          <w:rFonts w:hint="eastAsia"/>
          <w:color w:val="auto"/>
          <w:highlight w:val="none"/>
          <w:lang w:val="en-US" w:eastAsia="zh-CN"/>
        </w:rPr>
        <w:t>2．《云岩区残疾人精准康复服务行动实施方案（2016-2020年）》</w:t>
      </w:r>
    </w:p>
    <w:p>
      <w:pPr>
        <w:rPr>
          <w:rFonts w:hint="eastAsia"/>
          <w:color w:val="auto"/>
          <w:highlight w:val="none"/>
          <w:lang w:val="en-US" w:eastAsia="zh-CN"/>
        </w:rPr>
      </w:pPr>
      <w:r>
        <w:rPr>
          <w:rFonts w:hint="eastAsia"/>
          <w:color w:val="auto"/>
          <w:highlight w:val="none"/>
          <w:lang w:val="en-US" w:eastAsia="zh-CN"/>
        </w:rPr>
        <w:t>“以上一年度全国残疾人基本服务状况和需求信息动态更新数据为基数，确定辖区本年度有需求的残疾儿童和持证残疾人接受基本康复服务的比例，并逐年提高”。</w:t>
      </w:r>
    </w:p>
    <w:p>
      <w:pPr>
        <w:pStyle w:val="4"/>
        <w:keepNext/>
        <w:keepLines/>
        <w:pageBreakBefore w:val="0"/>
        <w:widowControl w:val="0"/>
        <w:kinsoku/>
        <w:wordWrap/>
        <w:overflowPunct/>
        <w:topLinePunct w:val="0"/>
        <w:autoSpaceDE/>
        <w:autoSpaceDN/>
        <w:bidi w:val="0"/>
        <w:adjustRightInd/>
        <w:snapToGrid/>
        <w:ind w:firstLine="643"/>
        <w:textAlignment w:val="auto"/>
        <w:rPr>
          <w:rFonts w:hint="eastAsia" w:eastAsia="仿宋_GB2312"/>
          <w:color w:val="auto"/>
          <w:highlight w:val="none"/>
          <w:lang w:val="en-US" w:eastAsia="zh-CN"/>
        </w:rPr>
      </w:pPr>
      <w:bookmarkStart w:id="54" w:name="_Toc724"/>
      <w:r>
        <w:rPr>
          <w:rFonts w:hint="eastAsia" w:ascii="Times New Roman" w:hAnsi="Times New Roman" w:cs="Times New Roman"/>
          <w:color w:val="auto"/>
          <w:highlight w:val="none"/>
          <w:lang w:val="en-US" w:eastAsia="zh-CN"/>
        </w:rPr>
        <w:t>（三）项目资金情况</w:t>
      </w:r>
      <w:bookmarkEnd w:id="54"/>
    </w:p>
    <w:p>
      <w:pPr>
        <w:pStyle w:val="42"/>
        <w:ind w:firstLine="640"/>
        <w:rPr>
          <w:rFonts w:hint="eastAsia" w:eastAsia="仿宋_GB2312"/>
          <w:color w:val="auto"/>
          <w:highlight w:val="none"/>
          <w:lang w:val="en-US" w:eastAsia="zh-CN"/>
        </w:rPr>
      </w:pPr>
      <w:r>
        <w:rPr>
          <w:rFonts w:hint="eastAsia" w:eastAsia="仿宋_GB2312"/>
          <w:color w:val="auto"/>
          <w:highlight w:val="none"/>
          <w:lang w:val="en-US" w:eastAsia="zh-CN"/>
        </w:rPr>
        <w:t>2020年残疾人康复项目资金共335.72万元，资金来源包括省、市、区三级一般公共预算资金。其中区级一般公共预算资金312.62万元（含上年结转资金40万元），省市两级预算资金共23.1万元。</w:t>
      </w:r>
    </w:p>
    <w:p>
      <w:pPr>
        <w:pStyle w:val="4"/>
        <w:keepNext/>
        <w:keepLines/>
        <w:pageBreakBefore w:val="0"/>
        <w:widowControl w:val="0"/>
        <w:kinsoku/>
        <w:wordWrap/>
        <w:overflowPunct/>
        <w:topLinePunct w:val="0"/>
        <w:autoSpaceDE/>
        <w:autoSpaceDN/>
        <w:bidi w:val="0"/>
        <w:adjustRightInd/>
        <w:snapToGrid/>
        <w:ind w:firstLine="643"/>
        <w:textAlignment w:val="auto"/>
        <w:rPr>
          <w:rFonts w:hint="default" w:ascii="Times New Roman" w:hAnsi="Times New Roman" w:eastAsia="楷体"/>
          <w:color w:val="auto"/>
          <w:highlight w:val="none"/>
          <w:lang w:val="en-US" w:eastAsia="zh-CN"/>
        </w:rPr>
      </w:pPr>
      <w:bookmarkStart w:id="55" w:name="_Toc11908"/>
      <w:r>
        <w:rPr>
          <w:rFonts w:hint="eastAsia" w:ascii="Times New Roman" w:hAnsi="Times New Roman"/>
          <w:color w:val="auto"/>
          <w:highlight w:val="none"/>
        </w:rPr>
        <w:t>（四）项目</w:t>
      </w:r>
      <w:r>
        <w:rPr>
          <w:rFonts w:hint="eastAsia" w:ascii="Times New Roman" w:hAnsi="Times New Roman"/>
          <w:color w:val="auto"/>
          <w:highlight w:val="none"/>
          <w:lang w:val="en-US" w:eastAsia="zh-CN"/>
        </w:rPr>
        <w:t>组织</w:t>
      </w:r>
      <w:r>
        <w:rPr>
          <w:rFonts w:hint="eastAsia" w:ascii="Times New Roman" w:hAnsi="Times New Roman"/>
          <w:color w:val="auto"/>
          <w:highlight w:val="none"/>
        </w:rPr>
        <w:t>情况</w:t>
      </w:r>
      <w:r>
        <w:rPr>
          <w:rFonts w:hint="eastAsia" w:ascii="Times New Roman" w:hAnsi="Times New Roman"/>
          <w:color w:val="auto"/>
          <w:highlight w:val="none"/>
          <w:lang w:val="en-US" w:eastAsia="zh-CN"/>
        </w:rPr>
        <w:t>及实施内容</w:t>
      </w:r>
      <w:bookmarkEnd w:id="55"/>
    </w:p>
    <w:p>
      <w:pPr>
        <w:snapToGrid w:val="0"/>
        <w:ind w:firstLine="664"/>
        <w:rPr>
          <w:rFonts w:hint="eastAsia" w:cs="Times New Roman"/>
          <w:color w:val="auto"/>
          <w:spacing w:val="6"/>
          <w:szCs w:val="32"/>
          <w:highlight w:val="none"/>
          <w:lang w:val="en-US" w:eastAsia="zh-CN"/>
        </w:rPr>
      </w:pPr>
      <w:r>
        <w:rPr>
          <w:rFonts w:hint="eastAsia" w:cs="Times New Roman"/>
          <w:color w:val="auto"/>
          <w:spacing w:val="6"/>
          <w:szCs w:val="32"/>
          <w:highlight w:val="none"/>
        </w:rPr>
        <w:t>1</w:t>
      </w:r>
      <w:r>
        <w:rPr>
          <w:rFonts w:hint="eastAsia" w:cs="Times New Roman"/>
          <w:color w:val="auto"/>
          <w:spacing w:val="6"/>
          <w:szCs w:val="32"/>
          <w:highlight w:val="none"/>
          <w:lang w:eastAsia="zh-CN"/>
        </w:rPr>
        <w:t>．</w:t>
      </w:r>
      <w:r>
        <w:rPr>
          <w:rFonts w:cs="Times New Roman"/>
          <w:color w:val="auto"/>
          <w:spacing w:val="6"/>
          <w:szCs w:val="32"/>
          <w:highlight w:val="none"/>
        </w:rPr>
        <w:t>项目相关方及主要责任</w:t>
      </w:r>
      <w:r>
        <w:rPr>
          <w:rFonts w:hint="eastAsia" w:cs="Times New Roman"/>
          <w:color w:val="auto"/>
          <w:spacing w:val="6"/>
          <w:szCs w:val="32"/>
          <w:highlight w:val="none"/>
          <w:lang w:val="en-US" w:eastAsia="zh-CN"/>
        </w:rPr>
        <w:t xml:space="preserve"> </w:t>
      </w:r>
    </w:p>
    <w:p>
      <w:pPr>
        <w:bidi w:val="0"/>
        <w:rPr>
          <w:rFonts w:hint="eastAsia" w:ascii="仿宋_GB2312" w:hAnsi="仿宋_GB2312" w:eastAsia="仿宋_GB2312" w:cs="仿宋_GB2312"/>
          <w:b w:val="0"/>
          <w:bCs w:val="0"/>
          <w:color w:val="auto"/>
          <w:highlight w:val="none"/>
          <w:lang w:val="en-US" w:eastAsia="zh-CN"/>
        </w:rPr>
      </w:pPr>
      <w:r>
        <w:rPr>
          <w:rFonts w:hint="eastAsia" w:ascii="仿宋_GB2312" w:hAnsi="仿宋_GB2312" w:cs="仿宋_GB2312"/>
          <w:b w:val="0"/>
          <w:bCs w:val="0"/>
          <w:color w:val="auto"/>
          <w:highlight w:val="none"/>
          <w:lang w:val="en-US" w:eastAsia="zh-CN"/>
        </w:rPr>
        <w:t>区残联</w:t>
      </w:r>
      <w:r>
        <w:rPr>
          <w:rFonts w:hint="eastAsia" w:ascii="仿宋_GB2312" w:hAnsi="仿宋_GB2312" w:eastAsia="仿宋_GB2312" w:cs="仿宋_GB2312"/>
          <w:b w:val="0"/>
          <w:bCs w:val="0"/>
          <w:color w:val="auto"/>
          <w:highlight w:val="none"/>
          <w:lang w:val="en-US" w:eastAsia="zh-CN"/>
        </w:rPr>
        <w:t>：</w:t>
      </w:r>
      <w:r>
        <w:rPr>
          <w:rFonts w:hint="eastAsia" w:ascii="仿宋_GB2312" w:hAnsi="仿宋_GB2312" w:cs="仿宋_GB2312"/>
          <w:b w:val="0"/>
          <w:bCs w:val="0"/>
          <w:color w:val="auto"/>
          <w:highlight w:val="none"/>
          <w:lang w:val="en-US" w:eastAsia="zh-CN"/>
        </w:rPr>
        <w:t>项目主管部门，</w:t>
      </w:r>
      <w:r>
        <w:rPr>
          <w:rFonts w:hint="eastAsia" w:ascii="仿宋_GB2312" w:hAnsi="仿宋_GB2312" w:eastAsia="仿宋_GB2312" w:cs="仿宋_GB2312"/>
          <w:b w:val="0"/>
          <w:bCs w:val="0"/>
          <w:color w:val="auto"/>
          <w:highlight w:val="none"/>
          <w:lang w:val="en-US" w:eastAsia="zh-CN"/>
        </w:rPr>
        <w:t>负责项目绩效目标填报、申报，编制项目预算；统筹申报使用</w:t>
      </w:r>
      <w:r>
        <w:rPr>
          <w:rFonts w:hint="eastAsia" w:ascii="仿宋_GB2312" w:hAnsi="仿宋_GB2312" w:cs="仿宋_GB2312"/>
          <w:b w:val="0"/>
          <w:bCs w:val="0"/>
          <w:color w:val="auto"/>
          <w:highlight w:val="none"/>
          <w:lang w:val="en-US" w:eastAsia="zh-CN"/>
        </w:rPr>
        <w:t>项目</w:t>
      </w:r>
      <w:r>
        <w:rPr>
          <w:rFonts w:hint="eastAsia" w:ascii="仿宋_GB2312" w:hAnsi="仿宋_GB2312" w:eastAsia="仿宋_GB2312" w:cs="仿宋_GB2312"/>
          <w:b w:val="0"/>
          <w:bCs w:val="0"/>
          <w:color w:val="auto"/>
          <w:highlight w:val="none"/>
          <w:lang w:val="en-US" w:eastAsia="zh-CN"/>
        </w:rPr>
        <w:t>资金，</w:t>
      </w:r>
      <w:r>
        <w:rPr>
          <w:rFonts w:hint="eastAsia" w:ascii="仿宋_GB2312" w:hAnsi="仿宋_GB2312" w:cs="仿宋_GB2312"/>
          <w:b w:val="0"/>
          <w:bCs w:val="0"/>
          <w:color w:val="auto"/>
          <w:highlight w:val="none"/>
          <w:lang w:val="en-US" w:eastAsia="zh-CN"/>
        </w:rPr>
        <w:t>开展残疾儿童审核认定，监督并考核儿童康复服务机构，依据考核结果拨付相关资金</w:t>
      </w:r>
      <w:r>
        <w:rPr>
          <w:rFonts w:hint="eastAsia" w:ascii="仿宋_GB2312" w:hAnsi="仿宋_GB2312" w:eastAsia="仿宋_GB2312" w:cs="仿宋_GB2312"/>
          <w:b w:val="0"/>
          <w:bCs w:val="0"/>
          <w:color w:val="auto"/>
          <w:highlight w:val="none"/>
          <w:lang w:val="en-US" w:eastAsia="zh-CN"/>
        </w:rPr>
        <w:t>。</w:t>
      </w:r>
    </w:p>
    <w:p>
      <w:pPr>
        <w:bidi w:val="0"/>
        <w:rPr>
          <w:rFonts w:hint="eastAsia" w:ascii="仿宋_GB2312" w:hAnsi="仿宋_GB2312" w:eastAsia="仿宋_GB2312" w:cs="仿宋_GB2312"/>
          <w:b w:val="0"/>
          <w:bCs w:val="0"/>
          <w:color w:val="auto"/>
          <w:highlight w:val="none"/>
          <w:lang w:val="en-US" w:eastAsia="zh-CN"/>
        </w:rPr>
      </w:pPr>
      <w:r>
        <w:rPr>
          <w:rFonts w:hint="eastAsia" w:ascii="仿宋_GB2312" w:hAnsi="仿宋_GB2312" w:cs="仿宋_GB2312"/>
          <w:b w:val="0"/>
          <w:bCs w:val="0"/>
          <w:color w:val="auto"/>
          <w:highlight w:val="none"/>
          <w:lang w:val="en-US" w:eastAsia="zh-CN"/>
        </w:rPr>
        <w:t>区</w:t>
      </w:r>
      <w:r>
        <w:rPr>
          <w:rFonts w:hint="eastAsia" w:ascii="仿宋_GB2312" w:hAnsi="仿宋_GB2312" w:eastAsia="仿宋_GB2312" w:cs="仿宋_GB2312"/>
          <w:b w:val="0"/>
          <w:bCs w:val="0"/>
          <w:color w:val="auto"/>
          <w:highlight w:val="none"/>
          <w:lang w:val="en-US" w:eastAsia="zh-CN"/>
        </w:rPr>
        <w:t>财政局：负责绩效目标及预算批复，</w:t>
      </w:r>
      <w:r>
        <w:rPr>
          <w:rFonts w:hint="eastAsia" w:ascii="仿宋_GB2312" w:hAnsi="仿宋_GB2312" w:cs="仿宋_GB2312"/>
          <w:b w:val="0"/>
          <w:bCs w:val="0"/>
          <w:color w:val="auto"/>
          <w:highlight w:val="none"/>
          <w:lang w:val="en-US" w:eastAsia="zh-CN"/>
        </w:rPr>
        <w:t>保障项目资金，</w:t>
      </w:r>
      <w:r>
        <w:rPr>
          <w:rFonts w:hint="eastAsia" w:ascii="仿宋_GB2312" w:hAnsi="仿宋_GB2312" w:eastAsia="仿宋_GB2312" w:cs="仿宋_GB2312"/>
          <w:b w:val="0"/>
          <w:bCs w:val="0"/>
          <w:color w:val="auto"/>
          <w:highlight w:val="none"/>
          <w:lang w:val="en-US" w:eastAsia="zh-CN"/>
        </w:rPr>
        <w:t>审核</w:t>
      </w:r>
      <w:r>
        <w:rPr>
          <w:rFonts w:hint="eastAsia" w:ascii="仿宋_GB2312" w:hAnsi="仿宋_GB2312" w:cs="仿宋_GB2312"/>
          <w:b w:val="0"/>
          <w:bCs w:val="0"/>
          <w:color w:val="auto"/>
          <w:highlight w:val="none"/>
          <w:lang w:val="en-US" w:eastAsia="zh-CN"/>
        </w:rPr>
        <w:t>区残联</w:t>
      </w:r>
      <w:r>
        <w:rPr>
          <w:rFonts w:hint="eastAsia" w:ascii="仿宋_GB2312" w:hAnsi="仿宋_GB2312" w:eastAsia="仿宋_GB2312" w:cs="仿宋_GB2312"/>
          <w:b w:val="0"/>
          <w:bCs w:val="0"/>
          <w:color w:val="auto"/>
          <w:highlight w:val="none"/>
          <w:lang w:val="en-US" w:eastAsia="zh-CN"/>
        </w:rPr>
        <w:t>提供的相关资料，拨付项目涉及的资金到</w:t>
      </w:r>
      <w:r>
        <w:rPr>
          <w:rFonts w:hint="eastAsia" w:ascii="仿宋_GB2312" w:hAnsi="仿宋_GB2312" w:cs="仿宋_GB2312"/>
          <w:b w:val="0"/>
          <w:bCs w:val="0"/>
          <w:color w:val="auto"/>
          <w:highlight w:val="none"/>
          <w:lang w:val="en-US" w:eastAsia="zh-CN"/>
        </w:rPr>
        <w:t>区残联</w:t>
      </w:r>
      <w:r>
        <w:rPr>
          <w:rFonts w:hint="eastAsia" w:ascii="仿宋_GB2312" w:hAnsi="仿宋_GB2312" w:eastAsia="仿宋_GB2312" w:cs="仿宋_GB2312"/>
          <w:b w:val="0"/>
          <w:bCs w:val="0"/>
          <w:color w:val="auto"/>
          <w:highlight w:val="none"/>
          <w:lang w:val="en-US" w:eastAsia="zh-CN"/>
        </w:rPr>
        <w:t>，并监管专项资金使用情况。</w:t>
      </w:r>
    </w:p>
    <w:p>
      <w:pPr>
        <w:bidi w:val="0"/>
        <w:rPr>
          <w:rFonts w:hint="eastAsia" w:eastAsia="仿宋_GB2312"/>
          <w:color w:val="auto"/>
          <w:sz w:val="32"/>
          <w:szCs w:val="32"/>
          <w:highlight w:val="none"/>
          <w:lang w:eastAsia="zh-CN"/>
        </w:rPr>
      </w:pPr>
      <w:r>
        <w:rPr>
          <w:rFonts w:hint="eastAsia" w:ascii="仿宋_GB2312" w:cs="Calibri"/>
          <w:b w:val="0"/>
          <w:bCs w:val="0"/>
          <w:color w:val="auto"/>
          <w:sz w:val="32"/>
          <w:szCs w:val="32"/>
          <w:highlight w:val="none"/>
          <w:lang w:val="en-US" w:eastAsia="zh-CN"/>
        </w:rPr>
        <w:t>社区康复示范点</w:t>
      </w:r>
      <w:r>
        <w:rPr>
          <w:rFonts w:hint="eastAsia" w:ascii="仿宋_GB2312" w:hAnsi="仿宋_GB2312" w:eastAsia="仿宋_GB2312" w:cs="仿宋_GB2312"/>
          <w:b w:val="0"/>
          <w:bCs w:val="0"/>
          <w:color w:val="auto"/>
          <w:highlight w:val="none"/>
          <w:lang w:val="en-US" w:eastAsia="zh-CN"/>
        </w:rPr>
        <w:t>：</w:t>
      </w:r>
      <w:r>
        <w:rPr>
          <w:rFonts w:hint="eastAsia" w:ascii="仿宋_GB2312" w:hAnsi="仿宋_GB2312" w:cs="仿宋_GB2312"/>
          <w:b w:val="0"/>
          <w:bCs w:val="0"/>
          <w:color w:val="auto"/>
          <w:highlight w:val="none"/>
          <w:lang w:val="en-US" w:eastAsia="zh-CN"/>
        </w:rPr>
        <w:t>开展社区残疾人</w:t>
      </w:r>
      <w:r>
        <w:rPr>
          <w:rFonts w:hint="eastAsia"/>
          <w:color w:val="auto"/>
          <w:sz w:val="32"/>
          <w:szCs w:val="32"/>
          <w:highlight w:val="none"/>
        </w:rPr>
        <w:t>康复需求调查</w:t>
      </w:r>
      <w:r>
        <w:rPr>
          <w:rFonts w:hint="eastAsia"/>
          <w:color w:val="auto"/>
          <w:sz w:val="32"/>
          <w:szCs w:val="32"/>
          <w:highlight w:val="none"/>
          <w:lang w:eastAsia="zh-CN"/>
        </w:rPr>
        <w:t>，</w:t>
      </w:r>
      <w:r>
        <w:rPr>
          <w:rFonts w:hint="eastAsia"/>
          <w:color w:val="auto"/>
          <w:sz w:val="32"/>
          <w:szCs w:val="32"/>
          <w:highlight w:val="none"/>
          <w:lang w:val="en-US" w:eastAsia="zh-CN"/>
        </w:rPr>
        <w:t>并为有需求的残疾人</w:t>
      </w:r>
      <w:r>
        <w:rPr>
          <w:rFonts w:hint="eastAsia"/>
          <w:color w:val="auto"/>
          <w:sz w:val="32"/>
          <w:szCs w:val="32"/>
          <w:highlight w:val="none"/>
        </w:rPr>
        <w:t>建档立卡</w:t>
      </w:r>
      <w:r>
        <w:rPr>
          <w:rFonts w:hint="eastAsia"/>
          <w:color w:val="auto"/>
          <w:sz w:val="32"/>
          <w:szCs w:val="32"/>
          <w:highlight w:val="none"/>
          <w:lang w:eastAsia="zh-CN"/>
        </w:rPr>
        <w:t>；</w:t>
      </w:r>
      <w:r>
        <w:rPr>
          <w:rFonts w:hint="eastAsia"/>
          <w:color w:val="auto"/>
          <w:sz w:val="32"/>
          <w:szCs w:val="32"/>
          <w:highlight w:val="none"/>
          <w:lang w:val="en-US" w:eastAsia="zh-CN"/>
        </w:rPr>
        <w:t>组织开展调查</w:t>
      </w:r>
      <w:r>
        <w:rPr>
          <w:rFonts w:hint="eastAsia"/>
          <w:color w:val="auto"/>
          <w:sz w:val="32"/>
          <w:szCs w:val="32"/>
          <w:highlight w:val="none"/>
        </w:rPr>
        <w:t>人员培训</w:t>
      </w:r>
      <w:r>
        <w:rPr>
          <w:rFonts w:hint="eastAsia"/>
          <w:color w:val="auto"/>
          <w:sz w:val="32"/>
          <w:szCs w:val="32"/>
          <w:highlight w:val="none"/>
          <w:lang w:eastAsia="zh-CN"/>
        </w:rPr>
        <w:t>；</w:t>
      </w:r>
      <w:r>
        <w:rPr>
          <w:rFonts w:hint="eastAsia"/>
          <w:color w:val="auto"/>
          <w:sz w:val="32"/>
          <w:szCs w:val="32"/>
          <w:highlight w:val="none"/>
        </w:rPr>
        <w:t>组织</w:t>
      </w:r>
      <w:r>
        <w:rPr>
          <w:rFonts w:hint="eastAsia"/>
          <w:color w:val="auto"/>
          <w:sz w:val="32"/>
          <w:szCs w:val="32"/>
          <w:highlight w:val="none"/>
          <w:lang w:val="en-US" w:eastAsia="zh-CN"/>
        </w:rPr>
        <w:t>残疾人康复服务相关</w:t>
      </w:r>
      <w:r>
        <w:rPr>
          <w:rFonts w:hint="eastAsia"/>
          <w:color w:val="auto"/>
          <w:sz w:val="32"/>
          <w:szCs w:val="32"/>
          <w:highlight w:val="none"/>
        </w:rPr>
        <w:t>宣传</w:t>
      </w:r>
      <w:r>
        <w:rPr>
          <w:rFonts w:hint="eastAsia"/>
          <w:color w:val="auto"/>
          <w:sz w:val="32"/>
          <w:szCs w:val="32"/>
          <w:highlight w:val="none"/>
          <w:lang w:eastAsia="zh-CN"/>
        </w:rPr>
        <w:t>；</w:t>
      </w:r>
      <w:r>
        <w:rPr>
          <w:rFonts w:hint="eastAsia"/>
          <w:color w:val="auto"/>
          <w:sz w:val="32"/>
          <w:szCs w:val="32"/>
          <w:highlight w:val="none"/>
          <w:lang w:val="en-US" w:eastAsia="zh-CN"/>
        </w:rPr>
        <w:t>负责</w:t>
      </w:r>
      <w:r>
        <w:rPr>
          <w:rFonts w:hint="eastAsia"/>
          <w:color w:val="auto"/>
          <w:sz w:val="32"/>
          <w:szCs w:val="32"/>
          <w:highlight w:val="none"/>
        </w:rPr>
        <w:t>社区康复站</w:t>
      </w:r>
      <w:r>
        <w:rPr>
          <w:rFonts w:hint="eastAsia"/>
          <w:color w:val="auto"/>
          <w:sz w:val="32"/>
          <w:szCs w:val="32"/>
          <w:highlight w:val="none"/>
          <w:lang w:val="en-US" w:eastAsia="zh-CN"/>
        </w:rPr>
        <w:t>整体</w:t>
      </w:r>
      <w:r>
        <w:rPr>
          <w:rFonts w:hint="eastAsia"/>
          <w:color w:val="auto"/>
          <w:sz w:val="32"/>
          <w:szCs w:val="32"/>
          <w:highlight w:val="none"/>
        </w:rPr>
        <w:t>建设</w:t>
      </w:r>
      <w:r>
        <w:rPr>
          <w:rFonts w:hint="eastAsia"/>
          <w:color w:val="auto"/>
          <w:sz w:val="32"/>
          <w:szCs w:val="32"/>
          <w:highlight w:val="none"/>
          <w:lang w:val="en-US" w:eastAsia="zh-CN"/>
        </w:rPr>
        <w:t>等</w:t>
      </w:r>
      <w:r>
        <w:rPr>
          <w:rFonts w:hint="eastAsia"/>
          <w:color w:val="auto"/>
          <w:sz w:val="32"/>
          <w:szCs w:val="32"/>
          <w:highlight w:val="none"/>
          <w:lang w:eastAsia="zh-CN"/>
        </w:rPr>
        <w:t>。</w:t>
      </w:r>
    </w:p>
    <w:p>
      <w:pPr>
        <w:bidi w:val="0"/>
        <w:rPr>
          <w:rFonts w:hint="default"/>
          <w:color w:val="auto"/>
          <w:highlight w:val="none"/>
          <w:lang w:val="en-US" w:eastAsia="zh-CN"/>
        </w:rPr>
      </w:pPr>
      <w:r>
        <w:rPr>
          <w:rFonts w:hint="eastAsia"/>
          <w:b w:val="0"/>
          <w:bCs w:val="0"/>
          <w:color w:val="auto"/>
          <w:highlight w:val="none"/>
          <w:lang w:val="en-US" w:eastAsia="zh-CN"/>
        </w:rPr>
        <w:t>儿童康复服务机构：根据合同要求对区残联审核认定的残疾儿童开展康复训练、手术康复等服务工作。</w:t>
      </w:r>
    </w:p>
    <w:p>
      <w:pPr>
        <w:snapToGrid w:val="0"/>
        <w:ind w:firstLine="664"/>
        <w:rPr>
          <w:rFonts w:hint="default" w:eastAsia="仿宋_GB2312" w:cs="Times New Roman"/>
          <w:color w:val="auto"/>
          <w:spacing w:val="6"/>
          <w:szCs w:val="32"/>
          <w:highlight w:val="none"/>
          <w:lang w:val="en-US" w:eastAsia="zh-CN"/>
        </w:rPr>
      </w:pPr>
      <w:r>
        <w:rPr>
          <w:rFonts w:hint="eastAsia" w:cs="Times New Roman"/>
          <w:color w:val="auto"/>
          <w:spacing w:val="6"/>
          <w:szCs w:val="32"/>
          <w:highlight w:val="none"/>
        </w:rPr>
        <w:t>2</w:t>
      </w:r>
      <w:r>
        <w:rPr>
          <w:rFonts w:hint="eastAsia" w:cs="Times New Roman"/>
          <w:color w:val="auto"/>
          <w:spacing w:val="6"/>
          <w:szCs w:val="32"/>
          <w:highlight w:val="none"/>
          <w:lang w:eastAsia="zh-CN"/>
        </w:rPr>
        <w:t>．</w:t>
      </w:r>
      <w:r>
        <w:rPr>
          <w:rFonts w:hint="eastAsia" w:cs="Times New Roman"/>
          <w:color w:val="auto"/>
          <w:spacing w:val="6"/>
          <w:szCs w:val="32"/>
          <w:highlight w:val="none"/>
          <w:lang w:val="en-US" w:eastAsia="zh-CN"/>
        </w:rPr>
        <w:t>项目实施内容</w:t>
      </w:r>
    </w:p>
    <w:p>
      <w:pPr>
        <w:ind w:firstLine="640"/>
        <w:rPr>
          <w:rFonts w:cs="Times New Roman"/>
          <w:color w:val="auto"/>
          <w:spacing w:val="6"/>
          <w:szCs w:val="32"/>
          <w:highlight w:val="none"/>
        </w:rPr>
      </w:pPr>
      <w:r>
        <w:rPr>
          <w:rFonts w:hint="eastAsia"/>
          <w:color w:val="auto"/>
          <w:szCs w:val="32"/>
          <w:highlight w:val="none"/>
          <w:lang w:val="en-US" w:eastAsia="zh-CN"/>
        </w:rPr>
        <w:t>2021年残疾人康复</w:t>
      </w:r>
      <w:r>
        <w:rPr>
          <w:rFonts w:hint="eastAsia"/>
          <w:color w:val="auto"/>
          <w:szCs w:val="32"/>
          <w:highlight w:val="none"/>
        </w:rPr>
        <w:t>项目实施内容主要为</w:t>
      </w:r>
      <w:r>
        <w:rPr>
          <w:rFonts w:hint="eastAsia"/>
          <w:color w:val="auto"/>
          <w:szCs w:val="32"/>
          <w:highlight w:val="none"/>
          <w:lang w:val="en-US" w:eastAsia="zh-CN"/>
        </w:rPr>
        <w:t>云岩区残疾人康复工作（拨付18个残疾人康复社区经费，开展辅助器具适配等工作）、云岩区残疾儿童康复救助工作（对申请救助的残疾儿童进行审核认定并对开展儿童康复服务的服务机构进行监管考核，拨付补助经费）、残疾人基本服务状况和需求信息数据动态更新工作（开展辖区内有康复服务需求的残疾人和所有残疾人人口调查）三部分</w:t>
      </w:r>
      <w:r>
        <w:rPr>
          <w:rFonts w:hint="eastAsia"/>
          <w:color w:val="auto"/>
          <w:szCs w:val="32"/>
          <w:highlight w:val="none"/>
        </w:rPr>
        <w:t>。</w:t>
      </w:r>
    </w:p>
    <w:bookmarkEnd w:id="43"/>
    <w:bookmarkEnd w:id="44"/>
    <w:bookmarkEnd w:id="45"/>
    <w:bookmarkEnd w:id="46"/>
    <w:bookmarkEnd w:id="47"/>
    <w:bookmarkEnd w:id="48"/>
    <w:bookmarkEnd w:id="49"/>
    <w:bookmarkEnd w:id="50"/>
    <w:bookmarkEnd w:id="51"/>
    <w:bookmarkEnd w:id="52"/>
    <w:bookmarkEnd w:id="53"/>
    <w:p>
      <w:pPr>
        <w:pStyle w:val="4"/>
        <w:keepNext/>
        <w:keepLines/>
        <w:pageBreakBefore w:val="0"/>
        <w:widowControl w:val="0"/>
        <w:kinsoku/>
        <w:wordWrap/>
        <w:overflowPunct/>
        <w:topLinePunct w:val="0"/>
        <w:autoSpaceDE/>
        <w:autoSpaceDN/>
        <w:bidi w:val="0"/>
        <w:adjustRightInd/>
        <w:snapToGrid/>
        <w:ind w:firstLine="643"/>
        <w:textAlignment w:val="auto"/>
        <w:rPr>
          <w:rFonts w:ascii="Times New Roman" w:hAnsi="Times New Roman"/>
          <w:color w:val="auto"/>
          <w:highlight w:val="none"/>
        </w:rPr>
      </w:pPr>
      <w:bookmarkStart w:id="56" w:name="_Toc23513"/>
      <w:bookmarkStart w:id="57" w:name="_Toc3992"/>
      <w:bookmarkStart w:id="58" w:name="_Toc24189"/>
      <w:bookmarkStart w:id="59" w:name="_Toc15391300"/>
      <w:bookmarkStart w:id="60" w:name="_Toc15391141"/>
      <w:r>
        <w:rPr>
          <w:rFonts w:ascii="Times New Roman" w:hAnsi="Times New Roman"/>
          <w:color w:val="auto"/>
          <w:highlight w:val="none"/>
        </w:rPr>
        <w:t>（</w:t>
      </w:r>
      <w:r>
        <w:rPr>
          <w:rFonts w:hint="eastAsia" w:ascii="Times New Roman" w:hAnsi="Times New Roman"/>
          <w:color w:val="auto"/>
          <w:highlight w:val="none"/>
        </w:rPr>
        <w:t>五</w:t>
      </w:r>
      <w:r>
        <w:rPr>
          <w:rFonts w:ascii="Times New Roman" w:hAnsi="Times New Roman"/>
          <w:color w:val="auto"/>
          <w:highlight w:val="none"/>
        </w:rPr>
        <w:t>）项目绩效目标</w:t>
      </w:r>
      <w:bookmarkEnd w:id="56"/>
      <w:bookmarkEnd w:id="57"/>
      <w:bookmarkEnd w:id="58"/>
      <w:bookmarkEnd w:id="59"/>
      <w:bookmarkEnd w:id="60"/>
    </w:p>
    <w:p>
      <w:pPr>
        <w:ind w:firstLine="640"/>
        <w:rPr>
          <w:rFonts w:cs="Times New Roman"/>
          <w:color w:val="auto"/>
          <w:szCs w:val="32"/>
          <w:highlight w:val="none"/>
        </w:rPr>
      </w:pPr>
      <w:r>
        <w:rPr>
          <w:rFonts w:hint="eastAsia"/>
          <w:color w:val="auto"/>
          <w:highlight w:val="none"/>
        </w:rPr>
        <w:t>1</w:t>
      </w:r>
      <w:r>
        <w:rPr>
          <w:rFonts w:cs="Times New Roman"/>
          <w:color w:val="auto"/>
          <w:szCs w:val="32"/>
          <w:highlight w:val="none"/>
        </w:rPr>
        <w:t>．</w:t>
      </w:r>
      <w:bookmarkStart w:id="61" w:name="_Toc18992"/>
      <w:bookmarkStart w:id="62" w:name="_Toc15390506"/>
      <w:bookmarkStart w:id="63" w:name="_Toc15390285"/>
      <w:bookmarkStart w:id="64" w:name="_Toc15390236"/>
      <w:bookmarkStart w:id="65" w:name="_Toc15391316"/>
      <w:bookmarkStart w:id="66" w:name="_Toc15390075"/>
      <w:bookmarkStart w:id="67" w:name="_Toc15390456"/>
      <w:bookmarkStart w:id="68" w:name="_Toc6032"/>
      <w:bookmarkStart w:id="69" w:name="_Toc15391157"/>
      <w:bookmarkStart w:id="70" w:name="_Toc15389990"/>
      <w:r>
        <w:rPr>
          <w:rFonts w:cs="Times New Roman"/>
          <w:color w:val="auto"/>
          <w:szCs w:val="32"/>
          <w:highlight w:val="none"/>
        </w:rPr>
        <w:t>项目年度</w:t>
      </w:r>
      <w:r>
        <w:rPr>
          <w:rFonts w:hint="eastAsia" w:cs="Times New Roman"/>
          <w:color w:val="auto"/>
          <w:szCs w:val="32"/>
          <w:highlight w:val="none"/>
        </w:rPr>
        <w:t>目标</w:t>
      </w:r>
    </w:p>
    <w:p>
      <w:pPr>
        <w:ind w:firstLine="640"/>
        <w:rPr>
          <w:rFonts w:hint="eastAsia" w:eastAsia="仿宋_GB2312"/>
          <w:color w:val="auto"/>
          <w:szCs w:val="32"/>
          <w:highlight w:val="none"/>
          <w:lang w:val="en-US" w:eastAsia="zh-CN"/>
        </w:rPr>
      </w:pPr>
      <w:r>
        <w:rPr>
          <w:rFonts w:hint="eastAsia" w:cs="仿宋_GB2312"/>
          <w:color w:val="auto"/>
          <w:szCs w:val="32"/>
          <w:highlight w:val="none"/>
          <w:lang w:bidi="ar"/>
        </w:rPr>
        <w:t>目标一：对超额完成的省、市康复项目指标进行补贴</w:t>
      </w:r>
      <w:r>
        <w:rPr>
          <w:rFonts w:hint="eastAsia" w:cs="仿宋_GB2312"/>
          <w:color w:val="auto"/>
          <w:szCs w:val="32"/>
          <w:highlight w:val="none"/>
          <w:lang w:eastAsia="zh-CN" w:bidi="ar"/>
        </w:rPr>
        <w:t>；</w:t>
      </w:r>
      <w:r>
        <w:rPr>
          <w:rFonts w:hint="eastAsia" w:cs="仿宋_GB2312"/>
          <w:color w:val="auto"/>
          <w:szCs w:val="32"/>
          <w:highlight w:val="none"/>
          <w:lang w:bidi="ar"/>
        </w:rPr>
        <w:t>对不能参加省、市项目的贫困精神病患者提供住院医疗救助</w:t>
      </w:r>
      <w:r>
        <w:rPr>
          <w:rFonts w:hint="eastAsia" w:cs="仿宋_GB2312"/>
          <w:color w:val="auto"/>
          <w:szCs w:val="32"/>
          <w:highlight w:val="none"/>
          <w:lang w:eastAsia="zh-CN" w:bidi="ar"/>
        </w:rPr>
        <w:t>；</w:t>
      </w:r>
      <w:r>
        <w:rPr>
          <w:rFonts w:hint="eastAsia" w:cs="仿宋_GB2312"/>
          <w:color w:val="auto"/>
          <w:szCs w:val="32"/>
          <w:highlight w:val="none"/>
          <w:lang w:bidi="ar"/>
        </w:rPr>
        <w:t>下拨创建全国残疾人社区康复示范区经费</w:t>
      </w:r>
      <w:r>
        <w:rPr>
          <w:rFonts w:hint="eastAsia" w:cs="仿宋_GB2312"/>
          <w:color w:val="auto"/>
          <w:szCs w:val="32"/>
          <w:highlight w:val="none"/>
          <w:lang w:eastAsia="zh-CN" w:bidi="ar"/>
        </w:rPr>
        <w:t>、</w:t>
      </w:r>
      <w:r>
        <w:rPr>
          <w:rFonts w:hint="eastAsia" w:cs="仿宋_GB2312"/>
          <w:color w:val="auto"/>
          <w:szCs w:val="32"/>
          <w:highlight w:val="none"/>
          <w:lang w:bidi="ar"/>
        </w:rPr>
        <w:t>精神病住院</w:t>
      </w:r>
      <w:r>
        <w:rPr>
          <w:rFonts w:hint="eastAsia" w:cs="仿宋_GB2312"/>
          <w:color w:val="auto"/>
          <w:szCs w:val="32"/>
          <w:highlight w:val="none"/>
          <w:lang w:val="en-US" w:eastAsia="zh-CN" w:bidi="ar"/>
        </w:rPr>
        <w:t>经费</w:t>
      </w:r>
      <w:r>
        <w:rPr>
          <w:rFonts w:hint="eastAsia" w:cs="仿宋_GB2312"/>
          <w:color w:val="auto"/>
          <w:szCs w:val="32"/>
          <w:highlight w:val="none"/>
          <w:lang w:eastAsia="zh-CN" w:bidi="ar"/>
        </w:rPr>
        <w:t>、</w:t>
      </w:r>
      <w:r>
        <w:rPr>
          <w:rFonts w:hint="eastAsia" w:cs="仿宋_GB2312"/>
          <w:color w:val="auto"/>
          <w:szCs w:val="32"/>
          <w:highlight w:val="none"/>
          <w:lang w:bidi="ar"/>
        </w:rPr>
        <w:t>辅助器具</w:t>
      </w:r>
      <w:r>
        <w:rPr>
          <w:rFonts w:hint="eastAsia" w:cs="仿宋_GB2312"/>
          <w:color w:val="auto"/>
          <w:szCs w:val="32"/>
          <w:highlight w:val="none"/>
          <w:lang w:val="en-US" w:eastAsia="zh-CN" w:bidi="ar"/>
        </w:rPr>
        <w:t>经费。</w:t>
      </w:r>
    </w:p>
    <w:p>
      <w:pPr>
        <w:ind w:firstLine="640"/>
        <w:rPr>
          <w:rFonts w:hint="eastAsia" w:eastAsia="仿宋_GB2312" w:cs="仿宋_GB2312"/>
          <w:color w:val="auto"/>
          <w:szCs w:val="32"/>
          <w:highlight w:val="none"/>
          <w:lang w:eastAsia="zh-CN" w:bidi="ar"/>
        </w:rPr>
      </w:pPr>
      <w:r>
        <w:rPr>
          <w:rFonts w:hint="eastAsia" w:cs="仿宋_GB2312"/>
          <w:color w:val="auto"/>
          <w:szCs w:val="32"/>
          <w:highlight w:val="none"/>
          <w:lang w:bidi="ar"/>
        </w:rPr>
        <w:t>目标二：完成174</w:t>
      </w:r>
      <w:r>
        <w:rPr>
          <w:rFonts w:hint="eastAsia" w:cs="仿宋_GB2312"/>
          <w:color w:val="auto"/>
          <w:szCs w:val="32"/>
          <w:highlight w:val="none"/>
          <w:lang w:val="en-US" w:eastAsia="zh-CN" w:bidi="ar"/>
        </w:rPr>
        <w:t>名残疾儿童</w:t>
      </w:r>
      <w:r>
        <w:rPr>
          <w:rFonts w:hint="eastAsia" w:cs="仿宋_GB2312"/>
          <w:color w:val="auto"/>
          <w:szCs w:val="32"/>
          <w:highlight w:val="none"/>
          <w:lang w:bidi="ar"/>
        </w:rPr>
        <w:t>救助</w:t>
      </w:r>
      <w:r>
        <w:rPr>
          <w:rFonts w:hint="eastAsia" w:cs="仿宋_GB2312"/>
          <w:color w:val="auto"/>
          <w:szCs w:val="32"/>
          <w:highlight w:val="none"/>
          <w:lang w:eastAsia="zh-CN" w:bidi="ar"/>
        </w:rPr>
        <w:t>。</w:t>
      </w:r>
    </w:p>
    <w:p>
      <w:pPr>
        <w:pStyle w:val="2"/>
        <w:rPr>
          <w:rFonts w:hint="default" w:eastAsia="仿宋_GB2312"/>
          <w:color w:val="auto"/>
          <w:highlight w:val="none"/>
          <w:lang w:val="en-US" w:eastAsia="zh-CN"/>
        </w:rPr>
      </w:pPr>
      <w:r>
        <w:rPr>
          <w:rFonts w:hint="eastAsia" w:cs="仿宋_GB2312"/>
          <w:color w:val="auto"/>
          <w:szCs w:val="32"/>
          <w:highlight w:val="none"/>
          <w:lang w:val="en-US" w:eastAsia="zh-CN" w:bidi="ar"/>
        </w:rPr>
        <w:t>目标三：开展残疾人基本服务状况和需求信息数据动态更新工作。</w:t>
      </w:r>
    </w:p>
    <w:p>
      <w:pPr>
        <w:ind w:firstLine="640"/>
        <w:rPr>
          <w:rFonts w:cs="Times New Roman"/>
          <w:color w:val="auto"/>
          <w:szCs w:val="32"/>
          <w:highlight w:val="none"/>
        </w:rPr>
      </w:pPr>
      <w:r>
        <w:rPr>
          <w:rFonts w:hint="eastAsia"/>
          <w:color w:val="auto"/>
          <w:highlight w:val="none"/>
        </w:rPr>
        <w:t>2</w:t>
      </w:r>
      <w:r>
        <w:rPr>
          <w:rFonts w:cs="Times New Roman"/>
          <w:color w:val="auto"/>
          <w:szCs w:val="32"/>
          <w:highlight w:val="none"/>
        </w:rPr>
        <w:t>．</w:t>
      </w:r>
      <w:r>
        <w:rPr>
          <w:rFonts w:hint="eastAsia" w:cs="Times New Roman"/>
          <w:color w:val="auto"/>
          <w:szCs w:val="32"/>
          <w:highlight w:val="none"/>
        </w:rPr>
        <w:t>具体</w:t>
      </w:r>
      <w:r>
        <w:rPr>
          <w:rFonts w:hint="eastAsia" w:cs="Times New Roman"/>
          <w:color w:val="auto"/>
          <w:szCs w:val="32"/>
          <w:highlight w:val="none"/>
          <w:lang w:val="en-US" w:eastAsia="zh-CN"/>
        </w:rPr>
        <w:t>项目</w:t>
      </w:r>
      <w:r>
        <w:rPr>
          <w:rFonts w:hint="eastAsia" w:cs="Times New Roman"/>
          <w:color w:val="auto"/>
          <w:szCs w:val="32"/>
          <w:highlight w:val="none"/>
        </w:rPr>
        <w:t>绩效</w:t>
      </w:r>
      <w:r>
        <w:rPr>
          <w:rFonts w:hint="eastAsia" w:cs="Times New Roman"/>
          <w:color w:val="auto"/>
          <w:szCs w:val="32"/>
          <w:highlight w:val="none"/>
          <w:lang w:val="en-US" w:eastAsia="zh-CN"/>
        </w:rPr>
        <w:t>指</w:t>
      </w:r>
      <w:r>
        <w:rPr>
          <w:rFonts w:hint="eastAsia" w:cs="Times New Roman"/>
          <w:color w:val="auto"/>
          <w:szCs w:val="32"/>
          <w:highlight w:val="none"/>
        </w:rPr>
        <w:t>标</w:t>
      </w:r>
    </w:p>
    <w:p>
      <w:pPr>
        <w:snapToGrid w:val="0"/>
        <w:ind w:firstLine="664"/>
        <w:rPr>
          <w:rFonts w:cs="Times New Roman"/>
          <w:color w:val="auto"/>
          <w:spacing w:val="6"/>
          <w:szCs w:val="32"/>
          <w:highlight w:val="none"/>
        </w:rPr>
      </w:pPr>
      <w:r>
        <w:rPr>
          <w:rFonts w:cs="Times New Roman"/>
          <w:color w:val="auto"/>
          <w:spacing w:val="6"/>
          <w:szCs w:val="32"/>
          <w:highlight w:val="none"/>
        </w:rPr>
        <w:t>2020</w:t>
      </w:r>
      <w:r>
        <w:rPr>
          <w:rFonts w:hint="eastAsia" w:ascii="仿宋_GB2312" w:cs="Times New Roman"/>
          <w:color w:val="auto"/>
          <w:spacing w:val="6"/>
          <w:szCs w:val="32"/>
          <w:highlight w:val="none"/>
        </w:rPr>
        <w:t>年</w:t>
      </w:r>
      <w:r>
        <w:rPr>
          <w:rFonts w:hint="eastAsia" w:ascii="仿宋_GB2312" w:cs="Times New Roman"/>
          <w:color w:val="auto"/>
          <w:spacing w:val="6"/>
          <w:szCs w:val="32"/>
          <w:highlight w:val="none"/>
          <w:lang w:val="en-US" w:eastAsia="zh-CN"/>
        </w:rPr>
        <w:t>区残联残疾人康复</w:t>
      </w:r>
      <w:r>
        <w:rPr>
          <w:rFonts w:hint="eastAsia" w:cs="Times New Roman"/>
          <w:color w:val="auto"/>
          <w:spacing w:val="6"/>
          <w:szCs w:val="32"/>
          <w:highlight w:val="none"/>
        </w:rPr>
        <w:t>项目</w:t>
      </w:r>
      <w:r>
        <w:rPr>
          <w:rFonts w:hint="eastAsia" w:ascii="仿宋_GB2312" w:cs="Times New Roman"/>
          <w:color w:val="auto"/>
          <w:spacing w:val="6"/>
          <w:szCs w:val="32"/>
          <w:highlight w:val="none"/>
        </w:rPr>
        <w:t>分别从数量指标、质量指标、时效指标、社会效益指标、可持续影响指标、满意度指标进行细化分解得到该项目具体绩效</w:t>
      </w:r>
      <w:r>
        <w:rPr>
          <w:rFonts w:hint="eastAsia" w:ascii="仿宋_GB2312" w:cs="Times New Roman"/>
          <w:color w:val="auto"/>
          <w:spacing w:val="6"/>
          <w:szCs w:val="32"/>
          <w:highlight w:val="none"/>
          <w:lang w:val="en-US" w:eastAsia="zh-CN"/>
        </w:rPr>
        <w:t>指</w:t>
      </w:r>
      <w:r>
        <w:rPr>
          <w:rFonts w:hint="eastAsia" w:ascii="仿宋_GB2312" w:cs="Times New Roman"/>
          <w:color w:val="auto"/>
          <w:spacing w:val="6"/>
          <w:szCs w:val="32"/>
          <w:highlight w:val="none"/>
        </w:rPr>
        <w:t>标，项目具体绩效</w:t>
      </w:r>
      <w:r>
        <w:rPr>
          <w:rFonts w:hint="eastAsia" w:ascii="仿宋_GB2312" w:cs="Times New Roman"/>
          <w:color w:val="auto"/>
          <w:spacing w:val="6"/>
          <w:szCs w:val="32"/>
          <w:highlight w:val="none"/>
          <w:lang w:val="en-US" w:eastAsia="zh-CN"/>
        </w:rPr>
        <w:t>指</w:t>
      </w:r>
      <w:r>
        <w:rPr>
          <w:rFonts w:hint="eastAsia" w:ascii="仿宋_GB2312" w:cs="Times New Roman"/>
          <w:color w:val="auto"/>
          <w:spacing w:val="6"/>
          <w:szCs w:val="32"/>
          <w:highlight w:val="none"/>
        </w:rPr>
        <w:t>标详见表</w:t>
      </w:r>
      <w:r>
        <w:rPr>
          <w:rFonts w:hint="eastAsia" w:cs="Times New Roman"/>
          <w:color w:val="auto"/>
          <w:spacing w:val="6"/>
          <w:szCs w:val="32"/>
          <w:highlight w:val="none"/>
        </w:rPr>
        <w:t>1-1：</w:t>
      </w:r>
      <w:r>
        <w:rPr>
          <w:rFonts w:cs="Times New Roman"/>
          <w:color w:val="auto"/>
          <w:spacing w:val="6"/>
          <w:szCs w:val="32"/>
          <w:highlight w:val="none"/>
        </w:rPr>
        <w:t xml:space="preserve"> </w:t>
      </w:r>
    </w:p>
    <w:p>
      <w:pPr>
        <w:pStyle w:val="2"/>
        <w:keepNext w:val="0"/>
        <w:keepLines w:val="0"/>
        <w:pageBreakBefore w:val="0"/>
        <w:widowControl w:val="0"/>
        <w:kinsoku/>
        <w:wordWrap/>
        <w:overflowPunct/>
        <w:topLinePunct w:val="0"/>
        <w:autoSpaceDE/>
        <w:autoSpaceDN/>
        <w:bidi w:val="0"/>
        <w:adjustRightInd/>
        <w:snapToGrid/>
        <w:spacing w:before="60" w:after="120" w:line="240" w:lineRule="auto"/>
        <w:ind w:firstLine="0" w:firstLineChars="0"/>
        <w:jc w:val="center"/>
        <w:textAlignment w:val="auto"/>
        <w:rPr>
          <w:color w:val="auto"/>
          <w:szCs w:val="32"/>
          <w:highlight w:val="none"/>
          <w:lang w:bidi="ar"/>
        </w:rPr>
      </w:pPr>
      <w:r>
        <w:rPr>
          <w:rFonts w:hint="eastAsia" w:eastAsia="黑体" w:cs="Times New Roman"/>
          <w:bCs/>
          <w:color w:val="auto"/>
          <w:sz w:val="24"/>
          <w:szCs w:val="24"/>
          <w:highlight w:val="none"/>
        </w:rPr>
        <w:t>表</w:t>
      </w:r>
      <w:r>
        <w:rPr>
          <w:rFonts w:eastAsia="黑体" w:cs="Times New Roman"/>
          <w:bCs/>
          <w:color w:val="auto"/>
          <w:sz w:val="24"/>
          <w:szCs w:val="24"/>
          <w:highlight w:val="none"/>
        </w:rPr>
        <w:t>1</w:t>
      </w:r>
      <w:r>
        <w:rPr>
          <w:rFonts w:hint="eastAsia" w:eastAsia="黑体" w:cs="Times New Roman"/>
          <w:bCs/>
          <w:color w:val="auto"/>
          <w:sz w:val="24"/>
          <w:szCs w:val="24"/>
          <w:highlight w:val="none"/>
        </w:rPr>
        <w:t>-1：“</w:t>
      </w:r>
      <w:r>
        <w:rPr>
          <w:rFonts w:hint="eastAsia" w:eastAsia="黑体" w:cs="Times New Roman"/>
          <w:bCs/>
          <w:color w:val="auto"/>
          <w:sz w:val="24"/>
          <w:szCs w:val="24"/>
          <w:highlight w:val="none"/>
          <w:lang w:val="en-US" w:eastAsia="zh-CN"/>
        </w:rPr>
        <w:t>残疾人康复</w:t>
      </w:r>
      <w:r>
        <w:rPr>
          <w:rFonts w:hint="eastAsia" w:eastAsia="黑体" w:cs="Times New Roman"/>
          <w:bCs/>
          <w:color w:val="auto"/>
          <w:sz w:val="24"/>
          <w:szCs w:val="24"/>
          <w:highlight w:val="none"/>
        </w:rPr>
        <w:t>”</w:t>
      </w:r>
      <w:r>
        <w:rPr>
          <w:rFonts w:hint="eastAsia" w:eastAsia="黑体" w:cs="Times New Roman"/>
          <w:bCs/>
          <w:color w:val="auto"/>
          <w:sz w:val="24"/>
          <w:szCs w:val="24"/>
          <w:highlight w:val="none"/>
          <w:lang w:val="en-US" w:eastAsia="zh-CN"/>
        </w:rPr>
        <w:t>项目</w:t>
      </w:r>
      <w:r>
        <w:rPr>
          <w:rFonts w:hint="eastAsia" w:eastAsia="黑体" w:cs="Times New Roman"/>
          <w:bCs/>
          <w:color w:val="auto"/>
          <w:sz w:val="24"/>
          <w:szCs w:val="24"/>
          <w:highlight w:val="none"/>
        </w:rPr>
        <w:t>绩效指标</w:t>
      </w:r>
    </w:p>
    <w:tbl>
      <w:tblPr>
        <w:tblStyle w:val="26"/>
        <w:tblW w:w="8187" w:type="dxa"/>
        <w:jc w:val="center"/>
        <w:tblLayout w:type="autofit"/>
        <w:tblCellMar>
          <w:top w:w="0" w:type="dxa"/>
          <w:left w:w="108" w:type="dxa"/>
          <w:bottom w:w="0" w:type="dxa"/>
          <w:right w:w="108" w:type="dxa"/>
        </w:tblCellMar>
      </w:tblPr>
      <w:tblGrid>
        <w:gridCol w:w="1400"/>
        <w:gridCol w:w="1762"/>
        <w:gridCol w:w="3006"/>
        <w:gridCol w:w="2019"/>
      </w:tblGrid>
      <w:tr>
        <w:tblPrEx>
          <w:tblCellMar>
            <w:top w:w="0" w:type="dxa"/>
            <w:left w:w="108" w:type="dxa"/>
            <w:bottom w:w="0" w:type="dxa"/>
            <w:right w:w="108" w:type="dxa"/>
          </w:tblCellMar>
        </w:tblPrEx>
        <w:trPr>
          <w:trHeight w:val="437" w:hRule="atLeast"/>
          <w:tblHeader/>
          <w:jc w:val="center"/>
        </w:trPr>
        <w:tc>
          <w:tcPr>
            <w:tcW w:w="1400" w:type="dxa"/>
            <w:tcBorders>
              <w:top w:val="single" w:color="auto" w:sz="8" w:space="0"/>
              <w:left w:val="single" w:color="auto" w:sz="8" w:space="0"/>
              <w:bottom w:val="single" w:color="auto" w:sz="4" w:space="0"/>
              <w:right w:val="single" w:color="auto" w:sz="8" w:space="0"/>
            </w:tcBorders>
            <w:shd w:val="clear" w:color="auto" w:fill="auto"/>
            <w:vAlign w:val="center"/>
          </w:tcPr>
          <w:p>
            <w:pPr>
              <w:widowControl/>
              <w:spacing w:line="0" w:lineRule="atLeast"/>
              <w:ind w:firstLine="0" w:firstLineChars="0"/>
              <w:jc w:val="center"/>
              <w:rPr>
                <w:rFonts w:ascii="仿宋_GB2312" w:hAnsi="宋体" w:cs="宋体"/>
                <w:b/>
                <w:bCs/>
                <w:color w:val="auto"/>
                <w:kern w:val="0"/>
                <w:sz w:val="21"/>
                <w:highlight w:val="none"/>
              </w:rPr>
            </w:pPr>
            <w:r>
              <w:rPr>
                <w:rFonts w:hint="eastAsia" w:cs="宋体"/>
                <w:b/>
                <w:bCs/>
                <w:color w:val="auto"/>
                <w:kern w:val="0"/>
                <w:sz w:val="21"/>
                <w:highlight w:val="none"/>
              </w:rPr>
              <w:t>一级指标</w:t>
            </w:r>
          </w:p>
        </w:tc>
        <w:tc>
          <w:tcPr>
            <w:tcW w:w="1762" w:type="dxa"/>
            <w:tcBorders>
              <w:top w:val="single" w:color="auto" w:sz="8" w:space="0"/>
              <w:left w:val="nil"/>
              <w:bottom w:val="single" w:color="auto" w:sz="4" w:space="0"/>
              <w:right w:val="single" w:color="auto" w:sz="8" w:space="0"/>
            </w:tcBorders>
            <w:shd w:val="clear" w:color="auto" w:fill="auto"/>
            <w:vAlign w:val="center"/>
          </w:tcPr>
          <w:p>
            <w:pPr>
              <w:widowControl/>
              <w:spacing w:line="0" w:lineRule="atLeast"/>
              <w:ind w:firstLine="0" w:firstLineChars="0"/>
              <w:jc w:val="center"/>
              <w:rPr>
                <w:rFonts w:ascii="仿宋_GB2312" w:hAnsi="宋体" w:cs="宋体"/>
                <w:b/>
                <w:bCs/>
                <w:color w:val="auto"/>
                <w:kern w:val="0"/>
                <w:sz w:val="21"/>
                <w:highlight w:val="none"/>
              </w:rPr>
            </w:pPr>
            <w:r>
              <w:rPr>
                <w:rFonts w:hint="eastAsia" w:cs="宋体"/>
                <w:b/>
                <w:bCs/>
                <w:color w:val="auto"/>
                <w:kern w:val="0"/>
                <w:sz w:val="21"/>
                <w:highlight w:val="none"/>
              </w:rPr>
              <w:t>二级指标</w:t>
            </w:r>
          </w:p>
        </w:tc>
        <w:tc>
          <w:tcPr>
            <w:tcW w:w="3006" w:type="dxa"/>
            <w:tcBorders>
              <w:top w:val="single" w:color="auto" w:sz="8" w:space="0"/>
              <w:left w:val="nil"/>
              <w:bottom w:val="single" w:color="auto" w:sz="4" w:space="0"/>
              <w:right w:val="single" w:color="auto" w:sz="8" w:space="0"/>
            </w:tcBorders>
            <w:shd w:val="clear" w:color="auto" w:fill="auto"/>
            <w:vAlign w:val="center"/>
          </w:tcPr>
          <w:p>
            <w:pPr>
              <w:widowControl/>
              <w:spacing w:line="0" w:lineRule="atLeast"/>
              <w:ind w:firstLine="0" w:firstLineChars="0"/>
              <w:jc w:val="center"/>
              <w:rPr>
                <w:rFonts w:ascii="仿宋_GB2312" w:hAnsi="宋体" w:cs="宋体"/>
                <w:b/>
                <w:bCs/>
                <w:color w:val="auto"/>
                <w:kern w:val="0"/>
                <w:sz w:val="21"/>
                <w:highlight w:val="none"/>
              </w:rPr>
            </w:pPr>
            <w:r>
              <w:rPr>
                <w:rFonts w:hint="eastAsia" w:cs="宋体"/>
                <w:b/>
                <w:bCs/>
                <w:color w:val="auto"/>
                <w:kern w:val="0"/>
                <w:sz w:val="21"/>
                <w:highlight w:val="none"/>
              </w:rPr>
              <w:t>三级指标</w:t>
            </w:r>
          </w:p>
        </w:tc>
        <w:tc>
          <w:tcPr>
            <w:tcW w:w="2019" w:type="dxa"/>
            <w:tcBorders>
              <w:top w:val="single" w:color="auto" w:sz="8" w:space="0"/>
              <w:left w:val="nil"/>
              <w:bottom w:val="single" w:color="auto" w:sz="8" w:space="0"/>
              <w:right w:val="single" w:color="auto" w:sz="8" w:space="0"/>
            </w:tcBorders>
            <w:shd w:val="clear" w:color="auto" w:fill="auto"/>
            <w:vAlign w:val="center"/>
          </w:tcPr>
          <w:p>
            <w:pPr>
              <w:widowControl/>
              <w:spacing w:line="0" w:lineRule="atLeast"/>
              <w:ind w:firstLine="0" w:firstLineChars="0"/>
              <w:jc w:val="center"/>
              <w:rPr>
                <w:rFonts w:ascii="仿宋_GB2312" w:hAnsi="宋体" w:cs="宋体"/>
                <w:b/>
                <w:bCs/>
                <w:color w:val="auto"/>
                <w:kern w:val="0"/>
                <w:sz w:val="21"/>
                <w:highlight w:val="none"/>
              </w:rPr>
            </w:pPr>
            <w:r>
              <w:rPr>
                <w:rFonts w:hint="eastAsia" w:cs="宋体"/>
                <w:b/>
                <w:bCs/>
                <w:color w:val="auto"/>
                <w:kern w:val="0"/>
                <w:sz w:val="21"/>
                <w:highlight w:val="none"/>
              </w:rPr>
              <w:t>指标值</w:t>
            </w:r>
          </w:p>
        </w:tc>
      </w:tr>
      <w:tr>
        <w:tblPrEx>
          <w:tblCellMar>
            <w:top w:w="0" w:type="dxa"/>
            <w:left w:w="108" w:type="dxa"/>
            <w:bottom w:w="0" w:type="dxa"/>
            <w:right w:w="108" w:type="dxa"/>
          </w:tblCellMar>
        </w:tblPrEx>
        <w:trPr>
          <w:trHeight w:val="437" w:hRule="atLeast"/>
          <w:jc w:val="center"/>
        </w:trPr>
        <w:tc>
          <w:tcPr>
            <w:tcW w:w="140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0" w:lineRule="atLeast"/>
              <w:ind w:firstLine="0" w:firstLineChars="0"/>
              <w:jc w:val="center"/>
              <w:rPr>
                <w:rFonts w:ascii="仿宋_GB2312" w:hAnsi="宋体" w:cs="宋体"/>
                <w:color w:val="auto"/>
                <w:kern w:val="0"/>
                <w:sz w:val="21"/>
                <w:highlight w:val="none"/>
              </w:rPr>
            </w:pPr>
            <w:r>
              <w:rPr>
                <w:rFonts w:hint="eastAsia" w:cs="宋体"/>
                <w:color w:val="auto"/>
                <w:kern w:val="0"/>
                <w:sz w:val="21"/>
                <w:highlight w:val="none"/>
              </w:rPr>
              <w:t>产出</w:t>
            </w:r>
          </w:p>
        </w:tc>
        <w:tc>
          <w:tcPr>
            <w:tcW w:w="1762"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0" w:lineRule="atLeast"/>
              <w:ind w:firstLine="0" w:firstLineChars="0"/>
              <w:jc w:val="center"/>
              <w:rPr>
                <w:rFonts w:ascii="仿宋_GB2312" w:hAnsi="宋体" w:cs="宋体"/>
                <w:color w:val="auto"/>
                <w:kern w:val="0"/>
                <w:sz w:val="21"/>
                <w:highlight w:val="none"/>
              </w:rPr>
            </w:pPr>
            <w:r>
              <w:rPr>
                <w:rFonts w:hint="eastAsia" w:cs="宋体"/>
                <w:color w:val="auto"/>
                <w:kern w:val="0"/>
                <w:sz w:val="21"/>
                <w:highlight w:val="none"/>
              </w:rPr>
              <w:t>产出数量</w:t>
            </w:r>
          </w:p>
        </w:tc>
        <w:tc>
          <w:tcPr>
            <w:tcW w:w="300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napToGrid w:val="0"/>
              <w:spacing w:line="240" w:lineRule="auto"/>
              <w:ind w:firstLine="0" w:firstLineChars="0"/>
              <w:jc w:val="center"/>
              <w:rPr>
                <w:rFonts w:ascii="仿宋_GB2312" w:hAnsi="宋体" w:cs="宋体"/>
                <w:color w:val="auto"/>
                <w:sz w:val="21"/>
                <w:highlight w:val="none"/>
              </w:rPr>
            </w:pPr>
            <w:r>
              <w:rPr>
                <w:rFonts w:hint="eastAsia" w:cs="Times New Roman"/>
                <w:color w:val="auto"/>
                <w:kern w:val="2"/>
                <w:sz w:val="21"/>
                <w:szCs w:val="21"/>
                <w:highlight w:val="none"/>
                <w:vertAlign w:val="baseline"/>
                <w:lang w:val="en-US" w:eastAsia="zh-CN" w:bidi="ar-SA"/>
              </w:rPr>
              <w:t>康复服务工作完成率</w:t>
            </w:r>
          </w:p>
        </w:tc>
        <w:tc>
          <w:tcPr>
            <w:tcW w:w="2019" w:type="dxa"/>
            <w:tcBorders>
              <w:top w:val="nil"/>
              <w:left w:val="single" w:color="auto" w:sz="4" w:space="0"/>
              <w:bottom w:val="single" w:color="auto" w:sz="8" w:space="0"/>
              <w:right w:val="single" w:color="auto" w:sz="8" w:space="0"/>
            </w:tcBorders>
            <w:shd w:val="clear" w:color="auto" w:fill="auto"/>
            <w:vAlign w:val="center"/>
          </w:tcPr>
          <w:p>
            <w:pPr>
              <w:widowControl/>
              <w:snapToGrid w:val="0"/>
              <w:spacing w:line="240" w:lineRule="auto"/>
              <w:ind w:firstLine="0" w:firstLineChars="0"/>
              <w:jc w:val="center"/>
              <w:rPr>
                <w:rFonts w:cs="Times New Roman"/>
                <w:bCs/>
                <w:color w:val="auto"/>
                <w:sz w:val="21"/>
                <w:highlight w:val="none"/>
              </w:rPr>
            </w:pPr>
            <w:r>
              <w:rPr>
                <w:rFonts w:hint="eastAsia" w:cs="Times New Roman"/>
                <w:color w:val="auto"/>
                <w:kern w:val="2"/>
                <w:sz w:val="21"/>
                <w:szCs w:val="21"/>
                <w:highlight w:val="none"/>
                <w:lang w:val="en-US" w:eastAsia="zh-CN" w:bidi="ar-SA"/>
              </w:rPr>
              <w:t>100%</w:t>
            </w:r>
          </w:p>
        </w:tc>
      </w:tr>
      <w:tr>
        <w:tblPrEx>
          <w:tblCellMar>
            <w:top w:w="0" w:type="dxa"/>
            <w:left w:w="108" w:type="dxa"/>
            <w:bottom w:w="0" w:type="dxa"/>
            <w:right w:w="108" w:type="dxa"/>
          </w:tblCellMar>
        </w:tblPrEx>
        <w:trPr>
          <w:trHeight w:val="437" w:hRule="atLeast"/>
          <w:jc w:val="center"/>
        </w:trPr>
        <w:tc>
          <w:tcPr>
            <w:tcW w:w="1400" w:type="dxa"/>
            <w:vMerge w:val="continue"/>
            <w:tcBorders>
              <w:left w:val="single" w:color="auto" w:sz="4" w:space="0"/>
              <w:right w:val="single" w:color="auto" w:sz="4" w:space="0"/>
            </w:tcBorders>
            <w:shd w:val="clear" w:color="000000" w:fill="FFFFFF"/>
            <w:vAlign w:val="center"/>
          </w:tcPr>
          <w:p>
            <w:pPr>
              <w:widowControl/>
              <w:spacing w:line="0" w:lineRule="atLeast"/>
              <w:ind w:firstLine="0" w:firstLineChars="0"/>
              <w:jc w:val="center"/>
              <w:rPr>
                <w:rFonts w:hint="eastAsia" w:cs="宋体"/>
                <w:color w:val="auto"/>
                <w:kern w:val="0"/>
                <w:sz w:val="21"/>
                <w:highlight w:val="none"/>
              </w:rPr>
            </w:pPr>
          </w:p>
        </w:tc>
        <w:tc>
          <w:tcPr>
            <w:tcW w:w="1762" w:type="dxa"/>
            <w:vMerge w:val="continue"/>
            <w:tcBorders>
              <w:left w:val="single" w:color="auto" w:sz="4" w:space="0"/>
              <w:right w:val="single" w:color="auto" w:sz="4" w:space="0"/>
            </w:tcBorders>
            <w:shd w:val="clear" w:color="000000" w:fill="FFFFFF"/>
            <w:vAlign w:val="center"/>
          </w:tcPr>
          <w:p>
            <w:pPr>
              <w:widowControl/>
              <w:spacing w:line="0" w:lineRule="atLeast"/>
              <w:ind w:firstLine="0" w:firstLineChars="0"/>
              <w:jc w:val="center"/>
              <w:rPr>
                <w:rFonts w:hint="eastAsia" w:cs="宋体"/>
                <w:color w:val="auto"/>
                <w:kern w:val="0"/>
                <w:sz w:val="21"/>
                <w:highlight w:val="none"/>
              </w:rPr>
            </w:pPr>
          </w:p>
        </w:tc>
        <w:tc>
          <w:tcPr>
            <w:tcW w:w="300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napToGrid w:val="0"/>
              <w:spacing w:line="240" w:lineRule="auto"/>
              <w:ind w:firstLine="0" w:firstLineChars="0"/>
              <w:jc w:val="center"/>
              <w:rPr>
                <w:rFonts w:hint="eastAsia"/>
                <w:color w:val="auto"/>
                <w:sz w:val="21"/>
                <w:highlight w:val="none"/>
              </w:rPr>
            </w:pPr>
            <w:r>
              <w:rPr>
                <w:rFonts w:hint="eastAsia" w:cs="Times New Roman"/>
                <w:color w:val="auto"/>
                <w:kern w:val="2"/>
                <w:sz w:val="21"/>
                <w:szCs w:val="21"/>
                <w:highlight w:val="none"/>
                <w:vertAlign w:val="baseline"/>
                <w:lang w:val="en-US" w:eastAsia="zh-CN" w:bidi="ar-SA"/>
              </w:rPr>
              <w:t>残疾儿童康复工作完成率</w:t>
            </w:r>
          </w:p>
        </w:tc>
        <w:tc>
          <w:tcPr>
            <w:tcW w:w="2019" w:type="dxa"/>
            <w:tcBorders>
              <w:top w:val="nil"/>
              <w:left w:val="single" w:color="auto" w:sz="4" w:space="0"/>
              <w:bottom w:val="single" w:color="auto" w:sz="8" w:space="0"/>
              <w:right w:val="single" w:color="auto" w:sz="8" w:space="0"/>
            </w:tcBorders>
            <w:shd w:val="clear" w:color="auto" w:fill="auto"/>
            <w:vAlign w:val="center"/>
          </w:tcPr>
          <w:p>
            <w:pPr>
              <w:widowControl/>
              <w:snapToGrid w:val="0"/>
              <w:spacing w:line="240" w:lineRule="auto"/>
              <w:ind w:firstLine="0" w:firstLineChars="0"/>
              <w:jc w:val="center"/>
              <w:rPr>
                <w:rFonts w:cs="Times New Roman"/>
                <w:bCs/>
                <w:color w:val="auto"/>
                <w:sz w:val="21"/>
                <w:highlight w:val="none"/>
              </w:rPr>
            </w:pPr>
            <w:r>
              <w:rPr>
                <w:rFonts w:hint="eastAsia" w:cs="Times New Roman"/>
                <w:color w:val="auto"/>
                <w:kern w:val="2"/>
                <w:sz w:val="21"/>
                <w:szCs w:val="21"/>
                <w:highlight w:val="none"/>
                <w:vertAlign w:val="baseline"/>
                <w:lang w:val="en-US" w:eastAsia="zh-CN" w:bidi="ar-SA"/>
              </w:rPr>
              <w:t>100%</w:t>
            </w:r>
          </w:p>
        </w:tc>
      </w:tr>
      <w:tr>
        <w:tblPrEx>
          <w:tblCellMar>
            <w:top w:w="0" w:type="dxa"/>
            <w:left w:w="108" w:type="dxa"/>
            <w:bottom w:w="0" w:type="dxa"/>
            <w:right w:w="108" w:type="dxa"/>
          </w:tblCellMar>
        </w:tblPrEx>
        <w:trPr>
          <w:trHeight w:val="437" w:hRule="atLeast"/>
          <w:jc w:val="center"/>
        </w:trPr>
        <w:tc>
          <w:tcPr>
            <w:tcW w:w="1400" w:type="dxa"/>
            <w:vMerge w:val="continue"/>
            <w:tcBorders>
              <w:left w:val="single" w:color="auto" w:sz="4" w:space="0"/>
              <w:right w:val="single" w:color="auto" w:sz="4" w:space="0"/>
            </w:tcBorders>
            <w:shd w:val="clear" w:color="000000" w:fill="FFFFFF"/>
            <w:vAlign w:val="center"/>
          </w:tcPr>
          <w:p>
            <w:pPr>
              <w:widowControl/>
              <w:spacing w:line="0" w:lineRule="atLeast"/>
              <w:ind w:firstLine="0" w:firstLineChars="0"/>
              <w:jc w:val="center"/>
              <w:rPr>
                <w:rFonts w:hint="eastAsia" w:cs="宋体"/>
                <w:color w:val="auto"/>
                <w:kern w:val="0"/>
                <w:sz w:val="21"/>
                <w:highlight w:val="none"/>
              </w:rPr>
            </w:pPr>
          </w:p>
        </w:tc>
        <w:tc>
          <w:tcPr>
            <w:tcW w:w="1762" w:type="dxa"/>
            <w:vMerge w:val="continue"/>
            <w:tcBorders>
              <w:left w:val="single" w:color="auto" w:sz="4" w:space="0"/>
              <w:right w:val="single" w:color="auto" w:sz="4" w:space="0"/>
            </w:tcBorders>
            <w:shd w:val="clear" w:color="000000" w:fill="FFFFFF"/>
            <w:vAlign w:val="center"/>
          </w:tcPr>
          <w:p>
            <w:pPr>
              <w:widowControl/>
              <w:spacing w:line="0" w:lineRule="atLeast"/>
              <w:ind w:firstLine="0" w:firstLineChars="0"/>
              <w:jc w:val="center"/>
              <w:rPr>
                <w:rFonts w:hint="eastAsia" w:cs="宋体"/>
                <w:color w:val="auto"/>
                <w:kern w:val="0"/>
                <w:sz w:val="21"/>
                <w:highlight w:val="none"/>
              </w:rPr>
            </w:pPr>
          </w:p>
        </w:tc>
        <w:tc>
          <w:tcPr>
            <w:tcW w:w="300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napToGrid w:val="0"/>
              <w:spacing w:line="240" w:lineRule="auto"/>
              <w:ind w:firstLine="0" w:firstLineChars="0"/>
              <w:jc w:val="center"/>
              <w:rPr>
                <w:rFonts w:hint="eastAsia"/>
                <w:color w:val="auto"/>
                <w:sz w:val="21"/>
                <w:highlight w:val="none"/>
              </w:rPr>
            </w:pPr>
            <w:r>
              <w:rPr>
                <w:rFonts w:hint="eastAsia" w:cs="Times New Roman"/>
                <w:color w:val="auto"/>
                <w:kern w:val="2"/>
                <w:sz w:val="21"/>
                <w:szCs w:val="21"/>
                <w:highlight w:val="none"/>
                <w:vertAlign w:val="baseline"/>
                <w:lang w:val="en-US" w:eastAsia="zh-CN" w:bidi="ar-SA"/>
              </w:rPr>
              <w:t>辅助器具适配人数</w:t>
            </w:r>
          </w:p>
        </w:tc>
        <w:tc>
          <w:tcPr>
            <w:tcW w:w="2019" w:type="dxa"/>
            <w:tcBorders>
              <w:top w:val="nil"/>
              <w:left w:val="single" w:color="auto" w:sz="4" w:space="0"/>
              <w:bottom w:val="single" w:color="auto" w:sz="8" w:space="0"/>
              <w:right w:val="single" w:color="auto" w:sz="8" w:space="0"/>
            </w:tcBorders>
            <w:shd w:val="clear" w:color="auto" w:fill="auto"/>
            <w:vAlign w:val="center"/>
          </w:tcPr>
          <w:p>
            <w:pPr>
              <w:widowControl/>
              <w:snapToGrid w:val="0"/>
              <w:spacing w:line="240" w:lineRule="auto"/>
              <w:ind w:firstLine="0" w:firstLineChars="0"/>
              <w:jc w:val="center"/>
              <w:rPr>
                <w:rFonts w:cs="Times New Roman"/>
                <w:bCs/>
                <w:color w:val="auto"/>
                <w:sz w:val="21"/>
                <w:highlight w:val="none"/>
              </w:rPr>
            </w:pPr>
            <w:r>
              <w:rPr>
                <w:rFonts w:hint="eastAsia" w:cs="Times New Roman"/>
                <w:color w:val="auto"/>
                <w:kern w:val="2"/>
                <w:sz w:val="21"/>
                <w:szCs w:val="21"/>
                <w:highlight w:val="none"/>
                <w:vertAlign w:val="baseline"/>
                <w:lang w:val="en-US" w:eastAsia="zh-CN" w:bidi="ar-SA"/>
              </w:rPr>
              <w:t>≥540人</w:t>
            </w:r>
          </w:p>
        </w:tc>
      </w:tr>
      <w:tr>
        <w:tblPrEx>
          <w:tblCellMar>
            <w:top w:w="0" w:type="dxa"/>
            <w:left w:w="108" w:type="dxa"/>
            <w:bottom w:w="0" w:type="dxa"/>
            <w:right w:w="108" w:type="dxa"/>
          </w:tblCellMar>
        </w:tblPrEx>
        <w:trPr>
          <w:trHeight w:val="437" w:hRule="atLeast"/>
          <w:jc w:val="center"/>
        </w:trPr>
        <w:tc>
          <w:tcPr>
            <w:tcW w:w="14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0" w:lineRule="atLeast"/>
              <w:ind w:firstLine="0" w:firstLineChars="0"/>
              <w:jc w:val="center"/>
              <w:rPr>
                <w:rFonts w:ascii="仿宋_GB2312" w:hAnsi="宋体" w:cs="宋体"/>
                <w:color w:val="auto"/>
                <w:kern w:val="0"/>
                <w:sz w:val="21"/>
                <w:highlight w:val="none"/>
              </w:rPr>
            </w:pPr>
          </w:p>
        </w:tc>
        <w:tc>
          <w:tcPr>
            <w:tcW w:w="17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ind w:firstLine="0" w:firstLineChars="0"/>
              <w:jc w:val="center"/>
              <w:rPr>
                <w:rFonts w:ascii="仿宋_GB2312" w:hAnsi="宋体" w:cs="宋体"/>
                <w:color w:val="auto"/>
                <w:kern w:val="0"/>
                <w:sz w:val="21"/>
                <w:highlight w:val="none"/>
              </w:rPr>
            </w:pPr>
          </w:p>
        </w:tc>
        <w:tc>
          <w:tcPr>
            <w:tcW w:w="300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napToGrid w:val="0"/>
              <w:spacing w:line="240" w:lineRule="auto"/>
              <w:ind w:firstLine="0" w:firstLineChars="0"/>
              <w:jc w:val="center"/>
              <w:rPr>
                <w:rFonts w:ascii="仿宋_GB2312" w:hAnsi="宋体" w:cs="宋体"/>
                <w:color w:val="auto"/>
                <w:sz w:val="21"/>
                <w:highlight w:val="none"/>
              </w:rPr>
            </w:pPr>
            <w:r>
              <w:rPr>
                <w:rFonts w:hint="eastAsia" w:cs="Times New Roman"/>
                <w:color w:val="auto"/>
                <w:kern w:val="2"/>
                <w:sz w:val="21"/>
                <w:szCs w:val="21"/>
                <w:highlight w:val="none"/>
                <w:vertAlign w:val="baseline"/>
                <w:lang w:val="en-US" w:eastAsia="zh-CN" w:bidi="ar-SA"/>
              </w:rPr>
              <w:t>信息数据动态更新调查人数</w:t>
            </w:r>
          </w:p>
        </w:tc>
        <w:tc>
          <w:tcPr>
            <w:tcW w:w="2019" w:type="dxa"/>
            <w:tcBorders>
              <w:top w:val="nil"/>
              <w:left w:val="single" w:color="auto" w:sz="4" w:space="0"/>
              <w:bottom w:val="single" w:color="auto" w:sz="8" w:space="0"/>
              <w:right w:val="single" w:color="auto" w:sz="8" w:space="0"/>
            </w:tcBorders>
            <w:shd w:val="clear" w:color="auto" w:fill="auto"/>
            <w:vAlign w:val="center"/>
          </w:tcPr>
          <w:p>
            <w:pPr>
              <w:widowControl/>
              <w:snapToGrid w:val="0"/>
              <w:spacing w:line="240" w:lineRule="auto"/>
              <w:ind w:firstLine="0" w:firstLineChars="0"/>
              <w:jc w:val="center"/>
              <w:rPr>
                <w:rFonts w:cs="Times New Roman"/>
                <w:bCs/>
                <w:color w:val="auto"/>
                <w:sz w:val="21"/>
                <w:highlight w:val="none"/>
              </w:rPr>
            </w:pPr>
            <w:r>
              <w:rPr>
                <w:rFonts w:hint="eastAsia" w:cs="Times New Roman"/>
                <w:color w:val="auto"/>
                <w:kern w:val="2"/>
                <w:sz w:val="21"/>
                <w:szCs w:val="21"/>
                <w:highlight w:val="none"/>
                <w:vertAlign w:val="baseline"/>
                <w:lang w:val="en-US" w:eastAsia="zh-CN" w:bidi="ar-SA"/>
              </w:rPr>
              <w:t>100%</w:t>
            </w:r>
          </w:p>
        </w:tc>
      </w:tr>
      <w:tr>
        <w:tblPrEx>
          <w:tblCellMar>
            <w:top w:w="0" w:type="dxa"/>
            <w:left w:w="108" w:type="dxa"/>
            <w:bottom w:w="0" w:type="dxa"/>
            <w:right w:w="108" w:type="dxa"/>
          </w:tblCellMar>
        </w:tblPrEx>
        <w:trPr>
          <w:trHeight w:val="437" w:hRule="atLeast"/>
          <w:jc w:val="center"/>
        </w:trPr>
        <w:tc>
          <w:tcPr>
            <w:tcW w:w="14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0" w:lineRule="atLeast"/>
              <w:ind w:firstLine="0" w:firstLineChars="0"/>
              <w:jc w:val="center"/>
              <w:rPr>
                <w:rFonts w:ascii="仿宋_GB2312" w:hAnsi="宋体" w:cs="宋体"/>
                <w:color w:val="auto"/>
                <w:kern w:val="0"/>
                <w:sz w:val="21"/>
                <w:highlight w:val="none"/>
              </w:rPr>
            </w:pPr>
          </w:p>
        </w:tc>
        <w:tc>
          <w:tcPr>
            <w:tcW w:w="1762" w:type="dxa"/>
            <w:vMerge w:val="restart"/>
            <w:tcBorders>
              <w:top w:val="single" w:color="auto" w:sz="4" w:space="0"/>
              <w:left w:val="single" w:color="auto" w:sz="4" w:space="0"/>
              <w:right w:val="single" w:color="auto" w:sz="4" w:space="0"/>
            </w:tcBorders>
            <w:shd w:val="clear" w:color="000000" w:fill="FFFFFF"/>
            <w:vAlign w:val="center"/>
          </w:tcPr>
          <w:p>
            <w:pPr>
              <w:widowControl/>
              <w:spacing w:line="0" w:lineRule="atLeast"/>
              <w:ind w:firstLine="0" w:firstLineChars="0"/>
              <w:jc w:val="center"/>
              <w:rPr>
                <w:rFonts w:ascii="仿宋_GB2312" w:hAnsi="宋体" w:cs="宋体"/>
                <w:color w:val="auto"/>
                <w:kern w:val="0"/>
                <w:sz w:val="21"/>
                <w:highlight w:val="none"/>
              </w:rPr>
            </w:pPr>
            <w:r>
              <w:rPr>
                <w:rFonts w:hint="eastAsia" w:cs="宋体"/>
                <w:color w:val="auto"/>
                <w:kern w:val="0"/>
                <w:sz w:val="21"/>
                <w:highlight w:val="none"/>
              </w:rPr>
              <w:t>产出质量</w:t>
            </w:r>
          </w:p>
        </w:tc>
        <w:tc>
          <w:tcPr>
            <w:tcW w:w="300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napToGrid w:val="0"/>
              <w:spacing w:line="240" w:lineRule="auto"/>
              <w:ind w:firstLine="0" w:firstLineChars="0"/>
              <w:jc w:val="center"/>
              <w:rPr>
                <w:rFonts w:ascii="仿宋_GB2312" w:hAnsi="宋体" w:cs="宋体"/>
                <w:color w:val="auto"/>
                <w:sz w:val="21"/>
                <w:highlight w:val="none"/>
              </w:rPr>
            </w:pPr>
            <w:r>
              <w:rPr>
                <w:rFonts w:hint="eastAsia" w:cs="Times New Roman"/>
                <w:color w:val="auto"/>
                <w:kern w:val="2"/>
                <w:sz w:val="21"/>
                <w:szCs w:val="21"/>
                <w:highlight w:val="none"/>
                <w:vertAlign w:val="baseline"/>
                <w:lang w:val="en-US" w:eastAsia="zh-CN" w:bidi="ar-SA"/>
              </w:rPr>
              <w:t>信息数据调查准确率</w:t>
            </w:r>
          </w:p>
        </w:tc>
        <w:tc>
          <w:tcPr>
            <w:tcW w:w="2019" w:type="dxa"/>
            <w:tcBorders>
              <w:top w:val="nil"/>
              <w:left w:val="single" w:color="auto" w:sz="4" w:space="0"/>
              <w:bottom w:val="single" w:color="auto" w:sz="8" w:space="0"/>
              <w:right w:val="single" w:color="auto" w:sz="8" w:space="0"/>
            </w:tcBorders>
            <w:shd w:val="clear" w:color="auto" w:fill="auto"/>
            <w:vAlign w:val="center"/>
          </w:tcPr>
          <w:p>
            <w:pPr>
              <w:widowControl/>
              <w:snapToGrid w:val="0"/>
              <w:spacing w:line="240" w:lineRule="auto"/>
              <w:ind w:firstLine="0" w:firstLineChars="0"/>
              <w:jc w:val="center"/>
              <w:rPr>
                <w:rFonts w:cs="Times New Roman"/>
                <w:bCs/>
                <w:color w:val="auto"/>
                <w:sz w:val="21"/>
                <w:highlight w:val="none"/>
              </w:rPr>
            </w:pPr>
            <w:r>
              <w:rPr>
                <w:rFonts w:hint="eastAsia" w:cs="Times New Roman"/>
                <w:color w:val="auto"/>
                <w:kern w:val="2"/>
                <w:sz w:val="21"/>
                <w:szCs w:val="21"/>
                <w:highlight w:val="none"/>
                <w:vertAlign w:val="baseline"/>
                <w:lang w:val="en-US" w:eastAsia="zh-CN" w:bidi="ar-SA"/>
              </w:rPr>
              <w:t>100%</w:t>
            </w:r>
          </w:p>
        </w:tc>
      </w:tr>
      <w:tr>
        <w:tblPrEx>
          <w:tblCellMar>
            <w:top w:w="0" w:type="dxa"/>
            <w:left w:w="108" w:type="dxa"/>
            <w:bottom w:w="0" w:type="dxa"/>
            <w:right w:w="108" w:type="dxa"/>
          </w:tblCellMar>
        </w:tblPrEx>
        <w:trPr>
          <w:trHeight w:val="437" w:hRule="atLeast"/>
          <w:jc w:val="center"/>
        </w:trPr>
        <w:tc>
          <w:tcPr>
            <w:tcW w:w="14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0" w:lineRule="atLeast"/>
              <w:ind w:firstLine="0" w:firstLineChars="0"/>
              <w:jc w:val="center"/>
              <w:rPr>
                <w:rFonts w:ascii="仿宋_GB2312" w:hAnsi="宋体" w:cs="宋体"/>
                <w:color w:val="auto"/>
                <w:kern w:val="0"/>
                <w:sz w:val="21"/>
                <w:highlight w:val="none"/>
              </w:rPr>
            </w:pPr>
          </w:p>
        </w:tc>
        <w:tc>
          <w:tcPr>
            <w:tcW w:w="1762" w:type="dxa"/>
            <w:vMerge w:val="continue"/>
            <w:tcBorders>
              <w:left w:val="single" w:color="auto" w:sz="4" w:space="0"/>
              <w:right w:val="single" w:color="auto" w:sz="4" w:space="0"/>
            </w:tcBorders>
            <w:shd w:val="clear" w:color="000000" w:fill="FFFFFF"/>
            <w:vAlign w:val="center"/>
          </w:tcPr>
          <w:p>
            <w:pPr>
              <w:widowControl/>
              <w:spacing w:line="0" w:lineRule="atLeast"/>
              <w:ind w:firstLine="0" w:firstLineChars="0"/>
              <w:jc w:val="center"/>
              <w:rPr>
                <w:rFonts w:hint="eastAsia" w:cs="宋体"/>
                <w:color w:val="auto"/>
                <w:kern w:val="0"/>
                <w:sz w:val="21"/>
                <w:highlight w:val="none"/>
              </w:rPr>
            </w:pPr>
          </w:p>
        </w:tc>
        <w:tc>
          <w:tcPr>
            <w:tcW w:w="300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napToGrid w:val="0"/>
              <w:spacing w:line="240" w:lineRule="auto"/>
              <w:ind w:firstLine="0" w:firstLineChars="0"/>
              <w:jc w:val="center"/>
              <w:rPr>
                <w:rFonts w:hint="eastAsia"/>
                <w:color w:val="auto"/>
                <w:sz w:val="21"/>
                <w:highlight w:val="none"/>
              </w:rPr>
            </w:pPr>
            <w:r>
              <w:rPr>
                <w:rFonts w:hint="eastAsia" w:cs="Times New Roman"/>
                <w:color w:val="auto"/>
                <w:kern w:val="2"/>
                <w:sz w:val="21"/>
                <w:szCs w:val="21"/>
                <w:highlight w:val="none"/>
                <w:vertAlign w:val="baseline"/>
                <w:lang w:val="en-US" w:eastAsia="zh-CN" w:bidi="ar-SA"/>
              </w:rPr>
              <w:t>康复工作达标率</w:t>
            </w:r>
          </w:p>
        </w:tc>
        <w:tc>
          <w:tcPr>
            <w:tcW w:w="2019" w:type="dxa"/>
            <w:tcBorders>
              <w:top w:val="nil"/>
              <w:left w:val="single" w:color="auto" w:sz="4" w:space="0"/>
              <w:bottom w:val="single" w:color="auto" w:sz="8" w:space="0"/>
              <w:right w:val="single" w:color="auto" w:sz="8" w:space="0"/>
            </w:tcBorders>
            <w:shd w:val="clear" w:color="auto" w:fill="auto"/>
            <w:vAlign w:val="center"/>
          </w:tcPr>
          <w:p>
            <w:pPr>
              <w:widowControl/>
              <w:snapToGrid w:val="0"/>
              <w:spacing w:line="240" w:lineRule="auto"/>
              <w:ind w:firstLine="0" w:firstLineChars="0"/>
              <w:jc w:val="center"/>
              <w:rPr>
                <w:rFonts w:cs="Times New Roman"/>
                <w:bCs/>
                <w:color w:val="auto"/>
                <w:sz w:val="21"/>
                <w:highlight w:val="none"/>
              </w:rPr>
            </w:pPr>
            <w:r>
              <w:rPr>
                <w:rFonts w:hint="eastAsia" w:cs="Times New Roman"/>
                <w:color w:val="auto"/>
                <w:kern w:val="2"/>
                <w:sz w:val="21"/>
                <w:szCs w:val="21"/>
                <w:highlight w:val="none"/>
                <w:vertAlign w:val="baseline"/>
                <w:lang w:val="en-US" w:eastAsia="zh-CN" w:bidi="ar-SA"/>
              </w:rPr>
              <w:t>100%</w:t>
            </w:r>
          </w:p>
        </w:tc>
      </w:tr>
      <w:tr>
        <w:tblPrEx>
          <w:tblCellMar>
            <w:top w:w="0" w:type="dxa"/>
            <w:left w:w="108" w:type="dxa"/>
            <w:bottom w:w="0" w:type="dxa"/>
            <w:right w:w="108" w:type="dxa"/>
          </w:tblCellMar>
        </w:tblPrEx>
        <w:trPr>
          <w:trHeight w:val="437" w:hRule="atLeast"/>
          <w:jc w:val="center"/>
        </w:trPr>
        <w:tc>
          <w:tcPr>
            <w:tcW w:w="14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0" w:lineRule="atLeast"/>
              <w:ind w:firstLine="0" w:firstLineChars="0"/>
              <w:jc w:val="center"/>
              <w:rPr>
                <w:rFonts w:ascii="仿宋_GB2312" w:hAnsi="宋体" w:cs="宋体"/>
                <w:color w:val="auto"/>
                <w:kern w:val="0"/>
                <w:sz w:val="21"/>
                <w:highlight w:val="none"/>
              </w:rPr>
            </w:pPr>
          </w:p>
        </w:tc>
        <w:tc>
          <w:tcPr>
            <w:tcW w:w="1762" w:type="dxa"/>
            <w:vMerge w:val="continue"/>
            <w:tcBorders>
              <w:left w:val="single" w:color="auto" w:sz="4" w:space="0"/>
              <w:bottom w:val="single" w:color="000000" w:sz="8" w:space="0"/>
              <w:right w:val="single" w:color="auto" w:sz="4" w:space="0"/>
            </w:tcBorders>
            <w:shd w:val="clear" w:color="000000" w:fill="FFFFFF"/>
            <w:vAlign w:val="center"/>
          </w:tcPr>
          <w:p>
            <w:pPr>
              <w:widowControl/>
              <w:spacing w:line="0" w:lineRule="atLeast"/>
              <w:ind w:firstLine="0" w:firstLineChars="0"/>
              <w:jc w:val="center"/>
              <w:rPr>
                <w:rFonts w:hint="eastAsia" w:cs="宋体"/>
                <w:color w:val="auto"/>
                <w:kern w:val="0"/>
                <w:sz w:val="21"/>
                <w:highlight w:val="none"/>
              </w:rPr>
            </w:pPr>
          </w:p>
        </w:tc>
        <w:tc>
          <w:tcPr>
            <w:tcW w:w="300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napToGrid w:val="0"/>
              <w:spacing w:line="240" w:lineRule="auto"/>
              <w:ind w:firstLine="0" w:firstLineChars="0"/>
              <w:jc w:val="center"/>
              <w:rPr>
                <w:rFonts w:hint="eastAsia"/>
                <w:color w:val="auto"/>
                <w:sz w:val="21"/>
                <w:highlight w:val="none"/>
              </w:rPr>
            </w:pPr>
            <w:r>
              <w:rPr>
                <w:rFonts w:hint="eastAsia" w:cs="Times New Roman"/>
                <w:color w:val="auto"/>
                <w:kern w:val="2"/>
                <w:sz w:val="21"/>
                <w:szCs w:val="21"/>
                <w:highlight w:val="none"/>
                <w:vertAlign w:val="baseline"/>
                <w:lang w:val="en-US" w:eastAsia="zh-CN" w:bidi="ar-SA"/>
              </w:rPr>
              <w:t>辅助器具适配率</w:t>
            </w:r>
          </w:p>
        </w:tc>
        <w:tc>
          <w:tcPr>
            <w:tcW w:w="2019" w:type="dxa"/>
            <w:tcBorders>
              <w:top w:val="nil"/>
              <w:left w:val="single" w:color="auto" w:sz="4" w:space="0"/>
              <w:bottom w:val="single" w:color="auto" w:sz="8" w:space="0"/>
              <w:right w:val="single" w:color="auto" w:sz="8" w:space="0"/>
            </w:tcBorders>
            <w:shd w:val="clear" w:color="auto" w:fill="auto"/>
            <w:vAlign w:val="center"/>
          </w:tcPr>
          <w:p>
            <w:pPr>
              <w:widowControl/>
              <w:snapToGrid w:val="0"/>
              <w:spacing w:line="240" w:lineRule="auto"/>
              <w:ind w:firstLine="0" w:firstLineChars="0"/>
              <w:jc w:val="center"/>
              <w:rPr>
                <w:rFonts w:cs="Times New Roman"/>
                <w:bCs/>
                <w:color w:val="auto"/>
                <w:sz w:val="21"/>
                <w:highlight w:val="none"/>
              </w:rPr>
            </w:pPr>
            <w:r>
              <w:rPr>
                <w:rFonts w:hint="eastAsia" w:cs="Times New Roman"/>
                <w:color w:val="auto"/>
                <w:kern w:val="2"/>
                <w:sz w:val="21"/>
                <w:szCs w:val="21"/>
                <w:highlight w:val="none"/>
                <w:vertAlign w:val="baseline"/>
                <w:lang w:val="en-US" w:eastAsia="zh-CN" w:bidi="ar-SA"/>
              </w:rPr>
              <w:t>≥85%</w:t>
            </w:r>
          </w:p>
        </w:tc>
      </w:tr>
      <w:tr>
        <w:tblPrEx>
          <w:tblCellMar>
            <w:top w:w="0" w:type="dxa"/>
            <w:left w:w="108" w:type="dxa"/>
            <w:bottom w:w="0" w:type="dxa"/>
            <w:right w:w="108" w:type="dxa"/>
          </w:tblCellMar>
        </w:tblPrEx>
        <w:trPr>
          <w:trHeight w:val="437" w:hRule="atLeast"/>
          <w:jc w:val="center"/>
        </w:trPr>
        <w:tc>
          <w:tcPr>
            <w:tcW w:w="14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0" w:lineRule="atLeast"/>
              <w:ind w:firstLine="0" w:firstLineChars="0"/>
              <w:jc w:val="center"/>
              <w:rPr>
                <w:rFonts w:ascii="仿宋_GB2312" w:hAnsi="宋体" w:cs="宋体"/>
                <w:color w:val="auto"/>
                <w:kern w:val="0"/>
                <w:sz w:val="21"/>
                <w:highlight w:val="none"/>
              </w:rPr>
            </w:pPr>
          </w:p>
        </w:tc>
        <w:tc>
          <w:tcPr>
            <w:tcW w:w="1762" w:type="dxa"/>
            <w:tcBorders>
              <w:top w:val="nil"/>
              <w:left w:val="single" w:color="auto" w:sz="4" w:space="0"/>
              <w:bottom w:val="single" w:color="auto" w:sz="4" w:space="0"/>
              <w:right w:val="single" w:color="auto" w:sz="8" w:space="0"/>
            </w:tcBorders>
            <w:vAlign w:val="center"/>
          </w:tcPr>
          <w:p>
            <w:pPr>
              <w:widowControl/>
              <w:spacing w:line="0" w:lineRule="atLeast"/>
              <w:ind w:firstLine="0" w:firstLineChars="0"/>
              <w:jc w:val="center"/>
              <w:rPr>
                <w:rFonts w:ascii="仿宋_GB2312" w:hAnsi="宋体" w:cs="宋体"/>
                <w:color w:val="auto"/>
                <w:kern w:val="0"/>
                <w:sz w:val="21"/>
                <w:highlight w:val="none"/>
              </w:rPr>
            </w:pPr>
            <w:r>
              <w:rPr>
                <w:rFonts w:hint="eastAsia" w:cs="宋体"/>
                <w:color w:val="auto"/>
                <w:kern w:val="0"/>
                <w:sz w:val="21"/>
                <w:highlight w:val="none"/>
              </w:rPr>
              <w:t>产出时效</w:t>
            </w:r>
          </w:p>
        </w:tc>
        <w:tc>
          <w:tcPr>
            <w:tcW w:w="3006" w:type="dxa"/>
            <w:tcBorders>
              <w:top w:val="single" w:color="auto" w:sz="8" w:space="0"/>
              <w:left w:val="single" w:color="auto" w:sz="8" w:space="0"/>
              <w:bottom w:val="single" w:color="auto" w:sz="8" w:space="0"/>
              <w:right w:val="single" w:color="auto" w:sz="8" w:space="0"/>
            </w:tcBorders>
            <w:shd w:val="clear" w:color="000000" w:fill="FFFFFF"/>
            <w:vAlign w:val="center"/>
          </w:tcPr>
          <w:p>
            <w:pPr>
              <w:widowControl/>
              <w:snapToGrid w:val="0"/>
              <w:spacing w:line="240" w:lineRule="auto"/>
              <w:ind w:firstLine="0" w:firstLineChars="0"/>
              <w:jc w:val="center"/>
              <w:rPr>
                <w:rFonts w:ascii="仿宋_GB2312" w:hAnsi="宋体" w:cs="宋体"/>
                <w:color w:val="auto"/>
                <w:sz w:val="21"/>
                <w:highlight w:val="none"/>
              </w:rPr>
            </w:pPr>
            <w:r>
              <w:rPr>
                <w:rFonts w:hint="eastAsia" w:cs="Times New Roman"/>
                <w:color w:val="auto"/>
                <w:kern w:val="2"/>
                <w:sz w:val="21"/>
                <w:szCs w:val="21"/>
                <w:highlight w:val="none"/>
                <w:vertAlign w:val="baseline"/>
                <w:lang w:val="en-US" w:eastAsia="zh-CN" w:bidi="ar-SA"/>
              </w:rPr>
              <w:t>计划进度完成及时率</w:t>
            </w:r>
          </w:p>
        </w:tc>
        <w:tc>
          <w:tcPr>
            <w:tcW w:w="2019" w:type="dxa"/>
            <w:tcBorders>
              <w:top w:val="nil"/>
              <w:left w:val="nil"/>
              <w:bottom w:val="single" w:color="auto" w:sz="8" w:space="0"/>
              <w:right w:val="single" w:color="auto" w:sz="8" w:space="0"/>
            </w:tcBorders>
            <w:shd w:val="clear" w:color="auto" w:fill="auto"/>
            <w:vAlign w:val="center"/>
          </w:tcPr>
          <w:p>
            <w:pPr>
              <w:widowControl/>
              <w:snapToGrid w:val="0"/>
              <w:spacing w:line="240" w:lineRule="auto"/>
              <w:ind w:firstLine="0" w:firstLineChars="0"/>
              <w:jc w:val="center"/>
              <w:rPr>
                <w:rFonts w:cs="Times New Roman"/>
                <w:bCs/>
                <w:color w:val="auto"/>
                <w:sz w:val="21"/>
                <w:highlight w:val="none"/>
              </w:rPr>
            </w:pPr>
            <w:r>
              <w:rPr>
                <w:rFonts w:hint="eastAsia" w:cs="Times New Roman"/>
                <w:color w:val="auto"/>
                <w:kern w:val="2"/>
                <w:sz w:val="21"/>
                <w:szCs w:val="21"/>
                <w:highlight w:val="none"/>
                <w:vertAlign w:val="baseline"/>
                <w:lang w:val="en-US" w:eastAsia="zh-CN" w:bidi="ar-SA"/>
              </w:rPr>
              <w:t>100%</w:t>
            </w:r>
          </w:p>
        </w:tc>
      </w:tr>
      <w:tr>
        <w:tblPrEx>
          <w:tblCellMar>
            <w:top w:w="0" w:type="dxa"/>
            <w:left w:w="108" w:type="dxa"/>
            <w:bottom w:w="0" w:type="dxa"/>
            <w:right w:w="108" w:type="dxa"/>
          </w:tblCellMar>
        </w:tblPrEx>
        <w:trPr>
          <w:trHeight w:val="437" w:hRule="atLeast"/>
          <w:jc w:val="center"/>
        </w:trPr>
        <w:tc>
          <w:tcPr>
            <w:tcW w:w="140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0" w:lineRule="atLeast"/>
              <w:ind w:firstLine="0" w:firstLineChars="0"/>
              <w:jc w:val="center"/>
              <w:rPr>
                <w:rFonts w:ascii="仿宋_GB2312" w:hAnsi="宋体" w:cs="宋体"/>
                <w:color w:val="auto"/>
                <w:kern w:val="0"/>
                <w:sz w:val="21"/>
                <w:highlight w:val="none"/>
              </w:rPr>
            </w:pPr>
            <w:r>
              <w:rPr>
                <w:rFonts w:cs="宋体"/>
                <w:color w:val="auto"/>
                <w:kern w:val="0"/>
                <w:sz w:val="21"/>
                <w:highlight w:val="none"/>
              </w:rPr>
              <w:t>效益</w:t>
            </w:r>
          </w:p>
        </w:tc>
        <w:tc>
          <w:tcPr>
            <w:tcW w:w="176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0" w:lineRule="atLeast"/>
              <w:ind w:firstLine="0" w:firstLineChars="0"/>
              <w:jc w:val="center"/>
              <w:rPr>
                <w:rFonts w:ascii="仿宋_GB2312" w:hAnsi="宋体" w:cs="宋体"/>
                <w:color w:val="auto"/>
                <w:kern w:val="0"/>
                <w:sz w:val="21"/>
                <w:highlight w:val="none"/>
              </w:rPr>
            </w:pPr>
            <w:r>
              <w:rPr>
                <w:rFonts w:cs="宋体"/>
                <w:color w:val="auto"/>
                <w:kern w:val="0"/>
                <w:sz w:val="21"/>
                <w:highlight w:val="none"/>
              </w:rPr>
              <w:t>社会效益</w:t>
            </w:r>
          </w:p>
        </w:tc>
        <w:tc>
          <w:tcPr>
            <w:tcW w:w="3006" w:type="dxa"/>
            <w:tcBorders>
              <w:top w:val="nil"/>
              <w:left w:val="single" w:color="auto" w:sz="4" w:space="0"/>
              <w:bottom w:val="single" w:color="000000" w:sz="8" w:space="0"/>
              <w:right w:val="single" w:color="000000" w:sz="8" w:space="0"/>
            </w:tcBorders>
            <w:shd w:val="clear" w:color="000000"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cs="Times New Roman"/>
                <w:bCs/>
                <w:color w:val="auto"/>
                <w:sz w:val="21"/>
                <w:highlight w:val="none"/>
              </w:rPr>
            </w:pPr>
            <w:r>
              <w:rPr>
                <w:rFonts w:hint="eastAsia" w:cs="Times New Roman"/>
                <w:color w:val="auto"/>
                <w:kern w:val="2"/>
                <w:sz w:val="21"/>
                <w:szCs w:val="21"/>
                <w:highlight w:val="none"/>
                <w:vertAlign w:val="baseline"/>
                <w:lang w:val="en-US" w:eastAsia="zh-CN" w:bidi="ar-SA"/>
              </w:rPr>
              <w:t>残疾人康复服务覆盖率</w:t>
            </w:r>
          </w:p>
        </w:tc>
        <w:tc>
          <w:tcPr>
            <w:tcW w:w="2019" w:type="dxa"/>
            <w:tcBorders>
              <w:top w:val="nil"/>
              <w:left w:val="nil"/>
              <w:bottom w:val="single" w:color="auto" w:sz="8" w:space="0"/>
              <w:right w:val="single" w:color="auto" w:sz="8" w:space="0"/>
            </w:tcBorders>
            <w:shd w:val="clear" w:color="auto" w:fill="auto"/>
            <w:vAlign w:val="center"/>
          </w:tcPr>
          <w:p>
            <w:pPr>
              <w:widowControl/>
              <w:snapToGrid w:val="0"/>
              <w:spacing w:line="240" w:lineRule="auto"/>
              <w:ind w:firstLine="0" w:firstLineChars="0"/>
              <w:jc w:val="center"/>
              <w:rPr>
                <w:rFonts w:ascii="仿宋_GB2312" w:hAnsi="宋体" w:cs="宋体"/>
                <w:color w:val="auto"/>
                <w:kern w:val="0"/>
                <w:sz w:val="21"/>
                <w:highlight w:val="none"/>
              </w:rPr>
            </w:pPr>
            <w:r>
              <w:rPr>
                <w:rFonts w:hint="eastAsia" w:cs="Times New Roman"/>
                <w:color w:val="auto"/>
                <w:kern w:val="2"/>
                <w:sz w:val="21"/>
                <w:szCs w:val="21"/>
                <w:highlight w:val="none"/>
                <w:lang w:val="en-US" w:eastAsia="zh-CN" w:bidi="ar-SA"/>
              </w:rPr>
              <w:t>≥80%</w:t>
            </w:r>
          </w:p>
        </w:tc>
      </w:tr>
      <w:tr>
        <w:tblPrEx>
          <w:tblCellMar>
            <w:top w:w="0" w:type="dxa"/>
            <w:left w:w="108" w:type="dxa"/>
            <w:bottom w:w="0" w:type="dxa"/>
            <w:right w:w="108" w:type="dxa"/>
          </w:tblCellMar>
        </w:tblPrEx>
        <w:trPr>
          <w:trHeight w:val="437" w:hRule="atLeast"/>
          <w:jc w:val="center"/>
        </w:trPr>
        <w:tc>
          <w:tcPr>
            <w:tcW w:w="14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0" w:lineRule="atLeast"/>
              <w:ind w:firstLine="0" w:firstLineChars="0"/>
              <w:jc w:val="center"/>
              <w:rPr>
                <w:rFonts w:ascii="仿宋_GB2312" w:hAnsi="宋体" w:cs="宋体"/>
                <w:color w:val="auto"/>
                <w:kern w:val="0"/>
                <w:sz w:val="21"/>
                <w:highlight w:val="none"/>
              </w:rPr>
            </w:pPr>
          </w:p>
        </w:tc>
        <w:tc>
          <w:tcPr>
            <w:tcW w:w="17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ind w:firstLine="0" w:firstLineChars="0"/>
              <w:jc w:val="center"/>
              <w:rPr>
                <w:rFonts w:ascii="仿宋_GB2312" w:hAnsi="宋体" w:cs="宋体"/>
                <w:color w:val="auto"/>
                <w:kern w:val="0"/>
                <w:sz w:val="21"/>
                <w:highlight w:val="none"/>
              </w:rPr>
            </w:pPr>
          </w:p>
        </w:tc>
        <w:tc>
          <w:tcPr>
            <w:tcW w:w="3006" w:type="dxa"/>
            <w:tcBorders>
              <w:top w:val="nil"/>
              <w:left w:val="single" w:color="auto" w:sz="4" w:space="0"/>
              <w:bottom w:val="single" w:color="000000" w:sz="8" w:space="0"/>
              <w:right w:val="single" w:color="000000" w:sz="8" w:space="0"/>
            </w:tcBorders>
            <w:shd w:val="clear" w:color="000000"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240" w:lineRule="auto"/>
              <w:ind w:left="0" w:leftChars="0" w:right="0" w:rightChars="0" w:firstLine="0" w:firstLineChars="0"/>
              <w:jc w:val="center"/>
              <w:textAlignment w:val="center"/>
              <w:rPr>
                <w:rFonts w:cs="Times New Roman"/>
                <w:bCs/>
                <w:color w:val="auto"/>
                <w:sz w:val="21"/>
                <w:highlight w:val="none"/>
              </w:rPr>
            </w:pPr>
            <w:r>
              <w:rPr>
                <w:rFonts w:hint="eastAsia" w:ascii="Times New Roman" w:hAnsi="Times New Roman" w:eastAsia="仿宋_GB2312" w:cs="Times New Roman"/>
                <w:color w:val="auto"/>
                <w:kern w:val="2"/>
                <w:sz w:val="21"/>
                <w:szCs w:val="21"/>
                <w:highlight w:val="none"/>
                <w:shd w:val="clear"/>
                <w:lang w:val="en-US" w:eastAsia="zh-CN" w:bidi="ar-SA"/>
              </w:rPr>
              <w:t>改善残疾人生活</w:t>
            </w:r>
            <w:r>
              <w:rPr>
                <w:rFonts w:hint="eastAsia" w:cs="Times New Roman"/>
                <w:color w:val="auto"/>
                <w:kern w:val="2"/>
                <w:sz w:val="21"/>
                <w:szCs w:val="21"/>
                <w:highlight w:val="none"/>
                <w:shd w:val="clear"/>
                <w:lang w:val="en-US" w:eastAsia="zh-CN" w:bidi="ar-SA"/>
              </w:rPr>
              <w:t>质量</w:t>
            </w:r>
          </w:p>
        </w:tc>
        <w:tc>
          <w:tcPr>
            <w:tcW w:w="2019" w:type="dxa"/>
            <w:tcBorders>
              <w:top w:val="nil"/>
              <w:left w:val="nil"/>
              <w:bottom w:val="single" w:color="auto" w:sz="8" w:space="0"/>
              <w:right w:val="single" w:color="auto" w:sz="8" w:space="0"/>
            </w:tcBorders>
            <w:shd w:val="clear" w:color="auto" w:fill="auto"/>
            <w:vAlign w:val="center"/>
          </w:tcPr>
          <w:p>
            <w:pPr>
              <w:widowControl/>
              <w:snapToGrid w:val="0"/>
              <w:spacing w:line="240" w:lineRule="auto"/>
              <w:ind w:firstLine="0" w:firstLineChars="0"/>
              <w:jc w:val="center"/>
              <w:rPr>
                <w:rFonts w:ascii="仿宋_GB2312" w:hAnsi="宋体" w:cs="宋体"/>
                <w:color w:val="auto"/>
                <w:kern w:val="0"/>
                <w:sz w:val="21"/>
                <w:highlight w:val="none"/>
              </w:rPr>
            </w:pPr>
            <w:r>
              <w:rPr>
                <w:rFonts w:hint="eastAsia" w:cs="Times New Roman"/>
                <w:color w:val="auto"/>
                <w:kern w:val="2"/>
                <w:sz w:val="21"/>
                <w:szCs w:val="21"/>
                <w:highlight w:val="none"/>
                <w:lang w:val="en-US" w:eastAsia="zh-CN" w:bidi="ar-SA"/>
              </w:rPr>
              <w:t>有效</w:t>
            </w:r>
          </w:p>
        </w:tc>
      </w:tr>
      <w:tr>
        <w:tblPrEx>
          <w:tblCellMar>
            <w:top w:w="0" w:type="dxa"/>
            <w:left w:w="108" w:type="dxa"/>
            <w:bottom w:w="0" w:type="dxa"/>
            <w:right w:w="108" w:type="dxa"/>
          </w:tblCellMar>
        </w:tblPrEx>
        <w:trPr>
          <w:trHeight w:val="437" w:hRule="atLeast"/>
          <w:jc w:val="center"/>
        </w:trPr>
        <w:tc>
          <w:tcPr>
            <w:tcW w:w="14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0" w:lineRule="atLeast"/>
              <w:ind w:firstLine="0" w:firstLineChars="0"/>
              <w:jc w:val="center"/>
              <w:rPr>
                <w:rFonts w:ascii="仿宋_GB2312" w:hAnsi="宋体" w:cs="宋体"/>
                <w:color w:val="auto"/>
                <w:kern w:val="0"/>
                <w:sz w:val="21"/>
                <w:highlight w:val="none"/>
              </w:rPr>
            </w:pPr>
          </w:p>
        </w:tc>
        <w:tc>
          <w:tcPr>
            <w:tcW w:w="17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ind w:firstLine="0" w:firstLineChars="0"/>
              <w:jc w:val="center"/>
              <w:rPr>
                <w:rFonts w:ascii="仿宋_GB2312" w:hAnsi="宋体" w:cs="宋体"/>
                <w:color w:val="auto"/>
                <w:kern w:val="0"/>
                <w:sz w:val="21"/>
                <w:highlight w:val="none"/>
              </w:rPr>
            </w:pPr>
          </w:p>
        </w:tc>
        <w:tc>
          <w:tcPr>
            <w:tcW w:w="3006" w:type="dxa"/>
            <w:tcBorders>
              <w:top w:val="nil"/>
              <w:left w:val="single" w:color="auto" w:sz="4" w:space="0"/>
              <w:bottom w:val="single" w:color="000000" w:sz="8" w:space="0"/>
              <w:right w:val="single" w:color="000000" w:sz="8" w:space="0"/>
            </w:tcBorders>
            <w:shd w:val="clear" w:color="000000"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240" w:lineRule="auto"/>
              <w:ind w:left="0" w:leftChars="0" w:right="0" w:rightChars="0" w:firstLine="0" w:firstLineChars="0"/>
              <w:jc w:val="center"/>
              <w:textAlignment w:val="center"/>
              <w:rPr>
                <w:rFonts w:cs="Times New Roman"/>
                <w:bCs/>
                <w:color w:val="auto"/>
                <w:sz w:val="21"/>
                <w:highlight w:val="none"/>
              </w:rPr>
            </w:pPr>
            <w:r>
              <w:rPr>
                <w:rFonts w:hint="eastAsia" w:cs="Times New Roman"/>
                <w:color w:val="auto"/>
                <w:kern w:val="2"/>
                <w:sz w:val="21"/>
                <w:szCs w:val="21"/>
                <w:highlight w:val="none"/>
                <w:shd w:val="clear"/>
                <w:lang w:val="en-US" w:eastAsia="zh-CN" w:bidi="ar-SA"/>
              </w:rPr>
              <w:t>残疾人及家属政策知晓率</w:t>
            </w:r>
          </w:p>
        </w:tc>
        <w:tc>
          <w:tcPr>
            <w:tcW w:w="2019" w:type="dxa"/>
            <w:tcBorders>
              <w:top w:val="nil"/>
              <w:left w:val="nil"/>
              <w:bottom w:val="single" w:color="auto" w:sz="8" w:space="0"/>
              <w:right w:val="single" w:color="auto" w:sz="8" w:space="0"/>
            </w:tcBorders>
            <w:shd w:val="clear" w:color="auto" w:fill="auto"/>
            <w:vAlign w:val="center"/>
          </w:tcPr>
          <w:p>
            <w:pPr>
              <w:widowControl/>
              <w:snapToGrid w:val="0"/>
              <w:spacing w:line="240" w:lineRule="auto"/>
              <w:ind w:firstLine="0" w:firstLineChars="0"/>
              <w:jc w:val="center"/>
              <w:rPr>
                <w:rFonts w:ascii="仿宋_GB2312" w:hAnsi="宋体" w:cs="宋体"/>
                <w:color w:val="auto"/>
                <w:kern w:val="0"/>
                <w:sz w:val="21"/>
                <w:highlight w:val="none"/>
              </w:rPr>
            </w:pPr>
            <w:r>
              <w:rPr>
                <w:rFonts w:hint="eastAsia" w:cs="Times New Roman"/>
                <w:color w:val="auto"/>
                <w:kern w:val="2"/>
                <w:sz w:val="21"/>
                <w:szCs w:val="21"/>
                <w:highlight w:val="none"/>
                <w:lang w:val="en-US" w:eastAsia="zh-CN" w:bidi="ar-SA"/>
              </w:rPr>
              <w:t>≥80%</w:t>
            </w:r>
          </w:p>
        </w:tc>
      </w:tr>
      <w:tr>
        <w:tblPrEx>
          <w:tblCellMar>
            <w:top w:w="0" w:type="dxa"/>
            <w:left w:w="108" w:type="dxa"/>
            <w:bottom w:w="0" w:type="dxa"/>
            <w:right w:w="108" w:type="dxa"/>
          </w:tblCellMar>
        </w:tblPrEx>
        <w:trPr>
          <w:trHeight w:val="437" w:hRule="atLeast"/>
          <w:jc w:val="center"/>
        </w:trPr>
        <w:tc>
          <w:tcPr>
            <w:tcW w:w="140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0" w:lineRule="atLeast"/>
              <w:ind w:firstLine="0" w:firstLineChars="0"/>
              <w:jc w:val="center"/>
              <w:rPr>
                <w:rFonts w:ascii="仿宋_GB2312" w:hAnsi="宋体" w:cs="宋体"/>
                <w:color w:val="auto"/>
                <w:kern w:val="0"/>
                <w:sz w:val="21"/>
                <w:highlight w:val="none"/>
              </w:rPr>
            </w:pPr>
          </w:p>
        </w:tc>
        <w:tc>
          <w:tcPr>
            <w:tcW w:w="1762" w:type="dxa"/>
            <w:tcBorders>
              <w:top w:val="single" w:color="auto" w:sz="4" w:space="0"/>
              <w:left w:val="single" w:color="auto" w:sz="4" w:space="0"/>
              <w:right w:val="single" w:color="000000" w:sz="8" w:space="0"/>
            </w:tcBorders>
            <w:vAlign w:val="center"/>
          </w:tcPr>
          <w:p>
            <w:pPr>
              <w:widowControl/>
              <w:spacing w:line="0" w:lineRule="atLeast"/>
              <w:ind w:firstLine="0" w:firstLineChars="0"/>
              <w:jc w:val="center"/>
              <w:rPr>
                <w:rFonts w:ascii="仿宋_GB2312" w:hAnsi="宋体" w:cs="宋体"/>
                <w:color w:val="auto"/>
                <w:kern w:val="0"/>
                <w:sz w:val="21"/>
                <w:highlight w:val="none"/>
              </w:rPr>
            </w:pPr>
            <w:r>
              <w:rPr>
                <w:rFonts w:cs="宋体"/>
                <w:color w:val="auto"/>
                <w:kern w:val="0"/>
                <w:sz w:val="21"/>
                <w:highlight w:val="none"/>
              </w:rPr>
              <w:t>可持续影响指标</w:t>
            </w:r>
          </w:p>
        </w:tc>
        <w:tc>
          <w:tcPr>
            <w:tcW w:w="3006" w:type="dxa"/>
            <w:tcBorders>
              <w:top w:val="nil"/>
              <w:left w:val="nil"/>
              <w:bottom w:val="single" w:color="000000" w:sz="8" w:space="0"/>
              <w:right w:val="single" w:color="000000" w:sz="8" w:space="0"/>
            </w:tcBorders>
            <w:shd w:val="clear" w:color="000000" w:fill="FFFFFF"/>
            <w:vAlign w:val="center"/>
          </w:tcPr>
          <w:p>
            <w:pPr>
              <w:widowControl/>
              <w:snapToGrid w:val="0"/>
              <w:spacing w:line="240" w:lineRule="auto"/>
              <w:ind w:firstLine="0" w:firstLineChars="0"/>
              <w:jc w:val="center"/>
              <w:rPr>
                <w:rFonts w:cs="Times New Roman"/>
                <w:bCs/>
                <w:color w:val="auto"/>
                <w:sz w:val="21"/>
                <w:highlight w:val="none"/>
              </w:rPr>
            </w:pPr>
            <w:r>
              <w:rPr>
                <w:rFonts w:hint="eastAsia" w:cs="Times New Roman"/>
                <w:color w:val="auto"/>
                <w:kern w:val="2"/>
                <w:sz w:val="21"/>
                <w:szCs w:val="21"/>
                <w:highlight w:val="none"/>
                <w:vertAlign w:val="baseline"/>
                <w:lang w:val="en-US" w:eastAsia="zh-CN" w:bidi="ar-SA"/>
              </w:rPr>
              <w:t>服务评估机制</w:t>
            </w:r>
          </w:p>
        </w:tc>
        <w:tc>
          <w:tcPr>
            <w:tcW w:w="2019" w:type="dxa"/>
            <w:tcBorders>
              <w:top w:val="nil"/>
              <w:left w:val="nil"/>
              <w:bottom w:val="single" w:color="auto" w:sz="8" w:space="0"/>
              <w:right w:val="single" w:color="auto" w:sz="8" w:space="0"/>
            </w:tcBorders>
            <w:shd w:val="clear" w:color="auto" w:fill="auto"/>
            <w:vAlign w:val="center"/>
          </w:tcPr>
          <w:p>
            <w:pPr>
              <w:widowControl/>
              <w:snapToGrid w:val="0"/>
              <w:spacing w:line="240" w:lineRule="auto"/>
              <w:ind w:firstLine="0" w:firstLineChars="0"/>
              <w:jc w:val="center"/>
              <w:rPr>
                <w:rFonts w:ascii="仿宋_GB2312" w:hAnsi="宋体" w:cs="宋体"/>
                <w:color w:val="auto"/>
                <w:kern w:val="0"/>
                <w:sz w:val="21"/>
                <w:highlight w:val="none"/>
              </w:rPr>
            </w:pPr>
            <w:r>
              <w:rPr>
                <w:rFonts w:hint="eastAsia" w:cs="Times New Roman"/>
                <w:color w:val="auto"/>
                <w:sz w:val="21"/>
                <w:szCs w:val="21"/>
                <w:highlight w:val="none"/>
                <w:lang w:val="en-US" w:eastAsia="zh-CN"/>
              </w:rPr>
              <w:t>建立健全</w:t>
            </w:r>
          </w:p>
        </w:tc>
      </w:tr>
      <w:tr>
        <w:tblPrEx>
          <w:tblCellMar>
            <w:top w:w="0" w:type="dxa"/>
            <w:left w:w="108" w:type="dxa"/>
            <w:bottom w:w="0" w:type="dxa"/>
            <w:right w:w="108" w:type="dxa"/>
          </w:tblCellMar>
        </w:tblPrEx>
        <w:trPr>
          <w:trHeight w:val="482" w:hRule="atLeast"/>
          <w:jc w:val="center"/>
        </w:trPr>
        <w:tc>
          <w:tcPr>
            <w:tcW w:w="140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0" w:lineRule="atLeast"/>
              <w:ind w:firstLine="0" w:firstLineChars="0"/>
              <w:jc w:val="center"/>
              <w:rPr>
                <w:rFonts w:hint="eastAsia" w:ascii="仿宋_GB2312" w:hAnsi="宋体" w:eastAsia="仿宋_GB2312" w:cs="宋体"/>
                <w:color w:val="auto"/>
                <w:kern w:val="0"/>
                <w:sz w:val="21"/>
                <w:highlight w:val="none"/>
                <w:lang w:val="en-US" w:eastAsia="zh-CN"/>
              </w:rPr>
            </w:pPr>
            <w:r>
              <w:rPr>
                <w:rFonts w:hint="eastAsia" w:ascii="仿宋_GB2312" w:hAnsi="宋体" w:cs="宋体"/>
                <w:color w:val="auto"/>
                <w:kern w:val="0"/>
                <w:sz w:val="21"/>
                <w:highlight w:val="none"/>
                <w:lang w:val="en-US" w:eastAsia="zh-CN"/>
              </w:rPr>
              <w:t>满意度</w:t>
            </w:r>
          </w:p>
        </w:tc>
        <w:tc>
          <w:tcPr>
            <w:tcW w:w="1762" w:type="dxa"/>
            <w:tcBorders>
              <w:top w:val="single" w:color="auto" w:sz="4" w:space="0"/>
              <w:left w:val="single" w:color="auto" w:sz="4" w:space="0"/>
              <w:bottom w:val="single" w:color="auto" w:sz="4" w:space="0"/>
              <w:right w:val="single" w:color="auto" w:sz="4" w:space="0"/>
            </w:tcBorders>
            <w:vAlign w:val="center"/>
          </w:tcPr>
          <w:p>
            <w:pPr>
              <w:widowControl/>
              <w:spacing w:line="0" w:lineRule="atLeast"/>
              <w:ind w:firstLine="0" w:firstLineChars="0"/>
              <w:jc w:val="center"/>
              <w:rPr>
                <w:rFonts w:ascii="仿宋_GB2312" w:hAnsi="宋体" w:cs="宋体"/>
                <w:color w:val="auto"/>
                <w:kern w:val="0"/>
                <w:sz w:val="21"/>
                <w:highlight w:val="none"/>
              </w:rPr>
            </w:pPr>
            <w:r>
              <w:rPr>
                <w:rFonts w:cs="宋体"/>
                <w:color w:val="auto"/>
                <w:kern w:val="0"/>
                <w:sz w:val="21"/>
                <w:highlight w:val="none"/>
              </w:rPr>
              <w:t>服务对象满意度</w:t>
            </w:r>
          </w:p>
        </w:tc>
        <w:tc>
          <w:tcPr>
            <w:tcW w:w="3006" w:type="dxa"/>
            <w:tcBorders>
              <w:top w:val="nil"/>
              <w:left w:val="single" w:color="auto" w:sz="4" w:space="0"/>
              <w:bottom w:val="single" w:color="000000" w:sz="8" w:space="0"/>
              <w:right w:val="single" w:color="000000" w:sz="8" w:space="0"/>
            </w:tcBorders>
            <w:shd w:val="clear" w:color="000000" w:fill="FFFFFF"/>
            <w:vAlign w:val="center"/>
          </w:tcPr>
          <w:p>
            <w:pPr>
              <w:widowControl/>
              <w:snapToGrid w:val="0"/>
              <w:spacing w:line="240" w:lineRule="auto"/>
              <w:ind w:firstLine="0" w:firstLineChars="0"/>
              <w:jc w:val="center"/>
              <w:rPr>
                <w:rFonts w:cs="Times New Roman"/>
                <w:bCs/>
                <w:color w:val="auto"/>
                <w:sz w:val="21"/>
                <w:highlight w:val="none"/>
              </w:rPr>
            </w:pPr>
            <w:r>
              <w:rPr>
                <w:rFonts w:hint="eastAsia" w:cs="Times New Roman"/>
                <w:color w:val="auto"/>
                <w:sz w:val="21"/>
                <w:szCs w:val="21"/>
                <w:highlight w:val="none"/>
                <w:lang w:val="en-US" w:eastAsia="zh-CN"/>
              </w:rPr>
              <w:t>救助残疾人家属满意度</w:t>
            </w:r>
          </w:p>
        </w:tc>
        <w:tc>
          <w:tcPr>
            <w:tcW w:w="2019" w:type="dxa"/>
            <w:tcBorders>
              <w:top w:val="nil"/>
              <w:left w:val="nil"/>
              <w:bottom w:val="single" w:color="auto" w:sz="8" w:space="0"/>
              <w:right w:val="single" w:color="auto" w:sz="8" w:space="0"/>
            </w:tcBorders>
            <w:shd w:val="clear" w:color="auto" w:fill="auto"/>
            <w:vAlign w:val="center"/>
          </w:tcPr>
          <w:p>
            <w:pPr>
              <w:widowControl/>
              <w:snapToGrid w:val="0"/>
              <w:spacing w:line="240" w:lineRule="auto"/>
              <w:ind w:firstLine="0" w:firstLineChars="0"/>
              <w:jc w:val="center"/>
              <w:rPr>
                <w:rFonts w:ascii="仿宋_GB2312" w:hAnsi="宋体" w:cs="宋体"/>
                <w:color w:val="auto"/>
                <w:kern w:val="0"/>
                <w:sz w:val="21"/>
                <w:highlight w:val="none"/>
              </w:rPr>
            </w:pPr>
            <w:r>
              <w:rPr>
                <w:rFonts w:hint="eastAsia" w:cs="Times New Roman"/>
                <w:color w:val="auto"/>
                <w:sz w:val="21"/>
                <w:szCs w:val="21"/>
                <w:highlight w:val="none"/>
                <w:lang w:val="en-US" w:eastAsia="zh-CN"/>
              </w:rPr>
              <w:t>≥90%</w:t>
            </w:r>
          </w:p>
        </w:tc>
      </w:tr>
      <w:bookmarkEnd w:id="61"/>
      <w:bookmarkEnd w:id="62"/>
      <w:bookmarkEnd w:id="63"/>
      <w:bookmarkEnd w:id="64"/>
      <w:bookmarkEnd w:id="65"/>
      <w:bookmarkEnd w:id="66"/>
      <w:bookmarkEnd w:id="67"/>
      <w:bookmarkEnd w:id="68"/>
      <w:bookmarkEnd w:id="69"/>
      <w:bookmarkEnd w:id="70"/>
    </w:tbl>
    <w:p>
      <w:pPr>
        <w:pStyle w:val="3"/>
        <w:keepNext/>
        <w:keepLines/>
        <w:pageBreakBefore w:val="0"/>
        <w:widowControl w:val="0"/>
        <w:kinsoku/>
        <w:wordWrap/>
        <w:overflowPunct/>
        <w:topLinePunct w:val="0"/>
        <w:autoSpaceDE/>
        <w:autoSpaceDN/>
        <w:bidi w:val="0"/>
        <w:adjustRightInd/>
        <w:snapToGrid/>
        <w:ind w:firstLine="640"/>
        <w:textAlignment w:val="auto"/>
        <w:rPr>
          <w:rFonts w:hint="eastAsia" w:ascii="Times New Roman" w:hAnsi="Times New Roman"/>
          <w:color w:val="auto"/>
          <w:highlight w:val="none"/>
        </w:rPr>
      </w:pPr>
      <w:bookmarkStart w:id="71" w:name="_Toc15390289"/>
      <w:bookmarkStart w:id="72" w:name="_Toc15391168"/>
      <w:bookmarkStart w:id="73" w:name="_Toc15390460"/>
      <w:bookmarkStart w:id="74" w:name="_Toc15389994"/>
      <w:bookmarkStart w:id="75" w:name="_Toc15391327"/>
      <w:bookmarkStart w:id="76" w:name="_Toc15390079"/>
      <w:bookmarkStart w:id="77" w:name="_Toc24865"/>
      <w:bookmarkStart w:id="78" w:name="_Toc15390240"/>
      <w:bookmarkStart w:id="79" w:name="_Toc15390510"/>
      <w:bookmarkStart w:id="80" w:name="_Toc26034"/>
      <w:bookmarkStart w:id="81" w:name="_Toc30404"/>
      <w:bookmarkStart w:id="82" w:name="_Hlk15401698"/>
      <w:r>
        <w:rPr>
          <w:rFonts w:hint="eastAsia"/>
          <w:color w:val="auto"/>
          <w:highlight w:val="none"/>
          <w:lang w:eastAsia="zh-CN"/>
        </w:rPr>
        <w:t>二</w:t>
      </w:r>
      <w:r>
        <w:rPr>
          <w:rFonts w:hint="eastAsia" w:ascii="Times New Roman" w:hAnsi="Times New Roman"/>
          <w:color w:val="auto"/>
          <w:highlight w:val="none"/>
        </w:rPr>
        <w:t>、综合评价情况及</w:t>
      </w:r>
      <w:bookmarkStart w:id="100" w:name="_GoBack"/>
      <w:bookmarkEnd w:id="100"/>
      <w:r>
        <w:rPr>
          <w:rFonts w:hint="eastAsia" w:ascii="Times New Roman" w:hAnsi="Times New Roman"/>
          <w:color w:val="auto"/>
          <w:highlight w:val="none"/>
        </w:rPr>
        <w:t>结论</w:t>
      </w:r>
      <w:bookmarkEnd w:id="71"/>
      <w:bookmarkEnd w:id="72"/>
      <w:bookmarkEnd w:id="73"/>
      <w:bookmarkEnd w:id="74"/>
      <w:bookmarkEnd w:id="75"/>
      <w:bookmarkEnd w:id="76"/>
      <w:bookmarkEnd w:id="77"/>
      <w:bookmarkEnd w:id="78"/>
      <w:bookmarkEnd w:id="79"/>
      <w:bookmarkEnd w:id="80"/>
      <w:bookmarkEnd w:id="81"/>
    </w:p>
    <w:bookmarkEnd w:id="82"/>
    <w:p>
      <w:pPr>
        <w:pStyle w:val="4"/>
        <w:keepNext/>
        <w:keepLines/>
        <w:pageBreakBefore w:val="0"/>
        <w:widowControl w:val="0"/>
        <w:kinsoku/>
        <w:wordWrap/>
        <w:overflowPunct/>
        <w:topLinePunct w:val="0"/>
        <w:autoSpaceDE/>
        <w:autoSpaceDN/>
        <w:bidi w:val="0"/>
        <w:adjustRightInd/>
        <w:snapToGrid/>
        <w:ind w:firstLine="643"/>
        <w:textAlignment w:val="auto"/>
        <w:rPr>
          <w:rFonts w:ascii="Times New Roman" w:hAnsi="Times New Roman"/>
          <w:color w:val="auto"/>
          <w:highlight w:val="none"/>
        </w:rPr>
      </w:pPr>
      <w:bookmarkStart w:id="83" w:name="_Toc16227"/>
      <w:bookmarkStart w:id="84" w:name="_Toc7125"/>
      <w:bookmarkStart w:id="85" w:name="_Toc9100"/>
      <w:bookmarkStart w:id="86" w:name="_Toc26879542"/>
      <w:bookmarkStart w:id="87" w:name="_Toc15391329"/>
      <w:bookmarkStart w:id="88" w:name="_Hlk15401750"/>
      <w:bookmarkStart w:id="89" w:name="_Toc15391170"/>
      <w:r>
        <w:rPr>
          <w:rFonts w:hint="eastAsia" w:ascii="Times New Roman" w:hAnsi="Times New Roman"/>
          <w:color w:val="auto"/>
          <w:highlight w:val="none"/>
        </w:rPr>
        <w:t>（一）综合评分</w:t>
      </w:r>
      <w:bookmarkEnd w:id="83"/>
      <w:r>
        <w:rPr>
          <w:rFonts w:hint="eastAsia" w:ascii="Times New Roman" w:hAnsi="Times New Roman"/>
          <w:color w:val="auto"/>
          <w:highlight w:val="none"/>
        </w:rPr>
        <w:t>情况</w:t>
      </w:r>
      <w:bookmarkEnd w:id="84"/>
    </w:p>
    <w:p>
      <w:pPr>
        <w:ind w:firstLine="640"/>
        <w:rPr>
          <w:rFonts w:hint="eastAsia" w:ascii="Times New Roman" w:hAnsi="Times New Roman" w:cs="Times New Roman"/>
          <w:color w:val="auto"/>
          <w:highlight w:val="none"/>
        </w:rPr>
      </w:pPr>
      <w:r>
        <w:rPr>
          <w:rFonts w:hint="eastAsia"/>
          <w:color w:val="auto"/>
          <w:szCs w:val="32"/>
          <w:highlight w:val="none"/>
        </w:rPr>
        <w:t>根据本次评价组现场评价及资料评审，</w:t>
      </w:r>
      <w:r>
        <w:rPr>
          <w:rFonts w:hint="eastAsia"/>
          <w:color w:val="auto"/>
          <w:szCs w:val="32"/>
          <w:highlight w:val="none"/>
          <w:lang w:val="en-US" w:eastAsia="zh-CN"/>
        </w:rPr>
        <w:t>残疾人康复</w:t>
      </w:r>
      <w:r>
        <w:rPr>
          <w:rFonts w:hint="eastAsia"/>
          <w:color w:val="auto"/>
          <w:szCs w:val="32"/>
          <w:highlight w:val="none"/>
        </w:rPr>
        <w:t>项目综合评价得</w:t>
      </w:r>
      <w:r>
        <w:rPr>
          <w:rFonts w:hint="eastAsia"/>
          <w:color w:val="auto"/>
          <w:szCs w:val="32"/>
          <w:highlight w:val="none"/>
          <w:lang w:val="en-US" w:eastAsia="zh-CN"/>
        </w:rPr>
        <w:t>86.04</w:t>
      </w:r>
      <w:r>
        <w:rPr>
          <w:rFonts w:hint="eastAsia"/>
          <w:color w:val="auto"/>
          <w:szCs w:val="32"/>
          <w:highlight w:val="none"/>
        </w:rPr>
        <w:t>分，各指标具体得分情况见表</w:t>
      </w:r>
      <w:r>
        <w:rPr>
          <w:rFonts w:hint="eastAsia"/>
          <w:color w:val="auto"/>
          <w:szCs w:val="32"/>
          <w:highlight w:val="none"/>
          <w:lang w:val="en-US" w:eastAsia="zh-CN"/>
        </w:rPr>
        <w:t>2</w:t>
      </w:r>
      <w:r>
        <w:rPr>
          <w:rFonts w:hint="eastAsia"/>
          <w:color w:val="auto"/>
          <w:szCs w:val="32"/>
          <w:highlight w:val="none"/>
        </w:rPr>
        <w:t>-1</w:t>
      </w:r>
      <w:r>
        <w:rPr>
          <w:rFonts w:hint="eastAsia"/>
          <w:color w:val="auto"/>
          <w:szCs w:val="32"/>
          <w:highlight w:val="none"/>
          <w:lang w:eastAsia="zh-CN"/>
        </w:rPr>
        <w:t>：</w:t>
      </w:r>
    </w:p>
    <w:p>
      <w:pPr>
        <w:pStyle w:val="45"/>
        <w:spacing w:before="60" w:after="120"/>
        <w:rPr>
          <w:rFonts w:hint="eastAsia" w:ascii="Times New Roman" w:hAnsi="Times New Roman" w:cs="Times New Roman"/>
          <w:color w:val="auto"/>
          <w:highlight w:val="none"/>
          <w:lang w:eastAsia="zh-CN"/>
        </w:rPr>
      </w:pPr>
      <w:r>
        <w:rPr>
          <w:rFonts w:hint="eastAsia" w:ascii="Times New Roman" w:hAnsi="Times New Roman" w:cs="Times New Roman"/>
          <w:color w:val="auto"/>
          <w:highlight w:val="none"/>
        </w:rPr>
        <w:t>表</w:t>
      </w:r>
      <w:r>
        <w:rPr>
          <w:rFonts w:hint="eastAsia" w:cs="Times New Roman"/>
          <w:color w:val="auto"/>
          <w:highlight w:val="none"/>
          <w:lang w:val="en-US" w:eastAsia="zh-CN"/>
        </w:rPr>
        <w:t>2</w:t>
      </w:r>
      <w:r>
        <w:rPr>
          <w:rFonts w:hint="eastAsia" w:ascii="Times New Roman" w:hAnsi="Times New Roman" w:cs="Times New Roman"/>
          <w:color w:val="auto"/>
          <w:highlight w:val="none"/>
        </w:rPr>
        <w:t>-1：</w:t>
      </w:r>
      <w:r>
        <w:rPr>
          <w:rFonts w:hint="eastAsia" w:ascii="Times New Roman" w:hAnsi="Times New Roman" w:cs="Times New Roman"/>
          <w:color w:val="auto"/>
          <w:highlight w:val="none"/>
          <w:lang w:val="en-US" w:eastAsia="zh-CN"/>
        </w:rPr>
        <w:t>残疾人康复</w:t>
      </w:r>
      <w:r>
        <w:rPr>
          <w:rFonts w:hint="eastAsia" w:ascii="Times New Roman" w:hAnsi="Times New Roman" w:cs="Times New Roman"/>
          <w:color w:val="auto"/>
          <w:highlight w:val="none"/>
        </w:rPr>
        <w:t>项目绩效评分表</w:t>
      </w:r>
    </w:p>
    <w:tbl>
      <w:tblPr>
        <w:tblStyle w:val="26"/>
        <w:tblpPr w:leftFromText="180" w:rightFromText="180" w:vertAnchor="text" w:tblpXSpec="center" w:tblpY="1"/>
        <w:tblOverlap w:val="never"/>
        <w:tblW w:w="84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7"/>
        <w:gridCol w:w="1765"/>
        <w:gridCol w:w="3107"/>
        <w:gridCol w:w="1000"/>
        <w:gridCol w:w="9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7" w:type="dxa"/>
            <w:shd w:val="clear" w:color="auto" w:fill="FFFFFF"/>
            <w:vAlign w:val="center"/>
          </w:tcPr>
          <w:p>
            <w:pPr>
              <w:keepNext w:val="0"/>
              <w:keepLines w:val="0"/>
              <w:pageBreakBefore w:val="0"/>
              <w:kinsoku/>
              <w:wordWrap/>
              <w:overflowPunct/>
              <w:topLinePunct w:val="0"/>
              <w:autoSpaceDE w:val="0"/>
              <w:autoSpaceDN/>
              <w:bidi w:val="0"/>
              <w:adjustRightInd/>
              <w:snapToGrid w:val="0"/>
              <w:spacing w:line="240" w:lineRule="atLeast"/>
              <w:ind w:firstLine="0" w:firstLineChars="0"/>
              <w:jc w:val="center"/>
              <w:rPr>
                <w:rFonts w:ascii="仿宋_GB2312" w:hAnsi="Calibri" w:cs="Times New Roman"/>
                <w:b/>
                <w:bCs/>
                <w:color w:val="auto"/>
                <w:sz w:val="21"/>
                <w:highlight w:val="none"/>
              </w:rPr>
            </w:pPr>
            <w:r>
              <w:rPr>
                <w:rFonts w:cs="Times New Roman"/>
                <w:b/>
                <w:bCs/>
                <w:color w:val="auto"/>
                <w:sz w:val="21"/>
                <w:highlight w:val="none"/>
              </w:rPr>
              <w:t>一级指标</w:t>
            </w:r>
          </w:p>
        </w:tc>
        <w:tc>
          <w:tcPr>
            <w:tcW w:w="1765" w:type="dxa"/>
            <w:shd w:val="clear" w:color="auto" w:fill="FFFFFF"/>
            <w:vAlign w:val="center"/>
          </w:tcPr>
          <w:p>
            <w:pPr>
              <w:keepNext w:val="0"/>
              <w:keepLines w:val="0"/>
              <w:pageBreakBefore w:val="0"/>
              <w:kinsoku/>
              <w:wordWrap/>
              <w:overflowPunct/>
              <w:topLinePunct w:val="0"/>
              <w:autoSpaceDE w:val="0"/>
              <w:autoSpaceDN/>
              <w:bidi w:val="0"/>
              <w:adjustRightInd/>
              <w:snapToGrid w:val="0"/>
              <w:spacing w:line="240" w:lineRule="atLeast"/>
              <w:ind w:firstLine="0" w:firstLineChars="0"/>
              <w:jc w:val="center"/>
              <w:rPr>
                <w:rFonts w:ascii="仿宋_GB2312" w:hAnsi="Calibri" w:cs="Times New Roman"/>
                <w:b/>
                <w:bCs/>
                <w:color w:val="auto"/>
                <w:sz w:val="21"/>
                <w:highlight w:val="none"/>
              </w:rPr>
            </w:pPr>
            <w:r>
              <w:rPr>
                <w:rFonts w:cs="Times New Roman"/>
                <w:b/>
                <w:bCs/>
                <w:color w:val="auto"/>
                <w:sz w:val="21"/>
                <w:highlight w:val="none"/>
              </w:rPr>
              <w:t>二级指标</w:t>
            </w:r>
          </w:p>
        </w:tc>
        <w:tc>
          <w:tcPr>
            <w:tcW w:w="3107" w:type="dxa"/>
            <w:shd w:val="clear" w:color="auto" w:fill="FFFFFF"/>
            <w:vAlign w:val="center"/>
          </w:tcPr>
          <w:p>
            <w:pPr>
              <w:keepNext w:val="0"/>
              <w:keepLines w:val="0"/>
              <w:pageBreakBefore w:val="0"/>
              <w:kinsoku/>
              <w:wordWrap/>
              <w:overflowPunct/>
              <w:topLinePunct w:val="0"/>
              <w:autoSpaceDE w:val="0"/>
              <w:autoSpaceDN/>
              <w:bidi w:val="0"/>
              <w:adjustRightInd/>
              <w:snapToGrid w:val="0"/>
              <w:spacing w:line="240" w:lineRule="atLeast"/>
              <w:ind w:firstLine="0" w:firstLineChars="0"/>
              <w:jc w:val="center"/>
              <w:rPr>
                <w:rFonts w:ascii="仿宋_GB2312" w:hAnsi="Calibri" w:cs="Times New Roman"/>
                <w:b/>
                <w:bCs/>
                <w:color w:val="auto"/>
                <w:sz w:val="21"/>
                <w:highlight w:val="none"/>
              </w:rPr>
            </w:pPr>
            <w:r>
              <w:rPr>
                <w:rFonts w:hint="eastAsia" w:cs="Times New Roman"/>
                <w:b/>
                <w:bCs/>
                <w:color w:val="auto"/>
                <w:sz w:val="21"/>
                <w:highlight w:val="none"/>
              </w:rPr>
              <w:t>三级</w:t>
            </w:r>
            <w:r>
              <w:rPr>
                <w:rFonts w:cs="Times New Roman"/>
                <w:b/>
                <w:bCs/>
                <w:color w:val="auto"/>
                <w:sz w:val="21"/>
                <w:highlight w:val="none"/>
              </w:rPr>
              <w:t>指标</w:t>
            </w:r>
          </w:p>
        </w:tc>
        <w:tc>
          <w:tcPr>
            <w:tcW w:w="1000" w:type="dxa"/>
            <w:shd w:val="clear" w:color="auto" w:fill="FFFFFF"/>
            <w:vAlign w:val="center"/>
          </w:tcPr>
          <w:p>
            <w:pPr>
              <w:keepNext w:val="0"/>
              <w:keepLines w:val="0"/>
              <w:pageBreakBefore w:val="0"/>
              <w:kinsoku/>
              <w:wordWrap/>
              <w:overflowPunct/>
              <w:topLinePunct w:val="0"/>
              <w:autoSpaceDE w:val="0"/>
              <w:autoSpaceDN/>
              <w:bidi w:val="0"/>
              <w:adjustRightInd/>
              <w:snapToGrid w:val="0"/>
              <w:spacing w:line="240" w:lineRule="atLeast"/>
              <w:ind w:firstLine="0" w:firstLineChars="0"/>
              <w:jc w:val="center"/>
              <w:rPr>
                <w:rFonts w:ascii="仿宋_GB2312" w:hAnsi="Calibri" w:cs="Times New Roman"/>
                <w:b/>
                <w:bCs/>
                <w:color w:val="auto"/>
                <w:sz w:val="21"/>
                <w:highlight w:val="none"/>
              </w:rPr>
            </w:pPr>
            <w:r>
              <w:rPr>
                <w:rFonts w:cs="Times New Roman"/>
                <w:b/>
                <w:bCs/>
                <w:color w:val="auto"/>
                <w:sz w:val="21"/>
                <w:highlight w:val="none"/>
              </w:rPr>
              <w:t>分值</w:t>
            </w:r>
          </w:p>
        </w:tc>
        <w:tc>
          <w:tcPr>
            <w:tcW w:w="952" w:type="dxa"/>
            <w:shd w:val="clear" w:color="auto" w:fill="FFFFFF"/>
            <w:vAlign w:val="center"/>
          </w:tcPr>
          <w:p>
            <w:pPr>
              <w:keepNext w:val="0"/>
              <w:keepLines w:val="0"/>
              <w:pageBreakBefore w:val="0"/>
              <w:kinsoku/>
              <w:wordWrap/>
              <w:overflowPunct/>
              <w:topLinePunct w:val="0"/>
              <w:autoSpaceDE w:val="0"/>
              <w:autoSpaceDN/>
              <w:bidi w:val="0"/>
              <w:adjustRightInd/>
              <w:snapToGrid w:val="0"/>
              <w:spacing w:line="240" w:lineRule="atLeast"/>
              <w:ind w:firstLine="0" w:firstLineChars="0"/>
              <w:jc w:val="center"/>
              <w:rPr>
                <w:rFonts w:ascii="仿宋_GB2312" w:hAnsi="Calibri" w:cs="Times New Roman"/>
                <w:b/>
                <w:bCs/>
                <w:color w:val="auto"/>
                <w:sz w:val="21"/>
                <w:highlight w:val="none"/>
              </w:rPr>
            </w:pPr>
            <w:r>
              <w:rPr>
                <w:rFonts w:cs="Times New Roman"/>
                <w:b/>
                <w:bCs/>
                <w:color w:val="auto"/>
                <w:sz w:val="21"/>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67" w:type="dxa"/>
            <w:vMerge w:val="restart"/>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r>
              <w:rPr>
                <w:rFonts w:cs="Times New Roman"/>
                <w:bCs/>
                <w:color w:val="auto"/>
                <w:sz w:val="21"/>
                <w:highlight w:val="none"/>
              </w:rPr>
              <w:t>项目决策</w:t>
            </w:r>
          </w:p>
        </w:tc>
        <w:tc>
          <w:tcPr>
            <w:tcW w:w="1765" w:type="dxa"/>
            <w:vMerge w:val="restart"/>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r>
              <w:rPr>
                <w:rFonts w:cs="Times New Roman"/>
                <w:bCs/>
                <w:color w:val="auto"/>
                <w:sz w:val="21"/>
                <w:highlight w:val="none"/>
              </w:rPr>
              <w:t>项目立项</w:t>
            </w:r>
          </w:p>
        </w:tc>
        <w:tc>
          <w:tcPr>
            <w:tcW w:w="3107" w:type="dxa"/>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r>
              <w:rPr>
                <w:rFonts w:cs="Times New Roman"/>
                <w:bCs/>
                <w:color w:val="auto"/>
                <w:sz w:val="21"/>
                <w:highlight w:val="none"/>
              </w:rPr>
              <w:t>立项依据充分性</w:t>
            </w:r>
          </w:p>
        </w:tc>
        <w:tc>
          <w:tcPr>
            <w:tcW w:w="1000" w:type="dxa"/>
            <w:shd w:val="clear" w:color="auto" w:fill="FFFFFF"/>
            <w:vAlign w:val="center"/>
          </w:tcPr>
          <w:p>
            <w:pPr>
              <w:widowControl/>
              <w:snapToGrid w:val="0"/>
              <w:spacing w:line="240" w:lineRule="auto"/>
              <w:ind w:firstLine="0" w:firstLineChars="0"/>
              <w:jc w:val="center"/>
              <w:rPr>
                <w:rFonts w:hint="eastAsia" w:ascii="Times New Roman" w:hAnsi="Times New Roman" w:eastAsia="仿宋_GB2312" w:cs="Times New Roman"/>
                <w:color w:val="auto"/>
                <w:kern w:val="2"/>
                <w:sz w:val="21"/>
                <w:szCs w:val="21"/>
                <w:highlight w:val="none"/>
                <w:lang w:val="en-US" w:eastAsia="zh-CN" w:bidi="ar-SA"/>
              </w:rPr>
            </w:pPr>
            <w:r>
              <w:rPr>
                <w:rFonts w:hint="eastAsia" w:cs="Times New Roman"/>
                <w:color w:val="auto"/>
                <w:sz w:val="21"/>
                <w:szCs w:val="21"/>
                <w:highlight w:val="none"/>
                <w:lang w:val="en-US" w:eastAsia="zh-CN"/>
              </w:rPr>
              <w:t>2</w:t>
            </w:r>
          </w:p>
        </w:tc>
        <w:tc>
          <w:tcPr>
            <w:tcW w:w="952" w:type="dxa"/>
            <w:shd w:val="clear" w:color="auto" w:fill="FFFFFF"/>
            <w:vAlign w:val="center"/>
          </w:tcPr>
          <w:p>
            <w:pPr>
              <w:autoSpaceDE w:val="0"/>
              <w:snapToGrid w:val="0"/>
              <w:spacing w:line="0" w:lineRule="atLeast"/>
              <w:ind w:firstLine="0" w:firstLineChars="0"/>
              <w:jc w:val="center"/>
              <w:rPr>
                <w:rFonts w:hint="eastAsia" w:ascii="Times New Roman" w:hAnsi="Times New Roman" w:eastAsia="仿宋_GB2312" w:cs="Times New Roman"/>
                <w:color w:val="auto"/>
                <w:kern w:val="2"/>
                <w:sz w:val="21"/>
                <w:szCs w:val="21"/>
                <w:highlight w:val="none"/>
                <w:lang w:val="en-US" w:eastAsia="zh-CN" w:bidi="ar-SA"/>
              </w:rPr>
            </w:pPr>
            <w:r>
              <w:rPr>
                <w:rFonts w:hint="eastAsia" w:cs="Times New Roman"/>
                <w:color w:val="auto"/>
                <w:sz w:val="21"/>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67" w:type="dxa"/>
            <w:vMerge w:val="continue"/>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p>
        </w:tc>
        <w:tc>
          <w:tcPr>
            <w:tcW w:w="1765" w:type="dxa"/>
            <w:vMerge w:val="continue"/>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p>
        </w:tc>
        <w:tc>
          <w:tcPr>
            <w:tcW w:w="3107" w:type="dxa"/>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r>
              <w:rPr>
                <w:rFonts w:cs="Times New Roman"/>
                <w:bCs/>
                <w:color w:val="auto"/>
                <w:sz w:val="21"/>
                <w:highlight w:val="none"/>
              </w:rPr>
              <w:t>立项程序规范性</w:t>
            </w:r>
          </w:p>
        </w:tc>
        <w:tc>
          <w:tcPr>
            <w:tcW w:w="1000" w:type="dxa"/>
            <w:shd w:val="clear" w:color="auto" w:fill="FFFFFF"/>
            <w:vAlign w:val="center"/>
          </w:tcPr>
          <w:p>
            <w:pPr>
              <w:widowControl/>
              <w:snapToGrid w:val="0"/>
              <w:spacing w:line="240" w:lineRule="auto"/>
              <w:ind w:firstLine="0" w:firstLineChars="0"/>
              <w:jc w:val="center"/>
              <w:rPr>
                <w:rFonts w:hint="eastAsia" w:ascii="Times New Roman" w:hAnsi="Times New Roman" w:eastAsia="仿宋_GB2312" w:cs="Times New Roman"/>
                <w:color w:val="auto"/>
                <w:kern w:val="2"/>
                <w:sz w:val="21"/>
                <w:szCs w:val="21"/>
                <w:highlight w:val="none"/>
                <w:lang w:val="en-US" w:eastAsia="zh-CN" w:bidi="ar-SA"/>
              </w:rPr>
            </w:pPr>
            <w:r>
              <w:rPr>
                <w:rFonts w:hint="eastAsia" w:cs="Times New Roman"/>
                <w:color w:val="auto"/>
                <w:sz w:val="21"/>
                <w:szCs w:val="21"/>
                <w:highlight w:val="none"/>
                <w:lang w:val="en-US" w:eastAsia="zh-CN"/>
              </w:rPr>
              <w:t>2</w:t>
            </w:r>
          </w:p>
        </w:tc>
        <w:tc>
          <w:tcPr>
            <w:tcW w:w="952" w:type="dxa"/>
            <w:shd w:val="clear" w:color="auto" w:fill="FFFFFF"/>
            <w:vAlign w:val="center"/>
          </w:tcPr>
          <w:p>
            <w:pPr>
              <w:autoSpaceDE w:val="0"/>
              <w:snapToGrid w:val="0"/>
              <w:spacing w:line="0" w:lineRule="atLeast"/>
              <w:ind w:firstLine="0" w:firstLineChars="0"/>
              <w:jc w:val="center"/>
              <w:rPr>
                <w:rFonts w:hint="eastAsia" w:ascii="Times New Roman" w:hAnsi="Times New Roman" w:eastAsia="仿宋_GB2312" w:cs="Times New Roman"/>
                <w:color w:val="auto"/>
                <w:kern w:val="2"/>
                <w:sz w:val="21"/>
                <w:szCs w:val="21"/>
                <w:highlight w:val="none"/>
                <w:lang w:val="en-US" w:eastAsia="zh-CN" w:bidi="ar-SA"/>
              </w:rPr>
            </w:pPr>
            <w:r>
              <w:rPr>
                <w:rFonts w:hint="eastAsia" w:cs="Times New Roman"/>
                <w:color w:val="auto"/>
                <w:sz w:val="21"/>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67" w:type="dxa"/>
            <w:vMerge w:val="continue"/>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p>
        </w:tc>
        <w:tc>
          <w:tcPr>
            <w:tcW w:w="1765" w:type="dxa"/>
            <w:vMerge w:val="restart"/>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r>
              <w:rPr>
                <w:rFonts w:cs="Times New Roman"/>
                <w:bCs/>
                <w:color w:val="auto"/>
                <w:sz w:val="21"/>
                <w:highlight w:val="none"/>
              </w:rPr>
              <w:t>绩效目标</w:t>
            </w:r>
          </w:p>
        </w:tc>
        <w:tc>
          <w:tcPr>
            <w:tcW w:w="3107" w:type="dxa"/>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r>
              <w:rPr>
                <w:rFonts w:cs="Times New Roman"/>
                <w:bCs/>
                <w:color w:val="auto"/>
                <w:sz w:val="21"/>
                <w:highlight w:val="none"/>
              </w:rPr>
              <w:t>绩效目标合理性</w:t>
            </w:r>
          </w:p>
        </w:tc>
        <w:tc>
          <w:tcPr>
            <w:tcW w:w="1000" w:type="dxa"/>
            <w:shd w:val="clear" w:color="auto" w:fill="FFFFFF"/>
            <w:vAlign w:val="center"/>
          </w:tcPr>
          <w:p>
            <w:pPr>
              <w:widowControl/>
              <w:snapToGrid w:val="0"/>
              <w:spacing w:line="240" w:lineRule="auto"/>
              <w:ind w:firstLine="0" w:firstLineChars="0"/>
              <w:jc w:val="center"/>
              <w:rPr>
                <w:rFonts w:ascii="Times New Roman" w:hAnsi="Times New Roman" w:eastAsia="仿宋_GB2312" w:cs="Times New Roman"/>
                <w:color w:val="auto"/>
                <w:kern w:val="2"/>
                <w:sz w:val="21"/>
                <w:szCs w:val="21"/>
                <w:highlight w:val="none"/>
                <w:lang w:val="en-US" w:eastAsia="zh-CN" w:bidi="ar-SA"/>
              </w:rPr>
            </w:pPr>
            <w:r>
              <w:rPr>
                <w:rFonts w:cs="Times New Roman"/>
                <w:color w:val="auto"/>
                <w:sz w:val="21"/>
                <w:szCs w:val="21"/>
                <w:highlight w:val="none"/>
              </w:rPr>
              <w:t>3</w:t>
            </w:r>
          </w:p>
        </w:tc>
        <w:tc>
          <w:tcPr>
            <w:tcW w:w="952" w:type="dxa"/>
            <w:shd w:val="clear" w:color="auto" w:fill="FFFFFF"/>
            <w:vAlign w:val="center"/>
          </w:tcPr>
          <w:p>
            <w:pPr>
              <w:autoSpaceDE w:val="0"/>
              <w:snapToGrid w:val="0"/>
              <w:spacing w:line="0" w:lineRule="atLeast"/>
              <w:ind w:firstLine="0" w:firstLineChars="0"/>
              <w:jc w:val="center"/>
              <w:rPr>
                <w:rFonts w:hint="eastAsia" w:ascii="Times New Roman" w:hAnsi="Times New Roman" w:eastAsia="仿宋_GB2312" w:cs="Times New Roman"/>
                <w:color w:val="auto"/>
                <w:kern w:val="2"/>
                <w:sz w:val="21"/>
                <w:szCs w:val="21"/>
                <w:highlight w:val="none"/>
                <w:lang w:val="en-US" w:eastAsia="zh-CN" w:bidi="ar-SA"/>
              </w:rPr>
            </w:pPr>
            <w:r>
              <w:rPr>
                <w:rFonts w:hint="eastAsia" w:cs="Times New Roman"/>
                <w:color w:val="auto"/>
                <w:sz w:val="21"/>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67" w:type="dxa"/>
            <w:vMerge w:val="continue"/>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p>
        </w:tc>
        <w:tc>
          <w:tcPr>
            <w:tcW w:w="1765" w:type="dxa"/>
            <w:vMerge w:val="continue"/>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p>
        </w:tc>
        <w:tc>
          <w:tcPr>
            <w:tcW w:w="3107" w:type="dxa"/>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r>
              <w:rPr>
                <w:rFonts w:cs="Times New Roman"/>
                <w:bCs/>
                <w:color w:val="auto"/>
                <w:sz w:val="21"/>
                <w:highlight w:val="none"/>
              </w:rPr>
              <w:t>绩效指标明确性</w:t>
            </w:r>
          </w:p>
        </w:tc>
        <w:tc>
          <w:tcPr>
            <w:tcW w:w="1000" w:type="dxa"/>
            <w:shd w:val="clear" w:color="auto" w:fill="FFFFFF"/>
            <w:vAlign w:val="center"/>
          </w:tcPr>
          <w:p>
            <w:pPr>
              <w:widowControl/>
              <w:snapToGrid w:val="0"/>
              <w:spacing w:line="240" w:lineRule="auto"/>
              <w:ind w:firstLine="0" w:firstLineChars="0"/>
              <w:jc w:val="center"/>
              <w:rPr>
                <w:rFonts w:ascii="Times New Roman" w:hAnsi="Times New Roman" w:eastAsia="仿宋_GB2312" w:cs="Times New Roman"/>
                <w:color w:val="auto"/>
                <w:kern w:val="2"/>
                <w:sz w:val="21"/>
                <w:szCs w:val="21"/>
                <w:highlight w:val="none"/>
                <w:lang w:val="en-US" w:eastAsia="zh-CN" w:bidi="ar-SA"/>
              </w:rPr>
            </w:pPr>
            <w:r>
              <w:rPr>
                <w:rFonts w:cs="Times New Roman"/>
                <w:color w:val="auto"/>
                <w:sz w:val="21"/>
                <w:szCs w:val="21"/>
                <w:highlight w:val="none"/>
              </w:rPr>
              <w:t>3</w:t>
            </w:r>
          </w:p>
        </w:tc>
        <w:tc>
          <w:tcPr>
            <w:tcW w:w="952" w:type="dxa"/>
            <w:shd w:val="clear" w:color="auto" w:fill="FFFFFF"/>
            <w:vAlign w:val="center"/>
          </w:tcPr>
          <w:p>
            <w:pPr>
              <w:autoSpaceDE w:val="0"/>
              <w:snapToGrid w:val="0"/>
              <w:spacing w:line="0" w:lineRule="atLeast"/>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eastAsia" w:cs="Times New Roman"/>
                <w:color w:val="auto"/>
                <w:sz w:val="21"/>
                <w:highlight w:val="none"/>
                <w:lang w:val="en-US" w:eastAsia="zh-CN"/>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67" w:type="dxa"/>
            <w:vMerge w:val="continue"/>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p>
        </w:tc>
        <w:tc>
          <w:tcPr>
            <w:tcW w:w="1765" w:type="dxa"/>
            <w:vMerge w:val="restart"/>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r>
              <w:rPr>
                <w:rFonts w:hint="eastAsia" w:cs="Times New Roman"/>
                <w:bCs/>
                <w:color w:val="auto"/>
                <w:sz w:val="21"/>
                <w:highlight w:val="none"/>
              </w:rPr>
              <w:t>资金投入</w:t>
            </w:r>
          </w:p>
        </w:tc>
        <w:tc>
          <w:tcPr>
            <w:tcW w:w="3107" w:type="dxa"/>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cs="Times New Roman"/>
                <w:bCs/>
                <w:color w:val="auto"/>
                <w:sz w:val="21"/>
                <w:highlight w:val="none"/>
              </w:rPr>
            </w:pPr>
            <w:r>
              <w:rPr>
                <w:rFonts w:hint="eastAsia" w:cs="Times New Roman"/>
                <w:bCs/>
                <w:color w:val="auto"/>
                <w:sz w:val="21"/>
                <w:highlight w:val="none"/>
              </w:rPr>
              <w:t>预算编制科学性</w:t>
            </w:r>
          </w:p>
        </w:tc>
        <w:tc>
          <w:tcPr>
            <w:tcW w:w="1000" w:type="dxa"/>
            <w:shd w:val="clear" w:color="auto" w:fill="FFFFFF"/>
            <w:vAlign w:val="center"/>
          </w:tcPr>
          <w:p>
            <w:pPr>
              <w:widowControl/>
              <w:snapToGrid w:val="0"/>
              <w:spacing w:line="240" w:lineRule="auto"/>
              <w:ind w:firstLine="0" w:firstLineChars="0"/>
              <w:jc w:val="center"/>
              <w:rPr>
                <w:rFonts w:ascii="Times New Roman" w:hAnsi="Times New Roman" w:eastAsia="仿宋_GB2312" w:cs="Times New Roman"/>
                <w:color w:val="auto"/>
                <w:kern w:val="2"/>
                <w:sz w:val="21"/>
                <w:szCs w:val="21"/>
                <w:highlight w:val="none"/>
                <w:lang w:val="en-US" w:eastAsia="zh-CN" w:bidi="ar-SA"/>
              </w:rPr>
            </w:pPr>
            <w:r>
              <w:rPr>
                <w:rFonts w:cs="Times New Roman"/>
                <w:color w:val="auto"/>
                <w:sz w:val="21"/>
                <w:szCs w:val="21"/>
                <w:highlight w:val="none"/>
              </w:rPr>
              <w:t>4</w:t>
            </w:r>
          </w:p>
        </w:tc>
        <w:tc>
          <w:tcPr>
            <w:tcW w:w="952" w:type="dxa"/>
            <w:shd w:val="clear" w:color="auto" w:fill="FFFFFF"/>
            <w:vAlign w:val="center"/>
          </w:tcPr>
          <w:p>
            <w:pPr>
              <w:autoSpaceDE w:val="0"/>
              <w:snapToGrid w:val="0"/>
              <w:spacing w:line="0" w:lineRule="atLeast"/>
              <w:ind w:firstLine="0" w:firstLineChars="0"/>
              <w:jc w:val="center"/>
              <w:rPr>
                <w:rFonts w:hint="eastAsia" w:ascii="Times New Roman" w:hAnsi="Times New Roman" w:eastAsia="仿宋_GB2312" w:cs="Times New Roman"/>
                <w:color w:val="auto"/>
                <w:kern w:val="2"/>
                <w:sz w:val="21"/>
                <w:szCs w:val="21"/>
                <w:highlight w:val="none"/>
                <w:lang w:val="en-US" w:eastAsia="zh-CN" w:bidi="ar-SA"/>
              </w:rPr>
            </w:pPr>
            <w:r>
              <w:rPr>
                <w:rFonts w:hint="eastAsia" w:cs="Times New Roman"/>
                <w:color w:val="auto"/>
                <w:sz w:val="21"/>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67" w:type="dxa"/>
            <w:vMerge w:val="continue"/>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p>
        </w:tc>
        <w:tc>
          <w:tcPr>
            <w:tcW w:w="1765" w:type="dxa"/>
            <w:vMerge w:val="continue"/>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p>
        </w:tc>
        <w:tc>
          <w:tcPr>
            <w:tcW w:w="3107" w:type="dxa"/>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cs="Times New Roman"/>
                <w:bCs/>
                <w:color w:val="auto"/>
                <w:sz w:val="21"/>
                <w:highlight w:val="none"/>
              </w:rPr>
            </w:pPr>
            <w:r>
              <w:rPr>
                <w:rFonts w:hint="eastAsia" w:cs="Times New Roman"/>
                <w:bCs/>
                <w:color w:val="auto"/>
                <w:sz w:val="21"/>
                <w:highlight w:val="none"/>
              </w:rPr>
              <w:t>资金分配合理性</w:t>
            </w:r>
          </w:p>
        </w:tc>
        <w:tc>
          <w:tcPr>
            <w:tcW w:w="1000" w:type="dxa"/>
            <w:shd w:val="clear" w:color="auto" w:fill="FFFFFF"/>
            <w:vAlign w:val="center"/>
          </w:tcPr>
          <w:p>
            <w:pPr>
              <w:widowControl/>
              <w:snapToGrid w:val="0"/>
              <w:spacing w:line="240" w:lineRule="auto"/>
              <w:ind w:firstLine="0" w:firstLineChars="0"/>
              <w:jc w:val="center"/>
              <w:rPr>
                <w:rFonts w:ascii="Times New Roman" w:hAnsi="Times New Roman" w:eastAsia="仿宋_GB2312" w:cs="Times New Roman"/>
                <w:color w:val="auto"/>
                <w:kern w:val="2"/>
                <w:sz w:val="21"/>
                <w:szCs w:val="21"/>
                <w:highlight w:val="none"/>
                <w:lang w:val="en-US" w:eastAsia="zh-CN" w:bidi="ar-SA"/>
              </w:rPr>
            </w:pPr>
            <w:r>
              <w:rPr>
                <w:rFonts w:cs="Times New Roman"/>
                <w:color w:val="auto"/>
                <w:sz w:val="21"/>
                <w:szCs w:val="21"/>
                <w:highlight w:val="none"/>
              </w:rPr>
              <w:t>4</w:t>
            </w:r>
          </w:p>
        </w:tc>
        <w:tc>
          <w:tcPr>
            <w:tcW w:w="952" w:type="dxa"/>
            <w:shd w:val="clear" w:color="auto" w:fill="FFFFFF"/>
            <w:vAlign w:val="center"/>
          </w:tcPr>
          <w:p>
            <w:pPr>
              <w:autoSpaceDE w:val="0"/>
              <w:snapToGrid w:val="0"/>
              <w:spacing w:line="0" w:lineRule="atLeast"/>
              <w:ind w:firstLine="0" w:firstLineChars="0"/>
              <w:jc w:val="center"/>
              <w:rPr>
                <w:rFonts w:hint="eastAsia" w:ascii="Times New Roman" w:hAnsi="Times New Roman" w:eastAsia="仿宋_GB2312" w:cs="Times New Roman"/>
                <w:color w:val="auto"/>
                <w:kern w:val="2"/>
                <w:sz w:val="21"/>
                <w:szCs w:val="21"/>
                <w:highlight w:val="none"/>
                <w:lang w:val="en-US" w:eastAsia="zh-CN" w:bidi="ar-SA"/>
              </w:rPr>
            </w:pPr>
            <w:r>
              <w:rPr>
                <w:rFonts w:hint="eastAsia" w:cs="Times New Roman"/>
                <w:color w:val="auto"/>
                <w:sz w:val="21"/>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67" w:type="dxa"/>
            <w:vMerge w:val="restart"/>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r>
              <w:rPr>
                <w:rFonts w:hint="eastAsia" w:cs="Times New Roman"/>
                <w:bCs/>
                <w:color w:val="auto"/>
                <w:sz w:val="21"/>
                <w:highlight w:val="none"/>
              </w:rPr>
              <w:t>项目过程</w:t>
            </w:r>
          </w:p>
        </w:tc>
        <w:tc>
          <w:tcPr>
            <w:tcW w:w="1765" w:type="dxa"/>
            <w:vMerge w:val="restart"/>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r>
              <w:rPr>
                <w:rFonts w:hint="eastAsia" w:cs="Times New Roman"/>
                <w:bCs/>
                <w:color w:val="auto"/>
                <w:sz w:val="21"/>
                <w:highlight w:val="none"/>
              </w:rPr>
              <w:t>资金管理</w:t>
            </w:r>
          </w:p>
        </w:tc>
        <w:tc>
          <w:tcPr>
            <w:tcW w:w="310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r>
              <w:rPr>
                <w:rFonts w:hint="eastAsia" w:cs="Times New Roman"/>
                <w:bCs/>
                <w:color w:val="auto"/>
                <w:sz w:val="21"/>
                <w:highlight w:val="none"/>
              </w:rPr>
              <w:t>资金到位率</w:t>
            </w:r>
          </w:p>
        </w:tc>
        <w:tc>
          <w:tcPr>
            <w:tcW w:w="100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napToGrid w:val="0"/>
              <w:spacing w:line="240" w:lineRule="auto"/>
              <w:ind w:firstLine="0" w:firstLineChars="0"/>
              <w:jc w:val="center"/>
              <w:rPr>
                <w:rFonts w:hint="eastAsia" w:ascii="Times New Roman" w:hAnsi="Times New Roman" w:eastAsia="仿宋_GB2312" w:cs="Times New Roman"/>
                <w:color w:val="auto"/>
                <w:kern w:val="2"/>
                <w:sz w:val="21"/>
                <w:szCs w:val="21"/>
                <w:highlight w:val="none"/>
                <w:lang w:val="en-US" w:eastAsia="zh-CN" w:bidi="ar-SA"/>
              </w:rPr>
            </w:pPr>
            <w:r>
              <w:rPr>
                <w:rFonts w:hint="eastAsia" w:cs="Times New Roman"/>
                <w:color w:val="auto"/>
                <w:sz w:val="21"/>
                <w:szCs w:val="21"/>
                <w:highlight w:val="none"/>
                <w:lang w:val="en-US" w:eastAsia="zh-CN"/>
              </w:rPr>
              <w:t>3</w:t>
            </w:r>
          </w:p>
        </w:tc>
        <w:tc>
          <w:tcPr>
            <w:tcW w:w="952"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0" w:lineRule="atLeast"/>
              <w:ind w:firstLine="0" w:firstLineChars="0"/>
              <w:jc w:val="center"/>
              <w:rPr>
                <w:rFonts w:hint="eastAsia" w:ascii="Times New Roman" w:hAnsi="Times New Roman" w:eastAsia="仿宋_GB2312" w:cs="Times New Roman"/>
                <w:bCs/>
                <w:color w:val="auto"/>
                <w:kern w:val="2"/>
                <w:sz w:val="21"/>
                <w:szCs w:val="21"/>
                <w:highlight w:val="none"/>
                <w:lang w:val="en-US" w:eastAsia="zh-CN" w:bidi="ar-SA"/>
              </w:rPr>
            </w:pPr>
            <w:r>
              <w:rPr>
                <w:rFonts w:hint="eastAsia" w:cs="Times New Roman"/>
                <w:bCs/>
                <w:color w:val="auto"/>
                <w:sz w:val="21"/>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67" w:type="dxa"/>
            <w:vMerge w:val="continue"/>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p>
        </w:tc>
        <w:tc>
          <w:tcPr>
            <w:tcW w:w="1765" w:type="dxa"/>
            <w:vMerge w:val="continue"/>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p>
        </w:tc>
        <w:tc>
          <w:tcPr>
            <w:tcW w:w="310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r>
              <w:rPr>
                <w:rFonts w:hint="eastAsia" w:cs="Times New Roman"/>
                <w:bCs/>
                <w:color w:val="auto"/>
                <w:sz w:val="21"/>
                <w:highlight w:val="none"/>
              </w:rPr>
              <w:t>预算执行率</w:t>
            </w:r>
          </w:p>
        </w:tc>
        <w:tc>
          <w:tcPr>
            <w:tcW w:w="100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napToGrid w:val="0"/>
              <w:spacing w:line="240" w:lineRule="auto"/>
              <w:ind w:firstLine="0" w:firstLineChars="0"/>
              <w:jc w:val="center"/>
              <w:rPr>
                <w:rFonts w:hint="eastAsia" w:ascii="Times New Roman" w:hAnsi="Times New Roman" w:eastAsia="仿宋_GB2312" w:cs="Times New Roman"/>
                <w:color w:val="auto"/>
                <w:kern w:val="2"/>
                <w:sz w:val="21"/>
                <w:szCs w:val="21"/>
                <w:highlight w:val="none"/>
                <w:lang w:val="en-US" w:eastAsia="zh-CN" w:bidi="ar-SA"/>
              </w:rPr>
            </w:pPr>
            <w:r>
              <w:rPr>
                <w:rFonts w:hint="eastAsia" w:cs="Times New Roman"/>
                <w:color w:val="auto"/>
                <w:sz w:val="21"/>
                <w:szCs w:val="21"/>
                <w:highlight w:val="none"/>
                <w:lang w:val="en-US" w:eastAsia="zh-CN"/>
              </w:rPr>
              <w:t>3</w:t>
            </w:r>
          </w:p>
        </w:tc>
        <w:tc>
          <w:tcPr>
            <w:tcW w:w="952"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0" w:lineRule="atLeast"/>
              <w:ind w:firstLine="0" w:firstLineChars="0"/>
              <w:jc w:val="center"/>
              <w:rPr>
                <w:rFonts w:hint="default" w:ascii="Times New Roman" w:hAnsi="Times New Roman" w:eastAsia="仿宋_GB2312" w:cs="Times New Roman"/>
                <w:bCs/>
                <w:color w:val="auto"/>
                <w:kern w:val="2"/>
                <w:sz w:val="21"/>
                <w:szCs w:val="21"/>
                <w:highlight w:val="none"/>
                <w:lang w:val="en-US" w:eastAsia="zh-CN" w:bidi="ar-SA"/>
              </w:rPr>
            </w:pPr>
            <w:r>
              <w:rPr>
                <w:rFonts w:hint="eastAsia" w:cs="Times New Roman"/>
                <w:bCs/>
                <w:color w:val="auto"/>
                <w:sz w:val="21"/>
                <w:highlight w:val="none"/>
                <w:lang w:val="en-US" w:eastAsia="zh-CN"/>
              </w:rPr>
              <w:t>1.77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67" w:type="dxa"/>
            <w:vMerge w:val="continue"/>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p>
        </w:tc>
        <w:tc>
          <w:tcPr>
            <w:tcW w:w="1765" w:type="dxa"/>
            <w:vMerge w:val="continue"/>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p>
        </w:tc>
        <w:tc>
          <w:tcPr>
            <w:tcW w:w="310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r>
              <w:rPr>
                <w:rFonts w:hint="eastAsia" w:cs="Times New Roman"/>
                <w:bCs/>
                <w:color w:val="auto"/>
                <w:sz w:val="21"/>
                <w:highlight w:val="none"/>
              </w:rPr>
              <w:t>资金使用合规性</w:t>
            </w:r>
          </w:p>
        </w:tc>
        <w:tc>
          <w:tcPr>
            <w:tcW w:w="100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napToGrid w:val="0"/>
              <w:spacing w:line="240" w:lineRule="auto"/>
              <w:ind w:firstLine="0" w:firstLineChars="0"/>
              <w:jc w:val="center"/>
              <w:rPr>
                <w:rFonts w:ascii="Times New Roman" w:hAnsi="Times New Roman" w:eastAsia="仿宋_GB2312" w:cs="Times New Roman"/>
                <w:color w:val="auto"/>
                <w:kern w:val="2"/>
                <w:sz w:val="21"/>
                <w:szCs w:val="21"/>
                <w:highlight w:val="none"/>
                <w:lang w:val="en-US" w:eastAsia="zh-CN" w:bidi="ar-SA"/>
              </w:rPr>
            </w:pPr>
            <w:r>
              <w:rPr>
                <w:rFonts w:cs="Times New Roman"/>
                <w:color w:val="auto"/>
                <w:sz w:val="21"/>
                <w:szCs w:val="21"/>
                <w:highlight w:val="none"/>
              </w:rPr>
              <w:t>4</w:t>
            </w:r>
          </w:p>
        </w:tc>
        <w:tc>
          <w:tcPr>
            <w:tcW w:w="952"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0" w:lineRule="atLeast"/>
              <w:ind w:firstLine="0" w:firstLineChars="0"/>
              <w:jc w:val="center"/>
              <w:rPr>
                <w:rFonts w:hint="eastAsia" w:ascii="Times New Roman" w:hAnsi="Times New Roman" w:eastAsia="仿宋_GB2312" w:cs="Times New Roman"/>
                <w:bCs/>
                <w:color w:val="auto"/>
                <w:kern w:val="2"/>
                <w:sz w:val="21"/>
                <w:szCs w:val="21"/>
                <w:highlight w:val="none"/>
                <w:lang w:val="en-US" w:eastAsia="zh-CN" w:bidi="ar-SA"/>
              </w:rPr>
            </w:pPr>
            <w:r>
              <w:rPr>
                <w:rFonts w:hint="eastAsia" w:cs="Times New Roman"/>
                <w:bCs/>
                <w:color w:val="auto"/>
                <w:sz w:val="21"/>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67" w:type="dxa"/>
            <w:vMerge w:val="continue"/>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p>
        </w:tc>
        <w:tc>
          <w:tcPr>
            <w:tcW w:w="1765" w:type="dxa"/>
            <w:vMerge w:val="restart"/>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r>
              <w:rPr>
                <w:rFonts w:hint="eastAsia" w:cs="Times New Roman"/>
                <w:bCs/>
                <w:color w:val="auto"/>
                <w:sz w:val="21"/>
                <w:highlight w:val="none"/>
              </w:rPr>
              <w:t>组织实施</w:t>
            </w:r>
          </w:p>
        </w:tc>
        <w:tc>
          <w:tcPr>
            <w:tcW w:w="310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r>
              <w:rPr>
                <w:rFonts w:hint="eastAsia" w:cs="Times New Roman"/>
                <w:bCs/>
                <w:color w:val="auto"/>
                <w:sz w:val="21"/>
                <w:highlight w:val="none"/>
              </w:rPr>
              <w:t>管理制度健全性</w:t>
            </w:r>
          </w:p>
        </w:tc>
        <w:tc>
          <w:tcPr>
            <w:tcW w:w="100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napToGrid w:val="0"/>
              <w:spacing w:line="240" w:lineRule="auto"/>
              <w:ind w:firstLine="0" w:firstLineChars="0"/>
              <w:jc w:val="center"/>
              <w:rPr>
                <w:rFonts w:hint="eastAsia" w:ascii="Times New Roman" w:hAnsi="Times New Roman" w:eastAsia="仿宋_GB2312" w:cs="Times New Roman"/>
                <w:color w:val="auto"/>
                <w:kern w:val="2"/>
                <w:sz w:val="21"/>
                <w:szCs w:val="21"/>
                <w:highlight w:val="none"/>
                <w:lang w:val="en-US" w:eastAsia="zh-CN" w:bidi="ar-SA"/>
              </w:rPr>
            </w:pPr>
            <w:r>
              <w:rPr>
                <w:rFonts w:hint="eastAsia" w:cs="Times New Roman"/>
                <w:color w:val="auto"/>
                <w:sz w:val="21"/>
                <w:szCs w:val="21"/>
                <w:highlight w:val="none"/>
                <w:lang w:val="en-US" w:eastAsia="zh-CN"/>
              </w:rPr>
              <w:t>5</w:t>
            </w:r>
          </w:p>
        </w:tc>
        <w:tc>
          <w:tcPr>
            <w:tcW w:w="952"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0" w:lineRule="atLeast"/>
              <w:ind w:firstLine="0" w:firstLineChars="0"/>
              <w:jc w:val="center"/>
              <w:rPr>
                <w:rFonts w:hint="eastAsia" w:ascii="Times New Roman" w:hAnsi="Times New Roman" w:eastAsia="仿宋_GB2312" w:cs="Times New Roman"/>
                <w:bCs/>
                <w:color w:val="auto"/>
                <w:kern w:val="2"/>
                <w:sz w:val="21"/>
                <w:szCs w:val="21"/>
                <w:highlight w:val="none"/>
                <w:lang w:val="en-US" w:eastAsia="zh-CN" w:bidi="ar-SA"/>
              </w:rPr>
            </w:pPr>
            <w:r>
              <w:rPr>
                <w:rFonts w:hint="eastAsia" w:cs="Times New Roman"/>
                <w:bCs/>
                <w:color w:val="auto"/>
                <w:sz w:val="21"/>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67" w:type="dxa"/>
            <w:vMerge w:val="continue"/>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p>
        </w:tc>
        <w:tc>
          <w:tcPr>
            <w:tcW w:w="1765" w:type="dxa"/>
            <w:vMerge w:val="continue"/>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p>
        </w:tc>
        <w:tc>
          <w:tcPr>
            <w:tcW w:w="310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r>
              <w:rPr>
                <w:rFonts w:hint="eastAsia" w:cs="Times New Roman"/>
                <w:bCs/>
                <w:color w:val="auto"/>
                <w:sz w:val="21"/>
                <w:highlight w:val="none"/>
              </w:rPr>
              <w:t>制度执行有效性</w:t>
            </w:r>
          </w:p>
        </w:tc>
        <w:tc>
          <w:tcPr>
            <w:tcW w:w="100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napToGrid w:val="0"/>
              <w:spacing w:line="240" w:lineRule="auto"/>
              <w:ind w:firstLine="0" w:firstLineChars="0"/>
              <w:jc w:val="center"/>
              <w:rPr>
                <w:rFonts w:hint="eastAsia" w:ascii="Times New Roman" w:hAnsi="Times New Roman" w:eastAsia="仿宋_GB2312" w:cs="Times New Roman"/>
                <w:color w:val="auto"/>
                <w:kern w:val="2"/>
                <w:sz w:val="21"/>
                <w:szCs w:val="21"/>
                <w:highlight w:val="none"/>
                <w:lang w:val="en-US" w:eastAsia="zh-CN" w:bidi="ar-SA"/>
              </w:rPr>
            </w:pPr>
            <w:r>
              <w:rPr>
                <w:rFonts w:hint="eastAsia" w:cs="Times New Roman"/>
                <w:color w:val="auto"/>
                <w:sz w:val="21"/>
                <w:szCs w:val="21"/>
                <w:highlight w:val="none"/>
                <w:lang w:val="en-US" w:eastAsia="zh-CN"/>
              </w:rPr>
              <w:t>5</w:t>
            </w:r>
          </w:p>
        </w:tc>
        <w:tc>
          <w:tcPr>
            <w:tcW w:w="952"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0" w:lineRule="atLeast"/>
              <w:ind w:firstLine="0" w:firstLineChars="0"/>
              <w:jc w:val="center"/>
              <w:rPr>
                <w:rFonts w:hint="eastAsia" w:ascii="Times New Roman" w:hAnsi="Times New Roman" w:eastAsia="仿宋_GB2312" w:cs="Times New Roman"/>
                <w:bCs/>
                <w:color w:val="auto"/>
                <w:kern w:val="2"/>
                <w:sz w:val="21"/>
                <w:szCs w:val="21"/>
                <w:highlight w:val="none"/>
                <w:lang w:val="en-US" w:eastAsia="zh-CN" w:bidi="ar-SA"/>
              </w:rPr>
            </w:pPr>
            <w:r>
              <w:rPr>
                <w:rFonts w:hint="eastAsia" w:cs="Times New Roman"/>
                <w:bCs/>
                <w:color w:val="auto"/>
                <w:sz w:val="21"/>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7" w:type="dxa"/>
            <w:vMerge w:val="restart"/>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r>
              <w:rPr>
                <w:rFonts w:cs="Times New Roman"/>
                <w:bCs/>
                <w:color w:val="auto"/>
                <w:sz w:val="21"/>
                <w:highlight w:val="none"/>
              </w:rPr>
              <w:t>项目产出</w:t>
            </w:r>
          </w:p>
        </w:tc>
        <w:tc>
          <w:tcPr>
            <w:tcW w:w="1765" w:type="dxa"/>
            <w:vMerge w:val="restart"/>
            <w:shd w:val="clear" w:color="auto" w:fill="FFFFFF"/>
            <w:vAlign w:val="center"/>
          </w:tcPr>
          <w:p>
            <w:pPr>
              <w:keepNext w:val="0"/>
              <w:keepLines w:val="0"/>
              <w:pageBreakBefore w:val="0"/>
              <w:widowControl/>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r>
              <w:rPr>
                <w:rFonts w:hint="eastAsia" w:cs="宋体"/>
                <w:color w:val="auto"/>
                <w:kern w:val="0"/>
                <w:sz w:val="21"/>
                <w:highlight w:val="none"/>
              </w:rPr>
              <w:t>产出数量</w:t>
            </w:r>
          </w:p>
        </w:tc>
        <w:tc>
          <w:tcPr>
            <w:tcW w:w="310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N/>
              <w:bidi w:val="0"/>
              <w:adjustRightInd/>
              <w:snapToGrid w:val="0"/>
              <w:spacing w:line="240" w:lineRule="atLeast"/>
              <w:ind w:firstLine="0" w:firstLineChars="0"/>
              <w:jc w:val="center"/>
              <w:rPr>
                <w:rFonts w:ascii="仿宋_GB2312" w:hAnsi="宋体" w:cs="宋体"/>
                <w:color w:val="auto"/>
                <w:sz w:val="21"/>
                <w:highlight w:val="none"/>
              </w:rPr>
            </w:pPr>
            <w:r>
              <w:rPr>
                <w:rFonts w:hint="eastAsia" w:cs="Times New Roman"/>
                <w:color w:val="auto"/>
                <w:kern w:val="2"/>
                <w:sz w:val="21"/>
                <w:szCs w:val="21"/>
                <w:highlight w:val="none"/>
                <w:vertAlign w:val="baseline"/>
                <w:lang w:val="en-US" w:eastAsia="zh-CN" w:bidi="ar-SA"/>
              </w:rPr>
              <w:t>康复服务工作完成率</w:t>
            </w:r>
          </w:p>
        </w:tc>
        <w:tc>
          <w:tcPr>
            <w:tcW w:w="100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napToGrid w:val="0"/>
              <w:spacing w:line="240" w:lineRule="auto"/>
              <w:ind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6</w:t>
            </w:r>
          </w:p>
        </w:tc>
        <w:tc>
          <w:tcPr>
            <w:tcW w:w="95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Calibri"/>
                <w:color w:val="auto"/>
                <w:kern w:val="2"/>
                <w:sz w:val="21"/>
                <w:szCs w:val="21"/>
                <w:highlight w:val="none"/>
                <w:lang w:val="en-US" w:eastAsia="zh-CN" w:bidi="ar-SA"/>
              </w:rPr>
            </w:pPr>
            <w:r>
              <w:rPr>
                <w:rFonts w:hint="eastAsia"/>
                <w:color w:val="auto"/>
                <w:sz w:val="21"/>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7" w:type="dxa"/>
            <w:vMerge w:val="continue"/>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p>
        </w:tc>
        <w:tc>
          <w:tcPr>
            <w:tcW w:w="1765" w:type="dxa"/>
            <w:vMerge w:val="continue"/>
            <w:shd w:val="clear" w:color="auto" w:fill="FFFFFF"/>
            <w:vAlign w:val="center"/>
          </w:tcPr>
          <w:p>
            <w:pPr>
              <w:keepNext w:val="0"/>
              <w:keepLines w:val="0"/>
              <w:pageBreakBefore w:val="0"/>
              <w:widowControl/>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p>
        </w:tc>
        <w:tc>
          <w:tcPr>
            <w:tcW w:w="310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N/>
              <w:bidi w:val="0"/>
              <w:adjustRightInd/>
              <w:snapToGrid w:val="0"/>
              <w:spacing w:line="240" w:lineRule="atLeast"/>
              <w:ind w:firstLine="0" w:firstLineChars="0"/>
              <w:jc w:val="center"/>
              <w:rPr>
                <w:rFonts w:ascii="仿宋_GB2312" w:hAnsi="宋体" w:cs="宋体"/>
                <w:color w:val="auto"/>
                <w:sz w:val="21"/>
                <w:highlight w:val="none"/>
              </w:rPr>
            </w:pPr>
            <w:r>
              <w:rPr>
                <w:rFonts w:hint="eastAsia" w:cs="Times New Roman"/>
                <w:color w:val="auto"/>
                <w:kern w:val="2"/>
                <w:sz w:val="21"/>
                <w:szCs w:val="21"/>
                <w:highlight w:val="none"/>
                <w:vertAlign w:val="baseline"/>
                <w:lang w:val="en-US" w:eastAsia="zh-CN" w:bidi="ar-SA"/>
              </w:rPr>
              <w:t>残疾儿童康复工作完成率</w:t>
            </w:r>
          </w:p>
        </w:tc>
        <w:tc>
          <w:tcPr>
            <w:tcW w:w="100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napToGrid w:val="0"/>
              <w:spacing w:line="240" w:lineRule="auto"/>
              <w:ind w:firstLine="0" w:firstLineChars="0"/>
              <w:jc w:val="center"/>
              <w:rPr>
                <w:rFonts w:hint="default" w:ascii="Times New Roman" w:hAnsi="Times New Roman" w:eastAsia="仿宋_GB2312" w:cs="Times New Roman"/>
                <w:color w:val="auto"/>
                <w:kern w:val="2"/>
                <w:sz w:val="21"/>
                <w:szCs w:val="21"/>
                <w:highlight w:val="none"/>
                <w:vertAlign w:val="baseline"/>
                <w:lang w:val="en-US" w:eastAsia="zh-CN" w:bidi="ar-SA"/>
              </w:rPr>
            </w:pPr>
            <w:r>
              <w:rPr>
                <w:rFonts w:hint="eastAsia" w:cs="Times New Roman"/>
                <w:color w:val="auto"/>
                <w:kern w:val="2"/>
                <w:sz w:val="21"/>
                <w:szCs w:val="21"/>
                <w:highlight w:val="none"/>
                <w:vertAlign w:val="baseline"/>
                <w:lang w:val="en-US" w:eastAsia="zh-CN" w:bidi="ar-SA"/>
              </w:rPr>
              <w:t>6</w:t>
            </w:r>
          </w:p>
        </w:tc>
        <w:tc>
          <w:tcPr>
            <w:tcW w:w="95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Calibri"/>
                <w:color w:val="auto"/>
                <w:kern w:val="2"/>
                <w:sz w:val="21"/>
                <w:szCs w:val="21"/>
                <w:highlight w:val="none"/>
                <w:lang w:val="en-US" w:eastAsia="zh-CN" w:bidi="ar-SA"/>
              </w:rPr>
            </w:pPr>
            <w:r>
              <w:rPr>
                <w:rFonts w:hint="eastAsia"/>
                <w:color w:val="auto"/>
                <w:sz w:val="21"/>
                <w:highlight w:val="none"/>
                <w:lang w:val="en-US" w:eastAsia="zh-CN"/>
              </w:rPr>
              <w:t>5.26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7" w:type="dxa"/>
            <w:vMerge w:val="continue"/>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p>
        </w:tc>
        <w:tc>
          <w:tcPr>
            <w:tcW w:w="1765" w:type="dxa"/>
            <w:vMerge w:val="continue"/>
            <w:shd w:val="clear" w:color="auto" w:fill="FFFFFF"/>
            <w:vAlign w:val="center"/>
          </w:tcPr>
          <w:p>
            <w:pPr>
              <w:keepNext w:val="0"/>
              <w:keepLines w:val="0"/>
              <w:pageBreakBefore w:val="0"/>
              <w:widowControl/>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p>
        </w:tc>
        <w:tc>
          <w:tcPr>
            <w:tcW w:w="310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N/>
              <w:bidi w:val="0"/>
              <w:adjustRightInd/>
              <w:snapToGrid w:val="0"/>
              <w:spacing w:line="240" w:lineRule="atLeast"/>
              <w:ind w:firstLine="0" w:firstLineChars="0"/>
              <w:jc w:val="center"/>
              <w:rPr>
                <w:rFonts w:ascii="仿宋_GB2312" w:hAnsi="宋体" w:cs="宋体"/>
                <w:color w:val="auto"/>
                <w:sz w:val="21"/>
                <w:highlight w:val="none"/>
              </w:rPr>
            </w:pPr>
            <w:r>
              <w:rPr>
                <w:rFonts w:hint="eastAsia" w:cs="Times New Roman"/>
                <w:color w:val="auto"/>
                <w:kern w:val="2"/>
                <w:sz w:val="21"/>
                <w:szCs w:val="21"/>
                <w:highlight w:val="none"/>
                <w:vertAlign w:val="baseline"/>
                <w:lang w:val="en-US" w:eastAsia="zh-CN" w:bidi="ar-SA"/>
              </w:rPr>
              <w:t>辅助器具适配人数</w:t>
            </w:r>
          </w:p>
        </w:tc>
        <w:tc>
          <w:tcPr>
            <w:tcW w:w="100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napToGrid w:val="0"/>
              <w:spacing w:line="240" w:lineRule="auto"/>
              <w:ind w:firstLine="0" w:firstLineChars="0"/>
              <w:jc w:val="center"/>
              <w:rPr>
                <w:rFonts w:hint="default" w:ascii="Times New Roman" w:hAnsi="Times New Roman" w:eastAsia="仿宋_GB2312" w:cs="Times New Roman"/>
                <w:color w:val="auto"/>
                <w:kern w:val="2"/>
                <w:sz w:val="21"/>
                <w:szCs w:val="21"/>
                <w:highlight w:val="none"/>
                <w:vertAlign w:val="baseline"/>
                <w:lang w:val="en-US" w:eastAsia="zh-CN" w:bidi="ar-SA"/>
              </w:rPr>
            </w:pPr>
            <w:r>
              <w:rPr>
                <w:rFonts w:hint="eastAsia" w:cs="Times New Roman"/>
                <w:color w:val="auto"/>
                <w:kern w:val="2"/>
                <w:sz w:val="21"/>
                <w:szCs w:val="21"/>
                <w:highlight w:val="none"/>
                <w:vertAlign w:val="baseline"/>
                <w:lang w:val="en-US" w:eastAsia="zh-CN" w:bidi="ar-SA"/>
              </w:rPr>
              <w:t>4</w:t>
            </w:r>
          </w:p>
        </w:tc>
        <w:tc>
          <w:tcPr>
            <w:tcW w:w="95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Calibri"/>
                <w:color w:val="auto"/>
                <w:kern w:val="2"/>
                <w:sz w:val="21"/>
                <w:szCs w:val="21"/>
                <w:highlight w:val="none"/>
                <w:lang w:val="en-US" w:eastAsia="zh-CN" w:bidi="ar-SA"/>
              </w:rPr>
            </w:pPr>
            <w:r>
              <w:rPr>
                <w:rFonts w:hint="eastAsia"/>
                <w:color w:val="auto"/>
                <w:sz w:val="21"/>
                <w:highlight w:val="none"/>
                <w:lang w:val="en-US" w:eastAsia="zh-CN"/>
              </w:rPr>
              <w:t>1.63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7" w:type="dxa"/>
            <w:vMerge w:val="continue"/>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p>
        </w:tc>
        <w:tc>
          <w:tcPr>
            <w:tcW w:w="1765" w:type="dxa"/>
            <w:vMerge w:val="continue"/>
            <w:shd w:val="clear" w:color="auto" w:fill="FFFFFF"/>
            <w:vAlign w:val="center"/>
          </w:tcPr>
          <w:p>
            <w:pPr>
              <w:keepNext w:val="0"/>
              <w:keepLines w:val="0"/>
              <w:pageBreakBefore w:val="0"/>
              <w:widowControl/>
              <w:kinsoku/>
              <w:wordWrap/>
              <w:overflowPunct/>
              <w:topLinePunct w:val="0"/>
              <w:autoSpaceDN/>
              <w:bidi w:val="0"/>
              <w:adjustRightInd/>
              <w:spacing w:line="240" w:lineRule="atLeast"/>
              <w:ind w:firstLine="0" w:firstLineChars="0"/>
              <w:jc w:val="center"/>
              <w:rPr>
                <w:rFonts w:hint="eastAsia" w:cs="Times New Roman"/>
                <w:bCs/>
                <w:color w:val="auto"/>
                <w:sz w:val="21"/>
                <w:highlight w:val="none"/>
              </w:rPr>
            </w:pPr>
          </w:p>
        </w:tc>
        <w:tc>
          <w:tcPr>
            <w:tcW w:w="310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N/>
              <w:bidi w:val="0"/>
              <w:adjustRightInd/>
              <w:snapToGrid w:val="0"/>
              <w:spacing w:line="240" w:lineRule="atLeast"/>
              <w:ind w:firstLine="0" w:firstLineChars="0"/>
              <w:jc w:val="center"/>
              <w:rPr>
                <w:rFonts w:ascii="仿宋_GB2312" w:hAnsi="宋体" w:cs="宋体"/>
                <w:color w:val="auto"/>
                <w:sz w:val="21"/>
                <w:highlight w:val="none"/>
              </w:rPr>
            </w:pPr>
            <w:r>
              <w:rPr>
                <w:rFonts w:hint="eastAsia" w:cs="Times New Roman"/>
                <w:color w:val="auto"/>
                <w:kern w:val="2"/>
                <w:sz w:val="21"/>
                <w:szCs w:val="21"/>
                <w:highlight w:val="none"/>
                <w:vertAlign w:val="baseline"/>
                <w:lang w:val="en-US" w:eastAsia="zh-CN" w:bidi="ar-SA"/>
              </w:rPr>
              <w:t>信息数据动态更新调查完成率</w:t>
            </w:r>
          </w:p>
        </w:tc>
        <w:tc>
          <w:tcPr>
            <w:tcW w:w="100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napToGrid w:val="0"/>
              <w:spacing w:line="240" w:lineRule="auto"/>
              <w:ind w:firstLine="0" w:firstLineChars="0"/>
              <w:jc w:val="center"/>
              <w:rPr>
                <w:rFonts w:hint="eastAsia" w:ascii="Times New Roman" w:hAnsi="Times New Roman" w:eastAsia="仿宋_GB2312" w:cs="Times New Roman"/>
                <w:color w:val="auto"/>
                <w:kern w:val="2"/>
                <w:sz w:val="21"/>
                <w:szCs w:val="21"/>
                <w:highlight w:val="none"/>
                <w:vertAlign w:val="baseline"/>
                <w:lang w:val="en-US" w:eastAsia="zh-CN" w:bidi="ar-SA"/>
              </w:rPr>
            </w:pPr>
            <w:r>
              <w:rPr>
                <w:rFonts w:hint="eastAsia" w:cs="Times New Roman"/>
                <w:color w:val="auto"/>
                <w:kern w:val="2"/>
                <w:sz w:val="21"/>
                <w:szCs w:val="21"/>
                <w:highlight w:val="none"/>
                <w:vertAlign w:val="baseline"/>
                <w:lang w:val="en-US" w:eastAsia="zh-CN" w:bidi="ar-SA"/>
              </w:rPr>
              <w:t>3</w:t>
            </w:r>
          </w:p>
        </w:tc>
        <w:tc>
          <w:tcPr>
            <w:tcW w:w="95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eastAsia" w:ascii="Times New Roman" w:hAnsi="Times New Roman" w:eastAsia="仿宋_GB2312" w:cs="Calibri"/>
                <w:color w:val="auto"/>
                <w:kern w:val="2"/>
                <w:sz w:val="21"/>
                <w:szCs w:val="21"/>
                <w:highlight w:val="none"/>
                <w:lang w:val="en-US" w:eastAsia="zh-CN" w:bidi="ar-SA"/>
              </w:rPr>
            </w:pPr>
            <w:r>
              <w:rPr>
                <w:rFonts w:hint="eastAsia"/>
                <w:color w:val="auto"/>
                <w:sz w:val="21"/>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7" w:type="dxa"/>
            <w:vMerge w:val="continue"/>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p>
        </w:tc>
        <w:tc>
          <w:tcPr>
            <w:tcW w:w="1765" w:type="dxa"/>
            <w:vMerge w:val="restart"/>
            <w:shd w:val="clear" w:color="auto" w:fill="FFFFFF"/>
            <w:vAlign w:val="center"/>
          </w:tcPr>
          <w:p>
            <w:pPr>
              <w:keepNext w:val="0"/>
              <w:keepLines w:val="0"/>
              <w:pageBreakBefore w:val="0"/>
              <w:widowControl/>
              <w:kinsoku/>
              <w:wordWrap/>
              <w:overflowPunct/>
              <w:topLinePunct w:val="0"/>
              <w:autoSpaceDN/>
              <w:bidi w:val="0"/>
              <w:adjustRightInd/>
              <w:spacing w:line="240" w:lineRule="atLeast"/>
              <w:ind w:firstLine="0" w:firstLineChars="0"/>
              <w:jc w:val="center"/>
              <w:rPr>
                <w:rFonts w:hint="eastAsia" w:cs="Times New Roman"/>
                <w:bCs/>
                <w:color w:val="auto"/>
                <w:sz w:val="21"/>
                <w:highlight w:val="none"/>
              </w:rPr>
            </w:pPr>
            <w:r>
              <w:rPr>
                <w:rFonts w:hint="eastAsia" w:cs="宋体"/>
                <w:color w:val="auto"/>
                <w:kern w:val="0"/>
                <w:sz w:val="21"/>
                <w:highlight w:val="none"/>
              </w:rPr>
              <w:t>产出质量</w:t>
            </w:r>
          </w:p>
        </w:tc>
        <w:tc>
          <w:tcPr>
            <w:tcW w:w="310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N/>
              <w:bidi w:val="0"/>
              <w:adjustRightInd/>
              <w:snapToGrid w:val="0"/>
              <w:spacing w:line="240" w:lineRule="atLeast"/>
              <w:ind w:firstLine="0" w:firstLineChars="0"/>
              <w:jc w:val="center"/>
              <w:rPr>
                <w:rFonts w:ascii="仿宋_GB2312" w:hAnsi="宋体" w:cs="宋体"/>
                <w:color w:val="auto"/>
                <w:sz w:val="21"/>
                <w:highlight w:val="none"/>
              </w:rPr>
            </w:pPr>
            <w:r>
              <w:rPr>
                <w:rFonts w:hint="eastAsia" w:cs="Times New Roman"/>
                <w:color w:val="auto"/>
                <w:kern w:val="2"/>
                <w:sz w:val="21"/>
                <w:szCs w:val="21"/>
                <w:highlight w:val="none"/>
                <w:vertAlign w:val="baseline"/>
                <w:lang w:val="en-US" w:eastAsia="zh-CN" w:bidi="ar-SA"/>
              </w:rPr>
              <w:t>信息数据调查准确率</w:t>
            </w:r>
          </w:p>
        </w:tc>
        <w:tc>
          <w:tcPr>
            <w:tcW w:w="100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napToGrid w:val="0"/>
              <w:spacing w:line="240" w:lineRule="auto"/>
              <w:ind w:firstLine="0" w:firstLineChars="0"/>
              <w:jc w:val="center"/>
              <w:rPr>
                <w:rFonts w:hint="eastAsia" w:ascii="Times New Roman" w:hAnsi="Times New Roman" w:eastAsia="仿宋_GB2312" w:cs="Times New Roman"/>
                <w:color w:val="auto"/>
                <w:kern w:val="2"/>
                <w:sz w:val="21"/>
                <w:szCs w:val="21"/>
                <w:highlight w:val="none"/>
                <w:vertAlign w:val="baseline"/>
                <w:lang w:val="en-US" w:eastAsia="zh-CN" w:bidi="ar-SA"/>
              </w:rPr>
            </w:pPr>
            <w:r>
              <w:rPr>
                <w:rFonts w:hint="eastAsia" w:cs="Times New Roman"/>
                <w:color w:val="auto"/>
                <w:kern w:val="2"/>
                <w:sz w:val="21"/>
                <w:szCs w:val="21"/>
                <w:highlight w:val="none"/>
                <w:vertAlign w:val="baseline"/>
                <w:lang w:val="en-US" w:eastAsia="zh-CN" w:bidi="ar-SA"/>
              </w:rPr>
              <w:t>2</w:t>
            </w:r>
          </w:p>
        </w:tc>
        <w:tc>
          <w:tcPr>
            <w:tcW w:w="95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eastAsia" w:ascii="Times New Roman" w:hAnsi="Times New Roman" w:eastAsia="仿宋_GB2312" w:cs="Calibri"/>
                <w:color w:val="auto"/>
                <w:kern w:val="2"/>
                <w:sz w:val="21"/>
                <w:szCs w:val="21"/>
                <w:highlight w:val="none"/>
                <w:lang w:val="en-US" w:eastAsia="zh-CN" w:bidi="ar-SA"/>
              </w:rPr>
            </w:pPr>
            <w:r>
              <w:rPr>
                <w:rFonts w:hint="eastAsia"/>
                <w:color w:val="auto"/>
                <w:sz w:val="21"/>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7" w:type="dxa"/>
            <w:vMerge w:val="continue"/>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p>
        </w:tc>
        <w:tc>
          <w:tcPr>
            <w:tcW w:w="1765" w:type="dxa"/>
            <w:vMerge w:val="continue"/>
            <w:shd w:val="clear" w:color="auto" w:fill="FFFFFF"/>
            <w:vAlign w:val="center"/>
          </w:tcPr>
          <w:p>
            <w:pPr>
              <w:keepNext w:val="0"/>
              <w:keepLines w:val="0"/>
              <w:pageBreakBefore w:val="0"/>
              <w:widowControl/>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p>
        </w:tc>
        <w:tc>
          <w:tcPr>
            <w:tcW w:w="310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N/>
              <w:bidi w:val="0"/>
              <w:adjustRightInd/>
              <w:snapToGrid w:val="0"/>
              <w:spacing w:line="240" w:lineRule="atLeast"/>
              <w:ind w:firstLine="0" w:firstLineChars="0"/>
              <w:jc w:val="center"/>
              <w:rPr>
                <w:rFonts w:ascii="仿宋_GB2312" w:hAnsi="宋体" w:cs="宋体"/>
                <w:color w:val="auto"/>
                <w:sz w:val="21"/>
                <w:highlight w:val="none"/>
              </w:rPr>
            </w:pPr>
            <w:r>
              <w:rPr>
                <w:rFonts w:hint="eastAsia" w:cs="Times New Roman"/>
                <w:color w:val="auto"/>
                <w:kern w:val="2"/>
                <w:sz w:val="21"/>
                <w:szCs w:val="21"/>
                <w:highlight w:val="none"/>
                <w:vertAlign w:val="baseline"/>
                <w:lang w:val="en-US" w:eastAsia="zh-CN" w:bidi="ar-SA"/>
              </w:rPr>
              <w:t>康复工作达标率</w:t>
            </w:r>
          </w:p>
        </w:tc>
        <w:tc>
          <w:tcPr>
            <w:tcW w:w="100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napToGrid w:val="0"/>
              <w:spacing w:line="240" w:lineRule="auto"/>
              <w:ind w:firstLine="0" w:firstLineChars="0"/>
              <w:jc w:val="center"/>
              <w:rPr>
                <w:rFonts w:hint="default" w:ascii="Times New Roman" w:hAnsi="Times New Roman" w:eastAsia="仿宋_GB2312" w:cs="Times New Roman"/>
                <w:color w:val="auto"/>
                <w:kern w:val="2"/>
                <w:sz w:val="21"/>
                <w:szCs w:val="21"/>
                <w:highlight w:val="none"/>
                <w:vertAlign w:val="baseline"/>
                <w:lang w:val="en-US" w:eastAsia="zh-CN" w:bidi="ar-SA"/>
              </w:rPr>
            </w:pPr>
            <w:r>
              <w:rPr>
                <w:rFonts w:hint="eastAsia" w:cs="Times New Roman"/>
                <w:color w:val="auto"/>
                <w:kern w:val="2"/>
                <w:sz w:val="21"/>
                <w:szCs w:val="21"/>
                <w:highlight w:val="none"/>
                <w:vertAlign w:val="baseline"/>
                <w:lang w:val="en-US" w:eastAsia="zh-CN" w:bidi="ar-SA"/>
              </w:rPr>
              <w:t>3</w:t>
            </w:r>
          </w:p>
        </w:tc>
        <w:tc>
          <w:tcPr>
            <w:tcW w:w="95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7" w:type="dxa"/>
            <w:vMerge w:val="continue"/>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p>
        </w:tc>
        <w:tc>
          <w:tcPr>
            <w:tcW w:w="1765" w:type="dxa"/>
            <w:vMerge w:val="continue"/>
            <w:shd w:val="clear" w:color="auto" w:fill="FFFFFF"/>
            <w:vAlign w:val="center"/>
          </w:tcPr>
          <w:p>
            <w:pPr>
              <w:keepNext w:val="0"/>
              <w:keepLines w:val="0"/>
              <w:pageBreakBefore w:val="0"/>
              <w:widowControl/>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p>
        </w:tc>
        <w:tc>
          <w:tcPr>
            <w:tcW w:w="310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N/>
              <w:bidi w:val="0"/>
              <w:adjustRightInd/>
              <w:snapToGrid w:val="0"/>
              <w:spacing w:line="240" w:lineRule="atLeast"/>
              <w:ind w:firstLine="0" w:firstLineChars="0"/>
              <w:jc w:val="center"/>
              <w:rPr>
                <w:rFonts w:cs="Times New Roman"/>
                <w:bCs/>
                <w:color w:val="auto"/>
                <w:sz w:val="21"/>
                <w:highlight w:val="none"/>
              </w:rPr>
            </w:pPr>
            <w:r>
              <w:rPr>
                <w:rFonts w:hint="eastAsia" w:cs="Times New Roman"/>
                <w:color w:val="auto"/>
                <w:kern w:val="2"/>
                <w:sz w:val="21"/>
                <w:szCs w:val="21"/>
                <w:highlight w:val="none"/>
                <w:vertAlign w:val="baseline"/>
                <w:lang w:val="en-US" w:eastAsia="zh-CN" w:bidi="ar-SA"/>
              </w:rPr>
              <w:t>辅助器具适配率</w:t>
            </w:r>
          </w:p>
        </w:tc>
        <w:tc>
          <w:tcPr>
            <w:tcW w:w="100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napToGrid w:val="0"/>
              <w:spacing w:line="240" w:lineRule="auto"/>
              <w:ind w:firstLine="0" w:firstLineChars="0"/>
              <w:jc w:val="center"/>
              <w:rPr>
                <w:rFonts w:hint="default" w:ascii="Times New Roman" w:hAnsi="Times New Roman" w:eastAsia="仿宋_GB2312" w:cs="Times New Roman"/>
                <w:color w:val="auto"/>
                <w:kern w:val="2"/>
                <w:sz w:val="21"/>
                <w:szCs w:val="21"/>
                <w:highlight w:val="none"/>
                <w:vertAlign w:val="baseline"/>
                <w:lang w:val="en-US" w:eastAsia="zh-CN" w:bidi="ar-SA"/>
              </w:rPr>
            </w:pPr>
            <w:r>
              <w:rPr>
                <w:rFonts w:hint="eastAsia" w:cs="Times New Roman"/>
                <w:color w:val="auto"/>
                <w:kern w:val="2"/>
                <w:sz w:val="21"/>
                <w:szCs w:val="21"/>
                <w:highlight w:val="none"/>
                <w:vertAlign w:val="baseline"/>
                <w:lang w:val="en-US" w:eastAsia="zh-CN" w:bidi="ar-SA"/>
              </w:rPr>
              <w:t>2</w:t>
            </w:r>
          </w:p>
        </w:tc>
        <w:tc>
          <w:tcPr>
            <w:tcW w:w="95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eastAsia" w:ascii="Times New Roman" w:hAnsi="Times New Roman" w:eastAsia="仿宋_GB2312" w:cs="Calibri"/>
                <w:color w:val="auto"/>
                <w:kern w:val="2"/>
                <w:sz w:val="21"/>
                <w:szCs w:val="21"/>
                <w:highlight w:val="none"/>
                <w:lang w:val="en-US" w:eastAsia="zh-CN" w:bidi="ar-SA"/>
              </w:rPr>
            </w:pPr>
            <w:r>
              <w:rPr>
                <w:rFonts w:hint="eastAsia"/>
                <w:color w:val="auto"/>
                <w:sz w:val="21"/>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67" w:type="dxa"/>
            <w:vMerge w:val="continue"/>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p>
        </w:tc>
        <w:tc>
          <w:tcPr>
            <w:tcW w:w="1765" w:type="dxa"/>
            <w:shd w:val="clear" w:color="auto" w:fill="FFFFFF"/>
            <w:vAlign w:val="center"/>
          </w:tcPr>
          <w:p>
            <w:pPr>
              <w:keepNext w:val="0"/>
              <w:keepLines w:val="0"/>
              <w:pageBreakBefore w:val="0"/>
              <w:widowControl/>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r>
              <w:rPr>
                <w:rFonts w:hint="eastAsia" w:cs="宋体"/>
                <w:color w:val="auto"/>
                <w:kern w:val="0"/>
                <w:sz w:val="21"/>
                <w:highlight w:val="none"/>
              </w:rPr>
              <w:t>产出时效</w:t>
            </w:r>
          </w:p>
        </w:tc>
        <w:tc>
          <w:tcPr>
            <w:tcW w:w="310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N/>
              <w:bidi w:val="0"/>
              <w:adjustRightInd/>
              <w:snapToGrid w:val="0"/>
              <w:spacing w:line="240" w:lineRule="atLeast"/>
              <w:ind w:firstLine="0" w:firstLineChars="0"/>
              <w:jc w:val="center"/>
              <w:rPr>
                <w:rFonts w:cs="Times New Roman"/>
                <w:bCs/>
                <w:color w:val="auto"/>
                <w:sz w:val="21"/>
                <w:highlight w:val="none"/>
              </w:rPr>
            </w:pPr>
            <w:r>
              <w:rPr>
                <w:rFonts w:hint="eastAsia" w:cs="Times New Roman"/>
                <w:color w:val="auto"/>
                <w:kern w:val="2"/>
                <w:sz w:val="21"/>
                <w:szCs w:val="21"/>
                <w:highlight w:val="none"/>
                <w:vertAlign w:val="baseline"/>
                <w:lang w:val="en-US" w:eastAsia="zh-CN" w:bidi="ar-SA"/>
              </w:rPr>
              <w:t>计划进度完成及时率</w:t>
            </w:r>
          </w:p>
        </w:tc>
        <w:tc>
          <w:tcPr>
            <w:tcW w:w="100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napToGrid w:val="0"/>
              <w:spacing w:line="240" w:lineRule="auto"/>
              <w:ind w:firstLine="0" w:firstLineChars="0"/>
              <w:jc w:val="center"/>
              <w:rPr>
                <w:rFonts w:hint="default" w:ascii="Times New Roman" w:hAnsi="Times New Roman" w:eastAsia="仿宋_GB2312" w:cs="Times New Roman"/>
                <w:color w:val="auto"/>
                <w:kern w:val="2"/>
                <w:sz w:val="21"/>
                <w:szCs w:val="21"/>
                <w:highlight w:val="none"/>
                <w:vertAlign w:val="baseline"/>
                <w:lang w:val="en-US" w:eastAsia="zh-CN" w:bidi="ar-SA"/>
              </w:rPr>
            </w:pPr>
            <w:r>
              <w:rPr>
                <w:rFonts w:hint="eastAsia" w:cs="Times New Roman"/>
                <w:color w:val="auto"/>
                <w:kern w:val="2"/>
                <w:sz w:val="21"/>
                <w:szCs w:val="21"/>
                <w:highlight w:val="none"/>
                <w:vertAlign w:val="baseline"/>
                <w:lang w:val="en-US" w:eastAsia="zh-CN" w:bidi="ar-SA"/>
              </w:rPr>
              <w:t>5</w:t>
            </w:r>
          </w:p>
        </w:tc>
        <w:tc>
          <w:tcPr>
            <w:tcW w:w="95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Calibri"/>
                <w:color w:val="auto"/>
                <w:kern w:val="2"/>
                <w:sz w:val="21"/>
                <w:szCs w:val="21"/>
                <w:highlight w:val="none"/>
                <w:lang w:val="en-US" w:eastAsia="zh-CN" w:bidi="ar-SA"/>
              </w:rPr>
            </w:pPr>
            <w:r>
              <w:rPr>
                <w:rFonts w:hint="eastAsia"/>
                <w:color w:val="auto"/>
                <w:sz w:val="21"/>
                <w:highlight w:val="none"/>
                <w:lang w:val="en-US" w:eastAsia="zh-CN"/>
              </w:rPr>
              <w:t>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67" w:type="dxa"/>
            <w:vMerge w:val="restart"/>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tLeast"/>
              <w:ind w:firstLine="0" w:firstLineChars="0"/>
              <w:jc w:val="center"/>
              <w:textAlignment w:val="auto"/>
              <w:rPr>
                <w:rFonts w:ascii="仿宋_GB2312" w:hAnsi="Calibri" w:cs="Times New Roman"/>
                <w:bCs/>
                <w:color w:val="auto"/>
                <w:sz w:val="21"/>
                <w:highlight w:val="none"/>
              </w:rPr>
            </w:pPr>
            <w:r>
              <w:rPr>
                <w:rFonts w:cs="Times New Roman"/>
                <w:bCs/>
                <w:color w:val="auto"/>
                <w:sz w:val="21"/>
                <w:highlight w:val="none"/>
              </w:rPr>
              <w:t>项目效益</w:t>
            </w:r>
          </w:p>
        </w:tc>
        <w:tc>
          <w:tcPr>
            <w:tcW w:w="1765" w:type="dxa"/>
            <w:vMerge w:val="restart"/>
            <w:shd w:val="clear" w:color="auto" w:fill="FFFFFF"/>
            <w:vAlign w:val="center"/>
          </w:tcPr>
          <w:p>
            <w:pPr>
              <w:keepNext w:val="0"/>
              <w:keepLines w:val="0"/>
              <w:pageBreakBefore w:val="0"/>
              <w:widowControl/>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r>
              <w:rPr>
                <w:rFonts w:cs="宋体"/>
                <w:color w:val="auto"/>
                <w:kern w:val="0"/>
                <w:sz w:val="21"/>
                <w:highlight w:val="none"/>
              </w:rPr>
              <w:t>社会效益</w:t>
            </w:r>
          </w:p>
        </w:tc>
        <w:tc>
          <w:tcPr>
            <w:tcW w:w="310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ind w:left="0" w:leftChars="0" w:firstLine="0" w:firstLineChars="0"/>
              <w:jc w:val="center"/>
              <w:textAlignment w:val="center"/>
              <w:rPr>
                <w:rFonts w:cs="Times New Roman"/>
                <w:bCs/>
                <w:color w:val="auto"/>
                <w:sz w:val="21"/>
                <w:highlight w:val="none"/>
              </w:rPr>
            </w:pPr>
            <w:r>
              <w:rPr>
                <w:rFonts w:hint="eastAsia" w:cs="Times New Roman"/>
                <w:color w:val="auto"/>
                <w:kern w:val="2"/>
                <w:sz w:val="21"/>
                <w:szCs w:val="21"/>
                <w:highlight w:val="none"/>
                <w:vertAlign w:val="baseline"/>
                <w:lang w:val="en-US" w:eastAsia="zh-CN" w:bidi="ar-SA"/>
              </w:rPr>
              <w:t>残疾人康复服务覆盖率</w:t>
            </w:r>
          </w:p>
        </w:tc>
        <w:tc>
          <w:tcPr>
            <w:tcW w:w="100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5</w:t>
            </w:r>
          </w:p>
        </w:tc>
        <w:tc>
          <w:tcPr>
            <w:tcW w:w="95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suppressLineNumbers w:val="0"/>
              <w:kinsoku/>
              <w:wordWrap/>
              <w:overflowPunct/>
              <w:topLinePunct w:val="0"/>
              <w:autoSpaceDE w:val="0"/>
              <w:autoSpaceDN/>
              <w:bidi w:val="0"/>
              <w:adjustRightInd/>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Calibri"/>
                <w:bCs/>
                <w:color w:val="auto"/>
                <w:kern w:val="2"/>
                <w:sz w:val="21"/>
                <w:szCs w:val="21"/>
                <w:highlight w:val="none"/>
                <w:lang w:val="en-US" w:eastAsia="zh-CN" w:bidi="ar-SA"/>
              </w:rPr>
            </w:pPr>
            <w:r>
              <w:rPr>
                <w:rFonts w:hint="eastAsia"/>
                <w:bCs/>
                <w:color w:val="auto"/>
                <w:sz w:val="21"/>
                <w:highlight w:val="none"/>
                <w:lang w:val="en-US" w:eastAsia="zh-CN"/>
              </w:rPr>
              <w:t>3.65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67" w:type="dxa"/>
            <w:vMerge w:val="continue"/>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p>
        </w:tc>
        <w:tc>
          <w:tcPr>
            <w:tcW w:w="1765" w:type="dxa"/>
            <w:vMerge w:val="continue"/>
            <w:shd w:val="clear" w:color="auto" w:fill="FFFFFF"/>
            <w:vAlign w:val="center"/>
          </w:tcPr>
          <w:p>
            <w:pPr>
              <w:keepNext w:val="0"/>
              <w:keepLines w:val="0"/>
              <w:pageBreakBefore w:val="0"/>
              <w:widowControl/>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p>
        </w:tc>
        <w:tc>
          <w:tcPr>
            <w:tcW w:w="310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N/>
              <w:bidi w:val="0"/>
              <w:adjustRightInd/>
              <w:spacing w:before="0" w:beforeAutospacing="0" w:after="0" w:afterAutospacing="0" w:line="240" w:lineRule="atLeast"/>
              <w:ind w:left="0" w:leftChars="0" w:right="0" w:rightChars="0" w:firstLine="0" w:firstLineChars="0"/>
              <w:jc w:val="center"/>
              <w:textAlignment w:val="center"/>
              <w:rPr>
                <w:rFonts w:cs="Times New Roman"/>
                <w:bCs/>
                <w:color w:val="auto"/>
                <w:sz w:val="21"/>
                <w:highlight w:val="none"/>
              </w:rPr>
            </w:pPr>
            <w:r>
              <w:rPr>
                <w:rFonts w:hint="eastAsia" w:ascii="Times New Roman" w:hAnsi="Times New Roman" w:eastAsia="仿宋_GB2312" w:cs="Times New Roman"/>
                <w:color w:val="auto"/>
                <w:kern w:val="2"/>
                <w:sz w:val="21"/>
                <w:szCs w:val="21"/>
                <w:highlight w:val="none"/>
                <w:shd w:val="clear"/>
                <w:lang w:val="en-US" w:eastAsia="zh-CN" w:bidi="ar-SA"/>
              </w:rPr>
              <w:t>改善残疾人生活</w:t>
            </w:r>
            <w:r>
              <w:rPr>
                <w:rFonts w:hint="eastAsia" w:cs="Times New Roman"/>
                <w:color w:val="auto"/>
                <w:kern w:val="2"/>
                <w:sz w:val="21"/>
                <w:szCs w:val="21"/>
                <w:highlight w:val="none"/>
                <w:shd w:val="clear"/>
                <w:lang w:val="en-US" w:eastAsia="zh-CN" w:bidi="ar-SA"/>
              </w:rPr>
              <w:t>质量</w:t>
            </w:r>
          </w:p>
        </w:tc>
        <w:tc>
          <w:tcPr>
            <w:tcW w:w="100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6</w:t>
            </w:r>
          </w:p>
        </w:tc>
        <w:tc>
          <w:tcPr>
            <w:tcW w:w="95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suppressLineNumbers w:val="0"/>
              <w:kinsoku/>
              <w:wordWrap/>
              <w:overflowPunct/>
              <w:topLinePunct w:val="0"/>
              <w:autoSpaceDE w:val="0"/>
              <w:autoSpaceDN/>
              <w:bidi w:val="0"/>
              <w:adjustRightInd/>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Calibri"/>
                <w:bCs/>
                <w:color w:val="auto"/>
                <w:kern w:val="2"/>
                <w:sz w:val="21"/>
                <w:szCs w:val="21"/>
                <w:highlight w:val="none"/>
                <w:lang w:val="en-US" w:eastAsia="zh-CN" w:bidi="ar-SA"/>
              </w:rPr>
            </w:pPr>
            <w:r>
              <w:rPr>
                <w:rFonts w:hint="eastAsia"/>
                <w:bCs/>
                <w:color w:val="auto"/>
                <w:sz w:val="21"/>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67" w:type="dxa"/>
            <w:vMerge w:val="continue"/>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p>
        </w:tc>
        <w:tc>
          <w:tcPr>
            <w:tcW w:w="1765" w:type="dxa"/>
            <w:vMerge w:val="continue"/>
            <w:shd w:val="clear" w:color="auto" w:fill="FFFFFF"/>
            <w:vAlign w:val="center"/>
          </w:tcPr>
          <w:p>
            <w:pPr>
              <w:keepNext w:val="0"/>
              <w:keepLines w:val="0"/>
              <w:pageBreakBefore w:val="0"/>
              <w:widowControl/>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p>
        </w:tc>
        <w:tc>
          <w:tcPr>
            <w:tcW w:w="310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N/>
              <w:bidi w:val="0"/>
              <w:adjustRightInd/>
              <w:spacing w:before="0" w:beforeAutospacing="0" w:after="0" w:afterAutospacing="0" w:line="240" w:lineRule="atLeast"/>
              <w:ind w:left="0" w:leftChars="0" w:right="0" w:rightChars="0" w:firstLine="0" w:firstLineChars="0"/>
              <w:jc w:val="center"/>
              <w:textAlignment w:val="center"/>
              <w:rPr>
                <w:rFonts w:cs="Times New Roman"/>
                <w:bCs/>
                <w:color w:val="auto"/>
                <w:sz w:val="21"/>
                <w:highlight w:val="none"/>
              </w:rPr>
            </w:pPr>
            <w:r>
              <w:rPr>
                <w:rFonts w:hint="eastAsia" w:cs="Times New Roman"/>
                <w:color w:val="auto"/>
                <w:kern w:val="2"/>
                <w:sz w:val="21"/>
                <w:szCs w:val="21"/>
                <w:highlight w:val="none"/>
                <w:shd w:val="clear"/>
                <w:lang w:val="en-US" w:eastAsia="zh-CN" w:bidi="ar-SA"/>
              </w:rPr>
              <w:t>残疾人及家属政策知晓率</w:t>
            </w:r>
          </w:p>
        </w:tc>
        <w:tc>
          <w:tcPr>
            <w:tcW w:w="100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仿宋_GB2312"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5</w:t>
            </w:r>
          </w:p>
        </w:tc>
        <w:tc>
          <w:tcPr>
            <w:tcW w:w="95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suppressLineNumbers w:val="0"/>
              <w:kinsoku/>
              <w:wordWrap/>
              <w:overflowPunct/>
              <w:topLinePunct w:val="0"/>
              <w:autoSpaceDE w:val="0"/>
              <w:autoSpaceDN/>
              <w:bidi w:val="0"/>
              <w:adjustRightInd/>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Calibri"/>
                <w:bCs/>
                <w:color w:val="auto"/>
                <w:kern w:val="2"/>
                <w:sz w:val="21"/>
                <w:szCs w:val="21"/>
                <w:highlight w:val="none"/>
                <w:lang w:val="en-US" w:eastAsia="zh-CN" w:bidi="ar-SA"/>
              </w:rPr>
            </w:pPr>
            <w:r>
              <w:rPr>
                <w:rFonts w:hint="eastAsia"/>
                <w:bCs/>
                <w:color w:val="auto"/>
                <w:sz w:val="21"/>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67" w:type="dxa"/>
            <w:vMerge w:val="continue"/>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p>
        </w:tc>
        <w:tc>
          <w:tcPr>
            <w:tcW w:w="1765" w:type="dxa"/>
            <w:shd w:val="clear" w:color="auto" w:fill="FFFFFF"/>
            <w:vAlign w:val="center"/>
          </w:tcPr>
          <w:p>
            <w:pPr>
              <w:keepNext w:val="0"/>
              <w:keepLines w:val="0"/>
              <w:pageBreakBefore w:val="0"/>
              <w:widowControl/>
              <w:kinsoku/>
              <w:wordWrap/>
              <w:overflowPunct/>
              <w:topLinePunct w:val="0"/>
              <w:autoSpaceDN/>
              <w:bidi w:val="0"/>
              <w:adjustRightInd/>
              <w:spacing w:line="240" w:lineRule="atLeast"/>
              <w:ind w:firstLine="0" w:firstLineChars="0"/>
              <w:jc w:val="center"/>
              <w:rPr>
                <w:rFonts w:hint="default" w:ascii="仿宋_GB2312" w:hAnsi="Calibri" w:eastAsia="仿宋_GB2312" w:cs="Times New Roman"/>
                <w:bCs/>
                <w:color w:val="auto"/>
                <w:sz w:val="21"/>
                <w:highlight w:val="none"/>
                <w:lang w:val="en-US" w:eastAsia="zh-CN"/>
              </w:rPr>
            </w:pPr>
            <w:r>
              <w:rPr>
                <w:rFonts w:hint="eastAsia" w:ascii="仿宋_GB2312" w:hAnsi="Calibri" w:cs="Times New Roman"/>
                <w:bCs/>
                <w:color w:val="auto"/>
                <w:sz w:val="21"/>
                <w:highlight w:val="none"/>
                <w:lang w:val="en-US" w:eastAsia="zh-CN"/>
              </w:rPr>
              <w:t>可持续影响</w:t>
            </w:r>
          </w:p>
        </w:tc>
        <w:tc>
          <w:tcPr>
            <w:tcW w:w="310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N/>
              <w:bidi w:val="0"/>
              <w:adjustRightInd/>
              <w:snapToGrid w:val="0"/>
              <w:spacing w:line="240" w:lineRule="atLeast"/>
              <w:ind w:firstLine="0" w:firstLineChars="0"/>
              <w:jc w:val="center"/>
              <w:rPr>
                <w:rFonts w:hint="eastAsia" w:ascii="宋体" w:hAnsi="宋体" w:eastAsia="宋体" w:cs="宋体"/>
                <w:i w:val="0"/>
                <w:iCs w:val="0"/>
                <w:color w:val="auto"/>
                <w:kern w:val="0"/>
                <w:sz w:val="20"/>
                <w:szCs w:val="20"/>
                <w:highlight w:val="none"/>
                <w:u w:val="none"/>
                <w:lang w:val="en-US" w:eastAsia="zh-CN" w:bidi="ar"/>
              </w:rPr>
            </w:pPr>
            <w:r>
              <w:rPr>
                <w:rFonts w:hint="eastAsia" w:cs="Times New Roman"/>
                <w:color w:val="auto"/>
                <w:kern w:val="2"/>
                <w:sz w:val="21"/>
                <w:szCs w:val="21"/>
                <w:highlight w:val="none"/>
                <w:vertAlign w:val="baseline"/>
                <w:lang w:val="en-US" w:eastAsia="zh-CN" w:bidi="ar-SA"/>
              </w:rPr>
              <w:t>服务评估机制</w:t>
            </w:r>
          </w:p>
        </w:tc>
        <w:tc>
          <w:tcPr>
            <w:tcW w:w="100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napToGrid w:val="0"/>
              <w:spacing w:line="240" w:lineRule="auto"/>
              <w:ind w:firstLine="0" w:firstLineChars="0"/>
              <w:jc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5</w:t>
            </w:r>
          </w:p>
        </w:tc>
        <w:tc>
          <w:tcPr>
            <w:tcW w:w="95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suppressLineNumbers w:val="0"/>
              <w:kinsoku/>
              <w:wordWrap/>
              <w:overflowPunct/>
              <w:topLinePunct w:val="0"/>
              <w:autoSpaceDE w:val="0"/>
              <w:autoSpaceDN/>
              <w:bidi w:val="0"/>
              <w:adjustRightInd/>
              <w:snapToGrid w:val="0"/>
              <w:spacing w:before="0" w:beforeAutospacing="0" w:after="0" w:afterAutospacing="0" w:line="240" w:lineRule="auto"/>
              <w:ind w:left="0" w:leftChars="0" w:right="0" w:rightChars="0" w:firstLine="0" w:firstLineChars="0"/>
              <w:jc w:val="center"/>
              <w:rPr>
                <w:rFonts w:hint="eastAsia" w:ascii="Times New Roman" w:hAnsi="Times New Roman" w:eastAsia="仿宋_GB2312" w:cs="Calibri"/>
                <w:bCs/>
                <w:color w:val="auto"/>
                <w:kern w:val="2"/>
                <w:sz w:val="21"/>
                <w:szCs w:val="21"/>
                <w:highlight w:val="none"/>
                <w:lang w:val="en-US" w:eastAsia="zh-CN" w:bidi="ar-SA"/>
              </w:rPr>
            </w:pPr>
            <w:r>
              <w:rPr>
                <w:rFonts w:hint="eastAsia"/>
                <w:bCs/>
                <w:color w:val="auto"/>
                <w:sz w:val="21"/>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67" w:type="dxa"/>
            <w:vMerge w:val="continue"/>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Cs/>
                <w:color w:val="auto"/>
                <w:sz w:val="21"/>
                <w:highlight w:val="none"/>
              </w:rPr>
            </w:pPr>
          </w:p>
        </w:tc>
        <w:tc>
          <w:tcPr>
            <w:tcW w:w="1765" w:type="dxa"/>
            <w:shd w:val="clear" w:color="auto" w:fill="FFFFFF"/>
            <w:vAlign w:val="center"/>
          </w:tcPr>
          <w:p>
            <w:pPr>
              <w:keepNext w:val="0"/>
              <w:keepLines w:val="0"/>
              <w:pageBreakBefore w:val="0"/>
              <w:widowControl/>
              <w:kinsoku/>
              <w:wordWrap/>
              <w:overflowPunct/>
              <w:topLinePunct w:val="0"/>
              <w:autoSpaceDN/>
              <w:bidi w:val="0"/>
              <w:adjustRightInd/>
              <w:spacing w:line="240" w:lineRule="atLeast"/>
              <w:ind w:firstLine="0" w:firstLineChars="0"/>
              <w:jc w:val="center"/>
              <w:rPr>
                <w:rFonts w:hint="default" w:ascii="仿宋_GB2312" w:hAnsi="Calibri" w:eastAsia="仿宋_GB2312" w:cs="Times New Roman"/>
                <w:bCs/>
                <w:color w:val="auto"/>
                <w:sz w:val="21"/>
                <w:highlight w:val="none"/>
                <w:lang w:val="en-US" w:eastAsia="zh-CN"/>
              </w:rPr>
            </w:pPr>
            <w:r>
              <w:rPr>
                <w:rFonts w:hint="eastAsia" w:ascii="仿宋_GB2312" w:hAnsi="Calibri" w:cs="Times New Roman"/>
                <w:bCs/>
                <w:color w:val="auto"/>
                <w:sz w:val="21"/>
                <w:highlight w:val="none"/>
                <w:lang w:val="en-US" w:eastAsia="zh-CN"/>
              </w:rPr>
              <w:t>服务对象满意度</w:t>
            </w:r>
          </w:p>
        </w:tc>
        <w:tc>
          <w:tcPr>
            <w:tcW w:w="310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N/>
              <w:bidi w:val="0"/>
              <w:adjustRightInd/>
              <w:snapToGrid w:val="0"/>
              <w:spacing w:line="240" w:lineRule="atLeast"/>
              <w:ind w:firstLine="0" w:firstLineChars="0"/>
              <w:jc w:val="center"/>
              <w:rPr>
                <w:rFonts w:hint="eastAsia" w:ascii="宋体" w:hAnsi="宋体" w:eastAsia="宋体" w:cs="宋体"/>
                <w:i w:val="0"/>
                <w:iCs w:val="0"/>
                <w:color w:val="auto"/>
                <w:kern w:val="0"/>
                <w:sz w:val="20"/>
                <w:szCs w:val="20"/>
                <w:highlight w:val="none"/>
                <w:u w:val="none"/>
                <w:lang w:val="en-US" w:eastAsia="zh-CN" w:bidi="ar"/>
              </w:rPr>
            </w:pPr>
            <w:r>
              <w:rPr>
                <w:rFonts w:hint="eastAsia" w:cs="Times New Roman"/>
                <w:color w:val="auto"/>
                <w:sz w:val="21"/>
                <w:szCs w:val="21"/>
                <w:highlight w:val="none"/>
                <w:lang w:val="en-US" w:eastAsia="zh-CN"/>
              </w:rPr>
              <w:t>救助残疾人家属满意度</w:t>
            </w:r>
          </w:p>
        </w:tc>
        <w:tc>
          <w:tcPr>
            <w:tcW w:w="100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napToGrid w:val="0"/>
              <w:spacing w:line="240" w:lineRule="auto"/>
              <w:ind w:firstLine="0" w:firstLineChars="0"/>
              <w:jc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10</w:t>
            </w:r>
          </w:p>
        </w:tc>
        <w:tc>
          <w:tcPr>
            <w:tcW w:w="95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suppressLineNumbers w:val="0"/>
              <w:kinsoku/>
              <w:wordWrap/>
              <w:overflowPunct/>
              <w:topLinePunct w:val="0"/>
              <w:autoSpaceDE w:val="0"/>
              <w:autoSpaceDN/>
              <w:bidi w:val="0"/>
              <w:adjustRightInd/>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Calibri"/>
                <w:bCs/>
                <w:color w:val="auto"/>
                <w:kern w:val="2"/>
                <w:sz w:val="21"/>
                <w:szCs w:val="21"/>
                <w:highlight w:val="none"/>
                <w:lang w:val="en-US" w:eastAsia="zh-CN" w:bidi="ar-SA"/>
              </w:rPr>
            </w:pPr>
            <w:r>
              <w:rPr>
                <w:rFonts w:hint="eastAsia"/>
                <w:bCs/>
                <w:color w:val="auto"/>
                <w:sz w:val="21"/>
                <w:highlight w:val="none"/>
                <w:lang w:val="en-US" w:eastAsia="zh-CN"/>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539" w:type="dxa"/>
            <w:gridSpan w:val="3"/>
            <w:tcBorders>
              <w:right w:val="single" w:color="auto" w:sz="4" w:space="0"/>
            </w:tcBorders>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ascii="仿宋_GB2312" w:hAnsi="Calibri" w:cs="Times New Roman"/>
                <w:b/>
                <w:bCs/>
                <w:color w:val="auto"/>
                <w:sz w:val="21"/>
                <w:highlight w:val="none"/>
              </w:rPr>
            </w:pPr>
            <w:r>
              <w:rPr>
                <w:rFonts w:cs="Times New Roman"/>
                <w:b/>
                <w:bCs/>
                <w:color w:val="auto"/>
                <w:sz w:val="21"/>
                <w:highlight w:val="none"/>
              </w:rPr>
              <w:t>合计</w:t>
            </w:r>
          </w:p>
        </w:tc>
        <w:tc>
          <w:tcPr>
            <w:tcW w:w="100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cs="Times New Roman"/>
                <w:b/>
                <w:bCs/>
                <w:color w:val="auto"/>
                <w:sz w:val="21"/>
                <w:highlight w:val="none"/>
              </w:rPr>
            </w:pPr>
            <w:r>
              <w:rPr>
                <w:rFonts w:hint="eastAsia" w:cs="Times New Roman"/>
                <w:b/>
                <w:bCs/>
                <w:color w:val="auto"/>
                <w:sz w:val="21"/>
                <w:highlight w:val="none"/>
              </w:rPr>
              <w:t>100</w:t>
            </w:r>
          </w:p>
        </w:tc>
        <w:tc>
          <w:tcPr>
            <w:tcW w:w="952"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N/>
              <w:bidi w:val="0"/>
              <w:adjustRightInd/>
              <w:spacing w:line="240" w:lineRule="atLeast"/>
              <w:ind w:firstLine="0" w:firstLineChars="0"/>
              <w:jc w:val="center"/>
              <w:rPr>
                <w:rFonts w:hint="default" w:eastAsia="仿宋_GB2312" w:cs="Times New Roman"/>
                <w:b/>
                <w:bCs/>
                <w:color w:val="auto"/>
                <w:sz w:val="21"/>
                <w:highlight w:val="none"/>
                <w:lang w:val="en-US" w:eastAsia="zh-CN"/>
              </w:rPr>
            </w:pPr>
            <w:r>
              <w:rPr>
                <w:rFonts w:hint="eastAsia" w:cs="Times New Roman"/>
                <w:b/>
                <w:bCs/>
                <w:color w:val="auto"/>
                <w:sz w:val="21"/>
                <w:highlight w:val="none"/>
                <w:lang w:val="en-US" w:eastAsia="zh-CN"/>
              </w:rPr>
              <w:t>86.04</w:t>
            </w:r>
          </w:p>
        </w:tc>
      </w:tr>
    </w:tbl>
    <w:p>
      <w:pPr>
        <w:pStyle w:val="4"/>
        <w:spacing w:before="217" w:beforeLines="50"/>
        <w:ind w:firstLine="643"/>
        <w:rPr>
          <w:rFonts w:ascii="Times New Roman" w:hAnsi="Times New Roman"/>
          <w:color w:val="auto"/>
          <w:highlight w:val="none"/>
        </w:rPr>
      </w:pPr>
      <w:bookmarkStart w:id="90" w:name="_Toc25844"/>
      <w:bookmarkStart w:id="91" w:name="_Toc10615"/>
      <w:bookmarkStart w:id="92" w:name="_Hlk14795119"/>
      <w:r>
        <w:rPr>
          <w:rFonts w:hint="eastAsia" w:ascii="Times New Roman" w:hAnsi="Times New Roman"/>
          <w:color w:val="auto"/>
          <w:highlight w:val="none"/>
        </w:rPr>
        <w:t>（二）综合评价结论</w:t>
      </w:r>
      <w:bookmarkEnd w:id="90"/>
      <w:bookmarkEnd w:id="91"/>
    </w:p>
    <w:p>
      <w:pPr>
        <w:bidi w:val="0"/>
        <w:rPr>
          <w:rFonts w:cs="Times New Roman"/>
          <w:color w:val="auto"/>
          <w:szCs w:val="32"/>
          <w:highlight w:val="none"/>
        </w:rPr>
      </w:pPr>
      <w:r>
        <w:rPr>
          <w:rFonts w:hint="eastAsia" w:cs="Times New Roman"/>
          <w:color w:val="auto"/>
          <w:szCs w:val="32"/>
          <w:highlight w:val="none"/>
        </w:rPr>
        <w:t>贵阳</w:t>
      </w:r>
      <w:r>
        <w:rPr>
          <w:rFonts w:cs="Times New Roman"/>
          <w:color w:val="auto"/>
          <w:szCs w:val="32"/>
          <w:highlight w:val="none"/>
        </w:rPr>
        <w:t>业越</w:t>
      </w:r>
      <w:r>
        <w:rPr>
          <w:rFonts w:hint="eastAsia" w:cs="Times New Roman"/>
          <w:color w:val="auto"/>
          <w:szCs w:val="32"/>
          <w:highlight w:val="none"/>
        </w:rPr>
        <w:t>企业管理咨询有限公司</w:t>
      </w:r>
      <w:r>
        <w:rPr>
          <w:rFonts w:cs="Times New Roman"/>
          <w:color w:val="auto"/>
          <w:szCs w:val="32"/>
          <w:highlight w:val="none"/>
        </w:rPr>
        <w:t>对</w:t>
      </w:r>
      <w:r>
        <w:rPr>
          <w:rFonts w:hint="eastAsia" w:cs="Times New Roman"/>
          <w:color w:val="auto"/>
          <w:szCs w:val="32"/>
          <w:highlight w:val="none"/>
          <w:lang w:val="en-US" w:eastAsia="zh-CN"/>
        </w:rPr>
        <w:t>云岩区残疾人联合会</w:t>
      </w:r>
      <w:r>
        <w:rPr>
          <w:rFonts w:cs="Times New Roman"/>
          <w:color w:val="auto"/>
          <w:szCs w:val="32"/>
          <w:highlight w:val="none"/>
        </w:rPr>
        <w:t>实施的</w:t>
      </w:r>
      <w:r>
        <w:rPr>
          <w:rFonts w:hint="eastAsia" w:cs="Times New Roman"/>
          <w:color w:val="auto"/>
          <w:szCs w:val="32"/>
          <w:highlight w:val="none"/>
          <w:lang w:val="en-US" w:eastAsia="zh-CN"/>
        </w:rPr>
        <w:t>残疾人康复项目</w:t>
      </w:r>
      <w:r>
        <w:rPr>
          <w:rFonts w:cs="Times New Roman"/>
          <w:color w:val="auto"/>
          <w:szCs w:val="32"/>
          <w:highlight w:val="none"/>
        </w:rPr>
        <w:t>进行了独立第三</w:t>
      </w:r>
      <w:r>
        <w:rPr>
          <w:rFonts w:hint="eastAsia" w:cs="Times New Roman"/>
          <w:color w:val="auto"/>
          <w:szCs w:val="32"/>
          <w:highlight w:val="none"/>
        </w:rPr>
        <w:t>方评价，综合绩效</w:t>
      </w:r>
      <w:r>
        <w:rPr>
          <w:rFonts w:cs="Times New Roman"/>
          <w:color w:val="auto"/>
          <w:szCs w:val="32"/>
          <w:highlight w:val="none"/>
        </w:rPr>
        <w:t>评价得</w:t>
      </w:r>
      <w:r>
        <w:rPr>
          <w:rFonts w:hint="eastAsia" w:cs="Times New Roman"/>
          <w:color w:val="auto"/>
          <w:szCs w:val="32"/>
          <w:highlight w:val="none"/>
          <w:lang w:val="en-US" w:eastAsia="zh-CN"/>
        </w:rPr>
        <w:t>86.04</w:t>
      </w:r>
      <w:r>
        <w:rPr>
          <w:rFonts w:cs="Times New Roman"/>
          <w:color w:val="auto"/>
          <w:szCs w:val="32"/>
          <w:highlight w:val="none"/>
        </w:rPr>
        <w:t>分，根据财预〔2020〕10号文评级为</w:t>
      </w:r>
      <w:r>
        <w:rPr>
          <w:rFonts w:ascii="仿宋_GB2312" w:hAnsi="仿宋_GB2312" w:cs="仿宋_GB2312"/>
          <w:color w:val="auto"/>
          <w:szCs w:val="32"/>
          <w:highlight w:val="none"/>
        </w:rPr>
        <w:t>“</w:t>
      </w:r>
      <w:r>
        <w:rPr>
          <w:rFonts w:hint="eastAsia" w:ascii="仿宋_GB2312" w:hAnsi="仿宋_GB2312" w:cs="仿宋_GB2312"/>
          <w:color w:val="auto"/>
          <w:szCs w:val="32"/>
          <w:highlight w:val="none"/>
          <w:lang w:val="en-US" w:eastAsia="zh-CN"/>
        </w:rPr>
        <w:t>良</w:t>
      </w:r>
      <w:r>
        <w:rPr>
          <w:rFonts w:ascii="仿宋_GB2312" w:hAnsi="仿宋_GB2312" w:cs="仿宋_GB2312"/>
          <w:color w:val="auto"/>
          <w:szCs w:val="32"/>
          <w:highlight w:val="none"/>
        </w:rPr>
        <w:t>”</w:t>
      </w:r>
      <w:r>
        <w:rPr>
          <w:rFonts w:cs="Times New Roman"/>
          <w:color w:val="auto"/>
          <w:szCs w:val="32"/>
          <w:highlight w:val="none"/>
        </w:rPr>
        <w:t>。</w:t>
      </w:r>
    </w:p>
    <w:p>
      <w:pPr>
        <w:bidi w:val="0"/>
        <w:rPr>
          <w:rFonts w:hint="eastAsia"/>
          <w:color w:val="auto"/>
          <w:highlight w:val="none"/>
          <w:lang w:val="en-US" w:eastAsia="zh-CN"/>
        </w:rPr>
      </w:pPr>
      <w:r>
        <w:rPr>
          <w:rFonts w:hint="eastAsia"/>
          <w:color w:val="auto"/>
          <w:highlight w:val="none"/>
          <w:lang w:val="en-US" w:eastAsia="zh-CN"/>
        </w:rPr>
        <w:t>在项目决策方面，项目立项依据充分，立项程序规范。</w:t>
      </w:r>
      <w:r>
        <w:rPr>
          <w:rFonts w:hint="eastAsia" w:cs="Times New Roman"/>
          <w:color w:val="auto"/>
          <w:sz w:val="32"/>
          <w:szCs w:val="32"/>
          <w:highlight w:val="none"/>
          <w:lang w:val="en-US" w:eastAsia="zh-CN"/>
        </w:rPr>
        <w:t>但绩效指标设置存在社会效益指标设置不完善、可衡量性不高、项目绩效目标不明确等情况，绩效指标设置略有不足。</w:t>
      </w:r>
    </w:p>
    <w:p>
      <w:pPr>
        <w:rPr>
          <w:rFonts w:hint="eastAsia"/>
          <w:color w:val="auto"/>
          <w:highlight w:val="none"/>
          <w:lang w:val="en-US" w:eastAsia="zh-CN"/>
        </w:rPr>
      </w:pPr>
      <w:r>
        <w:rPr>
          <w:rFonts w:hint="eastAsia"/>
          <w:color w:val="auto"/>
          <w:highlight w:val="none"/>
          <w:lang w:val="en-US" w:eastAsia="zh-CN"/>
        </w:rPr>
        <w:t>在项目过程方面，项目管理制度建立健全，财务和业务管理制度执行有效，但项目在预算执行方面较为欠缺，如预算执行率低，预算编制不够科学合理等。</w:t>
      </w:r>
    </w:p>
    <w:p>
      <w:pPr>
        <w:bidi w:val="0"/>
        <w:rPr>
          <w:rFonts w:hint="default"/>
          <w:color w:val="auto"/>
          <w:highlight w:val="none"/>
          <w:lang w:val="en-US" w:eastAsia="zh-CN"/>
        </w:rPr>
      </w:pPr>
      <w:r>
        <w:rPr>
          <w:rFonts w:hint="eastAsia"/>
          <w:color w:val="auto"/>
          <w:highlight w:val="none"/>
          <w:lang w:val="en-US" w:eastAsia="zh-CN"/>
        </w:rPr>
        <w:t>在项目产出方面，区残联已完成残疾儿童康复服务和辅助器具适配及辖区残疾人口动态需求调查等工作，但在资金拨付的及时性方面有待加强。</w:t>
      </w:r>
    </w:p>
    <w:p>
      <w:pPr>
        <w:bidi w:val="0"/>
        <w:rPr>
          <w:rFonts w:cs="Times New Roman"/>
          <w:color w:val="auto"/>
          <w:szCs w:val="32"/>
          <w:highlight w:val="none"/>
        </w:rPr>
      </w:pPr>
      <w:r>
        <w:rPr>
          <w:rFonts w:hint="eastAsia"/>
          <w:color w:val="auto"/>
          <w:highlight w:val="none"/>
          <w:lang w:val="en-US" w:eastAsia="zh-CN"/>
        </w:rPr>
        <w:t>在项目效益方面，区残联通过残疾人康复项目实施有效减轻残疾人家庭经济负担，改善了残疾人生活质量。虽然对康复服务机构建立了相应的服务评估机制，但群众对康复服务机构的满意度不高。</w:t>
      </w:r>
    </w:p>
    <w:bookmarkEnd w:id="92"/>
    <w:p>
      <w:pPr>
        <w:pStyle w:val="3"/>
        <w:keepNext/>
        <w:keepLines/>
        <w:pageBreakBefore w:val="0"/>
        <w:widowControl w:val="0"/>
        <w:kinsoku/>
        <w:wordWrap/>
        <w:overflowPunct/>
        <w:topLinePunct w:val="0"/>
        <w:autoSpaceDE/>
        <w:autoSpaceDN/>
        <w:bidi w:val="0"/>
        <w:adjustRightInd/>
        <w:snapToGrid/>
        <w:ind w:left="0" w:leftChars="0" w:firstLine="640" w:firstLineChars="200"/>
        <w:textAlignment w:val="auto"/>
        <w:rPr>
          <w:color w:val="auto"/>
          <w:highlight w:val="none"/>
        </w:rPr>
      </w:pPr>
      <w:r>
        <w:rPr>
          <w:rFonts w:hint="eastAsia"/>
          <w:color w:val="auto"/>
          <w:highlight w:val="none"/>
          <w:lang w:eastAsia="zh-CN"/>
        </w:rPr>
        <w:t>三</w:t>
      </w:r>
      <w:r>
        <w:rPr>
          <w:rFonts w:hint="eastAsia"/>
          <w:color w:val="auto"/>
          <w:highlight w:val="none"/>
        </w:rPr>
        <w:t>、存在的问题和建议</w:t>
      </w:r>
      <w:bookmarkEnd w:id="85"/>
    </w:p>
    <w:p>
      <w:pPr>
        <w:pStyle w:val="4"/>
        <w:ind w:firstLine="643"/>
        <w:rPr>
          <w:rFonts w:hint="eastAsia" w:ascii="Times New Roman" w:hAnsi="Times New Roman"/>
          <w:color w:val="auto"/>
          <w:highlight w:val="none"/>
        </w:rPr>
      </w:pPr>
      <w:bookmarkStart w:id="93" w:name="_Toc9955"/>
      <w:bookmarkStart w:id="94" w:name="_Toc9257"/>
      <w:r>
        <w:rPr>
          <w:rFonts w:hint="eastAsia" w:ascii="Times New Roman" w:hAnsi="Times New Roman"/>
          <w:color w:val="auto"/>
          <w:highlight w:val="none"/>
        </w:rPr>
        <w:t>（</w:t>
      </w:r>
      <w:r>
        <w:rPr>
          <w:rFonts w:hint="eastAsia" w:ascii="Times New Roman" w:hAnsi="Times New Roman"/>
          <w:color w:val="auto"/>
          <w:highlight w:val="none"/>
          <w:lang w:eastAsia="zh-CN"/>
        </w:rPr>
        <w:t>一</w:t>
      </w:r>
      <w:r>
        <w:rPr>
          <w:rFonts w:hint="eastAsia" w:ascii="Times New Roman" w:hAnsi="Times New Roman"/>
          <w:color w:val="auto"/>
          <w:highlight w:val="none"/>
        </w:rPr>
        <w:t>）</w:t>
      </w:r>
      <w:bookmarkStart w:id="95" w:name="_Toc24938"/>
      <w:bookmarkStart w:id="96" w:name="_Toc4378"/>
      <w:r>
        <w:rPr>
          <w:rFonts w:hint="eastAsia" w:ascii="Times New Roman" w:hAnsi="Times New Roman"/>
          <w:color w:val="auto"/>
          <w:highlight w:val="none"/>
        </w:rPr>
        <w:t>主要的经验及做法</w:t>
      </w:r>
      <w:bookmarkEnd w:id="95"/>
      <w:bookmarkEnd w:id="96"/>
    </w:p>
    <w:p>
      <w:pPr>
        <w:rPr>
          <w:rFonts w:hint="eastAsia"/>
          <w:b/>
          <w:bCs/>
          <w:color w:val="auto"/>
          <w:highlight w:val="none"/>
          <w:lang w:val="en-US" w:eastAsia="zh-CN"/>
        </w:rPr>
      </w:pPr>
      <w:r>
        <w:rPr>
          <w:rFonts w:hint="eastAsia"/>
          <w:b/>
          <w:bCs/>
          <w:color w:val="auto"/>
          <w:highlight w:val="none"/>
          <w:lang w:val="en-US" w:eastAsia="zh-CN"/>
        </w:rPr>
        <w:t>1．建立按效付费机制，提高残疾人服务机构质量</w:t>
      </w:r>
    </w:p>
    <w:p>
      <w:pPr>
        <w:rPr>
          <w:rFonts w:hint="eastAsia"/>
          <w:color w:val="auto"/>
          <w:highlight w:val="none"/>
          <w:lang w:val="en-US" w:eastAsia="zh-CN"/>
        </w:rPr>
      </w:pPr>
      <w:r>
        <w:rPr>
          <w:rFonts w:hint="eastAsia"/>
          <w:color w:val="auto"/>
          <w:highlight w:val="none"/>
          <w:lang w:val="en-US" w:eastAsia="zh-CN"/>
        </w:rPr>
        <w:t>为提高残疾人康复服务项目质量，更好地促进云岩区残疾人康复服务工作健康发展。为此，区残联通过聘请第三方评估机构的，按照服务规范对云岩区涉及康复儿童的康复机构进行监测评估。并依据评估结果对康复服务机构进行经费发放，确保残疾人康复服务机构良性发展，保障残疾人康复服务。</w:t>
      </w:r>
    </w:p>
    <w:p>
      <w:pPr>
        <w:pStyle w:val="2"/>
        <w:rPr>
          <w:rFonts w:hint="default"/>
          <w:b/>
          <w:bCs/>
          <w:color w:val="auto"/>
          <w:highlight w:val="none"/>
          <w:lang w:val="en-US" w:eastAsia="zh-CN"/>
        </w:rPr>
      </w:pPr>
      <w:r>
        <w:rPr>
          <w:rFonts w:hint="eastAsia"/>
          <w:b/>
          <w:bCs/>
          <w:color w:val="auto"/>
          <w:highlight w:val="none"/>
          <w:lang w:val="en-US" w:eastAsia="zh-CN"/>
        </w:rPr>
        <w:t>2．联合社区，扩大康复服务工作力量</w:t>
      </w:r>
    </w:p>
    <w:p>
      <w:pPr>
        <w:pStyle w:val="2"/>
        <w:rPr>
          <w:rFonts w:hint="default"/>
          <w:color w:val="auto"/>
          <w:highlight w:val="none"/>
          <w:lang w:val="en-US"/>
        </w:rPr>
      </w:pPr>
      <w:r>
        <w:rPr>
          <w:rFonts w:hint="eastAsia" w:ascii="Times New Roman" w:hAnsi="Times New Roman"/>
          <w:color w:val="auto"/>
          <w:highlight w:val="none"/>
          <w:lang w:val="en-US" w:eastAsia="zh-CN"/>
        </w:rPr>
        <w:t>将</w:t>
      </w:r>
      <w:r>
        <w:rPr>
          <w:rFonts w:hint="eastAsia"/>
          <w:color w:val="auto"/>
          <w:highlight w:val="none"/>
          <w:lang w:val="en-US" w:eastAsia="zh-CN"/>
        </w:rPr>
        <w:t>残疾人康复</w:t>
      </w:r>
      <w:r>
        <w:rPr>
          <w:rFonts w:hint="eastAsia" w:ascii="Times New Roman" w:hAnsi="Times New Roman"/>
          <w:color w:val="auto"/>
          <w:highlight w:val="none"/>
          <w:lang w:val="en-US" w:eastAsia="zh-CN"/>
        </w:rPr>
        <w:t>示范点下沉到各社区（镇），联合社区和居委会共同开展社区工作人员能力培训，通过“下沉式”模式，达到资源整合，提高社区工作者服务能力和综合素质。此外，每年以村（居）委会为单位组织调查员开展疾人基本服务状况和需求信息数据的动态更新，调查人数每年动态更新，提高辖区残疾人信息数据准确率。</w:t>
      </w:r>
    </w:p>
    <w:p>
      <w:pPr>
        <w:pStyle w:val="4"/>
        <w:ind w:firstLine="643"/>
        <w:rPr>
          <w:rFonts w:hint="eastAsia" w:ascii="Times New Roman" w:hAnsi="Times New Roman"/>
          <w:color w:val="auto"/>
          <w:highlight w:val="none"/>
        </w:rPr>
      </w:pPr>
      <w:r>
        <w:rPr>
          <w:rFonts w:hint="eastAsia" w:ascii="Times New Roman" w:hAnsi="Times New Roman"/>
          <w:color w:val="auto"/>
          <w:highlight w:val="none"/>
          <w:lang w:eastAsia="zh-CN"/>
        </w:rPr>
        <w:t>（二）</w:t>
      </w:r>
      <w:r>
        <w:rPr>
          <w:rFonts w:hint="eastAsia" w:ascii="Times New Roman" w:hAnsi="Times New Roman"/>
          <w:color w:val="auto"/>
          <w:highlight w:val="none"/>
        </w:rPr>
        <w:t>存在的问题</w:t>
      </w:r>
      <w:bookmarkEnd w:id="86"/>
      <w:bookmarkEnd w:id="93"/>
      <w:bookmarkEnd w:id="94"/>
      <w:bookmarkStart w:id="97" w:name="_Toc26879543"/>
    </w:p>
    <w:p>
      <w:pPr>
        <w:pStyle w:val="5"/>
        <w:keepNext/>
        <w:keepLines/>
        <w:pageBreakBefore w:val="0"/>
        <w:widowControl w:val="0"/>
        <w:kinsoku/>
        <w:wordWrap/>
        <w:overflowPunct/>
        <w:topLinePunct w:val="0"/>
        <w:autoSpaceDE/>
        <w:autoSpaceDN/>
        <w:bidi w:val="0"/>
        <w:adjustRightInd/>
        <w:snapToGrid w:val="0"/>
        <w:spacing w:before="0" w:after="0" w:line="560" w:lineRule="exact"/>
        <w:ind w:firstLine="667" w:firstLineChars="200"/>
        <w:textAlignment w:val="auto"/>
        <w:rPr>
          <w:rFonts w:hint="eastAsia" w:cs="Times New Roman"/>
          <w:b/>
          <w:bCs w:val="0"/>
          <w:color w:val="auto"/>
          <w:spacing w:val="6"/>
          <w:sz w:val="32"/>
          <w:szCs w:val="32"/>
          <w:highlight w:val="none"/>
        </w:rPr>
      </w:pPr>
      <w:r>
        <w:rPr>
          <w:rFonts w:hint="eastAsia"/>
          <w:b/>
          <w:bCs w:val="0"/>
          <w:color w:val="auto"/>
          <w:spacing w:val="6"/>
          <w:sz w:val="32"/>
          <w:szCs w:val="32"/>
          <w:highlight w:val="none"/>
        </w:rPr>
        <w:t>1</w:t>
      </w:r>
      <w:r>
        <w:rPr>
          <w:b/>
          <w:bCs w:val="0"/>
          <w:color w:val="auto"/>
          <w:spacing w:val="6"/>
          <w:sz w:val="32"/>
          <w:szCs w:val="32"/>
          <w:highlight w:val="none"/>
        </w:rPr>
        <w:t>．</w:t>
      </w:r>
      <w:r>
        <w:rPr>
          <w:rFonts w:hint="eastAsia" w:cs="Times New Roman"/>
          <w:b/>
          <w:bCs w:val="0"/>
          <w:color w:val="auto"/>
          <w:spacing w:val="6"/>
          <w:sz w:val="32"/>
          <w:szCs w:val="32"/>
          <w:highlight w:val="none"/>
        </w:rPr>
        <w:t>绩效目标编制合理性有待加强</w:t>
      </w:r>
    </w:p>
    <w:p>
      <w:pPr>
        <w:bidi w:val="0"/>
        <w:rPr>
          <w:rFonts w:hint="eastAsia"/>
          <w:color w:val="auto"/>
          <w:highlight w:val="none"/>
          <w:lang w:val="en-US" w:eastAsia="zh-CN"/>
        </w:rPr>
      </w:pPr>
      <w:r>
        <w:rPr>
          <w:rFonts w:hint="eastAsia"/>
          <w:color w:val="auto"/>
          <w:highlight w:val="none"/>
          <w:lang w:val="en-US" w:eastAsia="zh-CN"/>
        </w:rPr>
        <w:t>一是未将绩效目标分解为具体的绩效指标与指标值，如绩效目标中</w:t>
      </w:r>
      <w:r>
        <w:rPr>
          <w:rFonts w:hint="eastAsia"/>
          <w:b w:val="0"/>
          <w:bCs w:val="0"/>
          <w:color w:val="000000" w:themeColor="text1"/>
          <w:highlight w:val="none"/>
          <w:lang w:val="en-US" w:eastAsia="zh-CN"/>
          <w14:textFill>
            <w14:solidFill>
              <w14:schemeClr w14:val="tx1"/>
            </w14:solidFill>
          </w14:textFill>
        </w:rPr>
        <w:t>“下拨创建全国残疾人社区康复示范区经费、精神病住院、辅助器具”等均未在绩效指标中体现；二是未设置清晰、可衡量的指标值，</w:t>
      </w:r>
      <w:r>
        <w:rPr>
          <w:rFonts w:hint="eastAsia"/>
          <w:color w:val="auto"/>
          <w:highlight w:val="none"/>
          <w:lang w:val="en-US" w:eastAsia="zh-CN"/>
        </w:rPr>
        <w:t>如时效指标中“残疾状况有一定程度改善”、可持续影响指标中“按年支出”等；三是指标归类错误，</w:t>
      </w:r>
      <w:r>
        <w:rPr>
          <w:rFonts w:hint="eastAsia" w:ascii="Times New Roman" w:hAnsi="Times New Roman" w:cs="Times New Roman"/>
          <w:color w:val="auto"/>
          <w:spacing w:val="6"/>
          <w:szCs w:val="32"/>
          <w:highlight w:val="none"/>
          <w:lang w:val="en-US" w:eastAsia="zh-CN"/>
        </w:rPr>
        <w:t>如时效指标中“改善残疾状况，提供生活质量”应归为社会效益指标</w:t>
      </w:r>
      <w:r>
        <w:rPr>
          <w:rFonts w:hint="eastAsia"/>
          <w:color w:val="auto"/>
          <w:highlight w:val="none"/>
          <w:lang w:val="en-US" w:eastAsia="zh-CN"/>
        </w:rPr>
        <w:t>。</w:t>
      </w:r>
    </w:p>
    <w:p>
      <w:pPr>
        <w:pStyle w:val="5"/>
        <w:keepNext/>
        <w:keepLines/>
        <w:pageBreakBefore w:val="0"/>
        <w:widowControl w:val="0"/>
        <w:kinsoku/>
        <w:wordWrap/>
        <w:overflowPunct/>
        <w:topLinePunct w:val="0"/>
        <w:autoSpaceDE/>
        <w:autoSpaceDN/>
        <w:bidi w:val="0"/>
        <w:adjustRightInd/>
        <w:snapToGrid w:val="0"/>
        <w:spacing w:before="0" w:after="0" w:line="560" w:lineRule="exact"/>
        <w:ind w:firstLine="667" w:firstLineChars="200"/>
        <w:textAlignment w:val="auto"/>
        <w:rPr>
          <w:rFonts w:hint="default" w:cs="Times New Roman"/>
          <w:b/>
          <w:bCs w:val="0"/>
          <w:color w:val="auto"/>
          <w:spacing w:val="6"/>
          <w:sz w:val="32"/>
          <w:szCs w:val="32"/>
          <w:highlight w:val="none"/>
          <w:lang w:val="en-US"/>
        </w:rPr>
      </w:pPr>
      <w:r>
        <w:rPr>
          <w:rFonts w:hint="eastAsia"/>
          <w:b/>
          <w:bCs w:val="0"/>
          <w:color w:val="auto"/>
          <w:spacing w:val="6"/>
          <w:sz w:val="32"/>
          <w:szCs w:val="32"/>
          <w:highlight w:val="none"/>
          <w:lang w:val="en-US" w:eastAsia="zh-CN"/>
        </w:rPr>
        <w:t>2</w:t>
      </w:r>
      <w:r>
        <w:rPr>
          <w:b/>
          <w:bCs w:val="0"/>
          <w:color w:val="auto"/>
          <w:spacing w:val="6"/>
          <w:sz w:val="32"/>
          <w:szCs w:val="32"/>
          <w:highlight w:val="none"/>
        </w:rPr>
        <w:t>．</w:t>
      </w:r>
      <w:r>
        <w:rPr>
          <w:rFonts w:hint="eastAsia" w:cs="Times New Roman"/>
          <w:b/>
          <w:bCs w:val="0"/>
          <w:color w:val="auto"/>
          <w:spacing w:val="6"/>
          <w:sz w:val="32"/>
          <w:szCs w:val="32"/>
          <w:highlight w:val="none"/>
          <w:lang w:val="en-US" w:eastAsia="zh-CN"/>
        </w:rPr>
        <w:t>预算编制不够科学合理，分配依据不充分，致使预算执行率较低</w:t>
      </w:r>
    </w:p>
    <w:p>
      <w:pPr>
        <w:bidi w:val="0"/>
        <w:rPr>
          <w:rFonts w:hint="eastAsia" w:ascii="Times New Roman" w:hAnsi="Times New Roman" w:eastAsia="仿宋_GB2312"/>
          <w:color w:val="auto"/>
          <w:highlight w:val="none"/>
          <w:lang w:val="en-US" w:eastAsia="zh-CN"/>
        </w:rPr>
      </w:pPr>
      <w:r>
        <w:rPr>
          <w:rFonts w:hint="eastAsia" w:ascii="仿宋_GB2312" w:hAnsi="Times New Roman" w:eastAsia="仿宋_GB2312" w:cs="Times New Roman"/>
          <w:color w:val="auto"/>
          <w:sz w:val="32"/>
          <w:szCs w:val="32"/>
          <w:highlight w:val="none"/>
        </w:rPr>
        <w:t>在预算</w:t>
      </w:r>
      <w:r>
        <w:rPr>
          <w:rFonts w:hint="eastAsia" w:ascii="仿宋_GB2312" w:hAnsi="Times New Roman" w:cs="Times New Roman"/>
          <w:color w:val="auto"/>
          <w:sz w:val="32"/>
          <w:szCs w:val="32"/>
          <w:highlight w:val="none"/>
          <w:lang w:val="en-US" w:eastAsia="zh-CN"/>
        </w:rPr>
        <w:t>编制方面</w:t>
      </w:r>
      <w:r>
        <w:rPr>
          <w:rFonts w:hint="eastAsia" w:ascii="仿宋_GB2312" w:hAnsi="Times New Roman" w:eastAsia="仿宋_GB2312" w:cs="Times New Roman"/>
          <w:color w:val="auto"/>
          <w:sz w:val="32"/>
          <w:szCs w:val="32"/>
          <w:highlight w:val="none"/>
        </w:rPr>
        <w:t>，</w:t>
      </w:r>
      <w:r>
        <w:rPr>
          <w:rFonts w:hint="eastAsia" w:ascii="Times New Roman" w:hAnsi="Times New Roman"/>
          <w:color w:val="auto"/>
          <w:highlight w:val="none"/>
          <w:lang w:val="en-US" w:eastAsia="zh-CN"/>
        </w:rPr>
        <w:t>残疾人基本服务状况和需求信息数据动态更新工作经费26万元，其中5万元为培训经费、16万为调查</w:t>
      </w:r>
      <w:r>
        <w:rPr>
          <w:rFonts w:hint="eastAsia"/>
          <w:color w:val="auto"/>
          <w:highlight w:val="none"/>
          <w:lang w:val="en-US" w:eastAsia="zh-CN"/>
        </w:rPr>
        <w:t>经费，剩余5万无编制依据。</w:t>
      </w:r>
    </w:p>
    <w:p>
      <w:pPr>
        <w:pStyle w:val="2"/>
        <w:rPr>
          <w:rFonts w:hint="eastAsia" w:ascii="Times New Roman" w:hAnsi="Times New Roman"/>
          <w:color w:val="auto"/>
          <w:sz w:val="32"/>
          <w:szCs w:val="32"/>
          <w:highlight w:val="none"/>
          <w:lang w:val="en-US" w:eastAsia="zh-CN"/>
        </w:rPr>
      </w:pPr>
      <w:r>
        <w:rPr>
          <w:rFonts w:hint="eastAsia"/>
          <w:color w:val="auto"/>
          <w:sz w:val="32"/>
          <w:szCs w:val="32"/>
          <w:highlight w:val="none"/>
          <w:lang w:val="en-US" w:eastAsia="zh-CN"/>
        </w:rPr>
        <w:t>在预算分配方面，区残联将残疾人工作经费按</w:t>
      </w:r>
      <w:r>
        <w:rPr>
          <w:rFonts w:hint="eastAsia"/>
          <w:color w:val="auto"/>
          <w:sz w:val="32"/>
          <w:szCs w:val="32"/>
          <w:highlight w:val="none"/>
        </w:rPr>
        <w:t>辖区人口数</w:t>
      </w:r>
      <w:r>
        <w:rPr>
          <w:rFonts w:hint="eastAsia"/>
          <w:color w:val="auto"/>
          <w:sz w:val="32"/>
          <w:szCs w:val="32"/>
          <w:highlight w:val="none"/>
          <w:lang w:val="en-US" w:eastAsia="zh-CN"/>
        </w:rPr>
        <w:t>每人</w:t>
      </w:r>
      <w:r>
        <w:rPr>
          <w:rFonts w:hint="eastAsia"/>
          <w:color w:val="auto"/>
          <w:sz w:val="32"/>
          <w:szCs w:val="32"/>
          <w:highlight w:val="none"/>
        </w:rPr>
        <w:t>0.3元标准下拨到</w:t>
      </w:r>
      <w:r>
        <w:rPr>
          <w:rFonts w:hint="eastAsia"/>
          <w:color w:val="auto"/>
          <w:sz w:val="32"/>
          <w:szCs w:val="32"/>
          <w:highlight w:val="none"/>
          <w:lang w:eastAsia="zh-CN"/>
        </w:rPr>
        <w:t>各街道办事处（镇），</w:t>
      </w:r>
      <w:r>
        <w:rPr>
          <w:rFonts w:hint="eastAsia"/>
          <w:color w:val="auto"/>
          <w:sz w:val="32"/>
          <w:szCs w:val="32"/>
          <w:highlight w:val="none"/>
          <w:lang w:val="en-US" w:eastAsia="zh-CN"/>
        </w:rPr>
        <w:t>剩余资金全用于弥补康复所有工作的资金缺口。此外，</w:t>
      </w:r>
      <w:r>
        <w:rPr>
          <w:rFonts w:hint="eastAsia" w:ascii="Times New Roman" w:hAnsi="Times New Roman"/>
          <w:color w:val="auto"/>
          <w:sz w:val="32"/>
          <w:szCs w:val="32"/>
          <w:highlight w:val="none"/>
          <w:lang w:val="en-US" w:eastAsia="zh-CN"/>
        </w:rPr>
        <w:t>残疾人基本服务状况和需求信息数据动态更新工作经费资金分配依据不充分</w:t>
      </w:r>
      <w:r>
        <w:rPr>
          <w:rFonts w:hint="eastAsia"/>
          <w:color w:val="auto"/>
          <w:sz w:val="32"/>
          <w:szCs w:val="32"/>
          <w:highlight w:val="none"/>
          <w:lang w:val="en-US" w:eastAsia="zh-CN"/>
        </w:rPr>
        <w:t>情形</w:t>
      </w:r>
      <w:r>
        <w:rPr>
          <w:rFonts w:hint="eastAsia" w:ascii="Times New Roman" w:hAnsi="Times New Roman"/>
          <w:color w:val="auto"/>
          <w:sz w:val="32"/>
          <w:szCs w:val="32"/>
          <w:highlight w:val="none"/>
          <w:lang w:val="en-US" w:eastAsia="zh-CN"/>
        </w:rPr>
        <w:t>。</w:t>
      </w:r>
    </w:p>
    <w:p>
      <w:pPr>
        <w:rPr>
          <w:rFonts w:hint="eastAsia" w:eastAsia="仿宋_GB2312"/>
          <w:color w:val="auto"/>
          <w:highlight w:val="none"/>
          <w:lang w:eastAsia="zh-CN"/>
        </w:rPr>
      </w:pPr>
      <w:r>
        <w:rPr>
          <w:rFonts w:hint="eastAsia"/>
          <w:color w:val="auto"/>
          <w:sz w:val="32"/>
          <w:szCs w:val="32"/>
          <w:highlight w:val="none"/>
          <w:lang w:val="en-US" w:eastAsia="zh-CN"/>
        </w:rPr>
        <w:t>在预算执行方面，预算执行率低。</w:t>
      </w:r>
      <w:r>
        <w:rPr>
          <w:rFonts w:hint="eastAsia" w:cs="Times New Roman"/>
          <w:color w:val="auto"/>
          <w:szCs w:val="32"/>
          <w:highlight w:val="none"/>
        </w:rPr>
        <w:t>2020年</w:t>
      </w:r>
      <w:r>
        <w:rPr>
          <w:rFonts w:hint="eastAsia" w:cs="Times New Roman"/>
          <w:color w:val="auto"/>
          <w:szCs w:val="32"/>
          <w:highlight w:val="none"/>
          <w:lang w:val="en-US" w:eastAsia="zh-CN"/>
        </w:rPr>
        <w:t>残疾人康复项目预算</w:t>
      </w:r>
      <w:r>
        <w:rPr>
          <w:rFonts w:hint="eastAsia" w:cs="Times New Roman"/>
          <w:color w:val="auto"/>
          <w:szCs w:val="32"/>
          <w:highlight w:val="none"/>
        </w:rPr>
        <w:t>资金</w:t>
      </w:r>
      <w:r>
        <w:rPr>
          <w:rFonts w:hint="eastAsia" w:cs="Times New Roman"/>
          <w:color w:val="auto"/>
          <w:szCs w:val="32"/>
          <w:highlight w:val="none"/>
          <w:lang w:val="en-US" w:eastAsia="zh-CN"/>
        </w:rPr>
        <w:t>335.72</w:t>
      </w:r>
      <w:r>
        <w:rPr>
          <w:rFonts w:hint="eastAsia" w:cs="Times New Roman"/>
          <w:color w:val="auto"/>
          <w:szCs w:val="32"/>
          <w:highlight w:val="none"/>
        </w:rPr>
        <w:t>万元，截至2020年12月31日，项目执行金额共计</w:t>
      </w:r>
      <w:r>
        <w:rPr>
          <w:rFonts w:hint="eastAsia" w:cs="Times New Roman"/>
          <w:color w:val="auto"/>
          <w:szCs w:val="32"/>
          <w:highlight w:val="none"/>
          <w:lang w:val="en-US" w:eastAsia="zh-CN"/>
        </w:rPr>
        <w:t>197.7</w:t>
      </w:r>
      <w:r>
        <w:rPr>
          <w:rFonts w:hint="eastAsia" w:cs="Times New Roman"/>
          <w:color w:val="auto"/>
          <w:szCs w:val="32"/>
          <w:highlight w:val="none"/>
        </w:rPr>
        <w:t>万元，预算执行率为</w:t>
      </w:r>
      <w:r>
        <w:rPr>
          <w:rFonts w:hint="eastAsia" w:cs="Times New Roman"/>
          <w:color w:val="auto"/>
          <w:szCs w:val="32"/>
          <w:highlight w:val="none"/>
          <w:lang w:val="en-US" w:eastAsia="zh-CN"/>
        </w:rPr>
        <w:t>58.89</w:t>
      </w:r>
      <w:r>
        <w:rPr>
          <w:rFonts w:cs="Times New Roman"/>
          <w:color w:val="auto"/>
          <w:szCs w:val="32"/>
          <w:highlight w:val="none"/>
        </w:rPr>
        <w:t>%</w:t>
      </w:r>
      <w:r>
        <w:rPr>
          <w:rFonts w:hint="eastAsia" w:cs="Times New Roman"/>
          <w:color w:val="auto"/>
          <w:szCs w:val="32"/>
          <w:highlight w:val="none"/>
          <w:lang w:eastAsia="zh-CN"/>
        </w:rPr>
        <w:t>。</w:t>
      </w:r>
    </w:p>
    <w:p>
      <w:pPr>
        <w:pStyle w:val="5"/>
        <w:keepNext/>
        <w:keepLines/>
        <w:pageBreakBefore w:val="0"/>
        <w:widowControl w:val="0"/>
        <w:kinsoku/>
        <w:wordWrap/>
        <w:overflowPunct/>
        <w:topLinePunct w:val="0"/>
        <w:autoSpaceDE/>
        <w:autoSpaceDN/>
        <w:bidi w:val="0"/>
        <w:adjustRightInd/>
        <w:snapToGrid w:val="0"/>
        <w:spacing w:before="0" w:after="0" w:line="560" w:lineRule="exact"/>
        <w:ind w:firstLine="667" w:firstLineChars="200"/>
        <w:textAlignment w:val="auto"/>
        <w:rPr>
          <w:rFonts w:hint="eastAsia" w:ascii="Times New Roman" w:hAnsi="Times New Roman" w:cs="Times New Roman"/>
          <w:b/>
          <w:bCs w:val="0"/>
          <w:color w:val="auto"/>
          <w:spacing w:val="6"/>
          <w:sz w:val="32"/>
          <w:szCs w:val="32"/>
          <w:highlight w:val="none"/>
        </w:rPr>
      </w:pPr>
      <w:r>
        <w:rPr>
          <w:rFonts w:hint="eastAsia" w:ascii="Times New Roman" w:hAnsi="Times New Roman" w:cs="Times New Roman"/>
          <w:b/>
          <w:bCs w:val="0"/>
          <w:color w:val="auto"/>
          <w:spacing w:val="6"/>
          <w:sz w:val="32"/>
          <w:szCs w:val="32"/>
          <w:highlight w:val="none"/>
          <w:lang w:val="en-US" w:eastAsia="zh-CN"/>
        </w:rPr>
        <w:t>3．</w:t>
      </w:r>
      <w:r>
        <w:rPr>
          <w:rFonts w:hint="eastAsia" w:ascii="Times New Roman" w:hAnsi="Times New Roman" w:cs="Times New Roman"/>
          <w:b/>
          <w:bCs w:val="0"/>
          <w:color w:val="auto"/>
          <w:spacing w:val="6"/>
          <w:sz w:val="32"/>
          <w:szCs w:val="32"/>
          <w:highlight w:val="none"/>
        </w:rPr>
        <w:t>存在</w:t>
      </w:r>
      <w:r>
        <w:rPr>
          <w:rFonts w:hint="eastAsia" w:cs="Times New Roman"/>
          <w:b/>
          <w:bCs w:val="0"/>
          <w:color w:val="auto"/>
          <w:spacing w:val="6"/>
          <w:sz w:val="32"/>
          <w:szCs w:val="32"/>
          <w:highlight w:val="none"/>
          <w:lang w:val="en-US" w:eastAsia="zh-CN"/>
        </w:rPr>
        <w:t>个别</w:t>
      </w:r>
      <w:r>
        <w:rPr>
          <w:rFonts w:hint="eastAsia" w:ascii="Times New Roman" w:hAnsi="Times New Roman" w:cs="Times New Roman"/>
          <w:b/>
          <w:bCs w:val="0"/>
          <w:color w:val="auto"/>
          <w:spacing w:val="6"/>
          <w:sz w:val="32"/>
          <w:szCs w:val="32"/>
          <w:highlight w:val="none"/>
        </w:rPr>
        <w:t>工作</w:t>
      </w:r>
      <w:r>
        <w:rPr>
          <w:rFonts w:hint="eastAsia" w:cs="Times New Roman"/>
          <w:b/>
          <w:bCs w:val="0"/>
          <w:color w:val="auto"/>
          <w:spacing w:val="6"/>
          <w:sz w:val="32"/>
          <w:szCs w:val="32"/>
          <w:highlight w:val="none"/>
          <w:lang w:val="en-US" w:eastAsia="zh-CN"/>
        </w:rPr>
        <w:t>任务</w:t>
      </w:r>
      <w:r>
        <w:rPr>
          <w:rFonts w:hint="eastAsia" w:ascii="Times New Roman" w:hAnsi="Times New Roman" w:cs="Times New Roman"/>
          <w:b/>
          <w:bCs w:val="0"/>
          <w:color w:val="auto"/>
          <w:spacing w:val="6"/>
          <w:sz w:val="32"/>
          <w:szCs w:val="32"/>
          <w:highlight w:val="none"/>
        </w:rPr>
        <w:t>未完成</w:t>
      </w:r>
    </w:p>
    <w:p>
      <w:pPr>
        <w:bidi w:val="0"/>
        <w:rPr>
          <w:rFonts w:hint="eastAsia"/>
          <w:color w:val="auto"/>
          <w:highlight w:val="none"/>
          <w:lang w:val="en-US" w:eastAsia="zh-CN"/>
        </w:rPr>
      </w:pPr>
      <w:r>
        <w:rPr>
          <w:rFonts w:hint="eastAsia"/>
          <w:color w:val="auto"/>
          <w:highlight w:val="none"/>
          <w:lang w:val="en-US" w:eastAsia="zh-CN"/>
        </w:rPr>
        <w:t>一是</w:t>
      </w:r>
      <w:r>
        <w:rPr>
          <w:rFonts w:hint="eastAsia" w:cs="Times New Roman"/>
          <w:b w:val="0"/>
          <w:bCs w:val="0"/>
          <w:color w:val="auto"/>
          <w:highlight w:val="none"/>
          <w:lang w:val="en-US" w:eastAsia="zh-CN"/>
        </w:rPr>
        <w:t>区残联已为</w:t>
      </w:r>
      <w:r>
        <w:rPr>
          <w:rFonts w:hint="eastAsia"/>
          <w:color w:val="auto"/>
          <w:highlight w:val="none"/>
          <w:lang w:val="en-US" w:eastAsia="zh-CN"/>
        </w:rPr>
        <w:t>174名</w:t>
      </w:r>
      <w:r>
        <w:rPr>
          <w:rFonts w:hint="eastAsia" w:cs="Times New Roman"/>
          <w:b w:val="0"/>
          <w:bCs w:val="0"/>
          <w:color w:val="auto"/>
          <w:highlight w:val="none"/>
          <w:lang w:val="en-US" w:eastAsia="zh-CN"/>
        </w:rPr>
        <w:t>残疾儿童</w:t>
      </w:r>
      <w:r>
        <w:rPr>
          <w:rFonts w:hint="eastAsia"/>
          <w:color w:val="auto"/>
          <w:highlight w:val="none"/>
          <w:lang w:val="en-US" w:eastAsia="zh-CN"/>
        </w:rPr>
        <w:t>建立花名册，但实际救助人数</w:t>
      </w:r>
      <w:r>
        <w:rPr>
          <w:rFonts w:hint="eastAsia" w:cs="Times New Roman"/>
          <w:b w:val="0"/>
          <w:bCs w:val="0"/>
          <w:color w:val="auto"/>
          <w:highlight w:val="none"/>
          <w:lang w:val="en-US" w:eastAsia="zh-CN"/>
        </w:rPr>
        <w:t>为131人</w:t>
      </w:r>
      <w:r>
        <w:rPr>
          <w:rFonts w:hint="eastAsia"/>
          <w:color w:val="auto"/>
          <w:highlight w:val="none"/>
          <w:lang w:val="en-US" w:eastAsia="zh-CN"/>
        </w:rPr>
        <w:t>，未达目标值174人（主要原因系部分人员因个人原因转出、离校等）；二是2020年参与辅助器具适配的残疾人共305人，未达成年度指标值，主要原因系具有残疾人辅助器具需求的616人中，只有305人有具体器具需求（251人采购辅助器具发放＋30人助听器适配＋24人假肢矫形器适配）；三是按照年度支出计划，区残联应在2020年6月底前完成所有社区示范点的工作经费拨付，但实际拨付完成时间为2020年12月。</w:t>
      </w:r>
    </w:p>
    <w:p>
      <w:pPr>
        <w:pStyle w:val="5"/>
        <w:keepNext/>
        <w:keepLines/>
        <w:pageBreakBefore w:val="0"/>
        <w:widowControl w:val="0"/>
        <w:numPr>
          <w:ilvl w:val="0"/>
          <w:numId w:val="1"/>
        </w:numPr>
        <w:kinsoku/>
        <w:wordWrap/>
        <w:overflowPunct/>
        <w:topLinePunct w:val="0"/>
        <w:autoSpaceDE/>
        <w:autoSpaceDN/>
        <w:bidi w:val="0"/>
        <w:adjustRightInd/>
        <w:snapToGrid w:val="0"/>
        <w:spacing w:before="0" w:after="0" w:line="560" w:lineRule="exact"/>
        <w:ind w:firstLine="667" w:firstLineChars="200"/>
        <w:textAlignment w:val="auto"/>
        <w:rPr>
          <w:rFonts w:hint="eastAsia" w:ascii="Times New Roman" w:hAnsi="Times New Roman" w:cs="Times New Roman"/>
          <w:b/>
          <w:bCs w:val="0"/>
          <w:color w:val="auto"/>
          <w:spacing w:val="6"/>
          <w:sz w:val="32"/>
          <w:szCs w:val="32"/>
          <w:highlight w:val="none"/>
          <w:lang w:val="en-US" w:eastAsia="zh-CN"/>
        </w:rPr>
      </w:pPr>
      <w:bookmarkStart w:id="98" w:name="_Toc8562"/>
      <w:bookmarkStart w:id="99" w:name="_Toc31450"/>
      <w:r>
        <w:rPr>
          <w:rFonts w:hint="eastAsia" w:ascii="Times New Roman" w:hAnsi="Times New Roman" w:cs="Times New Roman"/>
          <w:b/>
          <w:bCs w:val="0"/>
          <w:color w:val="auto"/>
          <w:spacing w:val="6"/>
          <w:sz w:val="32"/>
          <w:szCs w:val="32"/>
          <w:highlight w:val="none"/>
          <w:lang w:val="en-US" w:eastAsia="zh-CN"/>
        </w:rPr>
        <w:t>部分效益未完全体现，服务对象满意度不高</w:t>
      </w:r>
    </w:p>
    <w:p>
      <w:pPr>
        <w:bidi w:val="0"/>
        <w:rPr>
          <w:rFonts w:hint="default"/>
          <w:color w:val="C00000"/>
          <w:highlight w:val="none"/>
          <w:lang w:val="en-US" w:eastAsia="zh-CN"/>
        </w:rPr>
      </w:pPr>
      <w:r>
        <w:rPr>
          <w:rFonts w:hint="eastAsia"/>
          <w:color w:val="auto"/>
          <w:highlight w:val="none"/>
          <w:lang w:val="en-US" w:eastAsia="zh-CN"/>
        </w:rPr>
        <w:t>一是按照《云岩区残疾人精准康复服务行动实施方案（2016-2020年）》要求，2020年实现有需求残疾人康复服务覆盖率80%以上，实际完成残疾人康复服务覆盖率为58.36%；二是部分残疾人家属对部分康复服务机构的满意度不高，满意度不高的原因主要体现在以下四个方面：一是所收取的费用与儿童参与康复服务的课程比例上存在差异；二是服务机构人员流动性大，服务质量难以保障；三是部分服务机构课程安排不合理；四是服务机构服务质量有待提升。</w:t>
      </w:r>
    </w:p>
    <w:p>
      <w:pPr>
        <w:pStyle w:val="4"/>
        <w:keepNext/>
        <w:keepLines/>
        <w:pageBreakBefore w:val="0"/>
        <w:widowControl w:val="0"/>
        <w:numPr>
          <w:ilvl w:val="0"/>
          <w:numId w:val="2"/>
        </w:numPr>
        <w:kinsoku/>
        <w:wordWrap/>
        <w:overflowPunct/>
        <w:topLinePunct w:val="0"/>
        <w:autoSpaceDE/>
        <w:autoSpaceDN/>
        <w:bidi w:val="0"/>
        <w:adjustRightInd/>
        <w:snapToGrid/>
        <w:ind w:firstLine="643"/>
        <w:textAlignment w:val="auto"/>
        <w:rPr>
          <w:rFonts w:hint="eastAsia" w:ascii="Times New Roman" w:hAnsi="Times New Roman"/>
          <w:color w:val="auto"/>
          <w:highlight w:val="none"/>
        </w:rPr>
      </w:pPr>
      <w:r>
        <w:rPr>
          <w:rFonts w:hint="eastAsia" w:ascii="Times New Roman" w:hAnsi="Times New Roman"/>
          <w:color w:val="auto"/>
          <w:highlight w:val="none"/>
        </w:rPr>
        <w:t>相关建议</w:t>
      </w:r>
      <w:bookmarkEnd w:id="97"/>
      <w:bookmarkEnd w:id="98"/>
      <w:bookmarkEnd w:id="99"/>
    </w:p>
    <w:p>
      <w:pPr>
        <w:pStyle w:val="5"/>
        <w:keepNext/>
        <w:keepLines/>
        <w:pageBreakBefore w:val="0"/>
        <w:widowControl w:val="0"/>
        <w:kinsoku/>
        <w:wordWrap/>
        <w:overflowPunct/>
        <w:topLinePunct w:val="0"/>
        <w:autoSpaceDE/>
        <w:autoSpaceDN/>
        <w:bidi w:val="0"/>
        <w:adjustRightInd/>
        <w:snapToGrid w:val="0"/>
        <w:spacing w:before="0" w:after="0" w:line="560" w:lineRule="exact"/>
        <w:ind w:firstLine="667" w:firstLineChars="200"/>
        <w:textAlignment w:val="auto"/>
        <w:rPr>
          <w:rFonts w:hint="eastAsia" w:ascii="Times New Roman" w:hAnsi="Times New Roman" w:cs="Times New Roman"/>
          <w:b/>
          <w:bCs w:val="0"/>
          <w:color w:val="auto"/>
          <w:spacing w:val="6"/>
          <w:sz w:val="32"/>
          <w:szCs w:val="32"/>
          <w:highlight w:val="none"/>
          <w:lang w:val="en-US" w:eastAsia="zh-CN"/>
        </w:rPr>
      </w:pPr>
      <w:r>
        <w:rPr>
          <w:rFonts w:hint="eastAsia" w:ascii="Times New Roman" w:hAnsi="Times New Roman" w:cs="Times New Roman"/>
          <w:b/>
          <w:bCs w:val="0"/>
          <w:color w:val="auto"/>
          <w:spacing w:val="6"/>
          <w:sz w:val="32"/>
          <w:szCs w:val="32"/>
          <w:highlight w:val="none"/>
          <w:lang w:val="en-US" w:eastAsia="zh-CN"/>
        </w:rPr>
        <w:t>1．加强绩效目标填报，完善绩效指标设置</w:t>
      </w:r>
    </w:p>
    <w:p>
      <w:pPr>
        <w:bidi w:val="0"/>
        <w:rPr>
          <w:color w:val="auto"/>
          <w:highlight w:val="none"/>
        </w:rPr>
      </w:pPr>
      <w:r>
        <w:rPr>
          <w:color w:val="auto"/>
          <w:highlight w:val="none"/>
        </w:rPr>
        <w:t>建议根据项目实施内容、工作目标等，设置项目绩效指标，</w:t>
      </w:r>
      <w:r>
        <w:rPr>
          <w:rFonts w:hint="eastAsia"/>
          <w:color w:val="auto"/>
          <w:highlight w:val="none"/>
          <w:lang w:val="en-US" w:eastAsia="zh-CN"/>
        </w:rPr>
        <w:t>区残联在</w:t>
      </w:r>
      <w:r>
        <w:rPr>
          <w:rFonts w:hint="default" w:ascii="Times New Roman" w:hAnsi="Times New Roman" w:eastAsia="仿宋_GB2312" w:cs="Times New Roman"/>
          <w:color w:val="auto"/>
          <w:sz w:val="32"/>
          <w:szCs w:val="32"/>
          <w:highlight w:val="none"/>
          <w:lang w:val="en-US" w:eastAsia="zh-CN" w:bidi="ar"/>
        </w:rPr>
        <w:t>申报项目预算前，应明确项目年度目标</w:t>
      </w:r>
      <w:r>
        <w:rPr>
          <w:rFonts w:hint="eastAsia" w:ascii="Times New Roman" w:hAnsi="Times New Roman" w:cs="Times New Roman"/>
          <w:color w:val="auto"/>
          <w:sz w:val="32"/>
          <w:szCs w:val="32"/>
          <w:highlight w:val="none"/>
          <w:lang w:val="en-US" w:eastAsia="zh-CN" w:bidi="ar"/>
        </w:rPr>
        <w:t>，</w:t>
      </w:r>
      <w:r>
        <w:rPr>
          <w:rFonts w:hint="default" w:ascii="Times New Roman" w:hAnsi="Times New Roman" w:eastAsia="仿宋_GB2312" w:cs="Times New Roman"/>
          <w:color w:val="auto"/>
          <w:sz w:val="32"/>
          <w:szCs w:val="32"/>
          <w:highlight w:val="none"/>
          <w:lang w:val="en-US" w:eastAsia="zh-CN" w:bidi="ar"/>
        </w:rPr>
        <w:t>在编制绩效目标时，应细化产出数量，量化项目效益</w:t>
      </w:r>
      <w:r>
        <w:rPr>
          <w:rFonts w:hint="eastAsia" w:ascii="Times New Roman" w:hAnsi="Times New Roman" w:cs="Times New Roman"/>
          <w:color w:val="auto"/>
          <w:sz w:val="32"/>
          <w:szCs w:val="32"/>
          <w:highlight w:val="none"/>
          <w:lang w:val="en-US" w:eastAsia="zh-CN" w:bidi="ar"/>
        </w:rPr>
        <w:t>，</w:t>
      </w:r>
      <w:r>
        <w:rPr>
          <w:color w:val="auto"/>
          <w:highlight w:val="none"/>
        </w:rPr>
        <w:t>指标设置应遵循</w:t>
      </w:r>
      <w:r>
        <w:rPr>
          <w:rFonts w:hint="eastAsia" w:ascii="仿宋_GB2312"/>
          <w:color w:val="auto"/>
          <w:highlight w:val="none"/>
        </w:rPr>
        <w:t>“</w:t>
      </w:r>
      <w:r>
        <w:rPr>
          <w:color w:val="auto"/>
          <w:highlight w:val="none"/>
        </w:rPr>
        <w:t>SMART</w:t>
      </w:r>
      <w:r>
        <w:rPr>
          <w:rFonts w:hint="eastAsia" w:ascii="仿宋_GB2312"/>
          <w:color w:val="auto"/>
          <w:highlight w:val="none"/>
        </w:rPr>
        <w:t>”</w:t>
      </w:r>
      <w:r>
        <w:rPr>
          <w:color w:val="auto"/>
          <w:highlight w:val="none"/>
        </w:rPr>
        <w:t>原则，</w:t>
      </w:r>
      <w:r>
        <w:rPr>
          <w:rFonts w:hint="eastAsia" w:ascii="Times New Roman" w:hAnsi="Times New Roman" w:eastAsia="仿宋_GB2312" w:cs="Times New Roman"/>
          <w:color w:val="auto"/>
          <w:sz w:val="32"/>
          <w:szCs w:val="32"/>
          <w:highlight w:val="none"/>
          <w:lang w:val="en-US" w:eastAsia="zh-CN" w:bidi="ar"/>
        </w:rPr>
        <w:t>以充分发挥绩效目标对预算编制执行的引导约束和控制作用</w:t>
      </w:r>
      <w:r>
        <w:rPr>
          <w:color w:val="auto"/>
          <w:highlight w:val="none"/>
        </w:rPr>
        <w:t>。</w:t>
      </w:r>
    </w:p>
    <w:p>
      <w:pPr>
        <w:pStyle w:val="5"/>
        <w:keepNext/>
        <w:keepLines/>
        <w:pageBreakBefore w:val="0"/>
        <w:widowControl w:val="0"/>
        <w:kinsoku/>
        <w:wordWrap/>
        <w:overflowPunct/>
        <w:topLinePunct w:val="0"/>
        <w:autoSpaceDE/>
        <w:autoSpaceDN/>
        <w:bidi w:val="0"/>
        <w:adjustRightInd/>
        <w:snapToGrid w:val="0"/>
        <w:spacing w:before="0" w:after="0" w:line="560" w:lineRule="exact"/>
        <w:ind w:firstLine="667" w:firstLineChars="200"/>
        <w:textAlignment w:val="auto"/>
        <w:rPr>
          <w:rFonts w:hint="eastAsia" w:ascii="Times New Roman" w:hAnsi="Times New Roman" w:cs="Times New Roman"/>
          <w:b/>
          <w:bCs w:val="0"/>
          <w:color w:val="auto"/>
          <w:spacing w:val="6"/>
          <w:sz w:val="32"/>
          <w:szCs w:val="32"/>
          <w:highlight w:val="none"/>
          <w:lang w:val="en-US" w:eastAsia="zh-CN"/>
        </w:rPr>
      </w:pPr>
      <w:r>
        <w:rPr>
          <w:rFonts w:hint="default" w:ascii="Times New Roman" w:hAnsi="Times New Roman" w:cs="Times New Roman"/>
          <w:b/>
          <w:bCs w:val="0"/>
          <w:color w:val="auto"/>
          <w:spacing w:val="6"/>
          <w:sz w:val="32"/>
          <w:szCs w:val="32"/>
          <w:highlight w:val="none"/>
          <w:lang w:val="en-US" w:eastAsia="zh-CN"/>
        </w:rPr>
        <w:t>2</w:t>
      </w:r>
      <w:r>
        <w:rPr>
          <w:rFonts w:hint="eastAsia" w:ascii="Times New Roman" w:hAnsi="Times New Roman" w:cs="Times New Roman"/>
          <w:b/>
          <w:bCs w:val="0"/>
          <w:color w:val="auto"/>
          <w:spacing w:val="6"/>
          <w:sz w:val="32"/>
          <w:szCs w:val="32"/>
          <w:highlight w:val="none"/>
          <w:lang w:val="en-US" w:eastAsia="zh-CN"/>
        </w:rPr>
        <w:t>．科学编制项目预算，提高资金使用效益</w:t>
      </w:r>
    </w:p>
    <w:p>
      <w:pPr>
        <w:keepNext w:val="0"/>
        <w:keepLines w:val="0"/>
        <w:pageBreakBefore w:val="0"/>
        <w:widowControl w:val="0"/>
        <w:kinsoku/>
        <w:wordWrap/>
        <w:overflowPunct/>
        <w:topLinePunct w:val="0"/>
        <w:autoSpaceDE/>
        <w:autoSpaceDN/>
        <w:bidi w:val="0"/>
        <w:adjustRightInd/>
        <w:snapToGrid/>
        <w:textAlignment w:val="auto"/>
      </w:pPr>
      <w:r>
        <w:rPr>
          <w:rFonts w:hint="eastAsia"/>
          <w:lang w:val="en-US" w:eastAsia="zh-CN"/>
        </w:rPr>
        <w:t>一是规范部门预算编制，建议区残联在以后年度的项目预算申报中，对项目产出准确定位和细化，根据实际情况对项目所需经费进行测算；</w:t>
      </w:r>
      <w:r>
        <w:rPr>
          <w:rFonts w:hint="eastAsia"/>
        </w:rPr>
        <w:t>对于确属无法预知的工作内容，可适当参照以前年度实施情况编制相关预算。</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 二是加强部门预算执行，进一步完善财政结转结余资金定期清理机制，增强预算执行的时效性和均衡性，加快预算执行进度。</w:t>
      </w:r>
    </w:p>
    <w:p>
      <w:pPr>
        <w:pStyle w:val="5"/>
        <w:keepNext/>
        <w:keepLines/>
        <w:pageBreakBefore w:val="0"/>
        <w:widowControl w:val="0"/>
        <w:kinsoku/>
        <w:wordWrap/>
        <w:overflowPunct/>
        <w:topLinePunct w:val="0"/>
        <w:autoSpaceDE/>
        <w:autoSpaceDN/>
        <w:bidi w:val="0"/>
        <w:adjustRightInd/>
        <w:snapToGrid w:val="0"/>
        <w:spacing w:before="0" w:after="0" w:line="560" w:lineRule="exact"/>
        <w:ind w:firstLine="667" w:firstLineChars="200"/>
        <w:textAlignment w:val="auto"/>
        <w:rPr>
          <w:rFonts w:hint="default" w:ascii="Times New Roman" w:hAnsi="Times New Roman" w:eastAsia="仿宋_GB2312" w:cs="Times New Roman"/>
          <w:b/>
          <w:bCs w:val="0"/>
          <w:color w:val="auto"/>
          <w:spacing w:val="6"/>
          <w:sz w:val="32"/>
          <w:szCs w:val="32"/>
          <w:highlight w:val="none"/>
          <w:lang w:val="en-US" w:eastAsia="zh-CN"/>
        </w:rPr>
      </w:pPr>
      <w:r>
        <w:rPr>
          <w:rFonts w:hint="eastAsia" w:ascii="Times New Roman" w:hAnsi="Times New Roman" w:cs="Times New Roman"/>
          <w:b/>
          <w:bCs w:val="0"/>
          <w:color w:val="auto"/>
          <w:spacing w:val="6"/>
          <w:sz w:val="32"/>
          <w:szCs w:val="32"/>
          <w:highlight w:val="none"/>
          <w:lang w:val="en-US" w:eastAsia="zh-CN"/>
        </w:rPr>
        <w:t>3．</w:t>
      </w:r>
      <w:r>
        <w:rPr>
          <w:rFonts w:hint="eastAsia"/>
          <w:b/>
          <w:bCs/>
          <w:color w:val="auto"/>
          <w:szCs w:val="32"/>
          <w:highlight w:val="none"/>
          <w:lang w:val="en-US" w:eastAsia="zh-CN"/>
        </w:rPr>
        <w:t>规范项目管理，推进项目建设</w:t>
      </w:r>
    </w:p>
    <w:p>
      <w:pPr>
        <w:bidi w:val="0"/>
        <w:rPr>
          <w:rFonts w:hint="default"/>
          <w:lang w:val="en-US" w:eastAsia="zh-CN"/>
        </w:rPr>
      </w:pPr>
      <w:r>
        <w:rPr>
          <w:rFonts w:hint="eastAsia"/>
          <w:lang w:val="en-US" w:eastAsia="zh-CN"/>
        </w:rPr>
        <w:t>一是，强化项目绩效管理意识，应结合项目年度绩效目标设置绩效指标与指标值，分析项目未完成原因，为下一年度项目实施提供参考依据；二是，严格按照年度支出计划拨付项目工作经费，确保项目按时高效完成。</w:t>
      </w:r>
    </w:p>
    <w:p>
      <w:pPr>
        <w:pStyle w:val="5"/>
        <w:keepNext/>
        <w:keepLines/>
        <w:pageBreakBefore w:val="0"/>
        <w:widowControl w:val="0"/>
        <w:kinsoku/>
        <w:wordWrap/>
        <w:overflowPunct/>
        <w:topLinePunct w:val="0"/>
        <w:autoSpaceDE/>
        <w:autoSpaceDN/>
        <w:bidi w:val="0"/>
        <w:adjustRightInd/>
        <w:snapToGrid w:val="0"/>
        <w:spacing w:before="0" w:after="0" w:line="560" w:lineRule="exact"/>
        <w:ind w:firstLine="667" w:firstLineChars="200"/>
        <w:textAlignment w:val="auto"/>
        <w:rPr>
          <w:rFonts w:hint="default" w:ascii="Times New Roman" w:hAnsi="Times New Roman" w:cs="Times New Roman"/>
          <w:b/>
          <w:bCs w:val="0"/>
          <w:color w:val="auto"/>
          <w:spacing w:val="6"/>
          <w:sz w:val="32"/>
          <w:szCs w:val="32"/>
          <w:highlight w:val="none"/>
          <w:lang w:val="en-US" w:eastAsia="zh-CN"/>
        </w:rPr>
      </w:pPr>
      <w:r>
        <w:rPr>
          <w:rFonts w:hint="eastAsia" w:ascii="Times New Roman" w:hAnsi="Times New Roman" w:cs="Times New Roman"/>
          <w:b/>
          <w:bCs w:val="0"/>
          <w:color w:val="auto"/>
          <w:spacing w:val="6"/>
          <w:sz w:val="32"/>
          <w:szCs w:val="32"/>
          <w:highlight w:val="none"/>
          <w:lang w:val="en-US" w:eastAsia="zh-CN"/>
        </w:rPr>
        <w:t>4．加强康复服务机构监管，提高受众群体满意度</w:t>
      </w:r>
    </w:p>
    <w:p>
      <w:pPr>
        <w:bidi w:val="0"/>
        <w:rPr>
          <w:rFonts w:hint="default"/>
          <w:lang w:val="en-US" w:eastAsia="zh-CN"/>
        </w:rPr>
      </w:pPr>
      <w:r>
        <w:rPr>
          <w:rFonts w:hint="eastAsia"/>
          <w:lang w:val="en-US" w:eastAsia="zh-CN"/>
        </w:rPr>
        <w:t>建议区残联在第三方评估机构对康复服务机构的监管以外，采取定期或不定期的监督检查方式，对辖区内提供康复服务的机构开展现场调查，对服务工作不到位和服务工作差的及时督促整改，确保残疾人享受优良的康复服务。</w:t>
      </w:r>
    </w:p>
    <w:bookmarkEnd w:id="87"/>
    <w:bookmarkEnd w:id="88"/>
    <w:bookmarkEnd w:id="89"/>
    <w:p>
      <w:pPr>
        <w:pStyle w:val="2"/>
        <w:rPr>
          <w:rFonts w:hint="eastAsia"/>
          <w:lang w:eastAsia="zh-CN"/>
        </w:rPr>
      </w:pPr>
    </w:p>
    <w:sectPr>
      <w:headerReference r:id="rId3" w:type="default"/>
      <w:footerReference r:id="rId4" w:type="default"/>
      <w:pgSz w:w="11906" w:h="16838"/>
      <w:pgMar w:top="1440" w:right="1803" w:bottom="1440" w:left="1803" w:header="851" w:footer="992" w:gutter="0"/>
      <w:pgNumType w:fmt="numberInDash"/>
      <w:cols w:space="0" w:num="1"/>
      <w:rtlGutter w:val="0"/>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8765ECC-8423-4FAC-AB80-59E247F0C17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72B29C09-5AFC-4FC8-8576-6B3107DC15A5}"/>
  </w:font>
  <w:font w:name="仿宋_GB2312">
    <w:panose1 w:val="02010609030101010101"/>
    <w:charset w:val="86"/>
    <w:family w:val="modern"/>
    <w:pitch w:val="default"/>
    <w:sig w:usb0="00000001" w:usb1="080E0000" w:usb2="00000000" w:usb3="00000000" w:csb0="00040000" w:csb1="00000000"/>
    <w:embedRegular r:id="rId3" w:fontKey="{632AD4FD-079C-47E3-9B4D-CBE557B6AAEC}"/>
  </w:font>
  <w:font w:name="等线 Light">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embedRegular r:id="rId4" w:fontKey="{BD511675-4F76-43C6-8E49-0B165A106355}"/>
  </w:font>
  <w:font w:name="楷体_GB2312">
    <w:panose1 w:val="02010609030101010101"/>
    <w:charset w:val="86"/>
    <w:family w:val="modern"/>
    <w:pitch w:val="default"/>
    <w:sig w:usb0="00000001" w:usb1="080E0000" w:usb2="00000000" w:usb3="00000000" w:csb0="00040000" w:csb1="00000000"/>
  </w:font>
  <w:font w:name="方正仿宋_GB2312">
    <w:altName w:val="仿宋"/>
    <w:panose1 w:val="00000000000000000000"/>
    <w:charset w:val="86"/>
    <w:family w:val="auto"/>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embedRegular r:id="rId5" w:fontKey="{431ECA83-B789-4776-A676-E995D312654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1176058"/>
    </w:sdtPr>
    <w:sdtContent>
      <w:p>
        <w:pPr>
          <w:pStyle w:val="15"/>
          <w:ind w:firstLine="0" w:firstLineChars="0"/>
          <w:jc w:val="center"/>
        </w:pPr>
        <w:r>
          <w:fldChar w:fldCharType="begin"/>
        </w:r>
        <w:r>
          <w:instrText xml:space="preserve">PAGE   \* MERGEFORMAT</w:instrText>
        </w:r>
        <w:r>
          <w:fldChar w:fldCharType="separate"/>
        </w:r>
        <w:r>
          <w:rPr>
            <w:lang w:val="zh-CN"/>
          </w:rPr>
          <w:t>-</w:t>
        </w:r>
        <w:r>
          <w:t xml:space="preserve"> </w:t>
        </w:r>
        <w:r>
          <w:rPr>
            <w:sz w:val="20"/>
          </w:rPr>
          <w:t>32 -</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1"/>
      </w:pBdr>
      <w:ind w:firstLine="36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67A7D12"/>
    <w:multiLevelType w:val="singleLevel"/>
    <w:tmpl w:val="B67A7D12"/>
    <w:lvl w:ilvl="0" w:tentative="0">
      <w:start w:val="4"/>
      <w:numFmt w:val="decimal"/>
      <w:suff w:val="nothing"/>
      <w:lvlText w:val="%1．"/>
      <w:lvlJc w:val="left"/>
    </w:lvl>
  </w:abstractNum>
  <w:abstractNum w:abstractNumId="1">
    <w:nsid w:val="DBC7DCD2"/>
    <w:multiLevelType w:val="singleLevel"/>
    <w:tmpl w:val="DBC7DCD2"/>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60"/>
  <w:drawingGridVerticalSpacing w:val="218"/>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862"/>
    <w:rsid w:val="00013590"/>
    <w:rsid w:val="00016CAD"/>
    <w:rsid w:val="00020647"/>
    <w:rsid w:val="00020BF0"/>
    <w:rsid w:val="00021CF0"/>
    <w:rsid w:val="00022024"/>
    <w:rsid w:val="000245D9"/>
    <w:rsid w:val="00025024"/>
    <w:rsid w:val="0002689B"/>
    <w:rsid w:val="00030B63"/>
    <w:rsid w:val="00030D0F"/>
    <w:rsid w:val="0003258E"/>
    <w:rsid w:val="0003486A"/>
    <w:rsid w:val="000371BD"/>
    <w:rsid w:val="00040476"/>
    <w:rsid w:val="000407F9"/>
    <w:rsid w:val="00040AC4"/>
    <w:rsid w:val="00046A41"/>
    <w:rsid w:val="00046BEF"/>
    <w:rsid w:val="00051B47"/>
    <w:rsid w:val="000542F8"/>
    <w:rsid w:val="00054C6E"/>
    <w:rsid w:val="00055802"/>
    <w:rsid w:val="000626AE"/>
    <w:rsid w:val="00063A68"/>
    <w:rsid w:val="00063A87"/>
    <w:rsid w:val="000641CC"/>
    <w:rsid w:val="000658F4"/>
    <w:rsid w:val="000679A3"/>
    <w:rsid w:val="000714CA"/>
    <w:rsid w:val="00074F9C"/>
    <w:rsid w:val="00075769"/>
    <w:rsid w:val="000764C8"/>
    <w:rsid w:val="0007713C"/>
    <w:rsid w:val="0008133D"/>
    <w:rsid w:val="000813EF"/>
    <w:rsid w:val="000866BF"/>
    <w:rsid w:val="00086C77"/>
    <w:rsid w:val="00087E20"/>
    <w:rsid w:val="00093ECE"/>
    <w:rsid w:val="00094123"/>
    <w:rsid w:val="00094598"/>
    <w:rsid w:val="00097D4C"/>
    <w:rsid w:val="000A0923"/>
    <w:rsid w:val="000A3AA7"/>
    <w:rsid w:val="000A3C37"/>
    <w:rsid w:val="000A4489"/>
    <w:rsid w:val="000A47DE"/>
    <w:rsid w:val="000A5E88"/>
    <w:rsid w:val="000C113E"/>
    <w:rsid w:val="000C1BD6"/>
    <w:rsid w:val="000C2C9D"/>
    <w:rsid w:val="000C4725"/>
    <w:rsid w:val="000C7B54"/>
    <w:rsid w:val="000D2D04"/>
    <w:rsid w:val="000D4AAE"/>
    <w:rsid w:val="000E1727"/>
    <w:rsid w:val="000E34C2"/>
    <w:rsid w:val="000E4EDA"/>
    <w:rsid w:val="000E5C7C"/>
    <w:rsid w:val="000E6B3D"/>
    <w:rsid w:val="000E7CFF"/>
    <w:rsid w:val="000F0CE5"/>
    <w:rsid w:val="000F12C5"/>
    <w:rsid w:val="000F6830"/>
    <w:rsid w:val="001033F1"/>
    <w:rsid w:val="00106CAB"/>
    <w:rsid w:val="00110038"/>
    <w:rsid w:val="001116BA"/>
    <w:rsid w:val="001129F5"/>
    <w:rsid w:val="00114CD4"/>
    <w:rsid w:val="00116295"/>
    <w:rsid w:val="00120991"/>
    <w:rsid w:val="001238A2"/>
    <w:rsid w:val="001243EC"/>
    <w:rsid w:val="0012491C"/>
    <w:rsid w:val="00125E41"/>
    <w:rsid w:val="00126B3F"/>
    <w:rsid w:val="00133B59"/>
    <w:rsid w:val="00140F2C"/>
    <w:rsid w:val="00143A8D"/>
    <w:rsid w:val="00144182"/>
    <w:rsid w:val="00147CC4"/>
    <w:rsid w:val="00151790"/>
    <w:rsid w:val="001523E9"/>
    <w:rsid w:val="0015252C"/>
    <w:rsid w:val="0015401B"/>
    <w:rsid w:val="00161F74"/>
    <w:rsid w:val="001657C5"/>
    <w:rsid w:val="00165C3F"/>
    <w:rsid w:val="00171C64"/>
    <w:rsid w:val="001731E0"/>
    <w:rsid w:val="00175692"/>
    <w:rsid w:val="00181BFF"/>
    <w:rsid w:val="001834AE"/>
    <w:rsid w:val="00192621"/>
    <w:rsid w:val="0019425E"/>
    <w:rsid w:val="00197BE5"/>
    <w:rsid w:val="00197D78"/>
    <w:rsid w:val="001A0127"/>
    <w:rsid w:val="001A489C"/>
    <w:rsid w:val="001B38EC"/>
    <w:rsid w:val="001B3AF5"/>
    <w:rsid w:val="001B61EB"/>
    <w:rsid w:val="001B670A"/>
    <w:rsid w:val="001B7255"/>
    <w:rsid w:val="001B7984"/>
    <w:rsid w:val="001C22A3"/>
    <w:rsid w:val="001C37E2"/>
    <w:rsid w:val="001C4434"/>
    <w:rsid w:val="001C4A46"/>
    <w:rsid w:val="001D07A2"/>
    <w:rsid w:val="001D28CA"/>
    <w:rsid w:val="001D2CFB"/>
    <w:rsid w:val="001E5ED9"/>
    <w:rsid w:val="001E6EA1"/>
    <w:rsid w:val="001F21A7"/>
    <w:rsid w:val="001F427C"/>
    <w:rsid w:val="001F47B8"/>
    <w:rsid w:val="001F4E54"/>
    <w:rsid w:val="001F5296"/>
    <w:rsid w:val="001F6079"/>
    <w:rsid w:val="001F71CA"/>
    <w:rsid w:val="00200764"/>
    <w:rsid w:val="00203BCD"/>
    <w:rsid w:val="00204231"/>
    <w:rsid w:val="00206138"/>
    <w:rsid w:val="00206994"/>
    <w:rsid w:val="00207B3D"/>
    <w:rsid w:val="002140DF"/>
    <w:rsid w:val="00214CCD"/>
    <w:rsid w:val="0022050A"/>
    <w:rsid w:val="002222B5"/>
    <w:rsid w:val="0022673C"/>
    <w:rsid w:val="002274E0"/>
    <w:rsid w:val="00231479"/>
    <w:rsid w:val="00237BF8"/>
    <w:rsid w:val="00241137"/>
    <w:rsid w:val="0024521D"/>
    <w:rsid w:val="00245FD0"/>
    <w:rsid w:val="002475C2"/>
    <w:rsid w:val="0025189C"/>
    <w:rsid w:val="00253CA2"/>
    <w:rsid w:val="00255987"/>
    <w:rsid w:val="00256D4D"/>
    <w:rsid w:val="00257862"/>
    <w:rsid w:val="0026054C"/>
    <w:rsid w:val="00260F00"/>
    <w:rsid w:val="00261A51"/>
    <w:rsid w:val="0026436E"/>
    <w:rsid w:val="00271427"/>
    <w:rsid w:val="002738D5"/>
    <w:rsid w:val="002745DE"/>
    <w:rsid w:val="002747D4"/>
    <w:rsid w:val="002750DD"/>
    <w:rsid w:val="00275FEA"/>
    <w:rsid w:val="00277705"/>
    <w:rsid w:val="00277C08"/>
    <w:rsid w:val="002810AB"/>
    <w:rsid w:val="00283D56"/>
    <w:rsid w:val="00292A3D"/>
    <w:rsid w:val="00294763"/>
    <w:rsid w:val="00295B23"/>
    <w:rsid w:val="002967AE"/>
    <w:rsid w:val="00296E7B"/>
    <w:rsid w:val="002A0658"/>
    <w:rsid w:val="002B572A"/>
    <w:rsid w:val="002B7AEF"/>
    <w:rsid w:val="002C39D4"/>
    <w:rsid w:val="002C59E1"/>
    <w:rsid w:val="002C6A68"/>
    <w:rsid w:val="002C74AE"/>
    <w:rsid w:val="002D01D6"/>
    <w:rsid w:val="002D798B"/>
    <w:rsid w:val="002E16F9"/>
    <w:rsid w:val="002E66BF"/>
    <w:rsid w:val="002E6ADB"/>
    <w:rsid w:val="002E6B22"/>
    <w:rsid w:val="002E6D0E"/>
    <w:rsid w:val="002F0D7D"/>
    <w:rsid w:val="002F1797"/>
    <w:rsid w:val="002F1F7A"/>
    <w:rsid w:val="002F33A7"/>
    <w:rsid w:val="002F43FC"/>
    <w:rsid w:val="002F700A"/>
    <w:rsid w:val="00301FE5"/>
    <w:rsid w:val="00303282"/>
    <w:rsid w:val="00306C59"/>
    <w:rsid w:val="00311935"/>
    <w:rsid w:val="003135B6"/>
    <w:rsid w:val="003143B1"/>
    <w:rsid w:val="00314A23"/>
    <w:rsid w:val="00314A9E"/>
    <w:rsid w:val="00315A3A"/>
    <w:rsid w:val="00315AC8"/>
    <w:rsid w:val="00315D62"/>
    <w:rsid w:val="00316DA7"/>
    <w:rsid w:val="00322D4C"/>
    <w:rsid w:val="00323169"/>
    <w:rsid w:val="003248E2"/>
    <w:rsid w:val="00330869"/>
    <w:rsid w:val="00335DE2"/>
    <w:rsid w:val="003425D1"/>
    <w:rsid w:val="003445D7"/>
    <w:rsid w:val="00344D5B"/>
    <w:rsid w:val="00345B28"/>
    <w:rsid w:val="00353B2B"/>
    <w:rsid w:val="0036165C"/>
    <w:rsid w:val="003616B4"/>
    <w:rsid w:val="00361F51"/>
    <w:rsid w:val="00366B92"/>
    <w:rsid w:val="003704C6"/>
    <w:rsid w:val="00370DC0"/>
    <w:rsid w:val="00380950"/>
    <w:rsid w:val="00380E02"/>
    <w:rsid w:val="00381E67"/>
    <w:rsid w:val="00382B88"/>
    <w:rsid w:val="00383ACD"/>
    <w:rsid w:val="00395BB8"/>
    <w:rsid w:val="00395E77"/>
    <w:rsid w:val="003974F3"/>
    <w:rsid w:val="003A00E4"/>
    <w:rsid w:val="003A0C2F"/>
    <w:rsid w:val="003A1DB8"/>
    <w:rsid w:val="003A4A28"/>
    <w:rsid w:val="003A5F6D"/>
    <w:rsid w:val="003A7735"/>
    <w:rsid w:val="003B02DA"/>
    <w:rsid w:val="003B049E"/>
    <w:rsid w:val="003B0BA3"/>
    <w:rsid w:val="003B4FE0"/>
    <w:rsid w:val="003B6097"/>
    <w:rsid w:val="003B625F"/>
    <w:rsid w:val="003B7703"/>
    <w:rsid w:val="003B7F59"/>
    <w:rsid w:val="003C2F02"/>
    <w:rsid w:val="003C5F68"/>
    <w:rsid w:val="003C6840"/>
    <w:rsid w:val="003C6B73"/>
    <w:rsid w:val="003C6F6A"/>
    <w:rsid w:val="003C7217"/>
    <w:rsid w:val="003D0EB6"/>
    <w:rsid w:val="003D117D"/>
    <w:rsid w:val="003D28E4"/>
    <w:rsid w:val="003D5B9A"/>
    <w:rsid w:val="003D7A7C"/>
    <w:rsid w:val="003E4368"/>
    <w:rsid w:val="003E4A2E"/>
    <w:rsid w:val="003F4A11"/>
    <w:rsid w:val="003F4C53"/>
    <w:rsid w:val="00401167"/>
    <w:rsid w:val="00401815"/>
    <w:rsid w:val="0040341F"/>
    <w:rsid w:val="004108CB"/>
    <w:rsid w:val="00410F9D"/>
    <w:rsid w:val="00411F53"/>
    <w:rsid w:val="00414A55"/>
    <w:rsid w:val="00414CB5"/>
    <w:rsid w:val="00416C56"/>
    <w:rsid w:val="00417FE2"/>
    <w:rsid w:val="00420B9B"/>
    <w:rsid w:val="00423054"/>
    <w:rsid w:val="00424A19"/>
    <w:rsid w:val="00424C28"/>
    <w:rsid w:val="00427806"/>
    <w:rsid w:val="0042781A"/>
    <w:rsid w:val="00430849"/>
    <w:rsid w:val="00432C4C"/>
    <w:rsid w:val="00441709"/>
    <w:rsid w:val="004417DA"/>
    <w:rsid w:val="00445FEC"/>
    <w:rsid w:val="0044657B"/>
    <w:rsid w:val="00446BE0"/>
    <w:rsid w:val="004517B1"/>
    <w:rsid w:val="004556D5"/>
    <w:rsid w:val="004558CF"/>
    <w:rsid w:val="0045599D"/>
    <w:rsid w:val="00456E85"/>
    <w:rsid w:val="00461773"/>
    <w:rsid w:val="00462487"/>
    <w:rsid w:val="00463D52"/>
    <w:rsid w:val="00471F82"/>
    <w:rsid w:val="004737CD"/>
    <w:rsid w:val="00473DC2"/>
    <w:rsid w:val="004753A2"/>
    <w:rsid w:val="00475AA8"/>
    <w:rsid w:val="00476298"/>
    <w:rsid w:val="004767E4"/>
    <w:rsid w:val="004774CC"/>
    <w:rsid w:val="00480F5C"/>
    <w:rsid w:val="0048219E"/>
    <w:rsid w:val="00484442"/>
    <w:rsid w:val="004849E8"/>
    <w:rsid w:val="0048766C"/>
    <w:rsid w:val="00491B77"/>
    <w:rsid w:val="004928E8"/>
    <w:rsid w:val="004928F2"/>
    <w:rsid w:val="004A0EEE"/>
    <w:rsid w:val="004A10AF"/>
    <w:rsid w:val="004A15A5"/>
    <w:rsid w:val="004A2350"/>
    <w:rsid w:val="004A44D3"/>
    <w:rsid w:val="004A585E"/>
    <w:rsid w:val="004A6ECC"/>
    <w:rsid w:val="004A76A0"/>
    <w:rsid w:val="004B1DB0"/>
    <w:rsid w:val="004B585C"/>
    <w:rsid w:val="004B67AC"/>
    <w:rsid w:val="004C4D46"/>
    <w:rsid w:val="004C4E05"/>
    <w:rsid w:val="004D1F1A"/>
    <w:rsid w:val="004D2CBF"/>
    <w:rsid w:val="004D4335"/>
    <w:rsid w:val="004D76AB"/>
    <w:rsid w:val="004E4BF4"/>
    <w:rsid w:val="004E65D1"/>
    <w:rsid w:val="004E6D42"/>
    <w:rsid w:val="004E7C8B"/>
    <w:rsid w:val="004F0E70"/>
    <w:rsid w:val="004F1565"/>
    <w:rsid w:val="004F1A13"/>
    <w:rsid w:val="004F3918"/>
    <w:rsid w:val="004F56F2"/>
    <w:rsid w:val="004F61E0"/>
    <w:rsid w:val="005005C2"/>
    <w:rsid w:val="00503FFB"/>
    <w:rsid w:val="0050514C"/>
    <w:rsid w:val="00505BDA"/>
    <w:rsid w:val="00506E8A"/>
    <w:rsid w:val="00513C5B"/>
    <w:rsid w:val="00514C8A"/>
    <w:rsid w:val="00515665"/>
    <w:rsid w:val="00541AC7"/>
    <w:rsid w:val="005420BC"/>
    <w:rsid w:val="00543111"/>
    <w:rsid w:val="0054425D"/>
    <w:rsid w:val="00545386"/>
    <w:rsid w:val="00546F7D"/>
    <w:rsid w:val="00552DF4"/>
    <w:rsid w:val="005533AF"/>
    <w:rsid w:val="005550C6"/>
    <w:rsid w:val="00566CE2"/>
    <w:rsid w:val="00572B91"/>
    <w:rsid w:val="00573C57"/>
    <w:rsid w:val="005742F4"/>
    <w:rsid w:val="00575830"/>
    <w:rsid w:val="005772E3"/>
    <w:rsid w:val="0058692F"/>
    <w:rsid w:val="005969E5"/>
    <w:rsid w:val="005974EA"/>
    <w:rsid w:val="00597507"/>
    <w:rsid w:val="0059769F"/>
    <w:rsid w:val="005A4D23"/>
    <w:rsid w:val="005A6DE6"/>
    <w:rsid w:val="005A7218"/>
    <w:rsid w:val="005A77BB"/>
    <w:rsid w:val="005B68B9"/>
    <w:rsid w:val="005B7A72"/>
    <w:rsid w:val="005C1194"/>
    <w:rsid w:val="005C5E22"/>
    <w:rsid w:val="005D00DA"/>
    <w:rsid w:val="005D1EE8"/>
    <w:rsid w:val="005D4E7F"/>
    <w:rsid w:val="005D63F2"/>
    <w:rsid w:val="005D68FD"/>
    <w:rsid w:val="005D7DA7"/>
    <w:rsid w:val="005E0863"/>
    <w:rsid w:val="005E3A7D"/>
    <w:rsid w:val="005E51CC"/>
    <w:rsid w:val="005E6337"/>
    <w:rsid w:val="005E799C"/>
    <w:rsid w:val="005F01A2"/>
    <w:rsid w:val="005F36E3"/>
    <w:rsid w:val="005F4A21"/>
    <w:rsid w:val="005F63D5"/>
    <w:rsid w:val="00603E98"/>
    <w:rsid w:val="00605316"/>
    <w:rsid w:val="00611212"/>
    <w:rsid w:val="006145BB"/>
    <w:rsid w:val="00625DF3"/>
    <w:rsid w:val="00626B65"/>
    <w:rsid w:val="00630C3C"/>
    <w:rsid w:val="0063111D"/>
    <w:rsid w:val="0063196F"/>
    <w:rsid w:val="0063222B"/>
    <w:rsid w:val="00633D62"/>
    <w:rsid w:val="00633E65"/>
    <w:rsid w:val="00634AA3"/>
    <w:rsid w:val="00634D14"/>
    <w:rsid w:val="006354F0"/>
    <w:rsid w:val="00637B5E"/>
    <w:rsid w:val="00640670"/>
    <w:rsid w:val="006406DA"/>
    <w:rsid w:val="00642149"/>
    <w:rsid w:val="006436B0"/>
    <w:rsid w:val="0064374B"/>
    <w:rsid w:val="006437ED"/>
    <w:rsid w:val="0064399A"/>
    <w:rsid w:val="00646F6D"/>
    <w:rsid w:val="006504D6"/>
    <w:rsid w:val="00652C7E"/>
    <w:rsid w:val="006552BE"/>
    <w:rsid w:val="00655304"/>
    <w:rsid w:val="00655BE0"/>
    <w:rsid w:val="0065714B"/>
    <w:rsid w:val="00663DFF"/>
    <w:rsid w:val="00664059"/>
    <w:rsid w:val="006666FA"/>
    <w:rsid w:val="00667A3D"/>
    <w:rsid w:val="00673656"/>
    <w:rsid w:val="0067787E"/>
    <w:rsid w:val="00683CC9"/>
    <w:rsid w:val="0069071C"/>
    <w:rsid w:val="00691261"/>
    <w:rsid w:val="00695C2B"/>
    <w:rsid w:val="006A0813"/>
    <w:rsid w:val="006A18A7"/>
    <w:rsid w:val="006A3A9B"/>
    <w:rsid w:val="006A4B16"/>
    <w:rsid w:val="006A62D0"/>
    <w:rsid w:val="006A7CAF"/>
    <w:rsid w:val="006B16F8"/>
    <w:rsid w:val="006B31D1"/>
    <w:rsid w:val="006B4C26"/>
    <w:rsid w:val="006B5CF9"/>
    <w:rsid w:val="006C0AF3"/>
    <w:rsid w:val="006C3257"/>
    <w:rsid w:val="006C4617"/>
    <w:rsid w:val="006C6641"/>
    <w:rsid w:val="006D0458"/>
    <w:rsid w:val="006D3EF7"/>
    <w:rsid w:val="006D5AD0"/>
    <w:rsid w:val="006D6F9C"/>
    <w:rsid w:val="006E5E2D"/>
    <w:rsid w:val="006E6CB7"/>
    <w:rsid w:val="006F0EC4"/>
    <w:rsid w:val="006F3AD4"/>
    <w:rsid w:val="006F3BD7"/>
    <w:rsid w:val="006F510E"/>
    <w:rsid w:val="006F6C82"/>
    <w:rsid w:val="007001A6"/>
    <w:rsid w:val="007048A5"/>
    <w:rsid w:val="00707750"/>
    <w:rsid w:val="00717A26"/>
    <w:rsid w:val="00722949"/>
    <w:rsid w:val="00743FAF"/>
    <w:rsid w:val="007454D8"/>
    <w:rsid w:val="00745548"/>
    <w:rsid w:val="007600A7"/>
    <w:rsid w:val="0076217D"/>
    <w:rsid w:val="0076360C"/>
    <w:rsid w:val="0076634C"/>
    <w:rsid w:val="00767551"/>
    <w:rsid w:val="00767EA1"/>
    <w:rsid w:val="00770140"/>
    <w:rsid w:val="00770644"/>
    <w:rsid w:val="00770792"/>
    <w:rsid w:val="007717BA"/>
    <w:rsid w:val="00772696"/>
    <w:rsid w:val="00774475"/>
    <w:rsid w:val="00775277"/>
    <w:rsid w:val="00775353"/>
    <w:rsid w:val="007760C8"/>
    <w:rsid w:val="007774E8"/>
    <w:rsid w:val="0077760D"/>
    <w:rsid w:val="00777C71"/>
    <w:rsid w:val="00781160"/>
    <w:rsid w:val="00782894"/>
    <w:rsid w:val="00782E65"/>
    <w:rsid w:val="00784783"/>
    <w:rsid w:val="00792879"/>
    <w:rsid w:val="0079321B"/>
    <w:rsid w:val="00795F4F"/>
    <w:rsid w:val="007A20BD"/>
    <w:rsid w:val="007A3329"/>
    <w:rsid w:val="007A67CE"/>
    <w:rsid w:val="007A7433"/>
    <w:rsid w:val="007B36D1"/>
    <w:rsid w:val="007B4C12"/>
    <w:rsid w:val="007B5C28"/>
    <w:rsid w:val="007B5FE8"/>
    <w:rsid w:val="007B66C8"/>
    <w:rsid w:val="007B7ED0"/>
    <w:rsid w:val="007C01BA"/>
    <w:rsid w:val="007C543F"/>
    <w:rsid w:val="007D0979"/>
    <w:rsid w:val="007D516A"/>
    <w:rsid w:val="007D79F2"/>
    <w:rsid w:val="007E59B5"/>
    <w:rsid w:val="008014F0"/>
    <w:rsid w:val="008075FD"/>
    <w:rsid w:val="008107CE"/>
    <w:rsid w:val="00811CD7"/>
    <w:rsid w:val="0081366B"/>
    <w:rsid w:val="008141C2"/>
    <w:rsid w:val="00814BC9"/>
    <w:rsid w:val="0081571D"/>
    <w:rsid w:val="00822511"/>
    <w:rsid w:val="00825352"/>
    <w:rsid w:val="00826E6D"/>
    <w:rsid w:val="00832DB4"/>
    <w:rsid w:val="008401CC"/>
    <w:rsid w:val="0085376D"/>
    <w:rsid w:val="0085432B"/>
    <w:rsid w:val="00854915"/>
    <w:rsid w:val="008557D5"/>
    <w:rsid w:val="00855821"/>
    <w:rsid w:val="008611A0"/>
    <w:rsid w:val="00862689"/>
    <w:rsid w:val="00871F55"/>
    <w:rsid w:val="00872D51"/>
    <w:rsid w:val="008777C7"/>
    <w:rsid w:val="00880DEF"/>
    <w:rsid w:val="008833AC"/>
    <w:rsid w:val="00883CD2"/>
    <w:rsid w:val="00883D85"/>
    <w:rsid w:val="00886172"/>
    <w:rsid w:val="00886577"/>
    <w:rsid w:val="008920C3"/>
    <w:rsid w:val="00892A8B"/>
    <w:rsid w:val="008935EA"/>
    <w:rsid w:val="00894038"/>
    <w:rsid w:val="0089552F"/>
    <w:rsid w:val="00895C0E"/>
    <w:rsid w:val="00897534"/>
    <w:rsid w:val="008A1CCD"/>
    <w:rsid w:val="008B4BDE"/>
    <w:rsid w:val="008B50D8"/>
    <w:rsid w:val="008B5FE8"/>
    <w:rsid w:val="008C1547"/>
    <w:rsid w:val="008C27A3"/>
    <w:rsid w:val="008C31D2"/>
    <w:rsid w:val="008C3E08"/>
    <w:rsid w:val="008C7D84"/>
    <w:rsid w:val="008D437A"/>
    <w:rsid w:val="008D48C3"/>
    <w:rsid w:val="008D676F"/>
    <w:rsid w:val="008E15A8"/>
    <w:rsid w:val="008E161B"/>
    <w:rsid w:val="008E3BD1"/>
    <w:rsid w:val="008E553D"/>
    <w:rsid w:val="008F0BBB"/>
    <w:rsid w:val="008F5E08"/>
    <w:rsid w:val="008F672A"/>
    <w:rsid w:val="00901EA7"/>
    <w:rsid w:val="009031FE"/>
    <w:rsid w:val="009074EC"/>
    <w:rsid w:val="009107E4"/>
    <w:rsid w:val="00910975"/>
    <w:rsid w:val="00910DA2"/>
    <w:rsid w:val="00911765"/>
    <w:rsid w:val="009148CE"/>
    <w:rsid w:val="009169FA"/>
    <w:rsid w:val="00916B2A"/>
    <w:rsid w:val="0092162A"/>
    <w:rsid w:val="00926A7D"/>
    <w:rsid w:val="00926F62"/>
    <w:rsid w:val="00927145"/>
    <w:rsid w:val="009333B9"/>
    <w:rsid w:val="00934AD8"/>
    <w:rsid w:val="00935EC0"/>
    <w:rsid w:val="0094098B"/>
    <w:rsid w:val="009421E4"/>
    <w:rsid w:val="009423BB"/>
    <w:rsid w:val="00944BD4"/>
    <w:rsid w:val="009471D9"/>
    <w:rsid w:val="009509DF"/>
    <w:rsid w:val="0095313F"/>
    <w:rsid w:val="00955F06"/>
    <w:rsid w:val="00956F6D"/>
    <w:rsid w:val="009705C6"/>
    <w:rsid w:val="0097099F"/>
    <w:rsid w:val="0097247E"/>
    <w:rsid w:val="00974B0D"/>
    <w:rsid w:val="00975019"/>
    <w:rsid w:val="009757DF"/>
    <w:rsid w:val="00975A9A"/>
    <w:rsid w:val="00977165"/>
    <w:rsid w:val="009803F2"/>
    <w:rsid w:val="009810B6"/>
    <w:rsid w:val="0098136E"/>
    <w:rsid w:val="00981B8D"/>
    <w:rsid w:val="00983635"/>
    <w:rsid w:val="0098419A"/>
    <w:rsid w:val="0098427E"/>
    <w:rsid w:val="00997413"/>
    <w:rsid w:val="009A34E7"/>
    <w:rsid w:val="009A4ABF"/>
    <w:rsid w:val="009A79F1"/>
    <w:rsid w:val="009A7B7C"/>
    <w:rsid w:val="009B2847"/>
    <w:rsid w:val="009B3E0D"/>
    <w:rsid w:val="009B4314"/>
    <w:rsid w:val="009B7751"/>
    <w:rsid w:val="009C28DD"/>
    <w:rsid w:val="009C3CA0"/>
    <w:rsid w:val="009C4E4D"/>
    <w:rsid w:val="009C5915"/>
    <w:rsid w:val="009C6471"/>
    <w:rsid w:val="009C695C"/>
    <w:rsid w:val="009C7D54"/>
    <w:rsid w:val="009D34D5"/>
    <w:rsid w:val="009D438C"/>
    <w:rsid w:val="009D55BD"/>
    <w:rsid w:val="009E3034"/>
    <w:rsid w:val="009E481D"/>
    <w:rsid w:val="009E54B9"/>
    <w:rsid w:val="009E7587"/>
    <w:rsid w:val="009F0247"/>
    <w:rsid w:val="009F382F"/>
    <w:rsid w:val="009F4B5B"/>
    <w:rsid w:val="009F6D57"/>
    <w:rsid w:val="00A008A2"/>
    <w:rsid w:val="00A00DD4"/>
    <w:rsid w:val="00A02317"/>
    <w:rsid w:val="00A05491"/>
    <w:rsid w:val="00A07C7C"/>
    <w:rsid w:val="00A07E57"/>
    <w:rsid w:val="00A13291"/>
    <w:rsid w:val="00A16118"/>
    <w:rsid w:val="00A21B7D"/>
    <w:rsid w:val="00A24284"/>
    <w:rsid w:val="00A34DE8"/>
    <w:rsid w:val="00A34EEE"/>
    <w:rsid w:val="00A407DA"/>
    <w:rsid w:val="00A40A0F"/>
    <w:rsid w:val="00A40C57"/>
    <w:rsid w:val="00A41370"/>
    <w:rsid w:val="00A414B7"/>
    <w:rsid w:val="00A42D5C"/>
    <w:rsid w:val="00A46195"/>
    <w:rsid w:val="00A46797"/>
    <w:rsid w:val="00A52F3C"/>
    <w:rsid w:val="00A56A35"/>
    <w:rsid w:val="00A60B86"/>
    <w:rsid w:val="00A63769"/>
    <w:rsid w:val="00A660E5"/>
    <w:rsid w:val="00A66901"/>
    <w:rsid w:val="00A716DF"/>
    <w:rsid w:val="00A71F0C"/>
    <w:rsid w:val="00A75BC4"/>
    <w:rsid w:val="00A76AB5"/>
    <w:rsid w:val="00A77673"/>
    <w:rsid w:val="00A77FD8"/>
    <w:rsid w:val="00A812FD"/>
    <w:rsid w:val="00A814DD"/>
    <w:rsid w:val="00A85DA6"/>
    <w:rsid w:val="00A92F12"/>
    <w:rsid w:val="00A94194"/>
    <w:rsid w:val="00A94F82"/>
    <w:rsid w:val="00A974E4"/>
    <w:rsid w:val="00A9797F"/>
    <w:rsid w:val="00AA009B"/>
    <w:rsid w:val="00AA46F7"/>
    <w:rsid w:val="00AA4981"/>
    <w:rsid w:val="00AA75D5"/>
    <w:rsid w:val="00AB2790"/>
    <w:rsid w:val="00AC074C"/>
    <w:rsid w:val="00AC3097"/>
    <w:rsid w:val="00AC5B3F"/>
    <w:rsid w:val="00AC7127"/>
    <w:rsid w:val="00AC74AA"/>
    <w:rsid w:val="00AC7A5D"/>
    <w:rsid w:val="00AD015B"/>
    <w:rsid w:val="00AD136D"/>
    <w:rsid w:val="00AD4AF9"/>
    <w:rsid w:val="00AE2E62"/>
    <w:rsid w:val="00AE5524"/>
    <w:rsid w:val="00AE5F62"/>
    <w:rsid w:val="00AF137D"/>
    <w:rsid w:val="00AF26C3"/>
    <w:rsid w:val="00AF4410"/>
    <w:rsid w:val="00AF5ECA"/>
    <w:rsid w:val="00B00277"/>
    <w:rsid w:val="00B017E7"/>
    <w:rsid w:val="00B03483"/>
    <w:rsid w:val="00B03C98"/>
    <w:rsid w:val="00B03E00"/>
    <w:rsid w:val="00B07BC7"/>
    <w:rsid w:val="00B13CDC"/>
    <w:rsid w:val="00B16599"/>
    <w:rsid w:val="00B17033"/>
    <w:rsid w:val="00B210D5"/>
    <w:rsid w:val="00B21355"/>
    <w:rsid w:val="00B220AB"/>
    <w:rsid w:val="00B23C2C"/>
    <w:rsid w:val="00B250CE"/>
    <w:rsid w:val="00B26C16"/>
    <w:rsid w:val="00B3056C"/>
    <w:rsid w:val="00B30938"/>
    <w:rsid w:val="00B32D66"/>
    <w:rsid w:val="00B336E5"/>
    <w:rsid w:val="00B358DB"/>
    <w:rsid w:val="00B37E18"/>
    <w:rsid w:val="00B40F9A"/>
    <w:rsid w:val="00B41A3D"/>
    <w:rsid w:val="00B4291E"/>
    <w:rsid w:val="00B45384"/>
    <w:rsid w:val="00B51D94"/>
    <w:rsid w:val="00B52C6D"/>
    <w:rsid w:val="00B53060"/>
    <w:rsid w:val="00B560DB"/>
    <w:rsid w:val="00B564DA"/>
    <w:rsid w:val="00B56EF6"/>
    <w:rsid w:val="00B60007"/>
    <w:rsid w:val="00B60C81"/>
    <w:rsid w:val="00B615B0"/>
    <w:rsid w:val="00B62054"/>
    <w:rsid w:val="00B63BD5"/>
    <w:rsid w:val="00B6432E"/>
    <w:rsid w:val="00B6514B"/>
    <w:rsid w:val="00B7247D"/>
    <w:rsid w:val="00B75385"/>
    <w:rsid w:val="00B77641"/>
    <w:rsid w:val="00B802B6"/>
    <w:rsid w:val="00B80E28"/>
    <w:rsid w:val="00B812F2"/>
    <w:rsid w:val="00B8330D"/>
    <w:rsid w:val="00B84D48"/>
    <w:rsid w:val="00B86783"/>
    <w:rsid w:val="00B8702F"/>
    <w:rsid w:val="00B914E5"/>
    <w:rsid w:val="00B94888"/>
    <w:rsid w:val="00B9646B"/>
    <w:rsid w:val="00B970F4"/>
    <w:rsid w:val="00B9758C"/>
    <w:rsid w:val="00BA2088"/>
    <w:rsid w:val="00BA3491"/>
    <w:rsid w:val="00BA5695"/>
    <w:rsid w:val="00BA594F"/>
    <w:rsid w:val="00BA5E0E"/>
    <w:rsid w:val="00BB2CFA"/>
    <w:rsid w:val="00BB6000"/>
    <w:rsid w:val="00BB7A6E"/>
    <w:rsid w:val="00BC2F0F"/>
    <w:rsid w:val="00BC688F"/>
    <w:rsid w:val="00BC6A91"/>
    <w:rsid w:val="00BC77E0"/>
    <w:rsid w:val="00BD1172"/>
    <w:rsid w:val="00BD2A09"/>
    <w:rsid w:val="00BD66A9"/>
    <w:rsid w:val="00BE123E"/>
    <w:rsid w:val="00BE500A"/>
    <w:rsid w:val="00BE66DD"/>
    <w:rsid w:val="00BF123F"/>
    <w:rsid w:val="00BF15DB"/>
    <w:rsid w:val="00BF50A5"/>
    <w:rsid w:val="00BF51E0"/>
    <w:rsid w:val="00BF6C38"/>
    <w:rsid w:val="00BF78B6"/>
    <w:rsid w:val="00C14568"/>
    <w:rsid w:val="00C154EB"/>
    <w:rsid w:val="00C167A2"/>
    <w:rsid w:val="00C16E57"/>
    <w:rsid w:val="00C26853"/>
    <w:rsid w:val="00C27554"/>
    <w:rsid w:val="00C3012F"/>
    <w:rsid w:val="00C31E9F"/>
    <w:rsid w:val="00C34E3F"/>
    <w:rsid w:val="00C45DB2"/>
    <w:rsid w:val="00C46891"/>
    <w:rsid w:val="00C50459"/>
    <w:rsid w:val="00C55E82"/>
    <w:rsid w:val="00C55F84"/>
    <w:rsid w:val="00C56307"/>
    <w:rsid w:val="00C666C9"/>
    <w:rsid w:val="00C67442"/>
    <w:rsid w:val="00C76908"/>
    <w:rsid w:val="00C82A6E"/>
    <w:rsid w:val="00C86EF0"/>
    <w:rsid w:val="00C90314"/>
    <w:rsid w:val="00C92128"/>
    <w:rsid w:val="00C93E18"/>
    <w:rsid w:val="00C95297"/>
    <w:rsid w:val="00C96E6F"/>
    <w:rsid w:val="00CA42B6"/>
    <w:rsid w:val="00CA6D70"/>
    <w:rsid w:val="00CB0DE7"/>
    <w:rsid w:val="00CB220D"/>
    <w:rsid w:val="00CB2476"/>
    <w:rsid w:val="00CB2E36"/>
    <w:rsid w:val="00CB4532"/>
    <w:rsid w:val="00CC21CB"/>
    <w:rsid w:val="00CC29B6"/>
    <w:rsid w:val="00CC5A3C"/>
    <w:rsid w:val="00CC7124"/>
    <w:rsid w:val="00CD19A9"/>
    <w:rsid w:val="00CD4045"/>
    <w:rsid w:val="00CD6429"/>
    <w:rsid w:val="00CD6BB5"/>
    <w:rsid w:val="00CD7BCA"/>
    <w:rsid w:val="00CE0DFF"/>
    <w:rsid w:val="00CE3D00"/>
    <w:rsid w:val="00CE6BE8"/>
    <w:rsid w:val="00CE7DD6"/>
    <w:rsid w:val="00CF6249"/>
    <w:rsid w:val="00CF6B2B"/>
    <w:rsid w:val="00CF7E42"/>
    <w:rsid w:val="00D00E82"/>
    <w:rsid w:val="00D032F7"/>
    <w:rsid w:val="00D06295"/>
    <w:rsid w:val="00D07231"/>
    <w:rsid w:val="00D11BA7"/>
    <w:rsid w:val="00D20765"/>
    <w:rsid w:val="00D21B97"/>
    <w:rsid w:val="00D23E86"/>
    <w:rsid w:val="00D35CAC"/>
    <w:rsid w:val="00D36105"/>
    <w:rsid w:val="00D41B81"/>
    <w:rsid w:val="00D450F0"/>
    <w:rsid w:val="00D50600"/>
    <w:rsid w:val="00D50ED2"/>
    <w:rsid w:val="00D60EF2"/>
    <w:rsid w:val="00D63EA4"/>
    <w:rsid w:val="00D659B8"/>
    <w:rsid w:val="00D66815"/>
    <w:rsid w:val="00D7506C"/>
    <w:rsid w:val="00D7524D"/>
    <w:rsid w:val="00D76A51"/>
    <w:rsid w:val="00D77CBA"/>
    <w:rsid w:val="00D815B9"/>
    <w:rsid w:val="00D84D96"/>
    <w:rsid w:val="00D9380C"/>
    <w:rsid w:val="00D95393"/>
    <w:rsid w:val="00D960B6"/>
    <w:rsid w:val="00DA03A8"/>
    <w:rsid w:val="00DA03D8"/>
    <w:rsid w:val="00DA1D29"/>
    <w:rsid w:val="00DA2874"/>
    <w:rsid w:val="00DA3742"/>
    <w:rsid w:val="00DA4817"/>
    <w:rsid w:val="00DB380E"/>
    <w:rsid w:val="00DB6E27"/>
    <w:rsid w:val="00DC39C0"/>
    <w:rsid w:val="00DC5295"/>
    <w:rsid w:val="00DC7D24"/>
    <w:rsid w:val="00DD0C21"/>
    <w:rsid w:val="00DD28C9"/>
    <w:rsid w:val="00DD2AAA"/>
    <w:rsid w:val="00DD38E1"/>
    <w:rsid w:val="00DD462E"/>
    <w:rsid w:val="00DD63EE"/>
    <w:rsid w:val="00DE047F"/>
    <w:rsid w:val="00DE1197"/>
    <w:rsid w:val="00DE3C6E"/>
    <w:rsid w:val="00DE54CF"/>
    <w:rsid w:val="00DF11B7"/>
    <w:rsid w:val="00DF22BE"/>
    <w:rsid w:val="00DF58FD"/>
    <w:rsid w:val="00DF6D86"/>
    <w:rsid w:val="00E009F3"/>
    <w:rsid w:val="00E00D91"/>
    <w:rsid w:val="00E04376"/>
    <w:rsid w:val="00E14B97"/>
    <w:rsid w:val="00E15EF0"/>
    <w:rsid w:val="00E20CCB"/>
    <w:rsid w:val="00E21030"/>
    <w:rsid w:val="00E2115C"/>
    <w:rsid w:val="00E218E2"/>
    <w:rsid w:val="00E2196B"/>
    <w:rsid w:val="00E23896"/>
    <w:rsid w:val="00E261B5"/>
    <w:rsid w:val="00E30302"/>
    <w:rsid w:val="00E33DAC"/>
    <w:rsid w:val="00E349D5"/>
    <w:rsid w:val="00E34A19"/>
    <w:rsid w:val="00E34F22"/>
    <w:rsid w:val="00E4110E"/>
    <w:rsid w:val="00E42F16"/>
    <w:rsid w:val="00E451C3"/>
    <w:rsid w:val="00E454C3"/>
    <w:rsid w:val="00E45E56"/>
    <w:rsid w:val="00E55405"/>
    <w:rsid w:val="00E556BB"/>
    <w:rsid w:val="00E57EAC"/>
    <w:rsid w:val="00E57F41"/>
    <w:rsid w:val="00E6095E"/>
    <w:rsid w:val="00E633E4"/>
    <w:rsid w:val="00E65BF7"/>
    <w:rsid w:val="00E66E2F"/>
    <w:rsid w:val="00E6742A"/>
    <w:rsid w:val="00E67B43"/>
    <w:rsid w:val="00E723A9"/>
    <w:rsid w:val="00E730EA"/>
    <w:rsid w:val="00E820F7"/>
    <w:rsid w:val="00E84FDB"/>
    <w:rsid w:val="00E85517"/>
    <w:rsid w:val="00E8565C"/>
    <w:rsid w:val="00E862C1"/>
    <w:rsid w:val="00E863F5"/>
    <w:rsid w:val="00E866AC"/>
    <w:rsid w:val="00E87076"/>
    <w:rsid w:val="00E900C9"/>
    <w:rsid w:val="00E9024E"/>
    <w:rsid w:val="00E92EEA"/>
    <w:rsid w:val="00E943E2"/>
    <w:rsid w:val="00EA15C2"/>
    <w:rsid w:val="00EA2156"/>
    <w:rsid w:val="00EA3D14"/>
    <w:rsid w:val="00EA4CDF"/>
    <w:rsid w:val="00EA7127"/>
    <w:rsid w:val="00EB00B6"/>
    <w:rsid w:val="00EB1F4D"/>
    <w:rsid w:val="00EB2D68"/>
    <w:rsid w:val="00EB2FEE"/>
    <w:rsid w:val="00EB6C1B"/>
    <w:rsid w:val="00EB7DCE"/>
    <w:rsid w:val="00EC08EA"/>
    <w:rsid w:val="00EC1326"/>
    <w:rsid w:val="00EC25D1"/>
    <w:rsid w:val="00EC2A19"/>
    <w:rsid w:val="00EC673B"/>
    <w:rsid w:val="00ED0519"/>
    <w:rsid w:val="00ED2151"/>
    <w:rsid w:val="00ED22E9"/>
    <w:rsid w:val="00ED26D8"/>
    <w:rsid w:val="00ED46C6"/>
    <w:rsid w:val="00ED58F6"/>
    <w:rsid w:val="00EE1061"/>
    <w:rsid w:val="00EE3B0B"/>
    <w:rsid w:val="00EE64BA"/>
    <w:rsid w:val="00EF220C"/>
    <w:rsid w:val="00F003AA"/>
    <w:rsid w:val="00F00BA6"/>
    <w:rsid w:val="00F02CB9"/>
    <w:rsid w:val="00F12229"/>
    <w:rsid w:val="00F13A34"/>
    <w:rsid w:val="00F142AA"/>
    <w:rsid w:val="00F14AAE"/>
    <w:rsid w:val="00F159B6"/>
    <w:rsid w:val="00F2172E"/>
    <w:rsid w:val="00F23D22"/>
    <w:rsid w:val="00F24646"/>
    <w:rsid w:val="00F25A0B"/>
    <w:rsid w:val="00F26CE4"/>
    <w:rsid w:val="00F300B1"/>
    <w:rsid w:val="00F30F2B"/>
    <w:rsid w:val="00F35510"/>
    <w:rsid w:val="00F35C20"/>
    <w:rsid w:val="00F36364"/>
    <w:rsid w:val="00F37A33"/>
    <w:rsid w:val="00F40A27"/>
    <w:rsid w:val="00F433A6"/>
    <w:rsid w:val="00F43CB3"/>
    <w:rsid w:val="00F50F43"/>
    <w:rsid w:val="00F513CD"/>
    <w:rsid w:val="00F53893"/>
    <w:rsid w:val="00F54080"/>
    <w:rsid w:val="00F55A09"/>
    <w:rsid w:val="00F600DD"/>
    <w:rsid w:val="00F60A37"/>
    <w:rsid w:val="00F6566D"/>
    <w:rsid w:val="00F66558"/>
    <w:rsid w:val="00F67E34"/>
    <w:rsid w:val="00F72BE0"/>
    <w:rsid w:val="00F75DB2"/>
    <w:rsid w:val="00F77F6B"/>
    <w:rsid w:val="00F82315"/>
    <w:rsid w:val="00F831FA"/>
    <w:rsid w:val="00F83C46"/>
    <w:rsid w:val="00F86991"/>
    <w:rsid w:val="00F902CF"/>
    <w:rsid w:val="00F92E19"/>
    <w:rsid w:val="00F976B9"/>
    <w:rsid w:val="00FA11DC"/>
    <w:rsid w:val="00FA4A03"/>
    <w:rsid w:val="00FA6963"/>
    <w:rsid w:val="00FB4E9B"/>
    <w:rsid w:val="00FB6103"/>
    <w:rsid w:val="00FB7B12"/>
    <w:rsid w:val="00FC5EC4"/>
    <w:rsid w:val="00FC64AF"/>
    <w:rsid w:val="00FD1BF1"/>
    <w:rsid w:val="00FD4F05"/>
    <w:rsid w:val="00FD70D2"/>
    <w:rsid w:val="00FE5C80"/>
    <w:rsid w:val="00FE6BD7"/>
    <w:rsid w:val="00FF5BD0"/>
    <w:rsid w:val="00FF6C7A"/>
    <w:rsid w:val="00FF7566"/>
    <w:rsid w:val="01083899"/>
    <w:rsid w:val="01BB255B"/>
    <w:rsid w:val="01D423BD"/>
    <w:rsid w:val="021B7E2E"/>
    <w:rsid w:val="0269647B"/>
    <w:rsid w:val="02A73D25"/>
    <w:rsid w:val="02BF15A4"/>
    <w:rsid w:val="02FF2FCE"/>
    <w:rsid w:val="030E686C"/>
    <w:rsid w:val="03227EF2"/>
    <w:rsid w:val="03306177"/>
    <w:rsid w:val="03415742"/>
    <w:rsid w:val="034B45DF"/>
    <w:rsid w:val="0400693F"/>
    <w:rsid w:val="04163ACE"/>
    <w:rsid w:val="04AD6AF3"/>
    <w:rsid w:val="04D5726B"/>
    <w:rsid w:val="04E25B73"/>
    <w:rsid w:val="060E362D"/>
    <w:rsid w:val="060E672C"/>
    <w:rsid w:val="061C7D11"/>
    <w:rsid w:val="067D2358"/>
    <w:rsid w:val="06847E72"/>
    <w:rsid w:val="06D106A2"/>
    <w:rsid w:val="07B605C6"/>
    <w:rsid w:val="07DB2C0D"/>
    <w:rsid w:val="08D035A0"/>
    <w:rsid w:val="093910AA"/>
    <w:rsid w:val="09401EFF"/>
    <w:rsid w:val="0AB570A3"/>
    <w:rsid w:val="0B1918D3"/>
    <w:rsid w:val="0BD37556"/>
    <w:rsid w:val="0BDF4F90"/>
    <w:rsid w:val="0C206F6F"/>
    <w:rsid w:val="0C350C5C"/>
    <w:rsid w:val="0CA11D0A"/>
    <w:rsid w:val="0D61316E"/>
    <w:rsid w:val="0DA00BFC"/>
    <w:rsid w:val="0E196EE1"/>
    <w:rsid w:val="0F470A11"/>
    <w:rsid w:val="10445EFD"/>
    <w:rsid w:val="109D0D6E"/>
    <w:rsid w:val="10E27570"/>
    <w:rsid w:val="114D6CB1"/>
    <w:rsid w:val="1177192B"/>
    <w:rsid w:val="123324AA"/>
    <w:rsid w:val="125C030E"/>
    <w:rsid w:val="12DF3349"/>
    <w:rsid w:val="130458A1"/>
    <w:rsid w:val="13E62B62"/>
    <w:rsid w:val="140E43B1"/>
    <w:rsid w:val="144535D2"/>
    <w:rsid w:val="14771ACE"/>
    <w:rsid w:val="14826EA7"/>
    <w:rsid w:val="151A5836"/>
    <w:rsid w:val="15784787"/>
    <w:rsid w:val="15BE5DBB"/>
    <w:rsid w:val="16016679"/>
    <w:rsid w:val="164E4C86"/>
    <w:rsid w:val="16EC23ED"/>
    <w:rsid w:val="17423904"/>
    <w:rsid w:val="17786A22"/>
    <w:rsid w:val="177F1E1A"/>
    <w:rsid w:val="17F124EF"/>
    <w:rsid w:val="18784278"/>
    <w:rsid w:val="18A30022"/>
    <w:rsid w:val="18AB5211"/>
    <w:rsid w:val="195B2B22"/>
    <w:rsid w:val="1990626F"/>
    <w:rsid w:val="19B3516D"/>
    <w:rsid w:val="1A460970"/>
    <w:rsid w:val="1A555009"/>
    <w:rsid w:val="1AAD7B07"/>
    <w:rsid w:val="1B0D1B6B"/>
    <w:rsid w:val="1B3022B8"/>
    <w:rsid w:val="1B4D103D"/>
    <w:rsid w:val="1B702D62"/>
    <w:rsid w:val="1C2A10ED"/>
    <w:rsid w:val="1C350B71"/>
    <w:rsid w:val="1CD31D31"/>
    <w:rsid w:val="1CE34658"/>
    <w:rsid w:val="1E24532F"/>
    <w:rsid w:val="1E3F2B2A"/>
    <w:rsid w:val="1F003779"/>
    <w:rsid w:val="1F0A1CAF"/>
    <w:rsid w:val="1F1249F4"/>
    <w:rsid w:val="1F2A7AAD"/>
    <w:rsid w:val="1F4D4992"/>
    <w:rsid w:val="1F977041"/>
    <w:rsid w:val="1F9A736B"/>
    <w:rsid w:val="1FAE1BA7"/>
    <w:rsid w:val="1FD77A5C"/>
    <w:rsid w:val="203A4FBE"/>
    <w:rsid w:val="20814C01"/>
    <w:rsid w:val="209E5412"/>
    <w:rsid w:val="20BE0D36"/>
    <w:rsid w:val="214A165D"/>
    <w:rsid w:val="21850BB9"/>
    <w:rsid w:val="22005451"/>
    <w:rsid w:val="220F3BB5"/>
    <w:rsid w:val="2222327E"/>
    <w:rsid w:val="2229353F"/>
    <w:rsid w:val="223A3B07"/>
    <w:rsid w:val="22C017C3"/>
    <w:rsid w:val="22C90A1F"/>
    <w:rsid w:val="24F270F5"/>
    <w:rsid w:val="25414F2D"/>
    <w:rsid w:val="255210BA"/>
    <w:rsid w:val="25A77F4A"/>
    <w:rsid w:val="25CA4625"/>
    <w:rsid w:val="25CE21BA"/>
    <w:rsid w:val="25D76D88"/>
    <w:rsid w:val="25E46341"/>
    <w:rsid w:val="26071188"/>
    <w:rsid w:val="262B680E"/>
    <w:rsid w:val="26583C0E"/>
    <w:rsid w:val="2660088E"/>
    <w:rsid w:val="27450D2D"/>
    <w:rsid w:val="27A12657"/>
    <w:rsid w:val="27AD69A6"/>
    <w:rsid w:val="27B84953"/>
    <w:rsid w:val="27FD66C4"/>
    <w:rsid w:val="2894683E"/>
    <w:rsid w:val="289659D3"/>
    <w:rsid w:val="28CB1AFF"/>
    <w:rsid w:val="293507D8"/>
    <w:rsid w:val="294F1EDB"/>
    <w:rsid w:val="29600A3F"/>
    <w:rsid w:val="29894949"/>
    <w:rsid w:val="298F4B2D"/>
    <w:rsid w:val="29EA0021"/>
    <w:rsid w:val="29F04278"/>
    <w:rsid w:val="2A1D1D36"/>
    <w:rsid w:val="2A3C048C"/>
    <w:rsid w:val="2A9C36EE"/>
    <w:rsid w:val="2AAA2E65"/>
    <w:rsid w:val="2AFE1FA0"/>
    <w:rsid w:val="2B4E4F05"/>
    <w:rsid w:val="2B5306CE"/>
    <w:rsid w:val="2B780748"/>
    <w:rsid w:val="2B89096D"/>
    <w:rsid w:val="2B8D69EB"/>
    <w:rsid w:val="2BCD3113"/>
    <w:rsid w:val="2BD04DDD"/>
    <w:rsid w:val="2C20201E"/>
    <w:rsid w:val="2C372F6F"/>
    <w:rsid w:val="2C4F726C"/>
    <w:rsid w:val="2C5274B6"/>
    <w:rsid w:val="2C983FF8"/>
    <w:rsid w:val="2CE3268C"/>
    <w:rsid w:val="2D6B70A0"/>
    <w:rsid w:val="2D874309"/>
    <w:rsid w:val="2DB941BD"/>
    <w:rsid w:val="2E0A019A"/>
    <w:rsid w:val="2E224E44"/>
    <w:rsid w:val="2E601A7F"/>
    <w:rsid w:val="2E6244CB"/>
    <w:rsid w:val="2EAF1195"/>
    <w:rsid w:val="2EDB5428"/>
    <w:rsid w:val="302F357E"/>
    <w:rsid w:val="304B7CEE"/>
    <w:rsid w:val="31007C04"/>
    <w:rsid w:val="319B16E7"/>
    <w:rsid w:val="31DF64D1"/>
    <w:rsid w:val="32056724"/>
    <w:rsid w:val="320F2EDC"/>
    <w:rsid w:val="32E3128E"/>
    <w:rsid w:val="33342F46"/>
    <w:rsid w:val="3361798A"/>
    <w:rsid w:val="336A027D"/>
    <w:rsid w:val="3379137B"/>
    <w:rsid w:val="33884BBF"/>
    <w:rsid w:val="33B2196E"/>
    <w:rsid w:val="33D03727"/>
    <w:rsid w:val="34AF4F8A"/>
    <w:rsid w:val="34BF618A"/>
    <w:rsid w:val="34F0242A"/>
    <w:rsid w:val="352913A9"/>
    <w:rsid w:val="3532309D"/>
    <w:rsid w:val="35587DFE"/>
    <w:rsid w:val="35983246"/>
    <w:rsid w:val="35AD1F21"/>
    <w:rsid w:val="3633234D"/>
    <w:rsid w:val="36411DBD"/>
    <w:rsid w:val="36BC17BE"/>
    <w:rsid w:val="370261D5"/>
    <w:rsid w:val="37525602"/>
    <w:rsid w:val="376B6613"/>
    <w:rsid w:val="37A80C26"/>
    <w:rsid w:val="37BE09B1"/>
    <w:rsid w:val="380A232A"/>
    <w:rsid w:val="382A0A33"/>
    <w:rsid w:val="385A1016"/>
    <w:rsid w:val="387C2FAD"/>
    <w:rsid w:val="38D1110E"/>
    <w:rsid w:val="38EC5733"/>
    <w:rsid w:val="39222E02"/>
    <w:rsid w:val="397348D8"/>
    <w:rsid w:val="39907076"/>
    <w:rsid w:val="39A90240"/>
    <w:rsid w:val="39CC3BC5"/>
    <w:rsid w:val="3A432B86"/>
    <w:rsid w:val="3A8B0885"/>
    <w:rsid w:val="3AB74776"/>
    <w:rsid w:val="3AE65734"/>
    <w:rsid w:val="3B0E0AD0"/>
    <w:rsid w:val="3B132D7A"/>
    <w:rsid w:val="3B617B91"/>
    <w:rsid w:val="3C2A1EFC"/>
    <w:rsid w:val="3CC666F0"/>
    <w:rsid w:val="3D005B70"/>
    <w:rsid w:val="3D115ADD"/>
    <w:rsid w:val="3D245D17"/>
    <w:rsid w:val="3DC136FE"/>
    <w:rsid w:val="3DCE19E2"/>
    <w:rsid w:val="3DD10B64"/>
    <w:rsid w:val="3E2717D1"/>
    <w:rsid w:val="3E36350B"/>
    <w:rsid w:val="3E5D43F6"/>
    <w:rsid w:val="3E8D3385"/>
    <w:rsid w:val="3F185C24"/>
    <w:rsid w:val="3F2B4932"/>
    <w:rsid w:val="3F2E1C95"/>
    <w:rsid w:val="3F406123"/>
    <w:rsid w:val="3F713585"/>
    <w:rsid w:val="3F8B63AF"/>
    <w:rsid w:val="3FEE4C00"/>
    <w:rsid w:val="40263A76"/>
    <w:rsid w:val="40272F75"/>
    <w:rsid w:val="40582B5D"/>
    <w:rsid w:val="407778A2"/>
    <w:rsid w:val="40A356D1"/>
    <w:rsid w:val="4103443C"/>
    <w:rsid w:val="4202304C"/>
    <w:rsid w:val="42EF719F"/>
    <w:rsid w:val="42F27E25"/>
    <w:rsid w:val="432221D7"/>
    <w:rsid w:val="43630AF6"/>
    <w:rsid w:val="436E7A6C"/>
    <w:rsid w:val="43C057D6"/>
    <w:rsid w:val="43FE6A9E"/>
    <w:rsid w:val="44861AB7"/>
    <w:rsid w:val="449A613E"/>
    <w:rsid w:val="45036FB1"/>
    <w:rsid w:val="452F3881"/>
    <w:rsid w:val="4549421A"/>
    <w:rsid w:val="45775D33"/>
    <w:rsid w:val="457D4345"/>
    <w:rsid w:val="459C0B9D"/>
    <w:rsid w:val="45C61A58"/>
    <w:rsid w:val="46713943"/>
    <w:rsid w:val="467156D6"/>
    <w:rsid w:val="470C1321"/>
    <w:rsid w:val="470F340B"/>
    <w:rsid w:val="47195080"/>
    <w:rsid w:val="4743261E"/>
    <w:rsid w:val="47A57F86"/>
    <w:rsid w:val="48324507"/>
    <w:rsid w:val="48353997"/>
    <w:rsid w:val="48606C9A"/>
    <w:rsid w:val="48676535"/>
    <w:rsid w:val="488773D8"/>
    <w:rsid w:val="489023E0"/>
    <w:rsid w:val="48FE2997"/>
    <w:rsid w:val="499377B9"/>
    <w:rsid w:val="49EF7646"/>
    <w:rsid w:val="4B280C33"/>
    <w:rsid w:val="4B294346"/>
    <w:rsid w:val="4BB16772"/>
    <w:rsid w:val="4C901667"/>
    <w:rsid w:val="4D4D5E62"/>
    <w:rsid w:val="4D6D5315"/>
    <w:rsid w:val="4D8468C1"/>
    <w:rsid w:val="4E545847"/>
    <w:rsid w:val="4E5A5FD3"/>
    <w:rsid w:val="4E5F37F4"/>
    <w:rsid w:val="4F0909C7"/>
    <w:rsid w:val="5008263B"/>
    <w:rsid w:val="50197334"/>
    <w:rsid w:val="506C20EC"/>
    <w:rsid w:val="508C7426"/>
    <w:rsid w:val="50DF1BFA"/>
    <w:rsid w:val="50FE6FF7"/>
    <w:rsid w:val="50FF19AF"/>
    <w:rsid w:val="51185A5F"/>
    <w:rsid w:val="51376943"/>
    <w:rsid w:val="515651BB"/>
    <w:rsid w:val="521A0658"/>
    <w:rsid w:val="526B2621"/>
    <w:rsid w:val="528B08A7"/>
    <w:rsid w:val="52992A21"/>
    <w:rsid w:val="52E12B27"/>
    <w:rsid w:val="532C777F"/>
    <w:rsid w:val="535E03A4"/>
    <w:rsid w:val="53822307"/>
    <w:rsid w:val="538F781D"/>
    <w:rsid w:val="53F2676F"/>
    <w:rsid w:val="53F331C6"/>
    <w:rsid w:val="551841DA"/>
    <w:rsid w:val="554138C1"/>
    <w:rsid w:val="55705D78"/>
    <w:rsid w:val="56101D32"/>
    <w:rsid w:val="563F4527"/>
    <w:rsid w:val="56AF28AD"/>
    <w:rsid w:val="5778776D"/>
    <w:rsid w:val="578275CC"/>
    <w:rsid w:val="581144CA"/>
    <w:rsid w:val="58162C4E"/>
    <w:rsid w:val="58262ED9"/>
    <w:rsid w:val="582C3EE9"/>
    <w:rsid w:val="58B37F4D"/>
    <w:rsid w:val="58FF6BC6"/>
    <w:rsid w:val="599B354B"/>
    <w:rsid w:val="5A645A09"/>
    <w:rsid w:val="5AA269E9"/>
    <w:rsid w:val="5AA85E6D"/>
    <w:rsid w:val="5AAC248E"/>
    <w:rsid w:val="5AD676B5"/>
    <w:rsid w:val="5B0910D2"/>
    <w:rsid w:val="5B165413"/>
    <w:rsid w:val="5B180E02"/>
    <w:rsid w:val="5B1B3FA1"/>
    <w:rsid w:val="5BB61B6D"/>
    <w:rsid w:val="5CDC6E3B"/>
    <w:rsid w:val="5CE2317E"/>
    <w:rsid w:val="5D497881"/>
    <w:rsid w:val="5D6135D0"/>
    <w:rsid w:val="5DA82CCA"/>
    <w:rsid w:val="5DDC46ED"/>
    <w:rsid w:val="5DDD518B"/>
    <w:rsid w:val="5EA77EB5"/>
    <w:rsid w:val="5EC40084"/>
    <w:rsid w:val="5EE0465E"/>
    <w:rsid w:val="5F3C0FA0"/>
    <w:rsid w:val="5F432A23"/>
    <w:rsid w:val="5F8E61F2"/>
    <w:rsid w:val="5FCB7E39"/>
    <w:rsid w:val="60235B75"/>
    <w:rsid w:val="6041145F"/>
    <w:rsid w:val="60414A3F"/>
    <w:rsid w:val="61486D2A"/>
    <w:rsid w:val="619051F9"/>
    <w:rsid w:val="61906182"/>
    <w:rsid w:val="61935612"/>
    <w:rsid w:val="619E2BD2"/>
    <w:rsid w:val="61A242EF"/>
    <w:rsid w:val="61A93569"/>
    <w:rsid w:val="61FF7D4E"/>
    <w:rsid w:val="62BC5CDD"/>
    <w:rsid w:val="63135321"/>
    <w:rsid w:val="636F3F92"/>
    <w:rsid w:val="63EB0C9B"/>
    <w:rsid w:val="645A3348"/>
    <w:rsid w:val="64663D9C"/>
    <w:rsid w:val="659D4DE8"/>
    <w:rsid w:val="66202C42"/>
    <w:rsid w:val="669745F6"/>
    <w:rsid w:val="671116A4"/>
    <w:rsid w:val="674866C5"/>
    <w:rsid w:val="679016DE"/>
    <w:rsid w:val="67967483"/>
    <w:rsid w:val="67B45E90"/>
    <w:rsid w:val="67D60AAA"/>
    <w:rsid w:val="68965B2F"/>
    <w:rsid w:val="68D75B85"/>
    <w:rsid w:val="68F03582"/>
    <w:rsid w:val="694455FE"/>
    <w:rsid w:val="696822CB"/>
    <w:rsid w:val="6A14162F"/>
    <w:rsid w:val="6A401288"/>
    <w:rsid w:val="6AF52C3C"/>
    <w:rsid w:val="6AFC4150"/>
    <w:rsid w:val="6B0C1555"/>
    <w:rsid w:val="6B2C7312"/>
    <w:rsid w:val="6BD94E98"/>
    <w:rsid w:val="6D0C493D"/>
    <w:rsid w:val="6D2778C0"/>
    <w:rsid w:val="6D2A5D1D"/>
    <w:rsid w:val="6DD94339"/>
    <w:rsid w:val="6DF03880"/>
    <w:rsid w:val="6E797299"/>
    <w:rsid w:val="6E801322"/>
    <w:rsid w:val="6E9D7B5E"/>
    <w:rsid w:val="6ED33431"/>
    <w:rsid w:val="6EDE7770"/>
    <w:rsid w:val="6F0D1709"/>
    <w:rsid w:val="6F311D25"/>
    <w:rsid w:val="6F365404"/>
    <w:rsid w:val="6F77600F"/>
    <w:rsid w:val="70437113"/>
    <w:rsid w:val="70591657"/>
    <w:rsid w:val="708A15C0"/>
    <w:rsid w:val="709F39D9"/>
    <w:rsid w:val="71142E3D"/>
    <w:rsid w:val="711867BB"/>
    <w:rsid w:val="71B14B52"/>
    <w:rsid w:val="720C6F40"/>
    <w:rsid w:val="7231775D"/>
    <w:rsid w:val="72326D15"/>
    <w:rsid w:val="72360A09"/>
    <w:rsid w:val="728A29DA"/>
    <w:rsid w:val="72A15C93"/>
    <w:rsid w:val="732F1361"/>
    <w:rsid w:val="736F685E"/>
    <w:rsid w:val="73DE068E"/>
    <w:rsid w:val="740F1285"/>
    <w:rsid w:val="74B00114"/>
    <w:rsid w:val="74D36670"/>
    <w:rsid w:val="74FE6E3C"/>
    <w:rsid w:val="752D585A"/>
    <w:rsid w:val="75EC4326"/>
    <w:rsid w:val="75F905C4"/>
    <w:rsid w:val="75FC4BCC"/>
    <w:rsid w:val="7620470C"/>
    <w:rsid w:val="763B01D3"/>
    <w:rsid w:val="764A1C44"/>
    <w:rsid w:val="765E1255"/>
    <w:rsid w:val="77B32157"/>
    <w:rsid w:val="780B7492"/>
    <w:rsid w:val="78AC02BB"/>
    <w:rsid w:val="78F50AD1"/>
    <w:rsid w:val="793C2F8D"/>
    <w:rsid w:val="79B722A8"/>
    <w:rsid w:val="7A17695A"/>
    <w:rsid w:val="7AFF6C2B"/>
    <w:rsid w:val="7B057059"/>
    <w:rsid w:val="7BA718C0"/>
    <w:rsid w:val="7C6935DC"/>
    <w:rsid w:val="7CA14893"/>
    <w:rsid w:val="7CBE44A0"/>
    <w:rsid w:val="7D1E4279"/>
    <w:rsid w:val="7D2F70E2"/>
    <w:rsid w:val="7E142A46"/>
    <w:rsid w:val="7EC6681C"/>
    <w:rsid w:val="7FEC05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qFormat="1" w:unhideWhenUsed="0" w:uiPriority="0" w:semiHidden="0" w:name="footnote text"/>
    <w:lsdException w:qFormat="1" w:unhideWhenUsed="0" w:uiPriority="99" w:semiHidden="0" w:name="annotation text"/>
    <w:lsdException w:qFormat="1" w:unhideWhenUsed="0" w:uiPriority="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480" w:firstLineChars="200"/>
      <w:jc w:val="both"/>
    </w:pPr>
    <w:rPr>
      <w:rFonts w:ascii="Times New Roman" w:hAnsi="Times New Roman" w:eastAsia="仿宋_GB2312" w:cs="Calibri"/>
      <w:kern w:val="2"/>
      <w:sz w:val="32"/>
      <w:szCs w:val="21"/>
      <w:lang w:val="en-US" w:eastAsia="zh-CN" w:bidi="ar-SA"/>
    </w:rPr>
  </w:style>
  <w:style w:type="paragraph" w:styleId="3">
    <w:name w:val="heading 1"/>
    <w:basedOn w:val="1"/>
    <w:next w:val="1"/>
    <w:link w:val="37"/>
    <w:qFormat/>
    <w:uiPriority w:val="0"/>
    <w:pPr>
      <w:keepNext/>
      <w:keepLines/>
      <w:spacing w:before="120" w:after="120"/>
      <w:ind w:firstLine="200"/>
      <w:outlineLvl w:val="0"/>
    </w:pPr>
    <w:rPr>
      <w:rFonts w:eastAsia="黑体"/>
      <w:bCs/>
      <w:kern w:val="44"/>
      <w:szCs w:val="44"/>
    </w:rPr>
  </w:style>
  <w:style w:type="paragraph" w:styleId="4">
    <w:name w:val="heading 2"/>
    <w:basedOn w:val="1"/>
    <w:next w:val="1"/>
    <w:link w:val="70"/>
    <w:qFormat/>
    <w:uiPriority w:val="0"/>
    <w:pPr>
      <w:keepNext/>
      <w:keepLines/>
      <w:spacing w:before="120" w:after="60"/>
      <w:outlineLvl w:val="1"/>
    </w:pPr>
    <w:rPr>
      <w:rFonts w:ascii="等线 Light" w:hAnsi="等线 Light" w:eastAsia="楷体" w:cs="Times New Roman"/>
      <w:b/>
      <w:bCs/>
      <w:szCs w:val="32"/>
    </w:rPr>
  </w:style>
  <w:style w:type="paragraph" w:styleId="5">
    <w:name w:val="heading 3"/>
    <w:basedOn w:val="1"/>
    <w:next w:val="1"/>
    <w:link w:val="65"/>
    <w:qFormat/>
    <w:uiPriority w:val="0"/>
    <w:pPr>
      <w:keepNext/>
      <w:keepLines/>
      <w:spacing w:before="260" w:after="260" w:line="416" w:lineRule="auto"/>
      <w:outlineLvl w:val="2"/>
    </w:pPr>
    <w:rPr>
      <w:b/>
      <w:bCs/>
      <w:szCs w:val="32"/>
    </w:rPr>
  </w:style>
  <w:style w:type="paragraph" w:styleId="6">
    <w:name w:val="heading 4"/>
    <w:basedOn w:val="1"/>
    <w:next w:val="1"/>
    <w:link w:val="57"/>
    <w:qFormat/>
    <w:uiPriority w:val="0"/>
    <w:pPr>
      <w:keepNext/>
      <w:keepLines/>
      <w:ind w:firstLine="200"/>
      <w:outlineLvl w:val="3"/>
    </w:pPr>
    <w:rPr>
      <w:rFonts w:ascii="Arial" w:hAnsi="Arial" w:eastAsia="楷体_GB2312"/>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link w:val="79"/>
    <w:unhideWhenUsed/>
    <w:qFormat/>
    <w:uiPriority w:val="0"/>
    <w:pPr>
      <w:ind w:firstLine="556"/>
    </w:pPr>
    <w:rPr>
      <w:rFonts w:cs="仿宋_GB2312"/>
      <w:kern w:val="0"/>
    </w:rPr>
  </w:style>
  <w:style w:type="paragraph" w:styleId="7">
    <w:name w:val="Document Map"/>
    <w:basedOn w:val="1"/>
    <w:link w:val="63"/>
    <w:semiHidden/>
    <w:qFormat/>
    <w:uiPriority w:val="0"/>
    <w:pPr>
      <w:shd w:val="clear" w:color="auto" w:fill="000080"/>
    </w:pPr>
  </w:style>
  <w:style w:type="paragraph" w:styleId="8">
    <w:name w:val="annotation text"/>
    <w:basedOn w:val="1"/>
    <w:link w:val="61"/>
    <w:qFormat/>
    <w:uiPriority w:val="99"/>
    <w:pPr>
      <w:ind w:firstLine="643"/>
      <w:jc w:val="left"/>
    </w:pPr>
    <w:rPr>
      <w:rFonts w:eastAsia="方正仿宋_GB2312"/>
    </w:rPr>
  </w:style>
  <w:style w:type="paragraph" w:styleId="9">
    <w:name w:val="Body Text"/>
    <w:basedOn w:val="1"/>
    <w:link w:val="59"/>
    <w:qFormat/>
    <w:uiPriority w:val="0"/>
    <w:pPr>
      <w:spacing w:after="120"/>
    </w:pPr>
    <w:rPr>
      <w:rFonts w:cs="Times New Roman"/>
    </w:rPr>
  </w:style>
  <w:style w:type="paragraph" w:styleId="10">
    <w:name w:val="Body Text Indent"/>
    <w:basedOn w:val="1"/>
    <w:link w:val="52"/>
    <w:qFormat/>
    <w:uiPriority w:val="0"/>
    <w:pPr>
      <w:spacing w:after="120"/>
      <w:ind w:left="420" w:leftChars="200"/>
    </w:pPr>
    <w:rPr>
      <w:rFonts w:cs="Times New Roman"/>
    </w:rPr>
  </w:style>
  <w:style w:type="paragraph" w:styleId="11">
    <w:name w:val="toc 3"/>
    <w:basedOn w:val="1"/>
    <w:next w:val="1"/>
    <w:unhideWhenUsed/>
    <w:qFormat/>
    <w:uiPriority w:val="39"/>
    <w:pPr>
      <w:widowControl/>
      <w:spacing w:after="100" w:line="276" w:lineRule="auto"/>
      <w:ind w:left="440"/>
      <w:jc w:val="left"/>
    </w:pPr>
    <w:rPr>
      <w:rFonts w:ascii="Calibri" w:hAnsi="Calibri" w:eastAsia="宋体" w:cs="Times New Roman"/>
      <w:kern w:val="0"/>
      <w:sz w:val="22"/>
      <w:szCs w:val="22"/>
    </w:rPr>
  </w:style>
  <w:style w:type="paragraph" w:styleId="12">
    <w:name w:val="Body Text Indent 2"/>
    <w:basedOn w:val="1"/>
    <w:link w:val="50"/>
    <w:qFormat/>
    <w:uiPriority w:val="0"/>
    <w:pPr>
      <w:spacing w:after="120" w:line="480" w:lineRule="auto"/>
      <w:ind w:left="420" w:leftChars="200"/>
    </w:pPr>
  </w:style>
  <w:style w:type="paragraph" w:styleId="13">
    <w:name w:val="endnote text"/>
    <w:basedOn w:val="1"/>
    <w:link w:val="74"/>
    <w:qFormat/>
    <w:uiPriority w:val="0"/>
    <w:pPr>
      <w:snapToGrid w:val="0"/>
      <w:jc w:val="left"/>
    </w:pPr>
  </w:style>
  <w:style w:type="paragraph" w:styleId="14">
    <w:name w:val="Balloon Text"/>
    <w:basedOn w:val="1"/>
    <w:link w:val="60"/>
    <w:qFormat/>
    <w:uiPriority w:val="0"/>
    <w:rPr>
      <w:sz w:val="18"/>
      <w:szCs w:val="18"/>
    </w:rPr>
  </w:style>
  <w:style w:type="paragraph" w:styleId="15">
    <w:name w:val="footer"/>
    <w:basedOn w:val="1"/>
    <w:link w:val="48"/>
    <w:qFormat/>
    <w:uiPriority w:val="99"/>
    <w:pPr>
      <w:tabs>
        <w:tab w:val="center" w:pos="4153"/>
        <w:tab w:val="right" w:pos="8306"/>
      </w:tabs>
      <w:snapToGrid w:val="0"/>
      <w:jc w:val="left"/>
    </w:pPr>
    <w:rPr>
      <w:sz w:val="18"/>
      <w:szCs w:val="18"/>
    </w:rPr>
  </w:style>
  <w:style w:type="paragraph" w:styleId="16">
    <w:name w:val="header"/>
    <w:basedOn w:val="1"/>
    <w:link w:val="67"/>
    <w:semiHidden/>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qFormat/>
    <w:uiPriority w:val="39"/>
    <w:pPr>
      <w:spacing w:line="500" w:lineRule="exact"/>
      <w:ind w:firstLine="0" w:firstLineChars="0"/>
    </w:pPr>
    <w:rPr>
      <w:rFonts w:ascii="Times New Roman" w:hAnsi="Times New Roman"/>
    </w:rPr>
  </w:style>
  <w:style w:type="paragraph" w:styleId="18">
    <w:name w:val="Subtitle"/>
    <w:basedOn w:val="1"/>
    <w:next w:val="1"/>
    <w:link w:val="54"/>
    <w:qFormat/>
    <w:uiPriority w:val="0"/>
    <w:pPr>
      <w:spacing w:before="120" w:after="60"/>
      <w:ind w:firstLine="200"/>
      <w:jc w:val="left"/>
      <w:outlineLvl w:val="1"/>
    </w:pPr>
    <w:rPr>
      <w:rFonts w:ascii="Cambria" w:hAnsi="Cambria" w:eastAsia="楷体" w:cs="Times New Roman"/>
      <w:b/>
      <w:bCs/>
      <w:kern w:val="28"/>
      <w:szCs w:val="32"/>
    </w:rPr>
  </w:style>
  <w:style w:type="paragraph" w:styleId="19">
    <w:name w:val="footnote text"/>
    <w:basedOn w:val="1"/>
    <w:link w:val="66"/>
    <w:qFormat/>
    <w:uiPriority w:val="0"/>
    <w:pPr>
      <w:snapToGrid w:val="0"/>
      <w:jc w:val="left"/>
    </w:pPr>
    <w:rPr>
      <w:sz w:val="18"/>
      <w:szCs w:val="18"/>
    </w:rPr>
  </w:style>
  <w:style w:type="paragraph" w:styleId="20">
    <w:name w:val="toc 2"/>
    <w:basedOn w:val="1"/>
    <w:next w:val="1"/>
    <w:unhideWhenUsed/>
    <w:qFormat/>
    <w:uiPriority w:val="39"/>
    <w:pPr>
      <w:widowControl/>
      <w:spacing w:line="500" w:lineRule="exact"/>
      <w:ind w:left="0"/>
      <w:jc w:val="left"/>
    </w:pPr>
    <w:rPr>
      <w:rFonts w:ascii="Times New Roman" w:hAnsi="Times New Roman" w:eastAsia="仿宋_GB2312" w:cs="Times New Roman"/>
      <w:kern w:val="0"/>
      <w:sz w:val="32"/>
      <w:szCs w:val="22"/>
    </w:rPr>
  </w:style>
  <w:style w:type="paragraph" w:styleId="21">
    <w:name w:val="Body Text 2"/>
    <w:basedOn w:val="1"/>
    <w:link w:val="51"/>
    <w:qFormat/>
    <w:uiPriority w:val="0"/>
    <w:pPr>
      <w:spacing w:after="120" w:line="480" w:lineRule="auto"/>
    </w:pPr>
    <w:rPr>
      <w:rFonts w:cs="Times New Roman"/>
    </w:rPr>
  </w:style>
  <w:style w:type="paragraph" w:styleId="22">
    <w:name w:val="Normal (Web)"/>
    <w:basedOn w:val="1"/>
    <w:qFormat/>
    <w:uiPriority w:val="0"/>
    <w:pPr>
      <w:spacing w:before="100" w:beforeAutospacing="1" w:after="100" w:afterAutospacing="1"/>
      <w:jc w:val="left"/>
    </w:pPr>
    <w:rPr>
      <w:rFonts w:cs="Times New Roman"/>
      <w:kern w:val="0"/>
      <w:sz w:val="24"/>
    </w:rPr>
  </w:style>
  <w:style w:type="paragraph" w:styleId="23">
    <w:name w:val="Title"/>
    <w:basedOn w:val="1"/>
    <w:next w:val="1"/>
    <w:link w:val="64"/>
    <w:qFormat/>
    <w:uiPriority w:val="0"/>
    <w:pPr>
      <w:spacing w:before="240" w:after="60"/>
      <w:jc w:val="center"/>
      <w:outlineLvl w:val="0"/>
    </w:pPr>
    <w:rPr>
      <w:rFonts w:ascii="Cambria" w:hAnsi="Cambria" w:cs="Times New Roman"/>
      <w:b/>
      <w:bCs/>
      <w:szCs w:val="32"/>
    </w:rPr>
  </w:style>
  <w:style w:type="paragraph" w:styleId="24">
    <w:name w:val="annotation subject"/>
    <w:basedOn w:val="8"/>
    <w:next w:val="8"/>
    <w:link w:val="72"/>
    <w:qFormat/>
    <w:uiPriority w:val="0"/>
    <w:pPr>
      <w:ind w:firstLine="480"/>
    </w:pPr>
    <w:rPr>
      <w:rFonts w:eastAsia="仿宋_GB2312"/>
      <w:b/>
      <w:bCs/>
    </w:rPr>
  </w:style>
  <w:style w:type="paragraph" w:styleId="25">
    <w:name w:val="Body Text First Indent 2"/>
    <w:basedOn w:val="10"/>
    <w:next w:val="1"/>
    <w:qFormat/>
    <w:uiPriority w:val="0"/>
    <w:pPr>
      <w:ind w:left="0" w:leftChars="0" w:firstLine="420"/>
    </w:pPr>
    <w:rPr>
      <w:rFonts w:ascii="仿宋_GB2312" w:cs="仿宋_GB2312"/>
      <w:szCs w:val="32"/>
    </w:rPr>
  </w:style>
  <w:style w:type="table" w:styleId="27">
    <w:name w:val="Table Grid"/>
    <w:basedOn w:val="26"/>
    <w:qFormat/>
    <w:uiPriority w:val="5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0"/>
    <w:rPr>
      <w:rFonts w:cs="Times New Roman"/>
      <w:b/>
      <w:bCs/>
    </w:rPr>
  </w:style>
  <w:style w:type="character" w:styleId="30">
    <w:name w:val="endnote reference"/>
    <w:basedOn w:val="28"/>
    <w:qFormat/>
    <w:uiPriority w:val="0"/>
    <w:rPr>
      <w:vertAlign w:val="superscript"/>
    </w:rPr>
  </w:style>
  <w:style w:type="character" w:styleId="31">
    <w:name w:val="page number"/>
    <w:qFormat/>
    <w:uiPriority w:val="0"/>
    <w:rPr>
      <w:rFonts w:cs="Times New Roman"/>
    </w:rPr>
  </w:style>
  <w:style w:type="character" w:styleId="32">
    <w:name w:val="FollowedHyperlink"/>
    <w:basedOn w:val="28"/>
    <w:qFormat/>
    <w:uiPriority w:val="0"/>
    <w:rPr>
      <w:color w:val="222222"/>
      <w:u w:val="none"/>
    </w:rPr>
  </w:style>
  <w:style w:type="character" w:styleId="33">
    <w:name w:val="Emphasis"/>
    <w:qFormat/>
    <w:uiPriority w:val="0"/>
    <w:rPr>
      <w:rFonts w:ascii="Times New Roman" w:hAnsi="Times New Roman" w:eastAsia="黑体"/>
      <w:iCs/>
      <w:sz w:val="24"/>
    </w:rPr>
  </w:style>
  <w:style w:type="character" w:styleId="34">
    <w:name w:val="Hyperlink"/>
    <w:qFormat/>
    <w:uiPriority w:val="99"/>
    <w:rPr>
      <w:rFonts w:cs="Times New Roman"/>
      <w:color w:val="0000FF"/>
      <w:u w:val="single"/>
    </w:rPr>
  </w:style>
  <w:style w:type="character" w:styleId="35">
    <w:name w:val="annotation reference"/>
    <w:qFormat/>
    <w:uiPriority w:val="99"/>
    <w:rPr>
      <w:sz w:val="21"/>
      <w:szCs w:val="21"/>
    </w:rPr>
  </w:style>
  <w:style w:type="character" w:styleId="36">
    <w:name w:val="footnote reference"/>
    <w:qFormat/>
    <w:uiPriority w:val="0"/>
    <w:rPr>
      <w:vertAlign w:val="superscript"/>
    </w:rPr>
  </w:style>
  <w:style w:type="character" w:customStyle="1" w:styleId="37">
    <w:name w:val="标题 1 Char"/>
    <w:basedOn w:val="28"/>
    <w:link w:val="3"/>
    <w:qFormat/>
    <w:uiPriority w:val="0"/>
    <w:rPr>
      <w:rFonts w:hint="eastAsia" w:ascii="Times New Roman" w:hAnsi="Times New Roman" w:eastAsia="黑体" w:cs="黑体"/>
      <w:bCs/>
      <w:kern w:val="44"/>
      <w:sz w:val="32"/>
      <w:szCs w:val="44"/>
    </w:rPr>
  </w:style>
  <w:style w:type="character" w:customStyle="1" w:styleId="38">
    <w:name w:val="标题 2 Char"/>
    <w:basedOn w:val="28"/>
    <w:qFormat/>
    <w:uiPriority w:val="0"/>
    <w:rPr>
      <w:rFonts w:hint="eastAsia" w:ascii="等线 Light" w:hAnsi="等线 Light" w:eastAsia="楷体" w:cs="等线 Light"/>
      <w:b/>
      <w:kern w:val="2"/>
      <w:sz w:val="32"/>
      <w:szCs w:val="32"/>
    </w:rPr>
  </w:style>
  <w:style w:type="paragraph" w:customStyle="1" w:styleId="39">
    <w:name w:val="_Style 32"/>
    <w:basedOn w:val="3"/>
    <w:next w:val="1"/>
    <w:qFormat/>
    <w:uiPriority w:val="39"/>
    <w:pPr>
      <w:widowControl/>
      <w:spacing w:before="480" w:after="0" w:line="276" w:lineRule="auto"/>
      <w:ind w:firstLine="0" w:firstLineChars="0"/>
      <w:jc w:val="left"/>
      <w:outlineLvl w:val="9"/>
    </w:pPr>
    <w:rPr>
      <w:rFonts w:ascii="Cambria" w:hAnsi="Cambria" w:eastAsia="宋体" w:cs="Times New Roman"/>
      <w:b/>
      <w:color w:val="365F91"/>
      <w:kern w:val="0"/>
      <w:sz w:val="28"/>
      <w:szCs w:val="28"/>
    </w:rPr>
  </w:style>
  <w:style w:type="paragraph" w:customStyle="1" w:styleId="40">
    <w:name w:val="msolistparagraph"/>
    <w:basedOn w:val="1"/>
    <w:qFormat/>
    <w:uiPriority w:val="0"/>
    <w:pPr>
      <w:ind w:firstLine="420"/>
    </w:pPr>
    <w:rPr>
      <w:rFonts w:ascii="Calibri" w:hAnsi="Calibri" w:eastAsia="宋体" w:cs="Times New Roman"/>
      <w:sz w:val="21"/>
      <w:szCs w:val="24"/>
    </w:rPr>
  </w:style>
  <w:style w:type="paragraph" w:customStyle="1" w:styleId="41">
    <w:name w:val="WPSOffice手动目录 2"/>
    <w:qFormat/>
    <w:uiPriority w:val="0"/>
    <w:pPr>
      <w:ind w:left="200" w:leftChars="200"/>
    </w:pPr>
    <w:rPr>
      <w:rFonts w:ascii="Times New Roman" w:hAnsi="Times New Roman" w:eastAsia="宋体" w:cs="Times New Roman"/>
      <w:lang w:val="en-US" w:eastAsia="zh-CN" w:bidi="ar-SA"/>
    </w:rPr>
  </w:style>
  <w:style w:type="paragraph" w:styleId="42">
    <w:name w:val="List Paragraph"/>
    <w:basedOn w:val="1"/>
    <w:qFormat/>
    <w:uiPriority w:val="34"/>
    <w:pPr>
      <w:ind w:firstLine="420"/>
    </w:pPr>
    <w:rPr>
      <w:rFonts w:eastAsia="方正仿宋_GB2312"/>
    </w:rPr>
  </w:style>
  <w:style w:type="paragraph" w:customStyle="1" w:styleId="43">
    <w:name w:val="WPSOffice手动目录 1"/>
    <w:qFormat/>
    <w:uiPriority w:val="0"/>
    <w:rPr>
      <w:rFonts w:ascii="Times New Roman" w:hAnsi="Times New Roman" w:eastAsia="宋体" w:cs="Times New Roman"/>
      <w:lang w:val="en-US" w:eastAsia="zh-CN" w:bidi="ar-SA"/>
    </w:rPr>
  </w:style>
  <w:style w:type="paragraph" w:customStyle="1" w:styleId="44">
    <w:name w:val="表格标题"/>
    <w:basedOn w:val="1"/>
    <w:qFormat/>
    <w:uiPriority w:val="0"/>
    <w:pPr>
      <w:spacing w:before="120" w:after="60"/>
      <w:jc w:val="center"/>
    </w:pPr>
    <w:rPr>
      <w:rFonts w:eastAsia="黑体"/>
      <w:kern w:val="0"/>
      <w:sz w:val="24"/>
      <w:szCs w:val="28"/>
    </w:rPr>
  </w:style>
  <w:style w:type="paragraph" w:customStyle="1" w:styleId="45">
    <w:name w:val="表头"/>
    <w:basedOn w:val="1"/>
    <w:qFormat/>
    <w:uiPriority w:val="0"/>
    <w:pPr>
      <w:spacing w:line="240" w:lineRule="auto"/>
      <w:ind w:firstLine="0" w:firstLineChars="0"/>
      <w:jc w:val="center"/>
    </w:pPr>
    <w:rPr>
      <w:rFonts w:eastAsia="黑体"/>
      <w:sz w:val="24"/>
    </w:rPr>
  </w:style>
  <w:style w:type="paragraph" w:customStyle="1" w:styleId="46">
    <w:name w:val="报告正文"/>
    <w:basedOn w:val="1"/>
    <w:next w:val="10"/>
    <w:qFormat/>
    <w:uiPriority w:val="0"/>
    <w:pPr>
      <w:ind w:firstLine="643"/>
    </w:pPr>
    <w:rPr>
      <w:rFonts w:eastAsia="方正仿宋_GB2312"/>
    </w:rPr>
  </w:style>
  <w:style w:type="character" w:customStyle="1" w:styleId="47">
    <w:name w:val="副标题 字符"/>
    <w:qFormat/>
    <w:uiPriority w:val="0"/>
    <w:rPr>
      <w:rFonts w:ascii="Cambria" w:hAnsi="Cambria" w:eastAsia="楷体" w:cs="Times New Roman"/>
      <w:b/>
      <w:bCs/>
      <w:kern w:val="28"/>
      <w:sz w:val="32"/>
      <w:szCs w:val="32"/>
    </w:rPr>
  </w:style>
  <w:style w:type="character" w:customStyle="1" w:styleId="48">
    <w:name w:val="页脚 Char1"/>
    <w:link w:val="15"/>
    <w:semiHidden/>
    <w:qFormat/>
    <w:locked/>
    <w:uiPriority w:val="0"/>
    <w:rPr>
      <w:rFonts w:ascii="Calibri" w:hAnsi="Calibri" w:eastAsia="宋体" w:cs="Calibri"/>
      <w:kern w:val="2"/>
      <w:sz w:val="18"/>
      <w:szCs w:val="18"/>
      <w:lang w:val="en-US" w:eastAsia="zh-CN" w:bidi="ar-SA"/>
    </w:rPr>
  </w:style>
  <w:style w:type="character" w:customStyle="1" w:styleId="49">
    <w:name w:val="font41"/>
    <w:basedOn w:val="28"/>
    <w:qFormat/>
    <w:uiPriority w:val="0"/>
    <w:rPr>
      <w:rFonts w:ascii="仿宋_GB2312" w:eastAsia="仿宋_GB2312" w:cs="仿宋_GB2312"/>
      <w:color w:val="000000"/>
      <w:sz w:val="24"/>
      <w:szCs w:val="24"/>
      <w:u w:val="none"/>
    </w:rPr>
  </w:style>
  <w:style w:type="character" w:customStyle="1" w:styleId="50">
    <w:name w:val="正文文本缩进 2 Char"/>
    <w:link w:val="12"/>
    <w:semiHidden/>
    <w:qFormat/>
    <w:locked/>
    <w:uiPriority w:val="0"/>
    <w:rPr>
      <w:rFonts w:ascii="Calibri" w:hAnsi="Calibri" w:eastAsia="宋体" w:cs="Calibri"/>
      <w:kern w:val="2"/>
      <w:sz w:val="21"/>
      <w:szCs w:val="21"/>
      <w:lang w:val="en-US" w:eastAsia="zh-CN" w:bidi="ar-SA"/>
    </w:rPr>
  </w:style>
  <w:style w:type="character" w:customStyle="1" w:styleId="51">
    <w:name w:val="正文文本 2 Char"/>
    <w:link w:val="21"/>
    <w:semiHidden/>
    <w:qFormat/>
    <w:locked/>
    <w:uiPriority w:val="0"/>
    <w:rPr>
      <w:rFonts w:eastAsia="宋体"/>
      <w:kern w:val="2"/>
      <w:sz w:val="21"/>
      <w:szCs w:val="21"/>
      <w:lang w:val="en-US" w:eastAsia="zh-CN" w:bidi="ar-SA"/>
    </w:rPr>
  </w:style>
  <w:style w:type="character" w:customStyle="1" w:styleId="52">
    <w:name w:val="正文文本缩进 Char"/>
    <w:basedOn w:val="28"/>
    <w:link w:val="10"/>
    <w:qFormat/>
    <w:uiPriority w:val="0"/>
    <w:rPr>
      <w:rFonts w:hint="eastAsia" w:ascii="仿宋_GB2312" w:eastAsia="仿宋_GB2312" w:cs="仿宋_GB2312"/>
      <w:kern w:val="2"/>
      <w:sz w:val="32"/>
      <w:szCs w:val="21"/>
    </w:rPr>
  </w:style>
  <w:style w:type="character" w:customStyle="1" w:styleId="53">
    <w:name w:val="Char Char2"/>
    <w:qFormat/>
    <w:uiPriority w:val="0"/>
    <w:rPr>
      <w:rFonts w:ascii="Calibri" w:hAnsi="Calibri" w:eastAsia="宋体" w:cs="Calibri"/>
      <w:kern w:val="2"/>
      <w:sz w:val="18"/>
      <w:szCs w:val="18"/>
      <w:lang w:val="en-US" w:eastAsia="zh-CN"/>
    </w:rPr>
  </w:style>
  <w:style w:type="character" w:customStyle="1" w:styleId="54">
    <w:name w:val="副标题 Char"/>
    <w:basedOn w:val="28"/>
    <w:link w:val="18"/>
    <w:qFormat/>
    <w:uiPriority w:val="0"/>
    <w:rPr>
      <w:rFonts w:hint="default" w:ascii="Cambria" w:hAnsi="Cambria" w:eastAsia="楷体" w:cs="Cambria"/>
      <w:b/>
      <w:kern w:val="28"/>
      <w:sz w:val="32"/>
      <w:szCs w:val="32"/>
    </w:rPr>
  </w:style>
  <w:style w:type="character" w:customStyle="1" w:styleId="55">
    <w:name w:val="正文文本 Char"/>
    <w:basedOn w:val="28"/>
    <w:qFormat/>
    <w:uiPriority w:val="0"/>
    <w:rPr>
      <w:kern w:val="2"/>
      <w:sz w:val="21"/>
      <w:szCs w:val="21"/>
    </w:rPr>
  </w:style>
  <w:style w:type="character" w:customStyle="1" w:styleId="56">
    <w:name w:val="报告正文 Char"/>
    <w:basedOn w:val="28"/>
    <w:qFormat/>
    <w:uiPriority w:val="0"/>
    <w:rPr>
      <w:rFonts w:hint="eastAsia" w:ascii="仿宋_GB2312" w:eastAsia="仿宋_GB2312" w:cs="仿宋_GB2312"/>
      <w:kern w:val="2"/>
      <w:sz w:val="32"/>
      <w:szCs w:val="21"/>
    </w:rPr>
  </w:style>
  <w:style w:type="character" w:customStyle="1" w:styleId="57">
    <w:name w:val="标题 4 Char"/>
    <w:link w:val="6"/>
    <w:qFormat/>
    <w:uiPriority w:val="0"/>
    <w:rPr>
      <w:rFonts w:ascii="Arial" w:hAnsi="Arial" w:eastAsia="楷体_GB2312" w:cs="Calibri"/>
      <w:kern w:val="2"/>
      <w:sz w:val="32"/>
      <w:szCs w:val="21"/>
    </w:rPr>
  </w:style>
  <w:style w:type="character" w:customStyle="1" w:styleId="58">
    <w:name w:val="标题 1 字符"/>
    <w:qFormat/>
    <w:uiPriority w:val="0"/>
    <w:rPr>
      <w:rFonts w:ascii="Calibri" w:hAnsi="Calibri" w:eastAsia="黑体" w:cs="Calibri"/>
      <w:bCs/>
      <w:kern w:val="44"/>
      <w:sz w:val="32"/>
      <w:szCs w:val="44"/>
    </w:rPr>
  </w:style>
  <w:style w:type="character" w:customStyle="1" w:styleId="59">
    <w:name w:val="正文文本 Char2"/>
    <w:link w:val="9"/>
    <w:semiHidden/>
    <w:qFormat/>
    <w:locked/>
    <w:uiPriority w:val="0"/>
    <w:rPr>
      <w:rFonts w:eastAsia="宋体"/>
      <w:kern w:val="2"/>
      <w:sz w:val="21"/>
      <w:szCs w:val="21"/>
      <w:lang w:val="en-US" w:eastAsia="zh-CN" w:bidi="ar-SA"/>
    </w:rPr>
  </w:style>
  <w:style w:type="character" w:customStyle="1" w:styleId="60">
    <w:name w:val="批注框文本 Char"/>
    <w:link w:val="14"/>
    <w:qFormat/>
    <w:uiPriority w:val="0"/>
    <w:rPr>
      <w:rFonts w:ascii="Calibri" w:hAnsi="Calibri" w:cs="Calibri"/>
      <w:kern w:val="2"/>
      <w:sz w:val="18"/>
      <w:szCs w:val="18"/>
    </w:rPr>
  </w:style>
  <w:style w:type="character" w:customStyle="1" w:styleId="61">
    <w:name w:val="批注文字 Char"/>
    <w:link w:val="8"/>
    <w:qFormat/>
    <w:uiPriority w:val="99"/>
    <w:rPr>
      <w:rFonts w:ascii="Calibri" w:hAnsi="Calibri" w:eastAsia="方正仿宋_GB2312" w:cs="Calibri"/>
      <w:kern w:val="2"/>
      <w:sz w:val="32"/>
      <w:szCs w:val="21"/>
    </w:rPr>
  </w:style>
  <w:style w:type="character" w:customStyle="1" w:styleId="62">
    <w:name w:val="正文文本 Char1"/>
    <w:basedOn w:val="28"/>
    <w:qFormat/>
    <w:uiPriority w:val="0"/>
    <w:rPr>
      <w:rFonts w:hint="eastAsia" w:ascii="仿宋_GB2312" w:eastAsia="仿宋_GB2312" w:cs="仿宋_GB2312"/>
      <w:kern w:val="2"/>
      <w:sz w:val="32"/>
      <w:szCs w:val="21"/>
    </w:rPr>
  </w:style>
  <w:style w:type="character" w:customStyle="1" w:styleId="63">
    <w:name w:val="文档结构图 Char"/>
    <w:link w:val="7"/>
    <w:semiHidden/>
    <w:qFormat/>
    <w:locked/>
    <w:uiPriority w:val="0"/>
    <w:rPr>
      <w:rFonts w:ascii="Calibri" w:hAnsi="Calibri" w:eastAsia="宋体" w:cs="Calibri"/>
      <w:kern w:val="2"/>
      <w:sz w:val="21"/>
      <w:szCs w:val="21"/>
      <w:lang w:val="en-US" w:eastAsia="zh-CN" w:bidi="ar-SA"/>
    </w:rPr>
  </w:style>
  <w:style w:type="character" w:customStyle="1" w:styleId="64">
    <w:name w:val="标题 Char"/>
    <w:link w:val="23"/>
    <w:qFormat/>
    <w:uiPriority w:val="0"/>
    <w:rPr>
      <w:rFonts w:ascii="Cambria" w:hAnsi="Cambria" w:cs="Times New Roman"/>
      <w:b/>
      <w:bCs/>
      <w:kern w:val="2"/>
      <w:sz w:val="32"/>
      <w:szCs w:val="32"/>
    </w:rPr>
  </w:style>
  <w:style w:type="character" w:customStyle="1" w:styleId="65">
    <w:name w:val="标题 3 Char"/>
    <w:link w:val="5"/>
    <w:qFormat/>
    <w:uiPriority w:val="0"/>
    <w:rPr>
      <w:rFonts w:ascii="Calibri" w:hAnsi="Calibri" w:cs="Calibri"/>
      <w:b/>
      <w:bCs/>
      <w:kern w:val="2"/>
      <w:sz w:val="32"/>
      <w:szCs w:val="32"/>
    </w:rPr>
  </w:style>
  <w:style w:type="character" w:customStyle="1" w:styleId="66">
    <w:name w:val="脚注文本 Char"/>
    <w:link w:val="19"/>
    <w:qFormat/>
    <w:uiPriority w:val="0"/>
    <w:rPr>
      <w:rFonts w:ascii="Calibri" w:hAnsi="Calibri" w:cs="Calibri"/>
      <w:kern w:val="2"/>
      <w:sz w:val="18"/>
      <w:szCs w:val="18"/>
    </w:rPr>
  </w:style>
  <w:style w:type="character" w:customStyle="1" w:styleId="67">
    <w:name w:val="页眉 Char"/>
    <w:link w:val="16"/>
    <w:semiHidden/>
    <w:qFormat/>
    <w:locked/>
    <w:uiPriority w:val="0"/>
    <w:rPr>
      <w:rFonts w:ascii="Calibri" w:hAnsi="Calibri" w:eastAsia="宋体" w:cs="Calibri"/>
      <w:kern w:val="2"/>
      <w:sz w:val="18"/>
      <w:szCs w:val="18"/>
      <w:lang w:val="en-US" w:eastAsia="zh-CN" w:bidi="ar-SA"/>
    </w:rPr>
  </w:style>
  <w:style w:type="character" w:customStyle="1" w:styleId="68">
    <w:name w:val="Char Char3"/>
    <w:qFormat/>
    <w:uiPriority w:val="0"/>
    <w:rPr>
      <w:rFonts w:ascii="Calibri" w:hAnsi="Calibri" w:eastAsia="宋体" w:cs="Calibri"/>
      <w:kern w:val="2"/>
      <w:sz w:val="18"/>
      <w:szCs w:val="18"/>
      <w:lang w:val="en-US" w:eastAsia="zh-CN"/>
    </w:rPr>
  </w:style>
  <w:style w:type="character" w:customStyle="1" w:styleId="69">
    <w:name w:val="页脚 Char"/>
    <w:qFormat/>
    <w:uiPriority w:val="99"/>
    <w:rPr>
      <w:rFonts w:eastAsia="Calibri"/>
      <w:sz w:val="21"/>
    </w:rPr>
  </w:style>
  <w:style w:type="character" w:customStyle="1" w:styleId="70">
    <w:name w:val="标题 2 Char1"/>
    <w:link w:val="4"/>
    <w:semiHidden/>
    <w:qFormat/>
    <w:uiPriority w:val="0"/>
    <w:rPr>
      <w:rFonts w:ascii="等线 Light" w:hAnsi="等线 Light" w:eastAsia="等线 Light" w:cs="Times New Roman"/>
      <w:b/>
      <w:bCs/>
      <w:kern w:val="2"/>
      <w:sz w:val="32"/>
      <w:szCs w:val="32"/>
    </w:rPr>
  </w:style>
  <w:style w:type="table" w:customStyle="1" w:styleId="71">
    <w:name w:val="网格型1"/>
    <w:basedOn w:val="2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72">
    <w:name w:val="批注主题 Char"/>
    <w:basedOn w:val="61"/>
    <w:link w:val="24"/>
    <w:qFormat/>
    <w:uiPriority w:val="0"/>
    <w:rPr>
      <w:rFonts w:ascii="Calibri" w:hAnsi="Calibri" w:eastAsia="仿宋_GB2312" w:cs="Calibri"/>
      <w:b/>
      <w:bCs/>
      <w:kern w:val="2"/>
      <w:sz w:val="32"/>
      <w:szCs w:val="21"/>
    </w:rPr>
  </w:style>
  <w:style w:type="paragraph" w:customStyle="1" w:styleId="73">
    <w:name w:val="contentarticle"/>
    <w:basedOn w:val="1"/>
    <w:qFormat/>
    <w:uiPriority w:val="0"/>
    <w:pPr>
      <w:widowControl/>
      <w:spacing w:before="100" w:beforeAutospacing="1" w:after="100" w:afterAutospacing="1" w:line="240" w:lineRule="auto"/>
      <w:ind w:firstLine="0" w:firstLineChars="0"/>
      <w:jc w:val="left"/>
    </w:pPr>
    <w:rPr>
      <w:rFonts w:ascii="宋体" w:hAnsi="宋体" w:eastAsia="宋体" w:cs="宋体"/>
      <w:kern w:val="0"/>
      <w:sz w:val="24"/>
      <w:szCs w:val="24"/>
    </w:rPr>
  </w:style>
  <w:style w:type="character" w:customStyle="1" w:styleId="74">
    <w:name w:val="尾注文本 Char"/>
    <w:basedOn w:val="28"/>
    <w:link w:val="13"/>
    <w:qFormat/>
    <w:uiPriority w:val="0"/>
    <w:rPr>
      <w:rFonts w:eastAsia="仿宋_GB2312" w:cs="Calibri"/>
      <w:kern w:val="2"/>
      <w:sz w:val="32"/>
      <w:szCs w:val="21"/>
    </w:rPr>
  </w:style>
  <w:style w:type="table" w:customStyle="1" w:styleId="75">
    <w:name w:val="网格型2"/>
    <w:basedOn w:val="2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76">
    <w:name w:val="网格型3"/>
    <w:basedOn w:val="2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77">
    <w:name w:val="网格型4"/>
    <w:basedOn w:val="2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78">
    <w:name w:val="网格型5"/>
    <w:basedOn w:val="2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9">
    <w:name w:val="正文缩进 Char"/>
    <w:link w:val="2"/>
    <w:qFormat/>
    <w:uiPriority w:val="0"/>
    <w:rPr>
      <w:rFonts w:ascii="Times New Roman" w:hAnsi="Times New Roman" w:eastAsia="仿宋_GB2312" w:cs="仿宋_GB2312"/>
      <w:sz w:val="32"/>
      <w:szCs w:val="21"/>
    </w:rPr>
  </w:style>
  <w:style w:type="table" w:customStyle="1" w:styleId="80">
    <w:name w:val="网格型31"/>
    <w:basedOn w:val="26"/>
    <w:qFormat/>
    <w:uiPriority w:val="59"/>
    <w:pPr>
      <w:widowControl w:val="0"/>
      <w:jc w:val="both"/>
    </w:pPr>
    <w:rPr>
      <w:rFonts w:ascii="Calibri" w:hAnsi="Calibri"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81">
    <w:name w:val="网格型21"/>
    <w:basedOn w:val="2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2">
    <w:name w:val="修订1"/>
    <w:hidden/>
    <w:unhideWhenUsed/>
    <w:qFormat/>
    <w:uiPriority w:val="99"/>
    <w:rPr>
      <w:rFonts w:ascii="Times New Roman" w:hAnsi="Times New Roman" w:eastAsia="仿宋_GB2312" w:cs="Calibri"/>
      <w:kern w:val="2"/>
      <w:sz w:val="32"/>
      <w:szCs w:val="21"/>
      <w:lang w:val="en-US" w:eastAsia="zh-CN" w:bidi="ar-SA"/>
    </w:rPr>
  </w:style>
  <w:style w:type="paragraph" w:customStyle="1" w:styleId="83">
    <w:name w:val="Revision"/>
    <w:hidden/>
    <w:unhideWhenUsed/>
    <w:qFormat/>
    <w:uiPriority w:val="99"/>
    <w:rPr>
      <w:rFonts w:ascii="Times New Roman" w:hAnsi="Times New Roman" w:eastAsia="仿宋_GB2312" w:cs="Calibri"/>
      <w:kern w:val="2"/>
      <w:sz w:val="32"/>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DD2F05-603C-419C-B9B9-2B719CF079C0}">
  <ds:schemaRefs/>
</ds:datastoreItem>
</file>

<file path=docProps/app.xml><?xml version="1.0" encoding="utf-8"?>
<Properties xmlns="http://schemas.openxmlformats.org/officeDocument/2006/extended-properties" xmlns:vt="http://schemas.openxmlformats.org/officeDocument/2006/docPropsVTypes">
  <Template>Normal</Template>
  <Company>微软公司</Company>
  <Pages>35</Pages>
  <Words>3026</Words>
  <Characters>17251</Characters>
  <Lines>143</Lines>
  <Paragraphs>40</Paragraphs>
  <TotalTime>0</TotalTime>
  <ScaleCrop>false</ScaleCrop>
  <LinksUpToDate>false</LinksUpToDate>
  <CharactersWithSpaces>20237</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2021-01-16T07:18:00Z</dcterms:created>
  <dc:creator>微软用户</dc:creator>
  <cp:lastModifiedBy>YYY</cp:lastModifiedBy>
  <cp:lastPrinted>2021-09-23T01:11:00Z</cp:lastPrinted>
  <dcterms:modified xsi:type="dcterms:W3CDTF">2022-08-10T10:48:36Z</dcterms:modified>
  <dc:title>附件1：贵阳市财政支出绩效评价共性指标框架</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5928C29F18DD41DF92872A7B86290A3C</vt:lpwstr>
  </property>
</Properties>
</file>