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宋体" w:eastAsia="方正小标宋简体" w:cs="宋体"/>
          <w:bCs/>
          <w:sz w:val="44"/>
          <w:szCs w:val="44"/>
          <w:highlight w:val="none"/>
          <w:lang w:val="en-US" w:eastAsia="zh-CN"/>
        </w:rPr>
      </w:pPr>
    </w:p>
    <w:p>
      <w:pPr>
        <w:jc w:val="center"/>
        <w:rPr>
          <w:rFonts w:hint="eastAsia" w:ascii="方正小标宋简体" w:hAnsi="宋体" w:eastAsia="方正小标宋简体" w:cs="宋体"/>
          <w:bCs/>
          <w:sz w:val="44"/>
          <w:szCs w:val="44"/>
          <w:highlight w:val="none"/>
          <w:lang w:val="en-US" w:eastAsia="zh-CN"/>
        </w:rPr>
      </w:pPr>
    </w:p>
    <w:p>
      <w:pPr>
        <w:jc w:val="center"/>
        <w:rPr>
          <w:rFonts w:hint="eastAsia" w:ascii="方正小标宋简体" w:hAnsi="黑体" w:eastAsia="方正小标宋简体"/>
          <w:w w:val="98"/>
          <w:sz w:val="44"/>
          <w:szCs w:val="44"/>
          <w:lang w:val="en-US" w:eastAsia="zh-CN"/>
        </w:rPr>
      </w:pPr>
      <w:r>
        <w:rPr>
          <w:rFonts w:hint="eastAsia" w:ascii="方正小标宋简体" w:hAnsi="黑体" w:eastAsia="方正小标宋简体"/>
          <w:w w:val="98"/>
          <w:sz w:val="44"/>
          <w:szCs w:val="44"/>
        </w:rPr>
        <w:t>贵阳市</w:t>
      </w:r>
      <w:r>
        <w:rPr>
          <w:rFonts w:hint="eastAsia" w:ascii="方正小标宋简体" w:hAnsi="黑体" w:eastAsia="方正小标宋简体"/>
          <w:w w:val="98"/>
          <w:sz w:val="44"/>
          <w:szCs w:val="44"/>
          <w:lang w:val="en-US" w:eastAsia="zh-CN"/>
        </w:rPr>
        <w:t>云岩</w:t>
      </w:r>
      <w:r>
        <w:rPr>
          <w:rFonts w:hint="eastAsia" w:ascii="方正小标宋简体" w:hAnsi="黑体" w:eastAsia="方正小标宋简体"/>
          <w:w w:val="98"/>
          <w:sz w:val="44"/>
          <w:szCs w:val="44"/>
        </w:rPr>
        <w:t>区</w:t>
      </w:r>
      <w:r>
        <w:rPr>
          <w:rFonts w:hint="eastAsia" w:ascii="方正小标宋简体" w:hAnsi="黑体" w:eastAsia="方正小标宋简体"/>
          <w:w w:val="98"/>
          <w:sz w:val="44"/>
          <w:szCs w:val="44"/>
          <w:lang w:val="en-US" w:eastAsia="zh-CN"/>
        </w:rPr>
        <w:t>工业和信息化局</w:t>
      </w:r>
    </w:p>
    <w:p>
      <w:pPr>
        <w:jc w:val="center"/>
        <w:rPr>
          <w:rFonts w:hint="default" w:ascii="Times New Roman" w:hAnsi="黑体" w:eastAsia="方正小标宋简体" w:cs="宋体"/>
          <w:kern w:val="0"/>
          <w:sz w:val="24"/>
          <w:szCs w:val="24"/>
          <w:highlight w:val="none"/>
          <w:lang w:val="en-US" w:eastAsia="zh-CN"/>
        </w:rPr>
      </w:pPr>
      <w:r>
        <w:rPr>
          <w:rFonts w:hint="eastAsia" w:ascii="方正小标宋简体" w:hAnsi="黑体" w:eastAsia="方正小标宋简体"/>
          <w:w w:val="98"/>
          <w:sz w:val="44"/>
          <w:szCs w:val="44"/>
        </w:rPr>
        <w:t>20</w:t>
      </w:r>
      <w:r>
        <w:rPr>
          <w:rFonts w:hint="eastAsia" w:ascii="方正小标宋简体" w:hAnsi="黑体" w:eastAsia="方正小标宋简体"/>
          <w:w w:val="98"/>
          <w:sz w:val="44"/>
          <w:szCs w:val="44"/>
          <w:lang w:val="en-US" w:eastAsia="zh-CN"/>
        </w:rPr>
        <w:t>21</w:t>
      </w:r>
      <w:r>
        <w:rPr>
          <w:rFonts w:hint="eastAsia" w:ascii="方正小标宋简体" w:hAnsi="黑体" w:eastAsia="方正小标宋简体"/>
          <w:w w:val="98"/>
          <w:sz w:val="44"/>
          <w:szCs w:val="44"/>
        </w:rPr>
        <w:t>年</w:t>
      </w:r>
      <w:r>
        <w:rPr>
          <w:rFonts w:hint="eastAsia" w:ascii="方正小标宋简体" w:hAnsi="黑体" w:eastAsia="方正小标宋简体"/>
          <w:w w:val="98"/>
          <w:sz w:val="44"/>
          <w:szCs w:val="44"/>
          <w:lang w:val="en-US" w:eastAsia="zh-CN"/>
        </w:rPr>
        <w:t>部门整体支出</w:t>
      </w: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jc w:val="center"/>
        <w:rPr>
          <w:rFonts w:ascii="方正小标宋简体" w:hAnsi="黑体" w:eastAsia="方正小标宋简体" w:cs="宋体"/>
          <w:kern w:val="0"/>
          <w:sz w:val="72"/>
          <w:szCs w:val="72"/>
          <w:highlight w:val="none"/>
        </w:rPr>
      </w:pPr>
      <w:r>
        <w:rPr>
          <w:rFonts w:hint="eastAsia" w:ascii="方正小标宋简体" w:hAnsi="黑体" w:eastAsia="方正小标宋简体" w:cs="宋体"/>
          <w:kern w:val="0"/>
          <w:sz w:val="72"/>
          <w:szCs w:val="72"/>
          <w:highlight w:val="none"/>
          <w:lang w:eastAsia="zh-CN"/>
        </w:rPr>
        <w:t>绩效评价</w:t>
      </w:r>
      <w:r>
        <w:rPr>
          <w:rFonts w:hint="eastAsia" w:ascii="方正小标宋简体" w:hAnsi="黑体" w:eastAsia="方正小标宋简体" w:cs="宋体"/>
          <w:kern w:val="0"/>
          <w:sz w:val="72"/>
          <w:szCs w:val="72"/>
          <w:highlight w:val="none"/>
        </w:rPr>
        <w:t>报告</w:t>
      </w: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pStyle w:val="25"/>
        <w:rPr>
          <w:rFonts w:ascii="Times New Roman" w:hAnsi="黑体" w:eastAsia="黑体" w:cs="宋体"/>
          <w:kern w:val="0"/>
          <w:sz w:val="24"/>
          <w:szCs w:val="24"/>
          <w:highlight w:val="none"/>
        </w:rPr>
      </w:pPr>
    </w:p>
    <w:p>
      <w:pPr>
        <w:pStyle w:val="25"/>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rPr>
          <w:rFonts w:ascii="Times New Roman" w:hAnsi="黑体" w:eastAsia="黑体" w:cs="宋体"/>
          <w:kern w:val="0"/>
          <w:sz w:val="24"/>
          <w:szCs w:val="24"/>
          <w:highlight w:val="none"/>
        </w:rPr>
      </w:pPr>
    </w:p>
    <w:p>
      <w:pPr>
        <w:spacing w:line="360" w:lineRule="auto"/>
        <w:ind w:firstLine="2240" w:firstLineChars="800"/>
        <w:jc w:val="left"/>
        <w:rPr>
          <w:rFonts w:hint="eastAsia" w:ascii="黑体" w:hAnsi="黑体" w:eastAsia="黑体" w:cs="宋体"/>
          <w:kern w:val="0"/>
          <w:sz w:val="28"/>
          <w:szCs w:val="28"/>
          <w:lang w:val="en-US" w:eastAsia="zh-CN"/>
        </w:rPr>
      </w:pPr>
      <w:r>
        <w:rPr>
          <w:rFonts w:hint="eastAsia" w:ascii="黑体" w:hAnsi="黑体" w:eastAsia="黑体" w:cs="宋体"/>
          <w:kern w:val="0"/>
          <w:sz w:val="28"/>
          <w:szCs w:val="28"/>
        </w:rPr>
        <w:t>报告编号：贵州黔元绩效字﹝202</w:t>
      </w:r>
      <w:r>
        <w:rPr>
          <w:rFonts w:hint="eastAsia" w:ascii="黑体" w:hAnsi="黑体" w:eastAsia="黑体" w:cs="宋体"/>
          <w:kern w:val="0"/>
          <w:sz w:val="28"/>
          <w:szCs w:val="28"/>
          <w:lang w:val="en-US" w:eastAsia="zh-CN"/>
        </w:rPr>
        <w:t>2</w:t>
      </w:r>
      <w:r>
        <w:rPr>
          <w:rFonts w:hint="eastAsia" w:ascii="黑体" w:hAnsi="黑体" w:eastAsia="黑体" w:cs="宋体"/>
          <w:kern w:val="0"/>
          <w:sz w:val="28"/>
          <w:szCs w:val="28"/>
        </w:rPr>
        <w:t>﹞第</w:t>
      </w:r>
      <w:r>
        <w:rPr>
          <w:rFonts w:hint="eastAsia" w:ascii="黑体" w:hAnsi="黑体" w:eastAsia="黑体" w:cs="宋体"/>
          <w:kern w:val="0"/>
          <w:sz w:val="28"/>
          <w:szCs w:val="28"/>
          <w:lang w:val="en-US" w:eastAsia="zh-CN"/>
        </w:rPr>
        <w:t>27</w:t>
      </w:r>
      <w:r>
        <w:rPr>
          <w:rFonts w:hint="eastAsia" w:ascii="黑体" w:hAnsi="黑体" w:eastAsia="黑体" w:cs="宋体"/>
          <w:kern w:val="0"/>
          <w:sz w:val="28"/>
          <w:szCs w:val="28"/>
        </w:rPr>
        <w:t>号</w:t>
      </w:r>
    </w:p>
    <w:p>
      <w:pPr>
        <w:spacing w:line="360" w:lineRule="auto"/>
        <w:ind w:firstLine="2240" w:firstLineChars="800"/>
        <w:jc w:val="left"/>
        <w:rPr>
          <w:rFonts w:hint="eastAsia" w:ascii="黑体" w:hAnsi="黑体" w:eastAsia="黑体" w:cs="宋体"/>
          <w:kern w:val="0"/>
          <w:sz w:val="28"/>
          <w:szCs w:val="28"/>
        </w:rPr>
      </w:pPr>
      <w:r>
        <w:rPr>
          <w:rFonts w:hint="eastAsia" w:ascii="黑体" w:hAnsi="黑体" w:eastAsia="黑体" w:cs="宋体"/>
          <w:kern w:val="0"/>
          <w:sz w:val="28"/>
          <w:szCs w:val="28"/>
        </w:rPr>
        <w:t>委托单位：贵阳市</w:t>
      </w:r>
      <w:r>
        <w:rPr>
          <w:rFonts w:hint="eastAsia" w:ascii="黑体" w:hAnsi="黑体" w:eastAsia="黑体" w:cs="宋体"/>
          <w:kern w:val="0"/>
          <w:sz w:val="28"/>
          <w:szCs w:val="28"/>
          <w:lang w:val="en-US" w:eastAsia="zh-CN"/>
        </w:rPr>
        <w:t>云岩</w:t>
      </w:r>
      <w:r>
        <w:rPr>
          <w:rFonts w:hint="eastAsia" w:ascii="黑体" w:hAnsi="黑体" w:eastAsia="黑体" w:cs="宋体"/>
          <w:kern w:val="0"/>
          <w:sz w:val="28"/>
          <w:szCs w:val="28"/>
        </w:rPr>
        <w:t>区财政</w:t>
      </w:r>
      <w:r>
        <w:rPr>
          <w:rFonts w:hint="eastAsia" w:ascii="黑体" w:hAnsi="黑体" w:eastAsia="黑体" w:cs="宋体"/>
          <w:kern w:val="0"/>
          <w:sz w:val="28"/>
          <w:szCs w:val="28"/>
          <w:lang w:val="en-US" w:eastAsia="zh-CN"/>
        </w:rPr>
        <w:t>局</w:t>
      </w:r>
    </w:p>
    <w:p>
      <w:pPr>
        <w:spacing w:line="360" w:lineRule="auto"/>
        <w:ind w:firstLine="2240" w:firstLineChars="800"/>
        <w:jc w:val="left"/>
        <w:rPr>
          <w:rFonts w:hint="eastAsia" w:ascii="黑体" w:hAnsi="黑体" w:eastAsia="黑体" w:cs="宋体"/>
          <w:kern w:val="0"/>
          <w:sz w:val="28"/>
          <w:szCs w:val="28"/>
        </w:rPr>
      </w:pPr>
      <w:r>
        <w:rPr>
          <w:rFonts w:hint="eastAsia" w:ascii="黑体" w:hAnsi="黑体" w:eastAsia="黑体" w:cs="宋体"/>
          <w:kern w:val="0"/>
          <w:sz w:val="28"/>
          <w:szCs w:val="28"/>
        </w:rPr>
        <w:t>评价机构：贵州黔元会计师事务所有限公司</w:t>
      </w:r>
    </w:p>
    <w:p>
      <w:pPr>
        <w:spacing w:line="360" w:lineRule="auto"/>
        <w:ind w:firstLine="2240" w:firstLineChars="800"/>
        <w:jc w:val="left"/>
        <w:rPr>
          <w:rFonts w:hint="eastAsia" w:ascii="黑体" w:hAnsi="黑体" w:eastAsia="黑体" w:cs="宋体"/>
          <w:kern w:val="0"/>
          <w:sz w:val="28"/>
          <w:szCs w:val="28"/>
        </w:rPr>
      </w:pPr>
      <w:r>
        <w:rPr>
          <w:rFonts w:hint="eastAsia" w:ascii="黑体" w:hAnsi="黑体" w:eastAsia="黑体" w:cs="宋体"/>
          <w:kern w:val="0"/>
          <w:sz w:val="28"/>
          <w:szCs w:val="28"/>
        </w:rPr>
        <w:t>报告时间：202</w:t>
      </w:r>
      <w:r>
        <w:rPr>
          <w:rFonts w:hint="eastAsia" w:ascii="黑体" w:hAnsi="黑体" w:eastAsia="黑体" w:cs="宋体"/>
          <w:kern w:val="0"/>
          <w:sz w:val="28"/>
          <w:szCs w:val="28"/>
          <w:lang w:val="en-US" w:eastAsia="zh-CN"/>
        </w:rPr>
        <w:t>2</w:t>
      </w:r>
      <w:r>
        <w:rPr>
          <w:rFonts w:hint="eastAsia" w:ascii="黑体" w:hAnsi="黑体" w:eastAsia="黑体" w:cs="宋体"/>
          <w:kern w:val="0"/>
          <w:sz w:val="28"/>
          <w:szCs w:val="28"/>
        </w:rPr>
        <w:t>年</w:t>
      </w:r>
      <w:r>
        <w:rPr>
          <w:rFonts w:hint="eastAsia" w:ascii="黑体" w:hAnsi="黑体" w:eastAsia="黑体" w:cs="宋体"/>
          <w:kern w:val="0"/>
          <w:sz w:val="28"/>
          <w:szCs w:val="28"/>
          <w:lang w:val="en-US" w:eastAsia="zh-CN"/>
        </w:rPr>
        <w:t>12</w:t>
      </w:r>
      <w:r>
        <w:rPr>
          <w:rFonts w:hint="eastAsia" w:ascii="黑体" w:hAnsi="黑体" w:eastAsia="黑体" w:cs="宋体"/>
          <w:kern w:val="0"/>
          <w:sz w:val="28"/>
          <w:szCs w:val="28"/>
        </w:rPr>
        <w:t>月</w:t>
      </w:r>
      <w:r>
        <w:rPr>
          <w:rFonts w:hint="eastAsia" w:ascii="黑体" w:hAnsi="黑体" w:eastAsia="黑体" w:cs="宋体"/>
          <w:kern w:val="0"/>
          <w:sz w:val="28"/>
          <w:szCs w:val="28"/>
          <w:lang w:val="en-US" w:eastAsia="zh-CN"/>
        </w:rPr>
        <w:t>30</w:t>
      </w:r>
      <w:r>
        <w:rPr>
          <w:rFonts w:hint="eastAsia" w:ascii="黑体" w:hAnsi="黑体" w:eastAsia="黑体" w:cs="宋体"/>
          <w:kern w:val="0"/>
          <w:sz w:val="28"/>
          <w:szCs w:val="28"/>
        </w:rPr>
        <w:t>日</w:t>
      </w:r>
    </w:p>
    <w:p>
      <w:pPr>
        <w:spacing w:line="360" w:lineRule="auto"/>
        <w:ind w:firstLine="1920" w:firstLineChars="800"/>
        <w:jc w:val="left"/>
        <w:rPr>
          <w:rFonts w:ascii="黑体" w:hAnsi="黑体" w:eastAsia="黑体" w:cs="宋体"/>
          <w:kern w:val="0"/>
          <w:sz w:val="24"/>
          <w:szCs w:val="24"/>
          <w:highlight w:val="none"/>
        </w:rPr>
      </w:pPr>
    </w:p>
    <w:p>
      <w:pPr>
        <w:rPr>
          <w:rFonts w:hint="eastAsia" w:ascii="黑体" w:hAnsi="宋体" w:eastAsia="黑体" w:cs="黑体"/>
          <w:color w:val="000000"/>
          <w:kern w:val="0"/>
          <w:sz w:val="24"/>
          <w:highlight w:val="none"/>
        </w:rPr>
        <w:sectPr>
          <w:pgSz w:w="11906" w:h="16838"/>
          <w:pgMar w:top="1985" w:right="1474" w:bottom="1871" w:left="1474" w:header="851" w:footer="1474" w:gutter="0"/>
          <w:pgBorders>
            <w:top w:val="none" w:sz="0" w:space="0"/>
            <w:left w:val="none" w:sz="0" w:space="0"/>
            <w:bottom w:val="none" w:sz="0" w:space="0"/>
            <w:right w:val="none" w:sz="0" w:space="0"/>
          </w:pgBorders>
          <w:pgNumType w:fmt="decimal" w:start="1"/>
          <w:cols w:space="425" w:num="1"/>
          <w:titlePg/>
          <w:docGrid w:type="lines" w:linePitch="312" w:charSpace="0"/>
        </w:sectPr>
      </w:pPr>
    </w:p>
    <w:tbl>
      <w:tblPr>
        <w:tblStyle w:val="18"/>
        <w:tblpPr w:leftFromText="180" w:rightFromText="180" w:vertAnchor="text" w:horzAnchor="margin" w:tblpY="-77"/>
        <w:tblOverlap w:val="never"/>
        <w:tblW w:w="8983" w:type="dxa"/>
        <w:tblInd w:w="0" w:type="dxa"/>
        <w:tblLayout w:type="fixed"/>
        <w:tblCellMar>
          <w:top w:w="17" w:type="dxa"/>
          <w:left w:w="17" w:type="dxa"/>
          <w:bottom w:w="17" w:type="dxa"/>
          <w:right w:w="17" w:type="dxa"/>
        </w:tblCellMar>
      </w:tblPr>
      <w:tblGrid>
        <w:gridCol w:w="1222"/>
        <w:gridCol w:w="885"/>
        <w:gridCol w:w="639"/>
        <w:gridCol w:w="492"/>
        <w:gridCol w:w="848"/>
        <w:gridCol w:w="1254"/>
        <w:gridCol w:w="574"/>
        <w:gridCol w:w="1541"/>
        <w:gridCol w:w="1528"/>
      </w:tblGrid>
      <w:tr>
        <w:tblPrEx>
          <w:tblCellMar>
            <w:top w:w="17" w:type="dxa"/>
            <w:left w:w="17" w:type="dxa"/>
            <w:bottom w:w="17" w:type="dxa"/>
            <w:right w:w="17" w:type="dxa"/>
          </w:tblCellMar>
        </w:tblPrEx>
        <w:trPr>
          <w:trHeight w:val="90" w:hRule="atLeast"/>
        </w:trPr>
        <w:tc>
          <w:tcPr>
            <w:tcW w:w="8983" w:type="dxa"/>
            <w:gridSpan w:val="9"/>
            <w:noWrap w:val="0"/>
            <w:vAlign w:val="center"/>
          </w:tcPr>
          <w:p>
            <w:pPr>
              <w:rPr>
                <w:rFonts w:ascii="黑体" w:hAnsi="宋体" w:eastAsia="黑体" w:cs="黑体"/>
                <w:color w:val="000000"/>
                <w:sz w:val="24"/>
                <w:highlight w:val="none"/>
              </w:rPr>
            </w:pPr>
            <w:r>
              <w:rPr>
                <w:rFonts w:hint="eastAsia" w:ascii="黑体" w:hAnsi="宋体" w:eastAsia="黑体" w:cs="黑体"/>
                <w:color w:val="000000"/>
                <w:kern w:val="0"/>
                <w:sz w:val="24"/>
                <w:highlight w:val="none"/>
              </w:rPr>
              <w:t>评价分值：</w:t>
            </w:r>
            <w:r>
              <w:rPr>
                <w:rFonts w:hint="eastAsia" w:ascii="黑体" w:hAnsi="宋体" w:eastAsia="黑体" w:cs="黑体"/>
                <w:color w:val="000000"/>
                <w:kern w:val="0"/>
                <w:sz w:val="24"/>
                <w:highlight w:val="none"/>
                <w:lang w:val="en-US" w:eastAsia="zh-CN"/>
              </w:rPr>
              <w:t>88.5分</w:t>
            </w:r>
            <w:r>
              <w:rPr>
                <w:rStyle w:val="38"/>
                <w:rFonts w:hint="eastAsia" w:hAnsi="宋体"/>
                <w:highlight w:val="none"/>
              </w:rPr>
              <w:t xml:space="preserve">      </w:t>
            </w:r>
            <w:r>
              <w:rPr>
                <w:rFonts w:hint="eastAsia" w:ascii="黑体" w:hAnsi="宋体" w:eastAsia="黑体" w:cs="黑体"/>
                <w:color w:val="000000"/>
                <w:kern w:val="0"/>
                <w:sz w:val="24"/>
                <w:highlight w:val="none"/>
              </w:rPr>
              <w:t>评价等级：</w:t>
            </w:r>
            <w:r>
              <w:rPr>
                <w:rFonts w:hint="eastAsia" w:ascii="黑体" w:hAnsi="宋体" w:eastAsia="黑体" w:cs="黑体"/>
                <w:color w:val="000000"/>
                <w:kern w:val="0"/>
                <w:sz w:val="24"/>
                <w:highlight w:val="none"/>
                <w:lang w:eastAsia="zh-CN"/>
              </w:rPr>
              <w:t>良</w:t>
            </w:r>
            <w:r>
              <w:rPr>
                <w:rFonts w:ascii="黑体" w:hAnsi="宋体" w:eastAsia="黑体" w:cs="黑体"/>
                <w:color w:val="000000"/>
                <w:sz w:val="24"/>
                <w:highlight w:val="none"/>
              </w:rPr>
              <w:t xml:space="preserve"> </w:t>
            </w:r>
          </w:p>
        </w:tc>
      </w:tr>
      <w:tr>
        <w:tblPrEx>
          <w:tblCellMar>
            <w:top w:w="17" w:type="dxa"/>
            <w:left w:w="17" w:type="dxa"/>
            <w:bottom w:w="17" w:type="dxa"/>
            <w:right w:w="17" w:type="dxa"/>
          </w:tblCellMar>
        </w:tblPrEx>
        <w:trPr>
          <w:trHeight w:val="299" w:hRule="atLeast"/>
        </w:trPr>
        <w:tc>
          <w:tcPr>
            <w:tcW w:w="8983" w:type="dxa"/>
            <w:gridSpan w:val="9"/>
            <w:noWrap w:val="0"/>
            <w:vAlign w:val="center"/>
          </w:tcPr>
          <w:p>
            <w:pPr>
              <w:widowControl/>
              <w:jc w:val="center"/>
              <w:textAlignment w:val="center"/>
              <w:rPr>
                <w:rFonts w:ascii="黑体" w:hAnsi="宋体" w:eastAsia="黑体" w:cs="黑体"/>
                <w:b/>
                <w:color w:val="000000"/>
                <w:sz w:val="36"/>
                <w:szCs w:val="36"/>
                <w:highlight w:val="none"/>
              </w:rPr>
            </w:pPr>
            <w:r>
              <w:rPr>
                <w:rFonts w:hint="eastAsia" w:ascii="黑体" w:hAnsi="宋体" w:eastAsia="黑体" w:cs="黑体"/>
                <w:b/>
                <w:color w:val="000000"/>
                <w:kern w:val="0"/>
                <w:sz w:val="36"/>
                <w:szCs w:val="36"/>
                <w:highlight w:val="none"/>
              </w:rPr>
              <w:t>概   要</w:t>
            </w:r>
          </w:p>
        </w:tc>
      </w:tr>
      <w:tr>
        <w:tblPrEx>
          <w:tblCellMar>
            <w:top w:w="17" w:type="dxa"/>
            <w:left w:w="17" w:type="dxa"/>
            <w:bottom w:w="17" w:type="dxa"/>
            <w:right w:w="17" w:type="dxa"/>
          </w:tblCellMar>
        </w:tblPrEx>
        <w:trPr>
          <w:trHeight w:val="330" w:hRule="atLeast"/>
        </w:trPr>
        <w:tc>
          <w:tcPr>
            <w:tcW w:w="8983" w:type="dxa"/>
            <w:gridSpan w:val="9"/>
            <w:noWrap w:val="0"/>
            <w:vAlign w:val="center"/>
          </w:tcPr>
          <w:p>
            <w:pPr>
              <w:widowControl/>
              <w:jc w:val="left"/>
              <w:textAlignment w:val="center"/>
              <w:rPr>
                <w:rFonts w:ascii="黑体" w:hAnsi="黑体" w:eastAsia="黑体" w:cs="仿宋_GB2312"/>
                <w:color w:val="000000"/>
                <w:sz w:val="22"/>
                <w:highlight w:val="none"/>
              </w:rPr>
            </w:pPr>
            <w:r>
              <w:rPr>
                <w:rFonts w:hint="eastAsia" w:ascii="黑体" w:hAnsi="黑体" w:eastAsia="黑体" w:cs="仿宋_GB2312"/>
                <w:color w:val="000000"/>
                <w:kern w:val="0"/>
                <w:sz w:val="22"/>
                <w:highlight w:val="none"/>
              </w:rPr>
              <w:t>评价机构全称（盖章）：</w:t>
            </w:r>
            <w:r>
              <w:rPr>
                <w:rFonts w:hint="eastAsia" w:ascii="黑体" w:hAnsi="黑体" w:eastAsia="黑体" w:cs="仿宋_GB2312"/>
                <w:color w:val="000000"/>
                <w:kern w:val="0"/>
                <w:sz w:val="22"/>
                <w:highlight w:val="none"/>
                <w:lang w:val="en-US" w:eastAsia="zh-CN"/>
              </w:rPr>
              <w:t>贵州黔元会计师事务所有限公司</w:t>
            </w:r>
            <w:r>
              <w:rPr>
                <w:rFonts w:hint="eastAsia" w:ascii="黑体" w:hAnsi="黑体" w:eastAsia="黑体" w:cs="仿宋_GB2312"/>
                <w:color w:val="000000"/>
                <w:kern w:val="0"/>
                <w:sz w:val="22"/>
                <w:highlight w:val="none"/>
              </w:rPr>
              <w:t xml:space="preserve">                </w:t>
            </w:r>
            <w:r>
              <w:rPr>
                <w:rFonts w:hint="eastAsia" w:ascii="黑体" w:hAnsi="黑体" w:eastAsia="黑体" w:cs="仿宋_GB2312"/>
                <w:color w:val="000000"/>
                <w:kern w:val="0"/>
                <w:sz w:val="22"/>
                <w:highlight w:val="none"/>
                <w:lang w:val="en-US" w:eastAsia="zh-CN"/>
              </w:rPr>
              <w:t xml:space="preserve"> </w:t>
            </w:r>
            <w:r>
              <w:rPr>
                <w:rFonts w:hint="eastAsia" w:ascii="黑体" w:hAnsi="黑体" w:eastAsia="黑体" w:cs="仿宋_GB2312"/>
                <w:color w:val="000000"/>
                <w:kern w:val="0"/>
                <w:sz w:val="22"/>
                <w:highlight w:val="none"/>
              </w:rPr>
              <w:t>单位：万元、个</w:t>
            </w:r>
          </w:p>
        </w:tc>
      </w:tr>
      <w:tr>
        <w:tblPrEx>
          <w:tblCellMar>
            <w:top w:w="17" w:type="dxa"/>
            <w:left w:w="17" w:type="dxa"/>
            <w:bottom w:w="17" w:type="dxa"/>
            <w:right w:w="17" w:type="dxa"/>
          </w:tblCellMar>
        </w:tblPrEx>
        <w:trPr>
          <w:trHeight w:val="482" w:hRule="atLeast"/>
        </w:trPr>
        <w:tc>
          <w:tcPr>
            <w:tcW w:w="122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项目名称</w:t>
            </w:r>
          </w:p>
        </w:tc>
        <w:tc>
          <w:tcPr>
            <w:tcW w:w="4692"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云岩区工业和信息化局2021年部门整体绩效评价项目</w:t>
            </w:r>
          </w:p>
        </w:tc>
        <w:tc>
          <w:tcPr>
            <w:tcW w:w="154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评价年度</w:t>
            </w:r>
          </w:p>
        </w:tc>
        <w:tc>
          <w:tcPr>
            <w:tcW w:w="152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2021年</w:t>
            </w:r>
          </w:p>
        </w:tc>
      </w:tr>
      <w:tr>
        <w:tblPrEx>
          <w:tblCellMar>
            <w:top w:w="17" w:type="dxa"/>
            <w:left w:w="17" w:type="dxa"/>
            <w:bottom w:w="17" w:type="dxa"/>
            <w:right w:w="17" w:type="dxa"/>
          </w:tblCellMar>
        </w:tblPrEx>
        <w:trPr>
          <w:trHeight w:val="482" w:hRule="atLeast"/>
        </w:trPr>
        <w:tc>
          <w:tcPr>
            <w:tcW w:w="122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主管部门</w:t>
            </w:r>
          </w:p>
        </w:tc>
        <w:tc>
          <w:tcPr>
            <w:tcW w:w="2864"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云岩区工业和信息化局</w:t>
            </w:r>
          </w:p>
        </w:tc>
        <w:tc>
          <w:tcPr>
            <w:tcW w:w="182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联系人及联系方式</w:t>
            </w:r>
          </w:p>
        </w:tc>
        <w:tc>
          <w:tcPr>
            <w:tcW w:w="3069"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default" w:ascii="仿宋_GB2312" w:hAnsi="宋体" w:eastAsia="仿宋_GB2312" w:cs="仿宋_GB2312"/>
                <w:color w:val="000000"/>
                <w:sz w:val="20"/>
                <w:szCs w:val="20"/>
                <w:highlight w:val="none"/>
                <w:lang w:val="en-US"/>
              </w:rPr>
            </w:pPr>
            <w:r>
              <w:rPr>
                <w:rFonts w:hint="eastAsia" w:ascii="仿宋_GB2312" w:hAnsi="仿宋_GB2312" w:eastAsia="仿宋_GB2312" w:cs="仿宋_GB2312"/>
                <w:sz w:val="20"/>
                <w:szCs w:val="20"/>
                <w:highlight w:val="none"/>
                <w:lang w:val="en-US" w:eastAsia="zh-CN"/>
              </w:rPr>
              <w:t>田菲</w:t>
            </w:r>
            <w:r>
              <w:rPr>
                <w:rFonts w:hint="eastAsia" w:ascii="仿宋_GB2312" w:hAnsi="仿宋_GB2312" w:eastAsia="仿宋_GB2312" w:cs="仿宋_GB2312"/>
                <w:sz w:val="20"/>
                <w:szCs w:val="20"/>
                <w:highlight w:val="none"/>
              </w:rPr>
              <w:t>：</w:t>
            </w:r>
            <w:r>
              <w:rPr>
                <w:rFonts w:hint="eastAsia" w:ascii="仿宋_GB2312" w:hAnsi="仿宋_GB2312" w:eastAsia="仿宋_GB2312" w:cs="仿宋_GB2312"/>
                <w:sz w:val="20"/>
                <w:szCs w:val="20"/>
                <w:highlight w:val="none"/>
                <w:lang w:val="en-US" w:eastAsia="zh-CN"/>
              </w:rPr>
              <w:t>13638514716</w:t>
            </w:r>
          </w:p>
        </w:tc>
      </w:tr>
      <w:tr>
        <w:tblPrEx>
          <w:tblCellMar>
            <w:top w:w="17" w:type="dxa"/>
            <w:left w:w="17" w:type="dxa"/>
            <w:bottom w:w="17" w:type="dxa"/>
            <w:right w:w="17" w:type="dxa"/>
          </w:tblCellMar>
        </w:tblPrEx>
        <w:trPr>
          <w:trHeight w:val="482" w:hRule="atLeast"/>
        </w:trPr>
        <w:tc>
          <w:tcPr>
            <w:tcW w:w="122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自评方式</w:t>
            </w:r>
          </w:p>
        </w:tc>
        <w:tc>
          <w:tcPr>
            <w:tcW w:w="1524"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自评</w:t>
            </w:r>
          </w:p>
        </w:tc>
        <w:tc>
          <w:tcPr>
            <w:tcW w:w="134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自评分值</w:t>
            </w:r>
          </w:p>
        </w:tc>
        <w:tc>
          <w:tcPr>
            <w:tcW w:w="182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99.8</w:t>
            </w:r>
          </w:p>
        </w:tc>
        <w:tc>
          <w:tcPr>
            <w:tcW w:w="154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自评等级</w:t>
            </w:r>
          </w:p>
        </w:tc>
        <w:tc>
          <w:tcPr>
            <w:tcW w:w="152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优</w:t>
            </w:r>
          </w:p>
        </w:tc>
      </w:tr>
      <w:tr>
        <w:tblPrEx>
          <w:tblCellMar>
            <w:top w:w="17" w:type="dxa"/>
            <w:left w:w="17" w:type="dxa"/>
            <w:bottom w:w="17" w:type="dxa"/>
            <w:right w:w="17" w:type="dxa"/>
          </w:tblCellMar>
        </w:tblPrEx>
        <w:trPr>
          <w:trHeight w:val="482" w:hRule="atLeast"/>
        </w:trPr>
        <w:tc>
          <w:tcPr>
            <w:tcW w:w="122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黑体" w:hAnsi="宋体" w:eastAsia="黑体" w:cs="黑体"/>
                <w:color w:val="000000"/>
                <w:sz w:val="20"/>
                <w:szCs w:val="20"/>
                <w:highlight w:val="none"/>
                <w:lang w:val="en-US" w:eastAsia="zh-CN"/>
              </w:rPr>
            </w:pPr>
            <w:r>
              <w:rPr>
                <w:rFonts w:hint="eastAsia" w:ascii="黑体" w:hAnsi="宋体" w:eastAsia="黑体" w:cs="黑体"/>
                <w:color w:val="000000"/>
                <w:kern w:val="0"/>
                <w:sz w:val="20"/>
                <w:szCs w:val="20"/>
                <w:highlight w:val="none"/>
                <w:lang w:eastAsia="zh-CN"/>
              </w:rPr>
              <w:t>部门总收</w:t>
            </w:r>
            <w:r>
              <w:rPr>
                <w:rFonts w:hint="eastAsia" w:ascii="黑体" w:hAnsi="宋体" w:eastAsia="黑体" w:cs="黑体"/>
                <w:color w:val="000000"/>
                <w:kern w:val="0"/>
                <w:sz w:val="20"/>
                <w:szCs w:val="20"/>
                <w:highlight w:val="none"/>
              </w:rPr>
              <w:t>入</w:t>
            </w:r>
          </w:p>
        </w:tc>
        <w:tc>
          <w:tcPr>
            <w:tcW w:w="1524"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10,683.24</w:t>
            </w:r>
          </w:p>
        </w:tc>
        <w:tc>
          <w:tcPr>
            <w:tcW w:w="134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sz w:val="20"/>
                <w:szCs w:val="20"/>
                <w:highlight w:val="none"/>
                <w:lang w:eastAsia="zh-CN"/>
              </w:rPr>
            </w:pPr>
            <w:r>
              <w:rPr>
                <w:rFonts w:hint="eastAsia" w:ascii="黑体" w:hAnsi="宋体" w:eastAsia="黑体" w:cs="黑体"/>
                <w:color w:val="000000"/>
                <w:sz w:val="20"/>
                <w:szCs w:val="20"/>
                <w:highlight w:val="none"/>
                <w:lang w:eastAsia="zh-CN"/>
              </w:rPr>
              <w:t>财政拨款收入</w:t>
            </w:r>
          </w:p>
        </w:tc>
        <w:tc>
          <w:tcPr>
            <w:tcW w:w="182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10,683.24</w:t>
            </w:r>
          </w:p>
        </w:tc>
        <w:tc>
          <w:tcPr>
            <w:tcW w:w="154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sz w:val="20"/>
                <w:szCs w:val="20"/>
                <w:highlight w:val="none"/>
                <w:lang w:eastAsia="zh-CN"/>
              </w:rPr>
              <w:t>其他收入</w:t>
            </w:r>
          </w:p>
        </w:tc>
        <w:tc>
          <w:tcPr>
            <w:tcW w:w="152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r>
      <w:tr>
        <w:tblPrEx>
          <w:tblCellMar>
            <w:top w:w="17" w:type="dxa"/>
            <w:left w:w="17" w:type="dxa"/>
            <w:bottom w:w="17" w:type="dxa"/>
            <w:right w:w="17" w:type="dxa"/>
          </w:tblCellMar>
        </w:tblPrEx>
        <w:trPr>
          <w:trHeight w:val="482" w:hRule="atLeast"/>
        </w:trPr>
        <w:tc>
          <w:tcPr>
            <w:tcW w:w="122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heme="minorHAnsi" w:hAnsiTheme="minorHAnsi" w:eastAsiaTheme="minorEastAsia" w:cstheme="minorBidi"/>
                <w:kern w:val="2"/>
                <w:sz w:val="21"/>
                <w:szCs w:val="22"/>
                <w:lang w:val="en-US" w:eastAsia="zh-CN"/>
              </w:rPr>
            </w:pPr>
            <w:r>
              <w:rPr>
                <w:rFonts w:hint="eastAsia" w:ascii="黑体" w:hAnsi="宋体" w:eastAsia="黑体" w:cs="黑体"/>
                <w:color w:val="000000"/>
                <w:kern w:val="0"/>
                <w:sz w:val="20"/>
                <w:szCs w:val="20"/>
                <w:highlight w:val="none"/>
                <w:lang w:eastAsia="zh-CN"/>
              </w:rPr>
              <w:t>部门总支出</w:t>
            </w:r>
          </w:p>
        </w:tc>
        <w:tc>
          <w:tcPr>
            <w:tcW w:w="1524"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11,137.93</w:t>
            </w:r>
          </w:p>
        </w:tc>
        <w:tc>
          <w:tcPr>
            <w:tcW w:w="134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0"/>
                <w:szCs w:val="20"/>
                <w:highlight w:val="none"/>
                <w:lang w:eastAsia="zh-CN"/>
              </w:rPr>
            </w:pPr>
            <w:r>
              <w:rPr>
                <w:rFonts w:hint="eastAsia" w:ascii="黑体" w:hAnsi="宋体" w:eastAsia="黑体" w:cs="黑体"/>
                <w:color w:val="000000"/>
                <w:kern w:val="0"/>
                <w:sz w:val="20"/>
                <w:szCs w:val="20"/>
                <w:highlight w:val="none"/>
                <w:lang w:eastAsia="zh-CN"/>
              </w:rPr>
              <w:t>基本支出</w:t>
            </w:r>
          </w:p>
        </w:tc>
        <w:tc>
          <w:tcPr>
            <w:tcW w:w="182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230.10</w:t>
            </w:r>
          </w:p>
        </w:tc>
        <w:tc>
          <w:tcPr>
            <w:tcW w:w="154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0"/>
                <w:szCs w:val="20"/>
                <w:highlight w:val="none"/>
                <w:lang w:eastAsia="zh-CN"/>
              </w:rPr>
            </w:pPr>
            <w:r>
              <w:rPr>
                <w:rFonts w:hint="eastAsia" w:ascii="黑体" w:hAnsi="宋体" w:eastAsia="黑体" w:cs="黑体"/>
                <w:color w:val="000000"/>
                <w:kern w:val="0"/>
                <w:sz w:val="20"/>
                <w:szCs w:val="20"/>
                <w:highlight w:val="none"/>
                <w:lang w:eastAsia="zh-CN"/>
              </w:rPr>
              <w:t>项目支出</w:t>
            </w:r>
          </w:p>
        </w:tc>
        <w:tc>
          <w:tcPr>
            <w:tcW w:w="152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10,907.83</w:t>
            </w:r>
          </w:p>
        </w:tc>
      </w:tr>
      <w:tr>
        <w:tblPrEx>
          <w:tblCellMar>
            <w:top w:w="17" w:type="dxa"/>
            <w:left w:w="17" w:type="dxa"/>
            <w:bottom w:w="17" w:type="dxa"/>
            <w:right w:w="17" w:type="dxa"/>
          </w:tblCellMar>
        </w:tblPrEx>
        <w:trPr>
          <w:trHeight w:val="482" w:hRule="atLeast"/>
        </w:trPr>
        <w:tc>
          <w:tcPr>
            <w:tcW w:w="122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0"/>
                <w:szCs w:val="20"/>
                <w:highlight w:val="none"/>
                <w:lang w:val="en-US" w:eastAsia="zh-CN"/>
              </w:rPr>
            </w:pPr>
            <w:r>
              <w:rPr>
                <w:rFonts w:hint="eastAsia" w:ascii="黑体" w:hAnsi="宋体" w:eastAsia="黑体" w:cs="黑体"/>
                <w:color w:val="000000"/>
                <w:kern w:val="0"/>
                <w:sz w:val="20"/>
                <w:szCs w:val="20"/>
                <w:highlight w:val="none"/>
                <w:lang w:val="en-US" w:eastAsia="zh-CN"/>
              </w:rPr>
              <w:t>财政预算</w:t>
            </w:r>
          </w:p>
          <w:p>
            <w:pPr>
              <w:widowControl/>
              <w:jc w:val="center"/>
              <w:textAlignment w:val="center"/>
              <w:rPr>
                <w:rFonts w:hint="default"/>
                <w:lang w:val="en-US" w:eastAsia="zh-CN"/>
              </w:rPr>
            </w:pPr>
            <w:r>
              <w:rPr>
                <w:rFonts w:hint="default" w:ascii="黑体" w:hAnsi="宋体" w:eastAsia="黑体" w:cs="黑体"/>
                <w:color w:val="000000"/>
                <w:kern w:val="0"/>
                <w:sz w:val="20"/>
                <w:szCs w:val="20"/>
                <w:highlight w:val="none"/>
                <w:lang w:val="en-US" w:eastAsia="zh-CN"/>
              </w:rPr>
              <w:t>安排资金</w:t>
            </w:r>
          </w:p>
        </w:tc>
        <w:tc>
          <w:tcPr>
            <w:tcW w:w="1524"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11,155.70</w:t>
            </w:r>
          </w:p>
        </w:tc>
        <w:tc>
          <w:tcPr>
            <w:tcW w:w="134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0"/>
                <w:szCs w:val="20"/>
                <w:highlight w:val="none"/>
                <w:lang w:eastAsia="zh-CN"/>
              </w:rPr>
            </w:pPr>
            <w:r>
              <w:rPr>
                <w:rFonts w:hint="eastAsia" w:ascii="黑体" w:hAnsi="宋体" w:eastAsia="黑体" w:cs="黑体"/>
                <w:color w:val="000000"/>
                <w:kern w:val="0"/>
                <w:sz w:val="20"/>
                <w:szCs w:val="20"/>
                <w:highlight w:val="none"/>
                <w:lang w:eastAsia="zh-CN"/>
              </w:rPr>
              <w:t>抽查资金</w:t>
            </w:r>
          </w:p>
        </w:tc>
        <w:tc>
          <w:tcPr>
            <w:tcW w:w="182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8,136.26</w:t>
            </w:r>
          </w:p>
        </w:tc>
        <w:tc>
          <w:tcPr>
            <w:tcW w:w="154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0"/>
                <w:szCs w:val="20"/>
                <w:highlight w:val="none"/>
                <w:lang w:eastAsia="zh-CN"/>
              </w:rPr>
            </w:pPr>
            <w:r>
              <w:rPr>
                <w:rFonts w:hint="eastAsia" w:ascii="黑体" w:hAnsi="宋体" w:eastAsia="黑体" w:cs="黑体"/>
                <w:color w:val="000000"/>
                <w:kern w:val="0"/>
                <w:sz w:val="20"/>
                <w:szCs w:val="20"/>
                <w:highlight w:val="none"/>
                <w:lang w:eastAsia="zh-CN"/>
              </w:rPr>
              <w:t>抽查占比</w:t>
            </w:r>
          </w:p>
        </w:tc>
        <w:tc>
          <w:tcPr>
            <w:tcW w:w="15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73%</w:t>
            </w:r>
          </w:p>
        </w:tc>
      </w:tr>
      <w:tr>
        <w:tblPrEx>
          <w:tblCellMar>
            <w:top w:w="17" w:type="dxa"/>
            <w:left w:w="17" w:type="dxa"/>
            <w:bottom w:w="17" w:type="dxa"/>
            <w:right w:w="17" w:type="dxa"/>
          </w:tblCellMar>
        </w:tblPrEx>
        <w:trPr>
          <w:trHeight w:val="482" w:hRule="atLeast"/>
        </w:trPr>
        <w:tc>
          <w:tcPr>
            <w:tcW w:w="1222" w:type="dxa"/>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发放调查</w:t>
            </w:r>
          </w:p>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问卷</w:t>
            </w:r>
          </w:p>
        </w:tc>
        <w:tc>
          <w:tcPr>
            <w:tcW w:w="885" w:type="dxa"/>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hint="default" w:ascii="仿宋_GB2312" w:hAnsi="宋体" w:eastAsia="仿宋_GB2312" w:cs="仿宋_GB2312"/>
                <w:color w:val="000000"/>
                <w:kern w:val="0"/>
                <w:sz w:val="20"/>
                <w:szCs w:val="20"/>
                <w:highlight w:val="none"/>
                <w:lang w:val="en-US" w:eastAsia="zh-CN"/>
              </w:rPr>
            </w:pPr>
            <w:r>
              <w:rPr>
                <w:rFonts w:hint="eastAsia" w:ascii="仿宋_GB2312" w:hAnsi="宋体" w:eastAsia="仿宋_GB2312" w:cs="仿宋_GB2312"/>
                <w:color w:val="000000"/>
                <w:kern w:val="0"/>
                <w:sz w:val="20"/>
                <w:szCs w:val="20"/>
                <w:highlight w:val="none"/>
                <w:lang w:val="en-US" w:eastAsia="zh-CN"/>
              </w:rPr>
              <w:t>80份</w:t>
            </w:r>
          </w:p>
        </w:tc>
        <w:tc>
          <w:tcPr>
            <w:tcW w:w="1131" w:type="dxa"/>
            <w:gridSpan w:val="2"/>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有效调查</w:t>
            </w:r>
          </w:p>
          <w:p>
            <w:pPr>
              <w:widowControl/>
              <w:spacing w:line="320" w:lineRule="exact"/>
              <w:jc w:val="center"/>
              <w:textAlignment w:val="center"/>
              <w:rPr>
                <w:rFonts w:ascii="黑体" w:hAnsi="黑体" w:eastAsia="黑体" w:cs="仿宋_GB2312"/>
                <w:color w:val="000000"/>
                <w:kern w:val="0"/>
                <w:sz w:val="20"/>
                <w:szCs w:val="20"/>
                <w:highlight w:val="none"/>
              </w:rPr>
            </w:pPr>
            <w:r>
              <w:rPr>
                <w:rFonts w:hint="eastAsia" w:ascii="黑体" w:hAnsi="宋体" w:eastAsia="黑体" w:cs="黑体"/>
                <w:color w:val="000000"/>
                <w:kern w:val="0"/>
                <w:sz w:val="20"/>
                <w:szCs w:val="20"/>
                <w:highlight w:val="none"/>
              </w:rPr>
              <w:t>问卷</w:t>
            </w:r>
          </w:p>
        </w:tc>
        <w:tc>
          <w:tcPr>
            <w:tcW w:w="848" w:type="dxa"/>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hint="default" w:ascii="仿宋_GB2312" w:hAnsi="宋体" w:eastAsia="仿宋_GB2312" w:cs="仿宋_GB2312"/>
                <w:color w:val="000000"/>
                <w:kern w:val="0"/>
                <w:sz w:val="20"/>
                <w:szCs w:val="20"/>
                <w:highlight w:val="none"/>
                <w:lang w:val="en-US" w:eastAsia="zh-CN"/>
              </w:rPr>
            </w:pPr>
            <w:r>
              <w:rPr>
                <w:rFonts w:hint="eastAsia" w:ascii="仿宋_GB2312" w:hAnsi="宋体" w:eastAsia="仿宋_GB2312" w:cs="仿宋_GB2312"/>
                <w:color w:val="000000"/>
                <w:kern w:val="0"/>
                <w:sz w:val="20"/>
                <w:szCs w:val="20"/>
                <w:highlight w:val="none"/>
                <w:lang w:val="en-US" w:eastAsia="zh-CN"/>
              </w:rPr>
              <w:t>80份</w:t>
            </w:r>
          </w:p>
        </w:tc>
        <w:tc>
          <w:tcPr>
            <w:tcW w:w="1254" w:type="dxa"/>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ascii="仿宋_GB2312" w:hAnsi="宋体" w:eastAsia="仿宋_GB2312" w:cs="仿宋_GB2312"/>
                <w:color w:val="000000"/>
                <w:kern w:val="0"/>
                <w:sz w:val="20"/>
                <w:szCs w:val="20"/>
                <w:highlight w:val="none"/>
              </w:rPr>
            </w:pPr>
            <w:r>
              <w:rPr>
                <w:rFonts w:hint="eastAsia" w:ascii="黑体" w:hAnsi="宋体" w:eastAsia="黑体" w:cs="黑体"/>
                <w:color w:val="000000"/>
                <w:kern w:val="0"/>
                <w:sz w:val="20"/>
                <w:szCs w:val="20"/>
                <w:highlight w:val="none"/>
                <w:lang w:val="en-US" w:eastAsia="zh-CN"/>
              </w:rPr>
              <w:t>政策知晓率/</w:t>
            </w:r>
            <w:r>
              <w:rPr>
                <w:rFonts w:hint="eastAsia" w:ascii="黑体" w:hAnsi="宋体" w:eastAsia="黑体" w:cs="黑体"/>
                <w:color w:val="000000"/>
                <w:kern w:val="0"/>
                <w:sz w:val="20"/>
                <w:szCs w:val="20"/>
                <w:highlight w:val="none"/>
              </w:rPr>
              <w:t>满意度情况</w:t>
            </w:r>
          </w:p>
        </w:tc>
        <w:tc>
          <w:tcPr>
            <w:tcW w:w="3643" w:type="dxa"/>
            <w:gridSpan w:val="3"/>
            <w:tcBorders>
              <w:top w:val="single" w:color="000000" w:sz="4" w:space="0"/>
              <w:left w:val="single" w:color="000000" w:sz="4" w:space="0"/>
              <w:bottom w:val="single" w:color="auto" w:sz="4" w:space="0"/>
              <w:right w:val="single" w:color="000000" w:sz="4" w:space="0"/>
            </w:tcBorders>
            <w:noWrap w:val="0"/>
            <w:vAlign w:val="center"/>
          </w:tcPr>
          <w:p>
            <w:pPr>
              <w:widowControl/>
              <w:numPr>
                <w:ilvl w:val="0"/>
                <w:numId w:val="0"/>
              </w:numPr>
              <w:spacing w:line="320" w:lineRule="exact"/>
              <w:jc w:val="left"/>
              <w:textAlignment w:val="center"/>
              <w:rPr>
                <w:rFonts w:hint="eastAsia" w:ascii="仿宋_GB2312" w:hAnsi="宋体" w:eastAsia="仿宋_GB2312" w:cs="仿宋_GB2312"/>
                <w:color w:val="000000"/>
                <w:kern w:val="2"/>
                <w:sz w:val="20"/>
                <w:szCs w:val="20"/>
                <w:highlight w:val="none"/>
                <w:lang w:val="en-US" w:eastAsia="zh-CN" w:bidi="ar-SA"/>
              </w:rPr>
            </w:pPr>
            <w:r>
              <w:rPr>
                <w:rFonts w:hint="eastAsia" w:ascii="仿宋_GB2312" w:hAnsi="宋体" w:eastAsia="仿宋_GB2312" w:cs="仿宋_GB2312"/>
                <w:color w:val="000000"/>
                <w:kern w:val="2"/>
                <w:sz w:val="20"/>
                <w:szCs w:val="20"/>
                <w:highlight w:val="none"/>
                <w:lang w:val="en-US" w:eastAsia="zh-CN" w:bidi="ar-SA"/>
              </w:rPr>
              <w:t>企业政策知晓率：90%；</w:t>
            </w:r>
          </w:p>
          <w:p>
            <w:pPr>
              <w:pStyle w:val="2"/>
              <w:numPr>
                <w:ilvl w:val="0"/>
                <w:numId w:val="0"/>
              </w:numPr>
              <w:rPr>
                <w:rFonts w:hint="eastAsia" w:ascii="仿宋_GB2312" w:hAnsi="宋体" w:eastAsia="仿宋_GB2312" w:cs="仿宋_GB2312"/>
                <w:color w:val="000000"/>
                <w:kern w:val="2"/>
                <w:sz w:val="20"/>
                <w:szCs w:val="20"/>
                <w:highlight w:val="none"/>
                <w:lang w:val="en-US" w:eastAsia="zh-CN" w:bidi="ar-SA"/>
              </w:rPr>
            </w:pPr>
            <w:r>
              <w:rPr>
                <w:rFonts w:hint="eastAsia" w:ascii="仿宋_GB2312" w:hAnsi="宋体" w:eastAsia="仿宋_GB2312" w:cs="仿宋_GB2312"/>
                <w:color w:val="000000"/>
                <w:kern w:val="2"/>
                <w:sz w:val="20"/>
                <w:szCs w:val="20"/>
                <w:highlight w:val="none"/>
                <w:lang w:val="en-US" w:eastAsia="zh-CN" w:bidi="ar-SA"/>
              </w:rPr>
              <w:t>数字企业满意度：94%；</w:t>
            </w:r>
          </w:p>
          <w:p>
            <w:pPr>
              <w:rPr>
                <w:rFonts w:hint="eastAsia" w:ascii="仿宋_GB2312" w:hAnsi="宋体" w:eastAsia="仿宋_GB2312" w:cs="仿宋_GB2312"/>
                <w:color w:val="000000"/>
                <w:kern w:val="2"/>
                <w:sz w:val="20"/>
                <w:szCs w:val="20"/>
                <w:highlight w:val="none"/>
                <w:lang w:val="en-US" w:eastAsia="zh-CN" w:bidi="ar-SA"/>
              </w:rPr>
            </w:pPr>
            <w:r>
              <w:rPr>
                <w:rFonts w:hint="eastAsia" w:ascii="仿宋_GB2312" w:hAnsi="宋体" w:eastAsia="仿宋_GB2312" w:cs="仿宋_GB2312"/>
                <w:color w:val="000000"/>
                <w:kern w:val="2"/>
                <w:sz w:val="20"/>
                <w:szCs w:val="20"/>
                <w:highlight w:val="none"/>
                <w:lang w:val="en-US" w:eastAsia="zh-CN" w:bidi="ar-SA"/>
              </w:rPr>
              <w:t>规模以上工业企业满意度：96%；</w:t>
            </w:r>
          </w:p>
          <w:p>
            <w:pPr>
              <w:pStyle w:val="2"/>
              <w:ind w:left="0" w:leftChars="0" w:firstLine="0" w:firstLineChars="0"/>
              <w:rPr>
                <w:rFonts w:hint="default"/>
                <w:lang w:val="en-US" w:eastAsia="zh-CN"/>
              </w:rPr>
            </w:pPr>
            <w:r>
              <w:rPr>
                <w:rFonts w:hint="eastAsia" w:ascii="仿宋_GB2312" w:hAnsi="宋体" w:eastAsia="仿宋_GB2312" w:cs="仿宋_GB2312"/>
                <w:color w:val="000000"/>
                <w:kern w:val="2"/>
                <w:sz w:val="20"/>
                <w:szCs w:val="20"/>
                <w:highlight w:val="none"/>
                <w:lang w:val="en-US" w:eastAsia="zh-CN" w:bidi="ar-SA"/>
              </w:rPr>
              <w:t>中小企业满意度：92%</w:t>
            </w:r>
          </w:p>
        </w:tc>
      </w:tr>
      <w:tr>
        <w:tblPrEx>
          <w:tblCellMar>
            <w:top w:w="17" w:type="dxa"/>
            <w:left w:w="17" w:type="dxa"/>
            <w:bottom w:w="17" w:type="dxa"/>
            <w:right w:w="17" w:type="dxa"/>
          </w:tblCellMar>
        </w:tblPrEx>
        <w:trPr>
          <w:trHeight w:val="482" w:hRule="atLeast"/>
        </w:trPr>
        <w:tc>
          <w:tcPr>
            <w:tcW w:w="1222" w:type="dxa"/>
            <w:tcBorders>
              <w:top w:val="single" w:color="000000"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绩效目标</w:t>
            </w:r>
          </w:p>
          <w:p>
            <w:pPr>
              <w:widowControl/>
              <w:spacing w:line="320" w:lineRule="exact"/>
              <w:jc w:val="center"/>
              <w:textAlignment w:val="center"/>
              <w:rPr>
                <w:rFonts w:hint="eastAsia"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实现情况</w:t>
            </w:r>
          </w:p>
        </w:tc>
        <w:tc>
          <w:tcPr>
            <w:tcW w:w="7761" w:type="dxa"/>
            <w:gridSpan w:val="8"/>
            <w:tcBorders>
              <w:top w:val="single" w:color="000000" w:sz="4" w:space="0"/>
              <w:left w:val="single" w:color="000000" w:sz="4" w:space="0"/>
              <w:bottom w:val="single" w:color="auto" w:sz="4" w:space="0"/>
              <w:right w:val="single" w:color="000000" w:sz="4" w:space="0"/>
            </w:tcBorders>
            <w:noWrap w:val="0"/>
            <w:vAlign w:val="center"/>
          </w:tcPr>
          <w:p>
            <w:pPr>
              <w:pStyle w:val="25"/>
              <w:rPr>
                <w:rFonts w:hint="default" w:ascii="仿宋_GB2312" w:hAnsi="宋体" w:eastAsia="仿宋_GB2312" w:cs="仿宋_GB2312"/>
                <w:color w:val="000000"/>
                <w:sz w:val="20"/>
                <w:szCs w:val="20"/>
                <w:highlight w:val="none"/>
                <w:lang w:val="en-US" w:eastAsia="zh-CN"/>
              </w:rPr>
            </w:pPr>
            <w:r>
              <w:rPr>
                <w:rFonts w:hint="eastAsia" w:ascii="仿宋_GB2312" w:hAnsi="宋体" w:cs="仿宋_GB2312"/>
                <w:color w:val="000000"/>
                <w:kern w:val="2"/>
                <w:sz w:val="20"/>
                <w:szCs w:val="20"/>
                <w:highlight w:val="none"/>
                <w:lang w:val="en-US" w:eastAsia="zh-CN" w:bidi="ar-SA"/>
              </w:rPr>
              <w:t>2021年</w:t>
            </w:r>
            <w:r>
              <w:rPr>
                <w:rFonts w:hint="eastAsia" w:ascii="仿宋_GB2312" w:hAnsi="宋体" w:eastAsia="仿宋_GB2312" w:cs="仿宋_GB2312"/>
                <w:color w:val="000000"/>
                <w:kern w:val="2"/>
                <w:sz w:val="20"/>
                <w:szCs w:val="20"/>
                <w:highlight w:val="none"/>
                <w:lang w:val="en-US" w:eastAsia="zh-CN" w:bidi="ar-SA"/>
              </w:rPr>
              <w:t>部门</w:t>
            </w:r>
            <w:r>
              <w:rPr>
                <w:rFonts w:hint="eastAsia" w:ascii="仿宋_GB2312" w:hAnsi="宋体" w:cs="仿宋_GB2312"/>
                <w:color w:val="000000"/>
                <w:kern w:val="2"/>
                <w:sz w:val="20"/>
                <w:szCs w:val="20"/>
                <w:highlight w:val="none"/>
                <w:lang w:val="en-US" w:eastAsia="zh-CN" w:bidi="ar-SA"/>
              </w:rPr>
              <w:t>设置总体</w:t>
            </w:r>
            <w:r>
              <w:rPr>
                <w:rFonts w:hint="eastAsia" w:ascii="仿宋_GB2312" w:hAnsi="宋体" w:eastAsia="仿宋_GB2312" w:cs="仿宋_GB2312"/>
                <w:color w:val="000000"/>
                <w:kern w:val="2"/>
                <w:sz w:val="20"/>
                <w:szCs w:val="20"/>
                <w:highlight w:val="none"/>
                <w:lang w:val="en-US" w:eastAsia="zh-CN" w:bidi="ar-SA"/>
              </w:rPr>
              <w:t>绩效目标5个，</w:t>
            </w:r>
            <w:r>
              <w:rPr>
                <w:rFonts w:hint="eastAsia" w:ascii="仿宋_GB2312" w:hAnsi="宋体" w:cs="仿宋_GB2312"/>
                <w:color w:val="000000"/>
                <w:kern w:val="2"/>
                <w:sz w:val="20"/>
                <w:szCs w:val="20"/>
                <w:highlight w:val="none"/>
                <w:lang w:val="en-US" w:eastAsia="zh-CN" w:bidi="ar-SA"/>
              </w:rPr>
              <w:t>部门实现</w:t>
            </w:r>
            <w:r>
              <w:rPr>
                <w:rFonts w:hint="eastAsia" w:ascii="仿宋_GB2312" w:hAnsi="宋体" w:eastAsia="仿宋_GB2312" w:cs="仿宋_GB2312"/>
                <w:color w:val="000000"/>
                <w:kern w:val="2"/>
                <w:sz w:val="20"/>
                <w:szCs w:val="20"/>
                <w:highlight w:val="none"/>
                <w:lang w:val="en-US" w:eastAsia="zh-CN" w:bidi="ar-SA"/>
              </w:rPr>
              <w:t>3个</w:t>
            </w:r>
            <w:r>
              <w:rPr>
                <w:rFonts w:hint="eastAsia" w:ascii="仿宋_GB2312" w:hAnsi="宋体" w:cs="仿宋_GB2312"/>
                <w:color w:val="000000"/>
                <w:kern w:val="2"/>
                <w:sz w:val="20"/>
                <w:szCs w:val="20"/>
                <w:highlight w:val="none"/>
                <w:lang w:val="en-US" w:eastAsia="zh-CN" w:bidi="ar-SA"/>
              </w:rPr>
              <w:t>目标</w:t>
            </w:r>
            <w:r>
              <w:rPr>
                <w:rFonts w:hint="eastAsia" w:ascii="仿宋_GB2312" w:hAnsi="宋体" w:eastAsia="仿宋_GB2312" w:cs="仿宋_GB2312"/>
                <w:color w:val="000000"/>
                <w:kern w:val="2"/>
                <w:sz w:val="20"/>
                <w:szCs w:val="20"/>
                <w:highlight w:val="none"/>
                <w:lang w:val="en-US" w:eastAsia="zh-CN" w:bidi="ar-SA"/>
              </w:rPr>
              <w:t>，部分完成2个</w:t>
            </w:r>
            <w:r>
              <w:rPr>
                <w:rFonts w:hint="eastAsia" w:ascii="仿宋_GB2312" w:hAnsi="宋体" w:cs="仿宋_GB2312"/>
                <w:color w:val="000000"/>
                <w:kern w:val="2"/>
                <w:sz w:val="20"/>
                <w:szCs w:val="20"/>
                <w:highlight w:val="none"/>
                <w:lang w:val="en-US" w:eastAsia="zh-CN" w:bidi="ar-SA"/>
              </w:rPr>
              <w:t>目标。</w:t>
            </w:r>
          </w:p>
        </w:tc>
      </w:tr>
      <w:tr>
        <w:tblPrEx>
          <w:tblCellMar>
            <w:top w:w="17" w:type="dxa"/>
            <w:left w:w="17" w:type="dxa"/>
            <w:bottom w:w="17" w:type="dxa"/>
            <w:right w:w="17" w:type="dxa"/>
          </w:tblCellMar>
        </w:tblPrEx>
        <w:trPr>
          <w:trHeight w:val="750" w:hRule="atLeast"/>
        </w:trPr>
        <w:tc>
          <w:tcPr>
            <w:tcW w:w="1222"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评价问题</w:t>
            </w:r>
          </w:p>
          <w:p>
            <w:pPr>
              <w:widowControl/>
              <w:spacing w:line="320" w:lineRule="exact"/>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kern w:val="0"/>
                <w:sz w:val="20"/>
                <w:szCs w:val="20"/>
                <w:highlight w:val="none"/>
              </w:rPr>
              <w:t>简要情况</w:t>
            </w:r>
          </w:p>
        </w:tc>
        <w:tc>
          <w:tcPr>
            <w:tcW w:w="7761" w:type="dxa"/>
            <w:gridSpan w:val="8"/>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left"/>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（一）制度管理方面</w:t>
            </w:r>
          </w:p>
          <w:p>
            <w:pPr>
              <w:pStyle w:val="2"/>
              <w:numPr>
                <w:ilvl w:val="0"/>
                <w:numId w:val="0"/>
              </w:numP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区工信局固定资产账实不符。</w:t>
            </w:r>
          </w:p>
          <w:p>
            <w:pPr>
              <w:numPr>
                <w:ilvl w:val="0"/>
                <w:numId w:val="0"/>
              </w:numPr>
              <w:ind w:leftChars="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（二）预算管理方面</w:t>
            </w:r>
          </w:p>
          <w:p>
            <w:pPr>
              <w:pStyle w:val="2"/>
              <w:numPr>
                <w:ilvl w:val="0"/>
                <w:numId w:val="0"/>
              </w:numPr>
              <w:ind w:leftChars="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区工信局预算资金调整幅度较大。</w:t>
            </w:r>
          </w:p>
          <w:p>
            <w:pPr>
              <w:numPr>
                <w:ilvl w:val="0"/>
                <w:numId w:val="0"/>
              </w:numPr>
              <w:ind w:leftChars="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（三）业务管理方面</w:t>
            </w:r>
          </w:p>
          <w:p>
            <w:pPr>
              <w:pStyle w:val="2"/>
              <w:numPr>
                <w:ilvl w:val="0"/>
                <w:numId w:val="0"/>
              </w:numPr>
              <w:ind w:leftChars="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区工信局部分业务管理目标未实现。如制造业增加值占地区生产总值比重、工业投资占固定资产投资比重和工业投资未达到预定的目标。</w:t>
            </w:r>
          </w:p>
          <w:p>
            <w:pPr>
              <w:numPr>
                <w:ilvl w:val="0"/>
                <w:numId w:val="0"/>
              </w:numPr>
              <w:ind w:leftChars="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（四）绩效管理方面</w:t>
            </w:r>
          </w:p>
          <w:p>
            <w:pPr>
              <w:pStyle w:val="2"/>
              <w:numPr>
                <w:ilvl w:val="0"/>
                <w:numId w:val="0"/>
              </w:numPr>
              <w:ind w:leftChars="0"/>
              <w:rPr>
                <w:rFonts w:hint="default"/>
                <w:lang w:val="en-US" w:eastAsia="zh-CN"/>
              </w:rPr>
            </w:pPr>
            <w:r>
              <w:rPr>
                <w:rFonts w:hint="eastAsia" w:ascii="仿宋_GB2312" w:hAnsi="仿宋_GB2312" w:eastAsia="仿宋_GB2312" w:cs="仿宋_GB2312"/>
                <w:lang w:val="en-US" w:eastAsia="zh-CN"/>
              </w:rPr>
              <w:t>区工信局已将2021年度部门整体支出绩效目标细化分解为具体绩效指标，但个别目标不符合部门中长期规划、不准确，部分绩效指标不够清晰，不便于考核。</w:t>
            </w:r>
          </w:p>
        </w:tc>
      </w:tr>
      <w:tr>
        <w:tblPrEx>
          <w:tblCellMar>
            <w:top w:w="17" w:type="dxa"/>
            <w:left w:w="17" w:type="dxa"/>
            <w:bottom w:w="17" w:type="dxa"/>
            <w:right w:w="17" w:type="dxa"/>
          </w:tblCellMar>
        </w:tblPrEx>
        <w:trPr>
          <w:trHeight w:val="386" w:hRule="atLeast"/>
        </w:trPr>
        <w:tc>
          <w:tcPr>
            <w:tcW w:w="1222" w:type="dxa"/>
            <w:tcBorders>
              <w:top w:val="single" w:color="auto" w:sz="4" w:space="0"/>
              <w:left w:val="single" w:color="000000" w:sz="4" w:space="0"/>
              <w:bottom w:val="single" w:color="000000" w:sz="4" w:space="0"/>
              <w:right w:val="single" w:color="000000" w:sz="4" w:space="0"/>
            </w:tcBorders>
            <w:noWrap w:val="0"/>
            <w:vAlign w:val="center"/>
          </w:tcPr>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评价问题</w:t>
            </w:r>
          </w:p>
          <w:p>
            <w:pPr>
              <w:widowControl/>
              <w:spacing w:line="320" w:lineRule="exact"/>
              <w:jc w:val="center"/>
              <w:textAlignment w:val="center"/>
              <w:rPr>
                <w:rFonts w:ascii="黑体" w:hAnsi="宋体" w:eastAsia="黑体" w:cs="黑体"/>
                <w:color w:val="000000"/>
                <w:kern w:val="0"/>
                <w:sz w:val="20"/>
                <w:szCs w:val="20"/>
                <w:highlight w:val="none"/>
              </w:rPr>
            </w:pPr>
            <w:r>
              <w:rPr>
                <w:rFonts w:hint="eastAsia" w:ascii="黑体" w:hAnsi="宋体" w:eastAsia="黑体" w:cs="黑体"/>
                <w:color w:val="000000"/>
                <w:kern w:val="0"/>
                <w:sz w:val="20"/>
                <w:szCs w:val="20"/>
                <w:highlight w:val="none"/>
              </w:rPr>
              <w:t>简要建议</w:t>
            </w:r>
          </w:p>
        </w:tc>
        <w:tc>
          <w:tcPr>
            <w:tcW w:w="7761" w:type="dxa"/>
            <w:gridSpan w:val="8"/>
            <w:tcBorders>
              <w:top w:val="single" w:color="auto" w:sz="4" w:space="0"/>
              <w:left w:val="single" w:color="000000" w:sz="4" w:space="0"/>
              <w:bottom w:val="single" w:color="000000" w:sz="4" w:space="0"/>
              <w:right w:val="single" w:color="000000" w:sz="4" w:space="0"/>
            </w:tcBorders>
            <w:noWrap w:val="0"/>
            <w:vAlign w:val="center"/>
          </w:tcPr>
          <w:p>
            <w:pPr>
              <w:pStyle w:val="2"/>
              <w:numPr>
                <w:ilvl w:val="0"/>
                <w:numId w:val="0"/>
              </w:numP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（一）制度管理方面</w:t>
            </w:r>
          </w:p>
          <w:p>
            <w:pPr>
              <w:pStyle w:val="2"/>
              <w:numPr>
                <w:ilvl w:val="0"/>
                <w:numId w:val="0"/>
              </w:numP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建议区工信局严格按照资产管理制度执行，及时对盘盈的固定资产进行账务处理，确保账、卡、物相符。</w:t>
            </w:r>
          </w:p>
          <w:p>
            <w:pPr>
              <w:pStyle w:val="2"/>
              <w:numPr>
                <w:ilvl w:val="0"/>
                <w:numId w:val="0"/>
              </w:numP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（二）预算管理方面</w:t>
            </w:r>
          </w:p>
          <w:p>
            <w:pPr>
              <w:pStyle w:val="2"/>
              <w:numPr>
                <w:ilvl w:val="0"/>
                <w:numId w:val="0"/>
              </w:numP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建议区工信局根据区工业和大数据事业发展的要求和实际情况、年度内单位可预见的工作任务，确定年度预算支出资金，推进预算编制科学化、准确化。</w:t>
            </w:r>
          </w:p>
          <w:p>
            <w:pPr>
              <w:pStyle w:val="2"/>
              <w:numPr>
                <w:ilvl w:val="0"/>
                <w:numId w:val="0"/>
              </w:numPr>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（三）业务管理方面</w:t>
            </w:r>
          </w:p>
          <w:p>
            <w:pPr>
              <w:pStyle w:val="2"/>
              <w:numPr>
                <w:ilvl w:val="0"/>
                <w:numId w:val="0"/>
              </w:numPr>
              <w:rPr>
                <w:rFonts w:hint="default" w:ascii="仿宋_GB2312" w:hAnsi="仿宋_GB2312" w:eastAsia="仿宋_GB2312" w:cs="仿宋_GB2312"/>
                <w:lang w:val="en-US" w:eastAsia="zh-CN"/>
              </w:rPr>
            </w:pPr>
            <w:r>
              <w:rPr>
                <w:rFonts w:hint="eastAsia" w:ascii="仿宋_GB2312" w:hAnsi="仿宋_GB2312" w:eastAsia="仿宋_GB2312" w:cs="仿宋_GB2312"/>
                <w:lang w:val="zh-CN" w:eastAsia="zh-CN"/>
              </w:rPr>
              <w:t>建议</w:t>
            </w:r>
            <w:r>
              <w:rPr>
                <w:rFonts w:hint="eastAsia" w:ascii="仿宋_GB2312" w:hAnsi="仿宋_GB2312" w:eastAsia="仿宋_GB2312" w:cs="仿宋_GB2312"/>
                <w:lang w:val="en-US" w:eastAsia="zh-CN"/>
              </w:rPr>
              <w:t>区工信局对全年业务管理目标进行分解，细化指标至企业、项目，开展精细化调度和服务，同时</w:t>
            </w:r>
            <w:r>
              <w:rPr>
                <w:rFonts w:hint="eastAsia" w:ascii="仿宋_GB2312" w:hAnsi="仿宋_GB2312" w:eastAsia="仿宋_GB2312" w:cs="仿宋_GB2312"/>
                <w:lang w:val="zh-CN" w:eastAsia="zh-CN"/>
              </w:rPr>
              <w:t>加强</w:t>
            </w:r>
            <w:r>
              <w:rPr>
                <w:rFonts w:hint="eastAsia" w:ascii="仿宋_GB2312" w:hAnsi="仿宋_GB2312" w:eastAsia="仿宋_GB2312" w:cs="仿宋_GB2312"/>
                <w:lang w:val="en-US" w:eastAsia="zh-CN"/>
              </w:rPr>
              <w:t>与其他部门对接力度，掌握目标完成情况，分析目标未完成原因，及时</w:t>
            </w:r>
            <w:r>
              <w:rPr>
                <w:rFonts w:hint="eastAsia" w:ascii="仿宋_GB2312" w:hAnsi="仿宋_GB2312" w:eastAsia="仿宋_GB2312" w:cs="仿宋_GB2312"/>
                <w:lang w:val="zh-CN" w:eastAsia="zh-CN"/>
              </w:rPr>
              <w:t>协调解决</w:t>
            </w:r>
            <w:r>
              <w:rPr>
                <w:rFonts w:hint="eastAsia" w:ascii="仿宋_GB2312" w:hAnsi="仿宋_GB2312" w:eastAsia="仿宋_GB2312" w:cs="仿宋_GB2312"/>
                <w:lang w:val="en-US" w:eastAsia="zh-CN"/>
              </w:rPr>
              <w:t>业务管理目标实现过程中的困难和问题。</w:t>
            </w:r>
          </w:p>
          <w:p>
            <w:pPr>
              <w:pStyle w:val="2"/>
              <w:numPr>
                <w:ilvl w:val="0"/>
                <w:numId w:val="0"/>
              </w:numP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（四）绩效管理方面</w:t>
            </w:r>
          </w:p>
          <w:p>
            <w:pPr>
              <w:pStyle w:val="2"/>
              <w:numPr>
                <w:ilvl w:val="0"/>
                <w:numId w:val="0"/>
              </w:numPr>
              <w:rPr>
                <w:rFonts w:hint="default"/>
                <w:lang w:val="en-US" w:eastAsia="zh-CN"/>
              </w:rPr>
            </w:pPr>
            <w:r>
              <w:rPr>
                <w:rFonts w:hint="eastAsia" w:ascii="仿宋_GB2312" w:hAnsi="仿宋_GB2312" w:eastAsia="仿宋_GB2312" w:cs="仿宋_GB2312"/>
                <w:lang w:val="en-US" w:eastAsia="zh-CN"/>
              </w:rPr>
              <w:t>根据绩效管理相关政策文件，积极推进预算绩效管理工作，结合绩效目标，设置全面有效、具体量化的绩效指标，认真开展绩效自评工作，提高预算绩效管理水平。</w:t>
            </w:r>
          </w:p>
        </w:tc>
      </w:tr>
      <w:tr>
        <w:tblPrEx>
          <w:tblCellMar>
            <w:top w:w="17" w:type="dxa"/>
            <w:left w:w="17" w:type="dxa"/>
            <w:bottom w:w="17" w:type="dxa"/>
            <w:right w:w="17" w:type="dxa"/>
          </w:tblCellMar>
        </w:tblPrEx>
        <w:trPr>
          <w:trHeight w:val="1096" w:hRule="atLeast"/>
        </w:trPr>
        <w:tc>
          <w:tcPr>
            <w:tcW w:w="1222" w:type="dxa"/>
            <w:tcBorders>
              <w:top w:val="single" w:color="auto" w:sz="4" w:space="0"/>
              <w:left w:val="single" w:color="000000" w:sz="4" w:space="0"/>
              <w:bottom w:val="single" w:color="auto" w:sz="4" w:space="0"/>
              <w:right w:val="single" w:color="000000" w:sz="4" w:space="0"/>
            </w:tcBorders>
            <w:noWrap w:val="0"/>
            <w:vAlign w:val="center"/>
          </w:tcPr>
          <w:p>
            <w:pPr>
              <w:widowControl/>
              <w:spacing w:line="320" w:lineRule="exact"/>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sz w:val="20"/>
                <w:szCs w:val="20"/>
                <w:highlight w:val="none"/>
              </w:rPr>
              <w:t>评价结果</w:t>
            </w:r>
          </w:p>
          <w:p>
            <w:pPr>
              <w:widowControl/>
              <w:spacing w:line="320" w:lineRule="exact"/>
              <w:jc w:val="center"/>
              <w:textAlignment w:val="center"/>
              <w:rPr>
                <w:rFonts w:ascii="黑体" w:hAnsi="宋体" w:eastAsia="黑体" w:cs="黑体"/>
                <w:color w:val="000000"/>
                <w:sz w:val="20"/>
                <w:szCs w:val="20"/>
                <w:highlight w:val="none"/>
              </w:rPr>
            </w:pPr>
            <w:r>
              <w:rPr>
                <w:rFonts w:hint="eastAsia" w:ascii="黑体" w:hAnsi="宋体" w:eastAsia="黑体" w:cs="黑体"/>
                <w:color w:val="000000"/>
                <w:sz w:val="20"/>
                <w:szCs w:val="20"/>
                <w:highlight w:val="none"/>
              </w:rPr>
              <w:t>应用建议</w:t>
            </w:r>
          </w:p>
        </w:tc>
        <w:tc>
          <w:tcPr>
            <w:tcW w:w="7761" w:type="dxa"/>
            <w:gridSpan w:val="8"/>
            <w:tcBorders>
              <w:top w:val="single" w:color="auto" w:sz="4" w:space="0"/>
              <w:left w:val="single" w:color="000000" w:sz="4" w:space="0"/>
              <w:bottom w:val="single" w:color="auto" w:sz="4" w:space="0"/>
              <w:right w:val="single" w:color="000000" w:sz="4" w:space="0"/>
            </w:tcBorders>
            <w:noWrap w:val="0"/>
            <w:vAlign w:val="center"/>
          </w:tcPr>
          <w:p>
            <w:pPr>
              <w:widowControl/>
              <w:numPr>
                <w:ilvl w:val="0"/>
                <w:numId w:val="0"/>
              </w:numPr>
              <w:spacing w:line="360" w:lineRule="exact"/>
              <w:ind w:firstLine="0" w:firstLineChars="0"/>
              <w:jc w:val="both"/>
              <w:textAlignment w:val="center"/>
              <w:rPr>
                <w:rFonts w:ascii="仿宋_GB2312" w:hAnsi="宋体" w:eastAsia="仿宋_GB2312" w:cs="仿宋_GB2312"/>
                <w:color w:val="000000"/>
                <w:sz w:val="20"/>
                <w:szCs w:val="20"/>
                <w:highlight w:val="none"/>
                <w:lang w:val="zh-CN"/>
              </w:rPr>
            </w:pPr>
            <w:r>
              <w:rPr>
                <w:rFonts w:ascii="仿宋_GB2312" w:hAnsi="宋体" w:eastAsia="仿宋_GB2312" w:cs="仿宋_GB2312"/>
                <w:color w:val="000000"/>
                <w:sz w:val="20"/>
                <w:szCs w:val="20"/>
                <w:highlight w:val="none"/>
              </w:rPr>
              <w:fldChar w:fldCharType="begin"/>
            </w:r>
            <w:r>
              <w:rPr>
                <w:rFonts w:ascii="仿宋_GB2312" w:hAnsi="宋体" w:eastAsia="仿宋_GB2312" w:cs="仿宋_GB2312"/>
                <w:color w:val="000000"/>
                <w:sz w:val="20"/>
                <w:szCs w:val="20"/>
                <w:highlight w:val="none"/>
              </w:rPr>
              <w:instrText xml:space="preserve"> HYPERLINK \l "_Toc434746187" </w:instrText>
            </w:r>
            <w:r>
              <w:rPr>
                <w:rFonts w:ascii="仿宋_GB2312" w:hAnsi="宋体" w:eastAsia="仿宋_GB2312" w:cs="仿宋_GB2312"/>
                <w:color w:val="000000"/>
                <w:sz w:val="20"/>
                <w:szCs w:val="20"/>
                <w:highlight w:val="none"/>
              </w:rPr>
              <w:fldChar w:fldCharType="separate"/>
            </w:r>
            <w:r>
              <w:rPr>
                <w:rFonts w:hint="eastAsia" w:ascii="仿宋_GB2312" w:hAnsi="宋体" w:eastAsia="仿宋_GB2312" w:cs="仿宋_GB2312"/>
                <w:color w:val="000000"/>
                <w:sz w:val="20"/>
                <w:szCs w:val="20"/>
                <w:highlight w:val="none"/>
                <w:lang w:val="zh-CN"/>
              </w:rPr>
              <w:t>以后年度预算安排建议</w:t>
            </w:r>
            <w:r>
              <w:rPr>
                <w:rFonts w:hint="eastAsia" w:ascii="仿宋_GB2312" w:hAnsi="宋体" w:eastAsia="仿宋_GB2312" w:cs="仿宋_GB2312"/>
                <w:color w:val="000000"/>
                <w:sz w:val="20"/>
                <w:szCs w:val="20"/>
                <w:highlight w:val="none"/>
                <w:lang w:val="zh-CN"/>
              </w:rPr>
              <w:fldChar w:fldCharType="end"/>
            </w:r>
            <w:r>
              <w:rPr>
                <w:rFonts w:hint="eastAsia" w:ascii="仿宋_GB2312" w:hAnsi="宋体" w:eastAsia="仿宋_GB2312" w:cs="仿宋_GB2312"/>
                <w:color w:val="000000"/>
                <w:sz w:val="20"/>
                <w:szCs w:val="20"/>
                <w:highlight w:val="none"/>
                <w:lang w:val="zh-CN"/>
              </w:rPr>
              <w:t>：</w:t>
            </w:r>
          </w:p>
          <w:p>
            <w:pPr>
              <w:widowControl/>
              <w:numPr>
                <w:ilvl w:val="0"/>
                <w:numId w:val="0"/>
              </w:numPr>
              <w:spacing w:line="360" w:lineRule="exact"/>
              <w:ind w:firstLine="0" w:firstLineChars="0"/>
              <w:jc w:val="left"/>
              <w:textAlignment w:val="center"/>
              <w:rPr>
                <w:rFonts w:ascii="仿宋_GB2312" w:hAnsi="宋体" w:eastAsia="仿宋_GB2312" w:cs="仿宋_GB2312"/>
                <w:color w:val="000000"/>
                <w:sz w:val="20"/>
                <w:szCs w:val="20"/>
                <w:highlight w:val="none"/>
              </w:rPr>
            </w:pPr>
            <w:r>
              <w:rPr>
                <w:rFonts w:hint="eastAsia" w:ascii="仿宋_GB2312" w:hAnsi="宋体" w:eastAsia="仿宋_GB2312" w:cs="仿宋_GB2312"/>
                <w:color w:val="000000"/>
                <w:sz w:val="20"/>
                <w:szCs w:val="20"/>
                <w:highlight w:val="none"/>
              </w:rPr>
              <w:t>在部门“三定”方案规定的部门主要职能基础上，全面梳理以后年度部门工作任务，合理科学</w:t>
            </w:r>
            <w:r>
              <w:rPr>
                <w:rFonts w:hint="default" w:ascii="仿宋_GB2312" w:hAnsi="宋体" w:eastAsia="仿宋_GB2312" w:cs="仿宋_GB2312"/>
                <w:color w:val="000000"/>
                <w:sz w:val="20"/>
                <w:szCs w:val="20"/>
                <w:highlight w:val="none"/>
                <w:lang w:val="en-US"/>
              </w:rPr>
              <w:t>预计以后年度</w:t>
            </w:r>
            <w:r>
              <w:rPr>
                <w:rFonts w:hint="eastAsia" w:ascii="仿宋_GB2312" w:hAnsi="宋体" w:eastAsia="仿宋_GB2312" w:cs="仿宋_GB2312"/>
                <w:color w:val="000000"/>
                <w:sz w:val="20"/>
                <w:szCs w:val="20"/>
                <w:highlight w:val="none"/>
              </w:rPr>
              <w:t>部门工作任务数量、时效、效益等。</w:t>
            </w:r>
          </w:p>
        </w:tc>
      </w:tr>
    </w:tbl>
    <w:tbl>
      <w:tblPr>
        <w:tblStyle w:val="18"/>
        <w:tblpPr w:leftFromText="180" w:rightFromText="180" w:vertAnchor="text" w:horzAnchor="margin" w:tblpY="1"/>
        <w:tblOverlap w:val="never"/>
        <w:tblW w:w="8983" w:type="dxa"/>
        <w:tblInd w:w="0" w:type="dxa"/>
        <w:tblBorders>
          <w:top w:val="none" w:color="auto" w:sz="0" w:space="0"/>
          <w:left w:val="single" w:color="000000" w:sz="4" w:space="0"/>
          <w:bottom w:val="single" w:color="000000" w:sz="4" w:space="0"/>
          <w:right w:val="single" w:color="000000" w:sz="4" w:space="0"/>
          <w:insideH w:val="single" w:color="auto" w:sz="4" w:space="0"/>
          <w:insideV w:val="single" w:color="000000" w:sz="4" w:space="0"/>
        </w:tblBorders>
        <w:tblLayout w:type="fixed"/>
        <w:tblCellMar>
          <w:top w:w="17" w:type="dxa"/>
          <w:left w:w="17" w:type="dxa"/>
          <w:bottom w:w="17" w:type="dxa"/>
          <w:right w:w="17" w:type="dxa"/>
        </w:tblCellMar>
      </w:tblPr>
      <w:tblGrid>
        <w:gridCol w:w="2059"/>
        <w:gridCol w:w="2252"/>
        <w:gridCol w:w="2238"/>
        <w:gridCol w:w="2434"/>
      </w:tblGrid>
      <w:tr>
        <w:tblPrEx>
          <w:tblBorders>
            <w:top w:val="none" w:color="auto" w:sz="0" w:space="0"/>
            <w:left w:val="single" w:color="000000" w:sz="4" w:space="0"/>
            <w:bottom w:val="single" w:color="000000" w:sz="4" w:space="0"/>
            <w:right w:val="single" w:color="000000" w:sz="4" w:space="0"/>
            <w:insideH w:val="single" w:color="auto" w:sz="4" w:space="0"/>
            <w:insideV w:val="single" w:color="000000" w:sz="4" w:space="0"/>
          </w:tblBorders>
          <w:tblCellMar>
            <w:top w:w="17" w:type="dxa"/>
            <w:left w:w="17" w:type="dxa"/>
            <w:bottom w:w="17" w:type="dxa"/>
            <w:right w:w="17" w:type="dxa"/>
          </w:tblCellMar>
        </w:tblPrEx>
        <w:trPr>
          <w:trHeight w:val="1012" w:hRule="atLeast"/>
        </w:trPr>
        <w:tc>
          <w:tcPr>
            <w:tcW w:w="2059" w:type="dxa"/>
            <w:tcBorders>
              <w:tl2br w:val="nil"/>
              <w:tr2bl w:val="nil"/>
            </w:tcBorders>
            <w:noWrap w:val="0"/>
            <w:vAlign w:val="center"/>
          </w:tcPr>
          <w:p>
            <w:pPr>
              <w:widowControl/>
              <w:spacing w:line="320" w:lineRule="exact"/>
              <w:jc w:val="center"/>
              <w:textAlignment w:val="center"/>
              <w:rPr>
                <w:rFonts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评价时间</w:t>
            </w:r>
          </w:p>
        </w:tc>
        <w:tc>
          <w:tcPr>
            <w:tcW w:w="2252" w:type="dxa"/>
            <w:tcBorders>
              <w:tl2br w:val="nil"/>
              <w:tr2bl w:val="nil"/>
            </w:tcBorders>
            <w:noWrap w:val="0"/>
            <w:vAlign w:val="center"/>
          </w:tcPr>
          <w:p>
            <w:pPr>
              <w:widowControl/>
              <w:spacing w:line="320" w:lineRule="exact"/>
              <w:jc w:val="left"/>
              <w:textAlignment w:val="center"/>
              <w:rPr>
                <w:rFonts w:ascii="仿宋_GB2312" w:hAnsi="宋体" w:eastAsia="仿宋_GB2312" w:cs="仿宋_GB2312"/>
                <w:color w:val="000000"/>
                <w:sz w:val="20"/>
                <w:szCs w:val="20"/>
                <w:highlight w:val="none"/>
              </w:rPr>
            </w:pPr>
            <w:r>
              <w:rPr>
                <w:rFonts w:hint="eastAsia" w:ascii="仿宋_GB2312" w:hAnsi="宋体" w:eastAsia="仿宋_GB2312" w:cs="仿宋_GB2312"/>
                <w:color w:val="000000"/>
                <w:sz w:val="20"/>
                <w:szCs w:val="20"/>
                <w:highlight w:val="none"/>
              </w:rPr>
              <w:t>20</w:t>
            </w:r>
            <w:r>
              <w:rPr>
                <w:rFonts w:hint="eastAsia" w:ascii="仿宋_GB2312" w:hAnsi="宋体" w:eastAsia="仿宋_GB2312" w:cs="仿宋_GB2312"/>
                <w:color w:val="000000"/>
                <w:sz w:val="20"/>
                <w:szCs w:val="20"/>
                <w:highlight w:val="none"/>
                <w:lang w:val="en-US" w:eastAsia="zh-CN"/>
              </w:rPr>
              <w:t>22</w:t>
            </w:r>
            <w:r>
              <w:rPr>
                <w:rFonts w:hint="eastAsia" w:ascii="仿宋_GB2312" w:hAnsi="宋体" w:eastAsia="仿宋_GB2312" w:cs="仿宋_GB2312"/>
                <w:color w:val="000000"/>
                <w:sz w:val="20"/>
                <w:szCs w:val="20"/>
                <w:highlight w:val="none"/>
              </w:rPr>
              <w:t>年</w:t>
            </w:r>
            <w:r>
              <w:rPr>
                <w:rFonts w:hint="eastAsia" w:ascii="仿宋_GB2312" w:hAnsi="宋体" w:eastAsia="仿宋_GB2312" w:cs="仿宋_GB2312"/>
                <w:color w:val="000000"/>
                <w:sz w:val="20"/>
                <w:szCs w:val="20"/>
                <w:highlight w:val="none"/>
                <w:lang w:val="en-US" w:eastAsia="zh-CN"/>
              </w:rPr>
              <w:t>8</w:t>
            </w:r>
            <w:r>
              <w:rPr>
                <w:rFonts w:hint="eastAsia" w:ascii="仿宋_GB2312" w:hAnsi="宋体" w:eastAsia="仿宋_GB2312" w:cs="仿宋_GB2312"/>
                <w:color w:val="000000"/>
                <w:sz w:val="20"/>
                <w:szCs w:val="20"/>
                <w:highlight w:val="none"/>
              </w:rPr>
              <w:t>月</w:t>
            </w:r>
            <w:r>
              <w:rPr>
                <w:rFonts w:hint="eastAsia" w:ascii="仿宋_GB2312" w:hAnsi="宋体" w:eastAsia="仿宋_GB2312" w:cs="仿宋_GB2312"/>
                <w:color w:val="000000"/>
                <w:sz w:val="20"/>
                <w:szCs w:val="20"/>
                <w:highlight w:val="none"/>
                <w:lang w:val="en-US" w:eastAsia="zh-CN"/>
              </w:rPr>
              <w:t>24</w:t>
            </w:r>
            <w:r>
              <w:rPr>
                <w:rFonts w:hint="eastAsia" w:ascii="仿宋_GB2312" w:hAnsi="宋体" w:eastAsia="仿宋_GB2312" w:cs="仿宋_GB2312"/>
                <w:color w:val="000000"/>
                <w:sz w:val="20"/>
                <w:szCs w:val="20"/>
                <w:highlight w:val="none"/>
              </w:rPr>
              <w:t>日—20</w:t>
            </w:r>
            <w:r>
              <w:rPr>
                <w:rFonts w:hint="eastAsia" w:ascii="仿宋_GB2312" w:hAnsi="宋体" w:eastAsia="仿宋_GB2312" w:cs="仿宋_GB2312"/>
                <w:color w:val="000000"/>
                <w:sz w:val="20"/>
                <w:szCs w:val="20"/>
                <w:highlight w:val="none"/>
                <w:lang w:val="en-US" w:eastAsia="zh-CN"/>
              </w:rPr>
              <w:t>22</w:t>
            </w:r>
            <w:r>
              <w:rPr>
                <w:rFonts w:hint="eastAsia" w:ascii="仿宋_GB2312" w:hAnsi="宋体" w:eastAsia="仿宋_GB2312" w:cs="仿宋_GB2312"/>
                <w:color w:val="000000"/>
                <w:sz w:val="20"/>
                <w:szCs w:val="20"/>
                <w:highlight w:val="none"/>
              </w:rPr>
              <w:t>年</w:t>
            </w:r>
            <w:r>
              <w:rPr>
                <w:rFonts w:hint="eastAsia" w:ascii="仿宋_GB2312" w:hAnsi="宋体" w:eastAsia="仿宋_GB2312" w:cs="仿宋_GB2312"/>
                <w:color w:val="000000"/>
                <w:sz w:val="20"/>
                <w:szCs w:val="20"/>
                <w:highlight w:val="none"/>
                <w:lang w:val="en-US" w:eastAsia="zh-CN"/>
              </w:rPr>
              <w:t>12</w:t>
            </w:r>
            <w:r>
              <w:rPr>
                <w:rFonts w:hint="eastAsia" w:ascii="仿宋_GB2312" w:hAnsi="宋体" w:eastAsia="仿宋_GB2312" w:cs="仿宋_GB2312"/>
                <w:color w:val="000000"/>
                <w:sz w:val="20"/>
                <w:szCs w:val="20"/>
                <w:highlight w:val="none"/>
              </w:rPr>
              <w:t>月</w:t>
            </w:r>
            <w:r>
              <w:rPr>
                <w:rFonts w:hint="eastAsia" w:ascii="仿宋_GB2312" w:hAnsi="宋体" w:eastAsia="仿宋_GB2312" w:cs="仿宋_GB2312"/>
                <w:color w:val="000000"/>
                <w:sz w:val="20"/>
                <w:szCs w:val="20"/>
                <w:highlight w:val="none"/>
                <w:lang w:val="en-US" w:eastAsia="zh-CN"/>
              </w:rPr>
              <w:t>30</w:t>
            </w:r>
            <w:r>
              <w:rPr>
                <w:rFonts w:hint="eastAsia" w:ascii="仿宋_GB2312" w:hAnsi="宋体" w:eastAsia="仿宋_GB2312" w:cs="仿宋_GB2312"/>
                <w:color w:val="000000"/>
                <w:sz w:val="20"/>
                <w:szCs w:val="20"/>
                <w:highlight w:val="none"/>
              </w:rPr>
              <w:t>日</w:t>
            </w:r>
          </w:p>
        </w:tc>
        <w:tc>
          <w:tcPr>
            <w:tcW w:w="2238" w:type="dxa"/>
            <w:tcBorders>
              <w:tl2br w:val="nil"/>
              <w:tr2bl w:val="nil"/>
            </w:tcBorders>
            <w:noWrap w:val="0"/>
            <w:vAlign w:val="center"/>
          </w:tcPr>
          <w:p>
            <w:pPr>
              <w:widowControl/>
              <w:spacing w:line="320" w:lineRule="exact"/>
              <w:jc w:val="center"/>
              <w:textAlignment w:val="center"/>
              <w:rPr>
                <w:rFonts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评价机构报告编号</w:t>
            </w:r>
          </w:p>
        </w:tc>
        <w:tc>
          <w:tcPr>
            <w:tcW w:w="2434" w:type="dxa"/>
            <w:tcBorders>
              <w:tl2br w:val="nil"/>
              <w:tr2bl w:val="nil"/>
            </w:tcBorders>
            <w:noWrap w:val="0"/>
            <w:vAlign w:val="center"/>
          </w:tcPr>
          <w:p>
            <w:pPr>
              <w:widowControl/>
              <w:spacing w:line="320" w:lineRule="exact"/>
              <w:jc w:val="center"/>
              <w:textAlignment w:val="center"/>
              <w:rPr>
                <w:rFonts w:hint="eastAsia" w:ascii="仿宋_GB2312" w:hAnsi="宋体" w:eastAsia="仿宋_GB2312" w:cs="仿宋_GB2312"/>
                <w:color w:val="000000"/>
                <w:sz w:val="20"/>
                <w:szCs w:val="20"/>
                <w:highlight w:val="none"/>
              </w:rPr>
            </w:pPr>
            <w:r>
              <w:rPr>
                <w:rFonts w:hint="eastAsia" w:ascii="仿宋_GB2312" w:hAnsi="宋体" w:eastAsia="仿宋_GB2312" w:cs="仿宋_GB2312"/>
                <w:color w:val="000000"/>
                <w:sz w:val="20"/>
                <w:szCs w:val="20"/>
                <w:highlight w:val="none"/>
              </w:rPr>
              <w:t>贵州黔元</w:t>
            </w:r>
          </w:p>
          <w:p>
            <w:pPr>
              <w:widowControl/>
              <w:spacing w:line="320" w:lineRule="exact"/>
              <w:jc w:val="center"/>
              <w:textAlignment w:val="center"/>
              <w:rPr>
                <w:rFonts w:ascii="仿宋_GB2312" w:hAnsi="宋体" w:eastAsia="仿宋_GB2312" w:cs="仿宋_GB2312"/>
                <w:color w:val="000000"/>
                <w:sz w:val="20"/>
                <w:szCs w:val="20"/>
                <w:highlight w:val="none"/>
              </w:rPr>
            </w:pPr>
            <w:r>
              <w:rPr>
                <w:rFonts w:hint="eastAsia" w:ascii="仿宋_GB2312" w:hAnsi="宋体" w:eastAsia="仿宋_GB2312" w:cs="仿宋_GB2312"/>
                <w:color w:val="000000"/>
                <w:sz w:val="20"/>
                <w:szCs w:val="20"/>
                <w:highlight w:val="none"/>
              </w:rPr>
              <w:t>绩效字〔2022〕第</w:t>
            </w:r>
            <w:r>
              <w:rPr>
                <w:rFonts w:hint="eastAsia" w:ascii="仿宋_GB2312" w:hAnsi="宋体" w:eastAsia="仿宋_GB2312" w:cs="仿宋_GB2312"/>
                <w:color w:val="000000"/>
                <w:sz w:val="20"/>
                <w:szCs w:val="20"/>
                <w:highlight w:val="none"/>
                <w:lang w:val="en-US" w:eastAsia="zh-CN"/>
              </w:rPr>
              <w:t>27</w:t>
            </w:r>
            <w:r>
              <w:rPr>
                <w:rFonts w:hint="eastAsia" w:ascii="仿宋_GB2312" w:hAnsi="宋体" w:eastAsia="仿宋_GB2312" w:cs="仿宋_GB2312"/>
                <w:color w:val="000000"/>
                <w:sz w:val="20"/>
                <w:szCs w:val="20"/>
                <w:highlight w:val="none"/>
              </w:rPr>
              <w:t>号</w:t>
            </w:r>
          </w:p>
        </w:tc>
      </w:tr>
      <w:tr>
        <w:tblPrEx>
          <w:tblBorders>
            <w:top w:val="none" w:color="auto" w:sz="0" w:space="0"/>
            <w:left w:val="single" w:color="000000" w:sz="4" w:space="0"/>
            <w:bottom w:val="single" w:color="000000" w:sz="4" w:space="0"/>
            <w:right w:val="single" w:color="000000" w:sz="4" w:space="0"/>
            <w:insideH w:val="single" w:color="auto" w:sz="4" w:space="0"/>
            <w:insideV w:val="single" w:color="000000" w:sz="4" w:space="0"/>
          </w:tblBorders>
          <w:tblCellMar>
            <w:top w:w="17" w:type="dxa"/>
            <w:left w:w="17" w:type="dxa"/>
            <w:bottom w:w="17" w:type="dxa"/>
            <w:right w:w="17" w:type="dxa"/>
          </w:tblCellMar>
        </w:tblPrEx>
        <w:trPr>
          <w:trHeight w:val="2234" w:hRule="atLeast"/>
        </w:trPr>
        <w:tc>
          <w:tcPr>
            <w:tcW w:w="2059" w:type="dxa"/>
            <w:tcBorders>
              <w:tl2br w:val="nil"/>
              <w:tr2bl w:val="nil"/>
            </w:tcBorders>
            <w:noWrap w:val="0"/>
            <w:vAlign w:val="center"/>
          </w:tcPr>
          <w:p>
            <w:pPr>
              <w:widowControl/>
              <w:spacing w:line="320" w:lineRule="exact"/>
              <w:jc w:val="center"/>
              <w:textAlignment w:val="center"/>
              <w:rPr>
                <w:rFonts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lang w:eastAsia="zh-CN"/>
              </w:rPr>
              <w:t>项目主评人</w:t>
            </w:r>
            <w:r>
              <w:rPr>
                <w:rFonts w:hint="eastAsia" w:ascii="黑体" w:hAnsi="黑体" w:eastAsia="黑体" w:cs="仿宋_GB2312"/>
                <w:color w:val="000000"/>
                <w:sz w:val="20"/>
                <w:szCs w:val="20"/>
                <w:highlight w:val="none"/>
              </w:rPr>
              <w:t>（签字）</w:t>
            </w:r>
          </w:p>
          <w:p>
            <w:pPr>
              <w:widowControl/>
              <w:spacing w:line="320" w:lineRule="exact"/>
              <w:jc w:val="center"/>
              <w:textAlignment w:val="center"/>
              <w:rPr>
                <w:rFonts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及联系方式</w:t>
            </w:r>
          </w:p>
        </w:tc>
        <w:tc>
          <w:tcPr>
            <w:tcW w:w="2252" w:type="dxa"/>
            <w:tcBorders>
              <w:tl2br w:val="nil"/>
              <w:tr2bl w:val="nil"/>
            </w:tcBorders>
            <w:noWrap w:val="0"/>
            <w:vAlign w:val="center"/>
          </w:tcPr>
          <w:p>
            <w:pPr>
              <w:widowControl/>
              <w:spacing w:line="320" w:lineRule="exact"/>
              <w:jc w:val="left"/>
              <w:textAlignment w:val="center"/>
              <w:rPr>
                <w:rFonts w:ascii="仿宋_GB2312" w:hAnsi="宋体" w:eastAsia="仿宋_GB2312" w:cs="仿宋_GB2312"/>
                <w:color w:val="000000"/>
                <w:sz w:val="20"/>
                <w:szCs w:val="20"/>
                <w:highlight w:val="none"/>
              </w:rPr>
            </w:pPr>
          </w:p>
          <w:p>
            <w:pPr>
              <w:pStyle w:val="25"/>
              <w:rPr>
                <w:rFonts w:ascii="仿宋_GB2312" w:hAnsi="宋体" w:eastAsia="仿宋_GB2312" w:cs="仿宋_GB2312"/>
                <w:color w:val="000000"/>
                <w:sz w:val="20"/>
                <w:szCs w:val="20"/>
                <w:highlight w:val="none"/>
              </w:rPr>
            </w:pPr>
          </w:p>
          <w:p>
            <w:pPr>
              <w:pStyle w:val="25"/>
              <w:rPr>
                <w:rFonts w:ascii="仿宋_GB2312" w:hAnsi="宋体" w:eastAsia="仿宋_GB2312" w:cs="仿宋_GB2312"/>
                <w:color w:val="000000"/>
                <w:sz w:val="20"/>
                <w:szCs w:val="20"/>
                <w:highlight w:val="none"/>
              </w:rPr>
            </w:pPr>
          </w:p>
          <w:p>
            <w:pPr>
              <w:widowControl/>
              <w:spacing w:line="320" w:lineRule="exact"/>
              <w:jc w:val="left"/>
              <w:textAlignment w:val="center"/>
              <w:rPr>
                <w:rFonts w:ascii="仿宋_GB2312" w:hAnsi="宋体" w:eastAsia="仿宋_GB2312" w:cs="仿宋_GB2312"/>
                <w:color w:val="000000"/>
                <w:sz w:val="20"/>
                <w:szCs w:val="20"/>
                <w:highlight w:val="none"/>
              </w:rPr>
            </w:pPr>
          </w:p>
          <w:p>
            <w:pPr>
              <w:widowControl/>
              <w:spacing w:line="320" w:lineRule="exact"/>
              <w:jc w:val="left"/>
              <w:textAlignment w:val="center"/>
              <w:rPr>
                <w:rFonts w:hint="default" w:ascii="仿宋_GB2312" w:hAnsi="宋体" w:eastAsia="仿宋_GB2312" w:cs="仿宋_GB2312"/>
                <w:color w:val="000000"/>
                <w:sz w:val="20"/>
                <w:szCs w:val="20"/>
                <w:highlight w:val="none"/>
                <w:lang w:val="en-US" w:eastAsia="zh-CN"/>
              </w:rPr>
            </w:pPr>
            <w:r>
              <w:rPr>
                <w:rFonts w:hint="eastAsia" w:ascii="仿宋_GB2312" w:hAnsi="宋体" w:eastAsia="仿宋_GB2312" w:cs="仿宋_GB2312"/>
                <w:color w:val="000000"/>
                <w:sz w:val="20"/>
                <w:szCs w:val="20"/>
                <w:highlight w:val="none"/>
                <w:lang w:val="en-US" w:eastAsia="zh-CN"/>
              </w:rPr>
              <w:t>宫经全：13985455127</w:t>
            </w:r>
          </w:p>
        </w:tc>
        <w:tc>
          <w:tcPr>
            <w:tcW w:w="2238" w:type="dxa"/>
            <w:tcBorders>
              <w:tl2br w:val="nil"/>
              <w:tr2bl w:val="nil"/>
            </w:tcBorders>
            <w:noWrap w:val="0"/>
            <w:vAlign w:val="center"/>
          </w:tcPr>
          <w:p>
            <w:pPr>
              <w:widowControl/>
              <w:spacing w:line="320" w:lineRule="exact"/>
              <w:jc w:val="center"/>
              <w:textAlignment w:val="center"/>
              <w:rPr>
                <w:rFonts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法定代表人（签字）</w:t>
            </w:r>
          </w:p>
          <w:p>
            <w:pPr>
              <w:widowControl/>
              <w:spacing w:line="320" w:lineRule="exact"/>
              <w:jc w:val="center"/>
              <w:textAlignment w:val="center"/>
              <w:rPr>
                <w:rFonts w:ascii="黑体" w:hAnsi="黑体" w:eastAsia="黑体" w:cs="仿宋_GB2312"/>
                <w:color w:val="000000"/>
                <w:sz w:val="20"/>
                <w:szCs w:val="20"/>
                <w:highlight w:val="none"/>
              </w:rPr>
            </w:pPr>
            <w:r>
              <w:rPr>
                <w:rFonts w:hint="eastAsia" w:ascii="黑体" w:hAnsi="黑体" w:eastAsia="黑体" w:cs="仿宋_GB2312"/>
                <w:color w:val="000000"/>
                <w:sz w:val="20"/>
                <w:szCs w:val="20"/>
                <w:highlight w:val="none"/>
              </w:rPr>
              <w:t>及联系方式</w:t>
            </w:r>
          </w:p>
        </w:tc>
        <w:tc>
          <w:tcPr>
            <w:tcW w:w="2434" w:type="dxa"/>
            <w:tcBorders>
              <w:tl2br w:val="nil"/>
              <w:tr2bl w:val="nil"/>
            </w:tcBorders>
            <w:noWrap w:val="0"/>
            <w:vAlign w:val="center"/>
          </w:tcPr>
          <w:p>
            <w:pPr>
              <w:widowControl/>
              <w:spacing w:line="320" w:lineRule="exact"/>
              <w:jc w:val="left"/>
              <w:textAlignment w:val="center"/>
              <w:rPr>
                <w:rFonts w:hint="eastAsia" w:ascii="仿宋_GB2312" w:hAnsi="仿宋_GB2312" w:eastAsia="仿宋_GB2312" w:cs="仿宋_GB2312"/>
                <w:sz w:val="20"/>
                <w:szCs w:val="20"/>
                <w:highlight w:val="none"/>
              </w:rPr>
            </w:pPr>
          </w:p>
          <w:p>
            <w:pPr>
              <w:pStyle w:val="25"/>
              <w:rPr>
                <w:rFonts w:hint="eastAsia" w:ascii="仿宋_GB2312" w:hAnsi="仿宋_GB2312" w:eastAsia="仿宋_GB2312" w:cs="仿宋_GB2312"/>
                <w:sz w:val="20"/>
                <w:szCs w:val="20"/>
                <w:highlight w:val="none"/>
              </w:rPr>
            </w:pPr>
          </w:p>
          <w:p>
            <w:pPr>
              <w:pStyle w:val="25"/>
              <w:rPr>
                <w:rFonts w:hint="eastAsia" w:ascii="仿宋_GB2312" w:hAnsi="仿宋_GB2312" w:eastAsia="仿宋_GB2312" w:cs="仿宋_GB2312"/>
                <w:sz w:val="20"/>
                <w:szCs w:val="20"/>
                <w:highlight w:val="none"/>
              </w:rPr>
            </w:pPr>
          </w:p>
          <w:p>
            <w:pPr>
              <w:widowControl/>
              <w:spacing w:line="320" w:lineRule="exact"/>
              <w:jc w:val="left"/>
              <w:textAlignment w:val="center"/>
              <w:rPr>
                <w:rFonts w:hint="eastAsia" w:ascii="仿宋_GB2312" w:hAnsi="仿宋_GB2312" w:eastAsia="仿宋_GB2312" w:cs="仿宋_GB2312"/>
                <w:sz w:val="20"/>
                <w:szCs w:val="20"/>
                <w:highlight w:val="none"/>
              </w:rPr>
            </w:pPr>
          </w:p>
          <w:p>
            <w:pPr>
              <w:widowControl/>
              <w:spacing w:line="320" w:lineRule="exact"/>
              <w:jc w:val="left"/>
              <w:textAlignment w:val="center"/>
              <w:rPr>
                <w:rFonts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陈万琪：</w:t>
            </w:r>
            <w:r>
              <w:rPr>
                <w:rFonts w:ascii="仿宋_GB2312" w:hAnsi="仿宋_GB2312" w:eastAsia="仿宋_GB2312" w:cs="仿宋_GB2312"/>
                <w:sz w:val="20"/>
                <w:szCs w:val="20"/>
                <w:highlight w:val="none"/>
              </w:rPr>
              <w:t>13985006396</w:t>
            </w:r>
          </w:p>
        </w:tc>
      </w:tr>
    </w:tbl>
    <w:p>
      <w:pPr>
        <w:rPr>
          <w:rFonts w:eastAsia="方正小标宋简体"/>
          <w:sz w:val="44"/>
          <w:szCs w:val="44"/>
          <w:highlight w:val="none"/>
        </w:rPr>
        <w:sectPr>
          <w:footerReference r:id="rId3" w:type="default"/>
          <w:footerReference r:id="rId4" w:type="even"/>
          <w:pgSz w:w="11906" w:h="16838"/>
          <w:pgMar w:top="1985" w:right="1474" w:bottom="1871" w:left="1474" w:header="851" w:footer="1474" w:gutter="0"/>
          <w:pgBorders>
            <w:top w:val="none" w:sz="0" w:space="0"/>
            <w:left w:val="none" w:sz="0" w:space="0"/>
            <w:bottom w:val="none" w:sz="0" w:space="0"/>
            <w:right w:val="none" w:sz="0" w:space="0"/>
          </w:pgBorders>
          <w:pgNumType w:fmt="decimal" w:start="1"/>
          <w:cols w:space="425" w:num="1"/>
          <w:docGrid w:type="lines" w:linePitch="312" w:charSpace="0"/>
        </w:sectPr>
      </w:pPr>
    </w:p>
    <w:p>
      <w:pPr>
        <w:widowControl w:val="0"/>
        <w:spacing w:line="590" w:lineRule="exact"/>
        <w:ind w:firstLine="664" w:firstLineChars="200"/>
        <w:jc w:val="both"/>
        <w:outlineLvl w:val="0"/>
        <w:rPr>
          <w:rFonts w:ascii="黑体" w:hAnsi="黑体" w:eastAsia="黑体"/>
          <w:spacing w:val="6"/>
          <w:sz w:val="32"/>
          <w:szCs w:val="32"/>
        </w:rPr>
      </w:pPr>
      <w:bookmarkStart w:id="0" w:name="_Toc26995"/>
      <w:bookmarkStart w:id="1" w:name="_Toc4210"/>
      <w:bookmarkStart w:id="2" w:name="_Toc304"/>
      <w:bookmarkStart w:id="3" w:name="_Toc19501"/>
      <w:bookmarkStart w:id="4" w:name="_Toc28445"/>
      <w:bookmarkStart w:id="5" w:name="_Toc17577"/>
      <w:bookmarkStart w:id="6" w:name="_Toc41306265"/>
      <w:bookmarkStart w:id="7" w:name="_Toc11442"/>
      <w:bookmarkStart w:id="8" w:name="_Hlk49420951"/>
      <w:r>
        <w:rPr>
          <w:rFonts w:hint="eastAsia" w:ascii="黑体" w:hAnsi="黑体" w:eastAsia="黑体"/>
          <w:spacing w:val="6"/>
          <w:sz w:val="32"/>
          <w:szCs w:val="32"/>
        </w:rPr>
        <w:t>一、</w:t>
      </w:r>
      <w:bookmarkStart w:id="131" w:name="_GoBack"/>
      <w:bookmarkEnd w:id="131"/>
      <w:r>
        <w:rPr>
          <w:rFonts w:hint="eastAsia" w:ascii="黑体" w:hAnsi="黑体" w:eastAsia="黑体"/>
          <w:spacing w:val="6"/>
          <w:sz w:val="32"/>
          <w:szCs w:val="32"/>
        </w:rPr>
        <w:t>基本情况</w:t>
      </w:r>
      <w:bookmarkEnd w:id="0"/>
      <w:bookmarkEnd w:id="1"/>
      <w:bookmarkEnd w:id="2"/>
      <w:bookmarkEnd w:id="3"/>
      <w:bookmarkEnd w:id="4"/>
      <w:bookmarkEnd w:id="5"/>
      <w:bookmarkEnd w:id="6"/>
      <w:bookmarkEnd w:id="7"/>
    </w:p>
    <w:p>
      <w:pPr>
        <w:widowControl w:val="0"/>
        <w:spacing w:line="590" w:lineRule="exact"/>
        <w:ind w:firstLine="664" w:firstLineChars="200"/>
        <w:jc w:val="both"/>
        <w:outlineLvl w:val="1"/>
        <w:rPr>
          <w:rFonts w:hint="default" w:ascii="楷体_GB2312" w:hAnsi="楷体_GB2312" w:eastAsia="楷体_GB2312" w:cs="楷体_GB2312"/>
          <w:b/>
          <w:spacing w:val="6"/>
          <w:sz w:val="32"/>
          <w:szCs w:val="32"/>
          <w:lang w:val="en-US" w:eastAsia="zh-CN"/>
        </w:rPr>
      </w:pPr>
      <w:bookmarkStart w:id="9" w:name="_Toc11866"/>
      <w:bookmarkStart w:id="10" w:name="_Toc12962"/>
      <w:bookmarkStart w:id="11" w:name="_Toc18106"/>
      <w:bookmarkStart w:id="12" w:name="_Toc29895"/>
      <w:bookmarkStart w:id="13" w:name="_Toc25703"/>
      <w:bookmarkStart w:id="14" w:name="_Toc6400"/>
      <w:bookmarkStart w:id="15" w:name="_Toc24117"/>
      <w:r>
        <w:rPr>
          <w:rFonts w:hint="eastAsia" w:ascii="楷体_GB2312" w:hAnsi="楷体_GB2312" w:eastAsia="楷体_GB2312" w:cs="楷体_GB2312"/>
          <w:spacing w:val="6"/>
          <w:sz w:val="32"/>
          <w:szCs w:val="32"/>
        </w:rPr>
        <w:fldChar w:fldCharType="begin"/>
      </w:r>
      <w:r>
        <w:rPr>
          <w:rFonts w:hint="eastAsia" w:ascii="楷体_GB2312" w:hAnsi="楷体_GB2312" w:eastAsia="楷体_GB2312" w:cs="楷体_GB2312"/>
          <w:spacing w:val="6"/>
          <w:sz w:val="32"/>
          <w:szCs w:val="32"/>
        </w:rPr>
        <w:instrText xml:space="preserve"> HYPERLINK \l "_Toc434746187" </w:instrText>
      </w:r>
      <w:r>
        <w:rPr>
          <w:rFonts w:hint="eastAsia" w:ascii="楷体_GB2312" w:hAnsi="楷体_GB2312" w:eastAsia="楷体_GB2312" w:cs="楷体_GB2312"/>
          <w:spacing w:val="6"/>
          <w:sz w:val="32"/>
          <w:szCs w:val="32"/>
        </w:rPr>
        <w:fldChar w:fldCharType="separate"/>
      </w:r>
      <w:bookmarkStart w:id="16" w:name="_Toc41306266"/>
      <w:r>
        <w:rPr>
          <w:rFonts w:hint="eastAsia" w:ascii="楷体_GB2312" w:hAnsi="楷体_GB2312" w:eastAsia="楷体_GB2312" w:cs="楷体_GB2312"/>
          <w:spacing w:val="6"/>
          <w:sz w:val="32"/>
          <w:szCs w:val="32"/>
          <w:lang w:val="zh-CN"/>
        </w:rPr>
        <w:t>（一）</w:t>
      </w:r>
      <w:r>
        <w:rPr>
          <w:rFonts w:hint="eastAsia" w:ascii="楷体_GB2312" w:hAnsi="楷体_GB2312" w:eastAsia="楷体_GB2312" w:cs="楷体_GB2312"/>
          <w:spacing w:val="6"/>
          <w:sz w:val="32"/>
          <w:szCs w:val="32"/>
          <w:lang w:val="zh-CN"/>
        </w:rPr>
        <w:fldChar w:fldCharType="end"/>
      </w:r>
      <w:bookmarkEnd w:id="9"/>
      <w:bookmarkEnd w:id="10"/>
      <w:bookmarkEnd w:id="11"/>
      <w:bookmarkEnd w:id="16"/>
      <w:r>
        <w:rPr>
          <w:rFonts w:hint="eastAsia" w:ascii="楷体_GB2312" w:hAnsi="楷体_GB2312" w:eastAsia="楷体_GB2312" w:cs="楷体_GB2312"/>
          <w:spacing w:val="6"/>
          <w:sz w:val="32"/>
          <w:szCs w:val="32"/>
          <w:lang w:val="en-US" w:eastAsia="zh-CN"/>
        </w:rPr>
        <w:t>部门概况</w:t>
      </w:r>
      <w:bookmarkEnd w:id="12"/>
      <w:bookmarkEnd w:id="13"/>
      <w:bookmarkEnd w:id="14"/>
      <w:bookmarkEnd w:id="15"/>
    </w:p>
    <w:p>
      <w:pPr>
        <w:spacing w:line="590" w:lineRule="exact"/>
        <w:ind w:firstLine="664" w:firstLineChars="200"/>
        <w:jc w:val="both"/>
        <w:rPr>
          <w:rFonts w:hint="eastAsia" w:ascii="仿宋_GB2312" w:hAnsi="仿宋_GB2312" w:eastAsia="仿宋_GB2312" w:cs="仿宋_GB2312"/>
          <w:bCs/>
          <w:spacing w:val="6"/>
          <w:sz w:val="32"/>
          <w:szCs w:val="32"/>
        </w:rPr>
      </w:pPr>
      <w:r>
        <w:rPr>
          <w:rFonts w:hint="eastAsia" w:ascii="仿宋_GB2312" w:hAnsi="仿宋_GB2312" w:eastAsia="仿宋_GB2312" w:cs="仿宋_GB2312"/>
          <w:bCs/>
          <w:spacing w:val="6"/>
          <w:sz w:val="32"/>
          <w:szCs w:val="32"/>
        </w:rPr>
        <w:t>2019年3月2</w:t>
      </w:r>
      <w:r>
        <w:rPr>
          <w:rFonts w:hint="eastAsia" w:ascii="仿宋_GB2312" w:hAnsi="仿宋_GB2312" w:eastAsia="仿宋_GB2312" w:cs="仿宋_GB2312"/>
          <w:bCs/>
          <w:spacing w:val="6"/>
          <w:sz w:val="32"/>
          <w:szCs w:val="32"/>
          <w:lang w:val="en-US" w:eastAsia="zh-CN"/>
        </w:rPr>
        <w:t>5</w:t>
      </w:r>
      <w:r>
        <w:rPr>
          <w:rFonts w:hint="eastAsia" w:ascii="仿宋_GB2312" w:hAnsi="仿宋_GB2312" w:eastAsia="仿宋_GB2312" w:cs="仿宋_GB2312"/>
          <w:bCs/>
          <w:spacing w:val="6"/>
          <w:sz w:val="32"/>
          <w:szCs w:val="32"/>
        </w:rPr>
        <w:t>日，《中共</w:t>
      </w:r>
      <w:r>
        <w:rPr>
          <w:rFonts w:hint="eastAsia" w:ascii="仿宋_GB2312" w:hAnsi="仿宋_GB2312" w:eastAsia="仿宋_GB2312" w:cs="仿宋_GB2312"/>
          <w:bCs/>
          <w:spacing w:val="6"/>
          <w:sz w:val="32"/>
          <w:szCs w:val="32"/>
          <w:lang w:val="en-US" w:eastAsia="zh-CN"/>
        </w:rPr>
        <w:t>云岩</w:t>
      </w:r>
      <w:r>
        <w:rPr>
          <w:rFonts w:hint="eastAsia" w:ascii="仿宋_GB2312" w:hAnsi="仿宋_GB2312" w:eastAsia="仿宋_GB2312" w:cs="仿宋_GB2312"/>
          <w:bCs/>
          <w:spacing w:val="6"/>
          <w:sz w:val="32"/>
          <w:szCs w:val="32"/>
        </w:rPr>
        <w:t xml:space="preserve">区委办公室 </w:t>
      </w:r>
      <w:r>
        <w:rPr>
          <w:rFonts w:hint="eastAsia" w:ascii="仿宋_GB2312" w:hAnsi="仿宋_GB2312" w:eastAsia="仿宋_GB2312" w:cs="仿宋_GB2312"/>
          <w:bCs/>
          <w:spacing w:val="6"/>
          <w:sz w:val="32"/>
          <w:szCs w:val="32"/>
          <w:lang w:val="en-US" w:eastAsia="zh-CN"/>
        </w:rPr>
        <w:t>云岩</w:t>
      </w:r>
      <w:r>
        <w:rPr>
          <w:rFonts w:hint="eastAsia" w:ascii="仿宋_GB2312" w:hAnsi="仿宋_GB2312" w:eastAsia="仿宋_GB2312" w:cs="仿宋_GB2312"/>
          <w:bCs/>
          <w:spacing w:val="6"/>
          <w:sz w:val="32"/>
          <w:szCs w:val="32"/>
        </w:rPr>
        <w:t>区人民政府办公室关于印发〈贵阳市</w:t>
      </w:r>
      <w:r>
        <w:rPr>
          <w:rFonts w:hint="eastAsia" w:ascii="仿宋_GB2312" w:hAnsi="仿宋_GB2312" w:eastAsia="仿宋_GB2312" w:cs="仿宋_GB2312"/>
          <w:bCs/>
          <w:spacing w:val="6"/>
          <w:sz w:val="32"/>
          <w:szCs w:val="32"/>
          <w:lang w:val="en-US" w:eastAsia="zh-CN"/>
        </w:rPr>
        <w:t>云岩</w:t>
      </w:r>
      <w:r>
        <w:rPr>
          <w:rFonts w:hint="eastAsia" w:ascii="仿宋_GB2312" w:hAnsi="仿宋_GB2312" w:eastAsia="仿宋_GB2312" w:cs="仿宋_GB2312"/>
          <w:bCs/>
          <w:spacing w:val="6"/>
          <w:sz w:val="32"/>
          <w:szCs w:val="32"/>
        </w:rPr>
        <w:t>区</w:t>
      </w:r>
      <w:r>
        <w:rPr>
          <w:rFonts w:hint="eastAsia" w:ascii="仿宋_GB2312" w:hAnsi="仿宋_GB2312" w:eastAsia="仿宋_GB2312" w:cs="仿宋_GB2312"/>
          <w:bCs/>
          <w:spacing w:val="6"/>
          <w:sz w:val="32"/>
          <w:szCs w:val="32"/>
          <w:lang w:val="en-US" w:eastAsia="zh-CN"/>
        </w:rPr>
        <w:t>工业和信息化</w:t>
      </w:r>
      <w:r>
        <w:rPr>
          <w:rFonts w:hint="eastAsia" w:ascii="仿宋_GB2312" w:hAnsi="仿宋_GB2312" w:eastAsia="仿宋_GB2312" w:cs="仿宋_GB2312"/>
          <w:bCs/>
          <w:spacing w:val="6"/>
          <w:sz w:val="32"/>
          <w:szCs w:val="32"/>
        </w:rPr>
        <w:t>局职能配置、内设机构和人员编制规定〉的通知》（</w:t>
      </w:r>
      <w:r>
        <w:rPr>
          <w:rFonts w:hint="eastAsia" w:ascii="仿宋_GB2312" w:hAnsi="仿宋_GB2312" w:eastAsia="仿宋_GB2312" w:cs="仿宋_GB2312"/>
          <w:bCs/>
          <w:spacing w:val="6"/>
          <w:sz w:val="32"/>
          <w:szCs w:val="32"/>
          <w:lang w:val="en-US" w:eastAsia="zh-CN"/>
        </w:rPr>
        <w:t>云</w:t>
      </w:r>
      <w:r>
        <w:rPr>
          <w:rFonts w:hint="eastAsia" w:ascii="仿宋_GB2312" w:hAnsi="仿宋_GB2312" w:eastAsia="仿宋_GB2312" w:cs="仿宋_GB2312"/>
          <w:bCs/>
          <w:spacing w:val="6"/>
          <w:sz w:val="32"/>
          <w:szCs w:val="32"/>
        </w:rPr>
        <w:t>委办字〔2019〕</w:t>
      </w:r>
      <w:r>
        <w:rPr>
          <w:rFonts w:hint="eastAsia" w:ascii="仿宋_GB2312" w:hAnsi="仿宋_GB2312" w:eastAsia="仿宋_GB2312" w:cs="仿宋_GB2312"/>
          <w:bCs/>
          <w:spacing w:val="6"/>
          <w:sz w:val="32"/>
          <w:szCs w:val="32"/>
          <w:lang w:val="en-US" w:eastAsia="zh-CN"/>
        </w:rPr>
        <w:t>65</w:t>
      </w:r>
      <w:r>
        <w:rPr>
          <w:rFonts w:hint="eastAsia" w:ascii="仿宋_GB2312" w:hAnsi="仿宋_GB2312" w:eastAsia="仿宋_GB2312" w:cs="仿宋_GB2312"/>
          <w:bCs/>
          <w:spacing w:val="6"/>
          <w:sz w:val="32"/>
          <w:szCs w:val="32"/>
        </w:rPr>
        <w:t>号），</w:t>
      </w:r>
      <w:r>
        <w:rPr>
          <w:rFonts w:hint="eastAsia" w:ascii="仿宋_GB2312" w:hAnsi="仿宋_GB2312" w:eastAsia="仿宋_GB2312" w:cs="仿宋_GB2312"/>
          <w:bCs/>
          <w:spacing w:val="6"/>
          <w:sz w:val="32"/>
          <w:szCs w:val="32"/>
          <w:lang w:val="en-US" w:eastAsia="zh-CN"/>
        </w:rPr>
        <w:t>区工信</w:t>
      </w:r>
      <w:r>
        <w:rPr>
          <w:rFonts w:hint="eastAsia" w:ascii="仿宋_GB2312" w:hAnsi="仿宋_GB2312" w:eastAsia="仿宋_GB2312" w:cs="仿宋_GB2312"/>
          <w:bCs/>
          <w:spacing w:val="6"/>
          <w:sz w:val="32"/>
          <w:szCs w:val="32"/>
        </w:rPr>
        <w:t>局是区人民政府工作部门，为正科级</w:t>
      </w:r>
      <w:r>
        <w:rPr>
          <w:rFonts w:hint="eastAsia" w:ascii="仿宋_GB2312" w:hAnsi="仿宋_GB2312" w:eastAsia="仿宋_GB2312" w:cs="仿宋_GB2312"/>
          <w:bCs/>
          <w:spacing w:val="6"/>
          <w:sz w:val="32"/>
          <w:szCs w:val="32"/>
          <w:lang w:eastAsia="zh-CN"/>
        </w:rPr>
        <w:t>，</w:t>
      </w:r>
      <w:r>
        <w:rPr>
          <w:rFonts w:hint="eastAsia" w:ascii="仿宋_GB2312" w:hAnsi="仿宋_GB2312" w:eastAsia="仿宋_GB2312" w:cs="仿宋_GB2312"/>
          <w:bCs/>
          <w:spacing w:val="6"/>
          <w:sz w:val="32"/>
          <w:szCs w:val="32"/>
          <w:lang w:val="en-US" w:eastAsia="zh-CN"/>
        </w:rPr>
        <w:t>加挂贵阳市云岩区大数据发展局牌子。</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部门主要职责</w:t>
      </w:r>
    </w:p>
    <w:p>
      <w:pPr>
        <w:spacing w:line="590" w:lineRule="exact"/>
        <w:ind w:firstLine="664" w:firstLineChars="200"/>
        <w:jc w:val="both"/>
        <w:rPr>
          <w:rFonts w:hint="default" w:ascii="仿宋_GB2312" w:hAnsi="仿宋_GB2312" w:eastAsia="仿宋_GB2312" w:cs="仿宋_GB2312"/>
          <w:bCs/>
          <w:spacing w:val="6"/>
          <w:sz w:val="32"/>
          <w:szCs w:val="32"/>
        </w:rPr>
      </w:pPr>
      <w:bookmarkStart w:id="17" w:name="_Toc1878"/>
      <w:bookmarkStart w:id="18" w:name="_Toc17115"/>
      <w:bookmarkStart w:id="19" w:name="_Toc11036"/>
      <w:r>
        <w:rPr>
          <w:rFonts w:hint="default" w:ascii="仿宋_GB2312" w:hAnsi="仿宋_GB2312" w:eastAsia="仿宋_GB2312" w:cs="仿宋_GB2312"/>
          <w:bCs/>
          <w:spacing w:val="6"/>
          <w:sz w:val="32"/>
          <w:szCs w:val="32"/>
          <w:lang w:val="en-US" w:eastAsia="zh-CN"/>
        </w:rPr>
        <w:t>（一）承担推进新型工业化的职责，贯彻落实新型工业化发展战略和政策，研究并协调解决新型工业化进程中的重大问题；组织实施工业发展规划，推进产业结构调整和优化升级，推进高新技术与传统工业改造结合，推进信息化和工业化融合发展。                   </w:t>
      </w:r>
    </w:p>
    <w:p>
      <w:pPr>
        <w:spacing w:line="590" w:lineRule="exact"/>
        <w:ind w:firstLine="664" w:firstLineChars="200"/>
        <w:jc w:val="both"/>
        <w:rPr>
          <w:rFonts w:hint="default" w:ascii="仿宋_GB2312" w:hAnsi="仿宋_GB2312" w:eastAsia="仿宋_GB2312" w:cs="仿宋_GB2312"/>
          <w:bCs/>
          <w:spacing w:val="6"/>
          <w:sz w:val="32"/>
          <w:szCs w:val="32"/>
        </w:rPr>
      </w:pPr>
      <w:r>
        <w:rPr>
          <w:rFonts w:hint="default" w:ascii="仿宋_GB2312" w:hAnsi="仿宋_GB2312" w:eastAsia="仿宋_GB2312" w:cs="仿宋_GB2312"/>
          <w:bCs/>
          <w:spacing w:val="6"/>
          <w:sz w:val="32"/>
          <w:szCs w:val="32"/>
          <w:lang w:val="en-US" w:eastAsia="zh-CN"/>
        </w:rPr>
        <w:t>（二）组织实施工业行业规划、计划和产业政策，提出优化产业布局、结构的政策建议；组织实施国家、省、市行业技术规范和标准。</w:t>
      </w:r>
    </w:p>
    <w:p>
      <w:pPr>
        <w:spacing w:line="590" w:lineRule="exact"/>
        <w:ind w:firstLine="664" w:firstLineChars="200"/>
        <w:jc w:val="both"/>
        <w:rPr>
          <w:rFonts w:hint="default" w:ascii="仿宋_GB2312" w:hAnsi="仿宋_GB2312" w:eastAsia="仿宋_GB2312" w:cs="仿宋_GB2312"/>
          <w:bCs/>
          <w:spacing w:val="6"/>
          <w:sz w:val="32"/>
          <w:szCs w:val="32"/>
        </w:rPr>
      </w:pPr>
      <w:r>
        <w:rPr>
          <w:rFonts w:hint="default" w:ascii="仿宋_GB2312" w:hAnsi="仿宋_GB2312" w:eastAsia="仿宋_GB2312" w:cs="仿宋_GB2312"/>
          <w:bCs/>
          <w:spacing w:val="6"/>
          <w:sz w:val="32"/>
          <w:szCs w:val="32"/>
          <w:lang w:val="en-US" w:eastAsia="zh-CN"/>
        </w:rPr>
        <w:t>（三）监测分析工业经济运行态势并发布有关信息，进行预测预警和信息引导；协调解决工业经济运行中的相关问题并提出措施建议；承担区市工业企业生产要素的协调服务工作；负责工业应急管理、产业安全，参与应急状态下重要工业品的供应保障工作。</w:t>
      </w:r>
    </w:p>
    <w:p>
      <w:pPr>
        <w:spacing w:line="590" w:lineRule="exact"/>
        <w:ind w:firstLine="664" w:firstLineChars="200"/>
        <w:jc w:val="both"/>
        <w:rPr>
          <w:rFonts w:hint="default" w:ascii="仿宋_GB2312" w:hAnsi="仿宋_GB2312" w:eastAsia="仿宋_GB2312" w:cs="仿宋_GB2312"/>
          <w:bCs/>
          <w:spacing w:val="6"/>
          <w:sz w:val="32"/>
          <w:szCs w:val="32"/>
        </w:rPr>
      </w:pPr>
      <w:r>
        <w:rPr>
          <w:rFonts w:hint="default" w:ascii="仿宋_GB2312" w:hAnsi="仿宋_GB2312" w:eastAsia="仿宋_GB2312" w:cs="仿宋_GB2312"/>
          <w:bCs/>
          <w:spacing w:val="6"/>
          <w:sz w:val="32"/>
          <w:szCs w:val="32"/>
          <w:lang w:val="en-US" w:eastAsia="zh-CN"/>
        </w:rPr>
        <w:t>（四）指导工业技术创新和技术进步，推进工业技术创新体系建设，提升工业企业创新能力水平；承担企业技术中心培育建设有关工作；指导行业质量管理和品牌建设工作。</w:t>
      </w:r>
    </w:p>
    <w:p>
      <w:pPr>
        <w:spacing w:line="590" w:lineRule="exact"/>
        <w:ind w:firstLine="664" w:firstLineChars="200"/>
        <w:jc w:val="both"/>
        <w:rPr>
          <w:rFonts w:hint="default" w:ascii="仿宋_GB2312" w:hAnsi="仿宋_GB2312" w:eastAsia="仿宋_GB2312" w:cs="仿宋_GB2312"/>
          <w:bCs/>
          <w:spacing w:val="6"/>
          <w:sz w:val="32"/>
          <w:szCs w:val="32"/>
        </w:rPr>
      </w:pPr>
      <w:r>
        <w:rPr>
          <w:rFonts w:hint="default" w:ascii="仿宋_GB2312" w:hAnsi="仿宋_GB2312" w:eastAsia="仿宋_GB2312" w:cs="仿宋_GB2312"/>
          <w:bCs/>
          <w:spacing w:val="6"/>
          <w:sz w:val="32"/>
          <w:szCs w:val="32"/>
          <w:lang w:val="en-US" w:eastAsia="zh-CN"/>
        </w:rPr>
        <w:t>（五）负责中小企业、民营经济（非公有制经济）和城镇集体经济的指导和综合协调工作；会同有关部门拟订促进中小企业发展、民营经济（非公有制经济）发展和城镇集体经济发展的相关政策和措施。</w:t>
      </w:r>
    </w:p>
    <w:p>
      <w:pPr>
        <w:spacing w:line="590" w:lineRule="exact"/>
        <w:ind w:firstLine="664" w:firstLineChars="200"/>
        <w:jc w:val="both"/>
        <w:rPr>
          <w:rFonts w:hint="default" w:ascii="仿宋_GB2312" w:hAnsi="仿宋_GB2312" w:eastAsia="仿宋_GB2312" w:cs="仿宋_GB2312"/>
          <w:bCs/>
          <w:spacing w:val="6"/>
          <w:sz w:val="32"/>
          <w:szCs w:val="32"/>
        </w:rPr>
      </w:pPr>
      <w:r>
        <w:rPr>
          <w:rFonts w:hint="default" w:ascii="仿宋_GB2312" w:hAnsi="仿宋_GB2312" w:eastAsia="仿宋_GB2312" w:cs="仿宋_GB2312"/>
          <w:bCs/>
          <w:spacing w:val="6"/>
          <w:sz w:val="32"/>
          <w:szCs w:val="32"/>
          <w:lang w:val="en-US" w:eastAsia="zh-CN"/>
        </w:rPr>
        <w:t>（六）贯彻落实相关地方性法规、规章，区域内大数据、信息化行业技术规范和标准的实施和管理。</w:t>
      </w:r>
    </w:p>
    <w:p>
      <w:pPr>
        <w:spacing w:line="590" w:lineRule="exact"/>
        <w:ind w:firstLine="664" w:firstLineChars="200"/>
        <w:jc w:val="both"/>
        <w:rPr>
          <w:rFonts w:hint="default" w:ascii="仿宋_GB2312" w:hAnsi="仿宋_GB2312" w:eastAsia="仿宋_GB2312" w:cs="仿宋_GB2312"/>
          <w:bCs/>
          <w:spacing w:val="6"/>
          <w:sz w:val="32"/>
          <w:szCs w:val="32"/>
        </w:rPr>
      </w:pPr>
      <w:r>
        <w:rPr>
          <w:rFonts w:hint="default" w:ascii="仿宋_GB2312" w:hAnsi="仿宋_GB2312" w:eastAsia="仿宋_GB2312" w:cs="仿宋_GB2312"/>
          <w:bCs/>
          <w:spacing w:val="6"/>
          <w:sz w:val="32"/>
          <w:szCs w:val="32"/>
          <w:lang w:val="en-US" w:eastAsia="zh-CN"/>
        </w:rPr>
        <w:t>（七）负责统筹数据资源建设、管理。统筹政务数据采集汇聚、登录管理、共享开放，推动社会数据汇聚融合、互联互通，统筹推进大数据安全体系建设和安全保障工作。</w:t>
      </w:r>
    </w:p>
    <w:p>
      <w:pPr>
        <w:spacing w:line="590" w:lineRule="exact"/>
        <w:ind w:firstLine="664" w:firstLineChars="200"/>
        <w:jc w:val="both"/>
        <w:rPr>
          <w:rFonts w:hint="default" w:ascii="仿宋_GB2312" w:hAnsi="仿宋_GB2312" w:eastAsia="仿宋_GB2312" w:cs="仿宋_GB2312"/>
          <w:bCs/>
          <w:spacing w:val="6"/>
          <w:sz w:val="32"/>
          <w:szCs w:val="32"/>
        </w:rPr>
      </w:pPr>
      <w:r>
        <w:rPr>
          <w:rFonts w:hint="default" w:ascii="仿宋_GB2312" w:hAnsi="仿宋_GB2312" w:eastAsia="仿宋_GB2312" w:cs="仿宋_GB2312"/>
          <w:bCs/>
          <w:spacing w:val="6"/>
          <w:sz w:val="32"/>
          <w:szCs w:val="32"/>
          <w:lang w:val="en-US" w:eastAsia="zh-CN"/>
        </w:rPr>
        <w:t>（八）负责统筹协调全区政务信息化、电子政务建设，推动政务信息系统整合、数据共享开放，促进大数据与政务服务融合应用，统筹推进“数字贵州”建设。</w:t>
      </w:r>
    </w:p>
    <w:p>
      <w:pPr>
        <w:spacing w:line="590" w:lineRule="exact"/>
        <w:ind w:firstLine="664" w:firstLineChars="200"/>
        <w:jc w:val="both"/>
        <w:rPr>
          <w:rFonts w:hint="default" w:ascii="仿宋_GB2312" w:hAnsi="仿宋_GB2312" w:eastAsia="仿宋_GB2312" w:cs="仿宋_GB2312"/>
          <w:bCs/>
          <w:spacing w:val="6"/>
          <w:sz w:val="32"/>
          <w:szCs w:val="32"/>
        </w:rPr>
      </w:pPr>
      <w:r>
        <w:rPr>
          <w:rFonts w:hint="default" w:ascii="仿宋_GB2312" w:hAnsi="仿宋_GB2312" w:eastAsia="仿宋_GB2312" w:cs="仿宋_GB2312"/>
          <w:bCs/>
          <w:spacing w:val="6"/>
          <w:sz w:val="32"/>
          <w:szCs w:val="32"/>
          <w:lang w:val="en-US" w:eastAsia="zh-CN"/>
        </w:rPr>
        <w:t>（九）负责研究拟定全区信息化建设、信息基础设施、大数据规划、政策措施和评价体系并组织实施。开展大数据发展应用政策研究，提出推广应用、优化产业布局、产业结构的政策建议。</w:t>
      </w:r>
    </w:p>
    <w:p>
      <w:pPr>
        <w:spacing w:line="590" w:lineRule="exact"/>
        <w:ind w:firstLine="664" w:firstLineChars="200"/>
        <w:jc w:val="both"/>
        <w:rPr>
          <w:rFonts w:hint="default" w:ascii="仿宋_GB2312" w:hAnsi="仿宋_GB2312" w:eastAsia="仿宋_GB2312" w:cs="仿宋_GB2312"/>
          <w:bCs/>
          <w:spacing w:val="6"/>
          <w:sz w:val="32"/>
          <w:szCs w:val="32"/>
        </w:rPr>
      </w:pPr>
      <w:r>
        <w:rPr>
          <w:rFonts w:hint="default" w:ascii="仿宋_GB2312" w:hAnsi="仿宋_GB2312" w:eastAsia="仿宋_GB2312" w:cs="仿宋_GB2312"/>
          <w:bCs/>
          <w:spacing w:val="6"/>
          <w:sz w:val="32"/>
          <w:szCs w:val="32"/>
          <w:lang w:val="en-US" w:eastAsia="zh-CN"/>
        </w:rPr>
        <w:t>（十）负责统筹推进信息化发展和大数据融合应用。指导协调推进大数据与“四个融合发展”（与实体经济、社会治理、民生服务、乡村振兴融合发展）；统筹协调通信业发展；促进通信、广播电视和计算机网络融合；负责信息化应急协调工作。</w:t>
      </w:r>
    </w:p>
    <w:p>
      <w:pPr>
        <w:spacing w:line="590" w:lineRule="exact"/>
        <w:ind w:firstLine="664" w:firstLineChars="200"/>
        <w:jc w:val="both"/>
        <w:rPr>
          <w:rFonts w:hint="default" w:ascii="仿宋_GB2312" w:hAnsi="仿宋_GB2312" w:eastAsia="仿宋_GB2312" w:cs="仿宋_GB2312"/>
          <w:bCs/>
          <w:spacing w:val="6"/>
          <w:sz w:val="32"/>
          <w:szCs w:val="32"/>
        </w:rPr>
      </w:pPr>
      <w:r>
        <w:rPr>
          <w:rFonts w:hint="default" w:ascii="仿宋_GB2312" w:hAnsi="仿宋_GB2312" w:eastAsia="仿宋_GB2312" w:cs="仿宋_GB2312"/>
          <w:bCs/>
          <w:spacing w:val="6"/>
          <w:sz w:val="32"/>
          <w:szCs w:val="32"/>
          <w:lang w:val="en-US" w:eastAsia="zh-CN"/>
        </w:rPr>
        <w:t>（十一）负责数据中心规划建设集约利用。统筹协调电子政务基础设施规划建设，负责全区统一的大数据平台“云上贵州”建设管理。监督管理全区网络和信息服务市场。联系在黔电信运营企业有关工作。</w:t>
      </w:r>
    </w:p>
    <w:p>
      <w:pPr>
        <w:spacing w:line="590" w:lineRule="exact"/>
        <w:ind w:firstLine="664" w:firstLineChars="200"/>
        <w:jc w:val="both"/>
        <w:rPr>
          <w:rFonts w:hint="default" w:ascii="仿宋_GB2312" w:hAnsi="仿宋_GB2312" w:eastAsia="仿宋_GB2312" w:cs="仿宋_GB2312"/>
          <w:bCs/>
          <w:spacing w:val="6"/>
          <w:sz w:val="32"/>
          <w:szCs w:val="32"/>
        </w:rPr>
      </w:pPr>
      <w:r>
        <w:rPr>
          <w:rFonts w:hint="default" w:ascii="仿宋_GB2312" w:hAnsi="仿宋_GB2312" w:eastAsia="仿宋_GB2312" w:cs="仿宋_GB2312"/>
          <w:bCs/>
          <w:spacing w:val="6"/>
          <w:sz w:val="32"/>
          <w:szCs w:val="32"/>
          <w:lang w:val="en-US" w:eastAsia="zh-CN"/>
        </w:rPr>
        <w:t>（十二）负责大数据、信息化人才队伍建设工作。拟定并组织实施大数据、信息化人才发展规划，组织协调全区大数据、信息化人才教育有关工作。</w:t>
      </w:r>
    </w:p>
    <w:p>
      <w:pPr>
        <w:spacing w:line="590" w:lineRule="exact"/>
        <w:ind w:firstLine="664" w:firstLineChars="200"/>
        <w:jc w:val="both"/>
        <w:rPr>
          <w:rFonts w:hint="default" w:ascii="仿宋_GB2312" w:hAnsi="仿宋_GB2312" w:eastAsia="仿宋_GB2312" w:cs="仿宋_GB2312"/>
          <w:bCs/>
          <w:spacing w:val="6"/>
          <w:sz w:val="32"/>
          <w:szCs w:val="32"/>
        </w:rPr>
      </w:pPr>
      <w:r>
        <w:rPr>
          <w:rFonts w:hint="default" w:ascii="仿宋_GB2312" w:hAnsi="仿宋_GB2312" w:eastAsia="仿宋_GB2312" w:cs="仿宋_GB2312"/>
          <w:bCs/>
          <w:spacing w:val="6"/>
          <w:sz w:val="32"/>
          <w:szCs w:val="32"/>
          <w:lang w:val="en-US" w:eastAsia="zh-CN"/>
        </w:rPr>
        <w:t>（十三）按规定做好大数据发展应用和政务数据资源管理相关工作，依法促进部门政务数据资源规范管理、共享和开放。</w:t>
      </w:r>
    </w:p>
    <w:p>
      <w:pPr>
        <w:spacing w:line="590" w:lineRule="exact"/>
        <w:ind w:firstLine="664" w:firstLineChars="200"/>
        <w:jc w:val="both"/>
        <w:rPr>
          <w:rFonts w:hint="default" w:ascii="仿宋_GB2312" w:hAnsi="仿宋_GB2312" w:eastAsia="仿宋_GB2312" w:cs="仿宋_GB2312"/>
          <w:bCs/>
          <w:spacing w:val="6"/>
          <w:sz w:val="32"/>
          <w:szCs w:val="32"/>
        </w:rPr>
      </w:pPr>
      <w:r>
        <w:rPr>
          <w:rFonts w:hint="default" w:ascii="仿宋_GB2312" w:hAnsi="仿宋_GB2312" w:eastAsia="仿宋_GB2312" w:cs="仿宋_GB2312"/>
          <w:bCs/>
          <w:spacing w:val="6"/>
          <w:sz w:val="32"/>
          <w:szCs w:val="32"/>
          <w:lang w:val="en-US" w:eastAsia="zh-CN"/>
        </w:rPr>
        <w:t>（十四）牵头做好军民融合等相关工作。</w:t>
      </w:r>
    </w:p>
    <w:p>
      <w:pPr>
        <w:spacing w:line="590" w:lineRule="exact"/>
        <w:ind w:firstLine="664" w:firstLineChars="200"/>
        <w:jc w:val="both"/>
        <w:rPr>
          <w:rFonts w:hint="default" w:ascii="仿宋_GB2312" w:hAnsi="仿宋_GB2312" w:eastAsia="仿宋_GB2312" w:cs="仿宋_GB2312"/>
          <w:bCs/>
          <w:spacing w:val="6"/>
          <w:sz w:val="32"/>
          <w:szCs w:val="32"/>
        </w:rPr>
      </w:pPr>
      <w:r>
        <w:rPr>
          <w:rFonts w:hint="default" w:ascii="仿宋_GB2312" w:hAnsi="仿宋_GB2312" w:eastAsia="仿宋_GB2312" w:cs="仿宋_GB2312"/>
          <w:bCs/>
          <w:spacing w:val="6"/>
          <w:sz w:val="32"/>
          <w:szCs w:val="32"/>
          <w:lang w:val="en-US" w:eastAsia="zh-CN"/>
        </w:rPr>
        <w:t>（十五）结合部门职责，做好扶贫开发等相关工作。加大科技投入，提高科技创新能力，为推进创新驱动发展提供保障。负责本部门、本行业领域的安全生产和消防安全工作。</w:t>
      </w:r>
    </w:p>
    <w:p>
      <w:pPr>
        <w:spacing w:line="590" w:lineRule="exact"/>
        <w:ind w:firstLine="664" w:firstLineChars="200"/>
        <w:jc w:val="both"/>
        <w:rPr>
          <w:rFonts w:hint="default" w:ascii="仿宋_GB2312" w:hAnsi="仿宋_GB2312" w:eastAsia="仿宋_GB2312" w:cs="仿宋_GB2312"/>
          <w:bCs/>
          <w:spacing w:val="6"/>
          <w:sz w:val="32"/>
          <w:szCs w:val="32"/>
          <w:lang w:val="en-US" w:eastAsia="zh-CN"/>
        </w:rPr>
      </w:pPr>
      <w:r>
        <w:rPr>
          <w:rFonts w:hint="default" w:ascii="仿宋_GB2312" w:hAnsi="仿宋_GB2312" w:eastAsia="仿宋_GB2312" w:cs="仿宋_GB2312"/>
          <w:bCs/>
          <w:spacing w:val="6"/>
          <w:sz w:val="32"/>
          <w:szCs w:val="32"/>
          <w:lang w:val="en-US" w:eastAsia="zh-CN"/>
        </w:rPr>
        <w:t>（十六）完成区委、区政府及上级业务部门交办的其他任务。</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组织机构设置及人员情况</w:t>
      </w:r>
    </w:p>
    <w:p>
      <w:pPr>
        <w:spacing w:line="590" w:lineRule="exact"/>
        <w:ind w:firstLine="664" w:firstLineChars="200"/>
        <w:jc w:val="both"/>
        <w:rPr>
          <w:rFonts w:hint="default" w:ascii="仿宋_GB2312" w:hAnsi="仿宋_GB2312" w:eastAsia="仿宋_GB2312" w:cs="仿宋_GB2312"/>
          <w:spacing w:val="6"/>
          <w:sz w:val="32"/>
          <w:szCs w:val="32"/>
          <w:highlight w:val="none"/>
          <w:lang w:val="en-US" w:eastAsia="zh-CN"/>
        </w:rPr>
      </w:pPr>
      <w:r>
        <w:rPr>
          <w:rFonts w:hint="eastAsia" w:ascii="仿宋_GB2312" w:hAnsi="仿宋_GB2312" w:eastAsia="仿宋_GB2312" w:cs="仿宋_GB2312"/>
          <w:spacing w:val="6"/>
          <w:sz w:val="32"/>
          <w:szCs w:val="32"/>
          <w:highlight w:val="none"/>
          <w:lang w:val="en-US" w:eastAsia="zh-CN"/>
        </w:rPr>
        <w:t>（1）组织机构设置情况</w:t>
      </w:r>
    </w:p>
    <w:p>
      <w:pPr>
        <w:spacing w:line="590" w:lineRule="exact"/>
        <w:ind w:firstLine="664" w:firstLineChars="200"/>
        <w:jc w:val="both"/>
        <w:rPr>
          <w:rFonts w:hint="eastAsia" w:ascii="仿宋_GB2312" w:hAnsi="仿宋_GB2312" w:eastAsia="仿宋_GB2312" w:cs="仿宋_GB2312"/>
          <w:spacing w:val="6"/>
          <w:sz w:val="32"/>
          <w:szCs w:val="32"/>
          <w:highlight w:val="none"/>
        </w:rPr>
      </w:pPr>
      <w:r>
        <w:rPr>
          <w:rFonts w:hint="eastAsia" w:ascii="仿宋_GB2312" w:hAnsi="仿宋_GB2312" w:eastAsia="仿宋_GB2312" w:cs="仿宋_GB2312"/>
          <w:spacing w:val="6"/>
          <w:sz w:val="32"/>
          <w:szCs w:val="32"/>
          <w:highlight w:val="none"/>
        </w:rPr>
        <w:t>根据</w:t>
      </w:r>
      <w:r>
        <w:rPr>
          <w:rFonts w:hint="eastAsia" w:ascii="仿宋_GB2312" w:hAnsi="仿宋_GB2312" w:eastAsia="仿宋_GB2312" w:cs="仿宋_GB2312"/>
          <w:bCs/>
          <w:spacing w:val="6"/>
          <w:sz w:val="32"/>
          <w:szCs w:val="32"/>
        </w:rPr>
        <w:t>《中共</w:t>
      </w:r>
      <w:r>
        <w:rPr>
          <w:rFonts w:hint="eastAsia" w:ascii="仿宋_GB2312" w:hAnsi="仿宋_GB2312" w:eastAsia="仿宋_GB2312" w:cs="仿宋_GB2312"/>
          <w:bCs/>
          <w:spacing w:val="6"/>
          <w:sz w:val="32"/>
          <w:szCs w:val="32"/>
          <w:lang w:val="en-US" w:eastAsia="zh-CN"/>
        </w:rPr>
        <w:t>云岩</w:t>
      </w:r>
      <w:r>
        <w:rPr>
          <w:rFonts w:hint="eastAsia" w:ascii="仿宋_GB2312" w:hAnsi="仿宋_GB2312" w:eastAsia="仿宋_GB2312" w:cs="仿宋_GB2312"/>
          <w:bCs/>
          <w:spacing w:val="6"/>
          <w:sz w:val="32"/>
          <w:szCs w:val="32"/>
        </w:rPr>
        <w:t xml:space="preserve">区委办公室 </w:t>
      </w:r>
      <w:r>
        <w:rPr>
          <w:rFonts w:hint="eastAsia" w:ascii="仿宋_GB2312" w:hAnsi="仿宋_GB2312" w:eastAsia="仿宋_GB2312" w:cs="仿宋_GB2312"/>
          <w:bCs/>
          <w:spacing w:val="6"/>
          <w:sz w:val="32"/>
          <w:szCs w:val="32"/>
          <w:lang w:val="en-US" w:eastAsia="zh-CN"/>
        </w:rPr>
        <w:t>云岩</w:t>
      </w:r>
      <w:r>
        <w:rPr>
          <w:rFonts w:hint="eastAsia" w:ascii="仿宋_GB2312" w:hAnsi="仿宋_GB2312" w:eastAsia="仿宋_GB2312" w:cs="仿宋_GB2312"/>
          <w:bCs/>
          <w:spacing w:val="6"/>
          <w:sz w:val="32"/>
          <w:szCs w:val="32"/>
        </w:rPr>
        <w:t>区人民政府办公室关于印发〈贵阳市</w:t>
      </w:r>
      <w:r>
        <w:rPr>
          <w:rFonts w:hint="eastAsia" w:ascii="仿宋_GB2312" w:hAnsi="仿宋_GB2312" w:eastAsia="仿宋_GB2312" w:cs="仿宋_GB2312"/>
          <w:bCs/>
          <w:spacing w:val="6"/>
          <w:sz w:val="32"/>
          <w:szCs w:val="32"/>
          <w:lang w:val="en-US" w:eastAsia="zh-CN"/>
        </w:rPr>
        <w:t>云岩</w:t>
      </w:r>
      <w:r>
        <w:rPr>
          <w:rFonts w:hint="eastAsia" w:ascii="仿宋_GB2312" w:hAnsi="仿宋_GB2312" w:eastAsia="仿宋_GB2312" w:cs="仿宋_GB2312"/>
          <w:bCs/>
          <w:spacing w:val="6"/>
          <w:sz w:val="32"/>
          <w:szCs w:val="32"/>
        </w:rPr>
        <w:t>区</w:t>
      </w:r>
      <w:r>
        <w:rPr>
          <w:rFonts w:hint="eastAsia" w:ascii="仿宋_GB2312" w:hAnsi="仿宋_GB2312" w:eastAsia="仿宋_GB2312" w:cs="仿宋_GB2312"/>
          <w:bCs/>
          <w:spacing w:val="6"/>
          <w:sz w:val="32"/>
          <w:szCs w:val="32"/>
          <w:lang w:val="en-US" w:eastAsia="zh-CN"/>
        </w:rPr>
        <w:t>工业和信息化</w:t>
      </w:r>
      <w:r>
        <w:rPr>
          <w:rFonts w:hint="eastAsia" w:ascii="仿宋_GB2312" w:hAnsi="仿宋_GB2312" w:eastAsia="仿宋_GB2312" w:cs="仿宋_GB2312"/>
          <w:bCs/>
          <w:spacing w:val="6"/>
          <w:sz w:val="32"/>
          <w:szCs w:val="32"/>
        </w:rPr>
        <w:t>局职能配置、内设机构和人员编制规定〉的通知》（</w:t>
      </w:r>
      <w:r>
        <w:rPr>
          <w:rFonts w:hint="eastAsia" w:ascii="仿宋_GB2312" w:hAnsi="仿宋_GB2312" w:eastAsia="仿宋_GB2312" w:cs="仿宋_GB2312"/>
          <w:bCs/>
          <w:spacing w:val="6"/>
          <w:sz w:val="32"/>
          <w:szCs w:val="32"/>
          <w:lang w:val="en-US" w:eastAsia="zh-CN"/>
        </w:rPr>
        <w:t>云</w:t>
      </w:r>
      <w:r>
        <w:rPr>
          <w:rFonts w:hint="eastAsia" w:ascii="仿宋_GB2312" w:hAnsi="仿宋_GB2312" w:eastAsia="仿宋_GB2312" w:cs="仿宋_GB2312"/>
          <w:bCs/>
          <w:spacing w:val="6"/>
          <w:sz w:val="32"/>
          <w:szCs w:val="32"/>
        </w:rPr>
        <w:t>委办字〔2019〕</w:t>
      </w:r>
      <w:r>
        <w:rPr>
          <w:rFonts w:hint="eastAsia" w:ascii="仿宋_GB2312" w:hAnsi="仿宋_GB2312" w:eastAsia="仿宋_GB2312" w:cs="仿宋_GB2312"/>
          <w:bCs/>
          <w:spacing w:val="6"/>
          <w:sz w:val="32"/>
          <w:szCs w:val="32"/>
          <w:lang w:val="en-US" w:eastAsia="zh-CN"/>
        </w:rPr>
        <w:t>65</w:t>
      </w:r>
      <w:r>
        <w:rPr>
          <w:rFonts w:hint="eastAsia" w:ascii="仿宋_GB2312" w:hAnsi="仿宋_GB2312" w:eastAsia="仿宋_GB2312" w:cs="仿宋_GB2312"/>
          <w:bCs/>
          <w:spacing w:val="6"/>
          <w:sz w:val="32"/>
          <w:szCs w:val="32"/>
        </w:rPr>
        <w:t>号）</w:t>
      </w:r>
      <w:r>
        <w:rPr>
          <w:rFonts w:hint="eastAsia" w:ascii="仿宋_GB2312" w:hAnsi="仿宋_GB2312" w:eastAsia="仿宋_GB2312" w:cs="仿宋_GB2312"/>
          <w:spacing w:val="6"/>
          <w:sz w:val="32"/>
          <w:szCs w:val="32"/>
          <w:highlight w:val="none"/>
        </w:rPr>
        <w:t>，区</w:t>
      </w:r>
      <w:r>
        <w:rPr>
          <w:rFonts w:hint="eastAsia" w:ascii="仿宋_GB2312" w:hAnsi="仿宋_GB2312" w:eastAsia="仿宋_GB2312" w:cs="仿宋_GB2312"/>
          <w:spacing w:val="6"/>
          <w:sz w:val="32"/>
          <w:szCs w:val="32"/>
          <w:highlight w:val="none"/>
          <w:lang w:val="en-US" w:eastAsia="zh-CN"/>
        </w:rPr>
        <w:t>工信</w:t>
      </w:r>
      <w:r>
        <w:rPr>
          <w:rFonts w:hint="eastAsia" w:ascii="仿宋_GB2312" w:hAnsi="仿宋_GB2312" w:eastAsia="仿宋_GB2312" w:cs="仿宋_GB2312"/>
          <w:spacing w:val="6"/>
          <w:sz w:val="32"/>
          <w:szCs w:val="32"/>
          <w:highlight w:val="none"/>
        </w:rPr>
        <w:t>局内设</w:t>
      </w:r>
      <w:r>
        <w:rPr>
          <w:rFonts w:hint="eastAsia" w:ascii="仿宋_GB2312" w:hAnsi="仿宋_GB2312" w:eastAsia="仿宋_GB2312" w:cs="仿宋_GB2312"/>
          <w:spacing w:val="6"/>
          <w:sz w:val="32"/>
          <w:szCs w:val="32"/>
          <w:highlight w:val="none"/>
          <w:lang w:val="en-US" w:eastAsia="zh-CN"/>
        </w:rPr>
        <w:t>4</w:t>
      </w:r>
      <w:r>
        <w:rPr>
          <w:rFonts w:hint="eastAsia" w:ascii="仿宋_GB2312" w:hAnsi="仿宋_GB2312" w:eastAsia="仿宋_GB2312" w:cs="仿宋_GB2312"/>
          <w:spacing w:val="6"/>
          <w:sz w:val="32"/>
          <w:szCs w:val="32"/>
          <w:highlight w:val="none"/>
        </w:rPr>
        <w:t>个科室，分别为</w:t>
      </w:r>
      <w:r>
        <w:rPr>
          <w:rFonts w:hint="eastAsia" w:ascii="仿宋_GB2312" w:hAnsi="仿宋_GB2312" w:eastAsia="仿宋_GB2312" w:cs="仿宋_GB2312"/>
          <w:spacing w:val="6"/>
          <w:sz w:val="32"/>
          <w:szCs w:val="32"/>
          <w:highlight w:val="none"/>
          <w:lang w:val="en-US" w:eastAsia="zh-CN"/>
        </w:rPr>
        <w:t>办公室（</w:t>
      </w:r>
      <w:r>
        <w:rPr>
          <w:rFonts w:hint="eastAsia" w:ascii="仿宋_GB2312" w:hAnsi="仿宋_GB2312" w:eastAsia="仿宋_GB2312" w:cs="仿宋_GB2312"/>
          <w:spacing w:val="6"/>
          <w:sz w:val="32"/>
          <w:szCs w:val="32"/>
          <w:highlight w:val="none"/>
        </w:rPr>
        <w:t>综合科）、</w:t>
      </w:r>
      <w:r>
        <w:rPr>
          <w:rFonts w:hint="eastAsia" w:ascii="仿宋_GB2312" w:hAnsi="仿宋_GB2312" w:eastAsia="仿宋_GB2312" w:cs="仿宋_GB2312"/>
          <w:spacing w:val="6"/>
          <w:sz w:val="32"/>
          <w:szCs w:val="32"/>
          <w:highlight w:val="none"/>
          <w:lang w:val="en-US" w:eastAsia="zh-CN"/>
        </w:rPr>
        <w:t>工业经济运行协调科、中小企业科和信息产业科</w:t>
      </w:r>
      <w:r>
        <w:rPr>
          <w:rFonts w:hint="eastAsia" w:ascii="仿宋_GB2312" w:hAnsi="仿宋_GB2312" w:eastAsia="仿宋_GB2312" w:cs="仿宋_GB2312"/>
          <w:spacing w:val="6"/>
          <w:sz w:val="32"/>
          <w:szCs w:val="32"/>
          <w:highlight w:val="none"/>
        </w:rPr>
        <w:t>。</w:t>
      </w:r>
    </w:p>
    <w:p>
      <w:pPr>
        <w:spacing w:line="590" w:lineRule="exact"/>
        <w:ind w:firstLine="664" w:firstLineChars="200"/>
        <w:jc w:val="both"/>
        <w:rPr>
          <w:rFonts w:hint="eastAsia" w:ascii="仿宋_GB2312" w:hAnsi="仿宋_GB2312" w:eastAsia="仿宋_GB2312" w:cs="仿宋_GB2312"/>
          <w:spacing w:val="6"/>
          <w:sz w:val="32"/>
          <w:szCs w:val="32"/>
          <w:highlight w:val="none"/>
        </w:rPr>
      </w:pPr>
      <w:r>
        <w:rPr>
          <w:rFonts w:hint="eastAsia" w:ascii="仿宋_GB2312" w:hAnsi="仿宋_GB2312" w:eastAsia="仿宋_GB2312" w:cs="仿宋_GB2312"/>
          <w:spacing w:val="6"/>
          <w:sz w:val="32"/>
          <w:szCs w:val="32"/>
          <w:highlight w:val="none"/>
          <w:lang w:val="en-US" w:eastAsia="zh-CN"/>
        </w:rPr>
        <w:t>（2）部门人员情况</w:t>
      </w:r>
    </w:p>
    <w:p>
      <w:pPr>
        <w:keepNext w:val="0"/>
        <w:keepLines w:val="0"/>
        <w:pageBreakBefore w:val="0"/>
        <w:widowControl w:val="0"/>
        <w:kinsoku/>
        <w:wordWrap/>
        <w:overflowPunct/>
        <w:topLinePunct w:val="0"/>
        <w:autoSpaceDE/>
        <w:autoSpaceDN/>
        <w:bidi w:val="0"/>
        <w:adjustRightInd/>
        <w:snapToGrid/>
        <w:spacing w:line="590" w:lineRule="exact"/>
        <w:ind w:firstLine="664" w:firstLineChars="200"/>
        <w:textAlignment w:val="auto"/>
        <w:outlineLvl w:val="9"/>
        <w:rPr>
          <w:rFonts w:hint="default" w:ascii="仿宋_GB2312" w:hAnsi="仿宋_GB2312" w:eastAsia="仿宋_GB2312" w:cs="仿宋_GB2312"/>
          <w:b w:val="0"/>
          <w:bCs w:val="0"/>
          <w:spacing w:val="6"/>
          <w:kern w:val="0"/>
          <w:sz w:val="32"/>
          <w:szCs w:val="32"/>
          <w:highlight w:val="none"/>
          <w:lang w:val="en-US" w:eastAsia="zh-CN"/>
        </w:rPr>
      </w:pPr>
      <w:r>
        <w:rPr>
          <w:rFonts w:hint="eastAsia" w:ascii="仿宋_GB2312" w:hAnsi="仿宋_GB2312" w:eastAsia="仿宋_GB2312" w:cs="仿宋_GB2312"/>
          <w:spacing w:val="6"/>
          <w:sz w:val="32"/>
          <w:szCs w:val="32"/>
          <w:highlight w:val="none"/>
        </w:rPr>
        <w:t>根据</w:t>
      </w:r>
      <w:r>
        <w:rPr>
          <w:rFonts w:hint="eastAsia" w:ascii="仿宋_GB2312" w:hAnsi="仿宋_GB2312" w:eastAsia="仿宋_GB2312" w:cs="仿宋_GB2312"/>
          <w:bCs/>
          <w:spacing w:val="6"/>
          <w:sz w:val="32"/>
          <w:szCs w:val="32"/>
          <w:highlight w:val="none"/>
        </w:rPr>
        <w:t>《中共</w:t>
      </w:r>
      <w:r>
        <w:rPr>
          <w:rFonts w:hint="eastAsia" w:ascii="仿宋_GB2312" w:hAnsi="仿宋_GB2312" w:eastAsia="仿宋_GB2312" w:cs="仿宋_GB2312"/>
          <w:bCs/>
          <w:spacing w:val="6"/>
          <w:sz w:val="32"/>
          <w:szCs w:val="32"/>
          <w:highlight w:val="none"/>
          <w:lang w:val="en-US" w:eastAsia="zh-CN"/>
        </w:rPr>
        <w:t>云岩</w:t>
      </w:r>
      <w:r>
        <w:rPr>
          <w:rFonts w:hint="eastAsia" w:ascii="仿宋_GB2312" w:hAnsi="仿宋_GB2312" w:eastAsia="仿宋_GB2312" w:cs="仿宋_GB2312"/>
          <w:bCs/>
          <w:spacing w:val="6"/>
          <w:sz w:val="32"/>
          <w:szCs w:val="32"/>
          <w:highlight w:val="none"/>
        </w:rPr>
        <w:t xml:space="preserve">区委办公室 </w:t>
      </w:r>
      <w:r>
        <w:rPr>
          <w:rFonts w:hint="eastAsia" w:ascii="仿宋_GB2312" w:hAnsi="仿宋_GB2312" w:eastAsia="仿宋_GB2312" w:cs="仿宋_GB2312"/>
          <w:bCs/>
          <w:spacing w:val="6"/>
          <w:sz w:val="32"/>
          <w:szCs w:val="32"/>
          <w:highlight w:val="none"/>
          <w:lang w:val="en-US" w:eastAsia="zh-CN"/>
        </w:rPr>
        <w:t>云岩</w:t>
      </w:r>
      <w:r>
        <w:rPr>
          <w:rFonts w:hint="eastAsia" w:ascii="仿宋_GB2312" w:hAnsi="仿宋_GB2312" w:eastAsia="仿宋_GB2312" w:cs="仿宋_GB2312"/>
          <w:bCs/>
          <w:spacing w:val="6"/>
          <w:sz w:val="32"/>
          <w:szCs w:val="32"/>
          <w:highlight w:val="none"/>
        </w:rPr>
        <w:t>区人民政府办公室关于印发〈贵阳市</w:t>
      </w:r>
      <w:r>
        <w:rPr>
          <w:rFonts w:hint="eastAsia" w:ascii="仿宋_GB2312" w:hAnsi="仿宋_GB2312" w:eastAsia="仿宋_GB2312" w:cs="仿宋_GB2312"/>
          <w:bCs/>
          <w:spacing w:val="6"/>
          <w:sz w:val="32"/>
          <w:szCs w:val="32"/>
          <w:highlight w:val="none"/>
          <w:lang w:val="en-US" w:eastAsia="zh-CN"/>
        </w:rPr>
        <w:t>云岩</w:t>
      </w:r>
      <w:r>
        <w:rPr>
          <w:rFonts w:hint="eastAsia" w:ascii="仿宋_GB2312" w:hAnsi="仿宋_GB2312" w:eastAsia="仿宋_GB2312" w:cs="仿宋_GB2312"/>
          <w:bCs/>
          <w:spacing w:val="6"/>
          <w:sz w:val="32"/>
          <w:szCs w:val="32"/>
          <w:highlight w:val="none"/>
        </w:rPr>
        <w:t>区</w:t>
      </w:r>
      <w:r>
        <w:rPr>
          <w:rFonts w:hint="eastAsia" w:ascii="仿宋_GB2312" w:hAnsi="仿宋_GB2312" w:eastAsia="仿宋_GB2312" w:cs="仿宋_GB2312"/>
          <w:bCs/>
          <w:spacing w:val="6"/>
          <w:sz w:val="32"/>
          <w:szCs w:val="32"/>
          <w:highlight w:val="none"/>
          <w:lang w:val="en-US" w:eastAsia="zh-CN"/>
        </w:rPr>
        <w:t>工业和信息化</w:t>
      </w:r>
      <w:r>
        <w:rPr>
          <w:rFonts w:hint="eastAsia" w:ascii="仿宋_GB2312" w:hAnsi="仿宋_GB2312" w:eastAsia="仿宋_GB2312" w:cs="仿宋_GB2312"/>
          <w:bCs/>
          <w:spacing w:val="6"/>
          <w:sz w:val="32"/>
          <w:szCs w:val="32"/>
          <w:highlight w:val="none"/>
        </w:rPr>
        <w:t>局职能配置、内设机构和人员编制规定〉的通知》（</w:t>
      </w:r>
      <w:r>
        <w:rPr>
          <w:rFonts w:hint="eastAsia" w:ascii="仿宋_GB2312" w:hAnsi="仿宋_GB2312" w:eastAsia="仿宋_GB2312" w:cs="仿宋_GB2312"/>
          <w:bCs/>
          <w:spacing w:val="6"/>
          <w:sz w:val="32"/>
          <w:szCs w:val="32"/>
          <w:highlight w:val="none"/>
          <w:lang w:val="en-US" w:eastAsia="zh-CN"/>
        </w:rPr>
        <w:t>云</w:t>
      </w:r>
      <w:r>
        <w:rPr>
          <w:rFonts w:hint="eastAsia" w:ascii="仿宋_GB2312" w:hAnsi="仿宋_GB2312" w:eastAsia="仿宋_GB2312" w:cs="仿宋_GB2312"/>
          <w:bCs/>
          <w:spacing w:val="6"/>
          <w:sz w:val="32"/>
          <w:szCs w:val="32"/>
          <w:highlight w:val="none"/>
        </w:rPr>
        <w:t>委办字〔2019〕</w:t>
      </w:r>
      <w:r>
        <w:rPr>
          <w:rFonts w:hint="eastAsia" w:ascii="仿宋_GB2312" w:hAnsi="仿宋_GB2312" w:eastAsia="仿宋_GB2312" w:cs="仿宋_GB2312"/>
          <w:bCs/>
          <w:spacing w:val="6"/>
          <w:sz w:val="32"/>
          <w:szCs w:val="32"/>
          <w:highlight w:val="none"/>
          <w:lang w:val="en-US" w:eastAsia="zh-CN"/>
        </w:rPr>
        <w:t>65</w:t>
      </w:r>
      <w:r>
        <w:rPr>
          <w:rFonts w:hint="eastAsia" w:ascii="仿宋_GB2312" w:hAnsi="仿宋_GB2312" w:eastAsia="仿宋_GB2312" w:cs="仿宋_GB2312"/>
          <w:bCs/>
          <w:spacing w:val="6"/>
          <w:sz w:val="32"/>
          <w:szCs w:val="32"/>
          <w:highlight w:val="none"/>
        </w:rPr>
        <w:t>号）</w:t>
      </w:r>
      <w:r>
        <w:rPr>
          <w:rFonts w:hint="eastAsia" w:ascii="仿宋_GB2312" w:hAnsi="仿宋_GB2312" w:eastAsia="仿宋_GB2312" w:cs="仿宋_GB2312"/>
          <w:bCs/>
          <w:spacing w:val="6"/>
          <w:sz w:val="32"/>
          <w:szCs w:val="32"/>
          <w:highlight w:val="none"/>
          <w:lang w:val="en-US" w:eastAsia="zh-CN"/>
        </w:rPr>
        <w:t>文件要求区工信局行政编制10名。设局长1名，副局长3名；内设机构领导职数4名</w:t>
      </w:r>
      <w:r>
        <w:rPr>
          <w:rFonts w:hint="eastAsia" w:ascii="仿宋_GB2312" w:hAnsi="Times New Roman" w:eastAsia="仿宋_GB2312" w:cs="Times New Roman"/>
          <w:spacing w:val="6"/>
          <w:sz w:val="32"/>
          <w:szCs w:val="32"/>
          <w:highlight w:val="none"/>
          <w:lang w:val="en-US" w:eastAsia="zh-CN"/>
        </w:rPr>
        <w:t>。</w:t>
      </w:r>
      <w:r>
        <w:rPr>
          <w:rFonts w:hint="eastAsia" w:ascii="仿宋_GB2312" w:hAnsi="仿宋_GB2312" w:eastAsia="仿宋_GB2312" w:cs="仿宋_GB2312"/>
          <w:spacing w:val="6"/>
          <w:sz w:val="32"/>
          <w:szCs w:val="32"/>
          <w:highlight w:val="none"/>
        </w:rPr>
        <w:t>根据</w:t>
      </w:r>
      <w:r>
        <w:rPr>
          <w:rFonts w:hint="eastAsia" w:ascii="仿宋_GB2312" w:hAnsi="仿宋_GB2312" w:eastAsia="仿宋_GB2312" w:cs="仿宋_GB2312"/>
          <w:bCs/>
          <w:spacing w:val="6"/>
          <w:sz w:val="32"/>
          <w:szCs w:val="32"/>
          <w:highlight w:val="none"/>
        </w:rPr>
        <w:t>《中共</w:t>
      </w:r>
      <w:r>
        <w:rPr>
          <w:rFonts w:hint="eastAsia" w:ascii="仿宋_GB2312" w:hAnsi="仿宋_GB2312" w:eastAsia="仿宋_GB2312" w:cs="仿宋_GB2312"/>
          <w:bCs/>
          <w:spacing w:val="6"/>
          <w:sz w:val="32"/>
          <w:szCs w:val="32"/>
          <w:highlight w:val="none"/>
          <w:lang w:val="en-US" w:eastAsia="zh-CN"/>
        </w:rPr>
        <w:t>贵阳市云岩</w:t>
      </w:r>
      <w:r>
        <w:rPr>
          <w:rFonts w:hint="eastAsia" w:ascii="仿宋_GB2312" w:hAnsi="仿宋_GB2312" w:eastAsia="仿宋_GB2312" w:cs="仿宋_GB2312"/>
          <w:bCs/>
          <w:spacing w:val="6"/>
          <w:sz w:val="32"/>
          <w:szCs w:val="32"/>
          <w:highlight w:val="none"/>
        </w:rPr>
        <w:t>区委</w:t>
      </w:r>
      <w:r>
        <w:rPr>
          <w:rFonts w:hint="eastAsia" w:ascii="仿宋_GB2312" w:hAnsi="仿宋_GB2312" w:eastAsia="仿宋_GB2312" w:cs="仿宋_GB2312"/>
          <w:bCs/>
          <w:spacing w:val="6"/>
          <w:sz w:val="32"/>
          <w:szCs w:val="32"/>
          <w:highlight w:val="none"/>
          <w:lang w:val="en-US" w:eastAsia="zh-CN"/>
        </w:rPr>
        <w:t>机构编制委员会</w:t>
      </w:r>
      <w:r>
        <w:rPr>
          <w:rFonts w:hint="eastAsia" w:ascii="仿宋_GB2312" w:hAnsi="仿宋_GB2312" w:eastAsia="仿宋_GB2312" w:cs="仿宋_GB2312"/>
          <w:bCs/>
          <w:spacing w:val="6"/>
          <w:sz w:val="32"/>
          <w:szCs w:val="32"/>
          <w:highlight w:val="none"/>
        </w:rPr>
        <w:t>关于〈</w:t>
      </w:r>
      <w:r>
        <w:rPr>
          <w:rFonts w:hint="eastAsia" w:ascii="仿宋_GB2312" w:hAnsi="仿宋_GB2312" w:eastAsia="仿宋_GB2312" w:cs="仿宋_GB2312"/>
          <w:bCs/>
          <w:spacing w:val="6"/>
          <w:sz w:val="32"/>
          <w:szCs w:val="32"/>
          <w:highlight w:val="none"/>
          <w:lang w:val="en-US" w:eastAsia="zh-CN"/>
        </w:rPr>
        <w:t>云岩</w:t>
      </w:r>
      <w:r>
        <w:rPr>
          <w:rFonts w:hint="eastAsia" w:ascii="仿宋_GB2312" w:hAnsi="仿宋_GB2312" w:eastAsia="仿宋_GB2312" w:cs="仿宋_GB2312"/>
          <w:bCs/>
          <w:spacing w:val="6"/>
          <w:sz w:val="32"/>
          <w:szCs w:val="32"/>
          <w:highlight w:val="none"/>
        </w:rPr>
        <w:t>区</w:t>
      </w:r>
      <w:r>
        <w:rPr>
          <w:rFonts w:hint="eastAsia" w:ascii="仿宋_GB2312" w:hAnsi="仿宋_GB2312" w:eastAsia="仿宋_GB2312" w:cs="仿宋_GB2312"/>
          <w:bCs/>
          <w:spacing w:val="6"/>
          <w:sz w:val="32"/>
          <w:szCs w:val="32"/>
          <w:highlight w:val="none"/>
          <w:lang w:val="en-US" w:eastAsia="zh-CN"/>
        </w:rPr>
        <w:t>大数据产业促进中心有关机构编制事项</w:t>
      </w:r>
      <w:r>
        <w:rPr>
          <w:rFonts w:hint="eastAsia" w:ascii="仿宋_GB2312" w:hAnsi="仿宋_GB2312" w:eastAsia="仿宋_GB2312" w:cs="仿宋_GB2312"/>
          <w:bCs/>
          <w:spacing w:val="6"/>
          <w:sz w:val="32"/>
          <w:szCs w:val="32"/>
          <w:highlight w:val="none"/>
        </w:rPr>
        <w:t>〉的通知》（</w:t>
      </w:r>
      <w:r>
        <w:rPr>
          <w:rFonts w:hint="eastAsia" w:ascii="仿宋_GB2312" w:hAnsi="仿宋_GB2312" w:eastAsia="仿宋_GB2312" w:cs="仿宋_GB2312"/>
          <w:bCs/>
          <w:spacing w:val="6"/>
          <w:sz w:val="32"/>
          <w:szCs w:val="32"/>
          <w:highlight w:val="none"/>
          <w:lang w:val="en-US" w:eastAsia="zh-CN"/>
        </w:rPr>
        <w:t>云编通</w:t>
      </w:r>
      <w:r>
        <w:rPr>
          <w:rFonts w:hint="eastAsia" w:ascii="仿宋_GB2312" w:hAnsi="仿宋_GB2312" w:eastAsia="仿宋_GB2312" w:cs="仿宋_GB2312"/>
          <w:bCs/>
          <w:spacing w:val="6"/>
          <w:sz w:val="32"/>
          <w:szCs w:val="32"/>
          <w:highlight w:val="none"/>
        </w:rPr>
        <w:t>〔20</w:t>
      </w:r>
      <w:r>
        <w:rPr>
          <w:rFonts w:hint="eastAsia" w:ascii="仿宋_GB2312" w:hAnsi="仿宋_GB2312" w:eastAsia="仿宋_GB2312" w:cs="仿宋_GB2312"/>
          <w:bCs/>
          <w:spacing w:val="6"/>
          <w:sz w:val="32"/>
          <w:szCs w:val="32"/>
          <w:highlight w:val="none"/>
          <w:lang w:val="en-US" w:eastAsia="zh-CN"/>
        </w:rPr>
        <w:t>21</w:t>
      </w:r>
      <w:r>
        <w:rPr>
          <w:rFonts w:hint="eastAsia" w:ascii="仿宋_GB2312" w:hAnsi="仿宋_GB2312" w:eastAsia="仿宋_GB2312" w:cs="仿宋_GB2312"/>
          <w:bCs/>
          <w:spacing w:val="6"/>
          <w:sz w:val="32"/>
          <w:szCs w:val="32"/>
          <w:highlight w:val="none"/>
        </w:rPr>
        <w:t>〕</w:t>
      </w:r>
      <w:r>
        <w:rPr>
          <w:rFonts w:hint="eastAsia" w:ascii="仿宋_GB2312" w:hAnsi="仿宋_GB2312" w:eastAsia="仿宋_GB2312" w:cs="仿宋_GB2312"/>
          <w:bCs/>
          <w:spacing w:val="6"/>
          <w:sz w:val="32"/>
          <w:szCs w:val="32"/>
          <w:highlight w:val="none"/>
          <w:lang w:val="en-US" w:eastAsia="zh-CN"/>
        </w:rPr>
        <w:t>6</w:t>
      </w:r>
      <w:r>
        <w:rPr>
          <w:rFonts w:hint="eastAsia" w:ascii="仿宋_GB2312" w:hAnsi="仿宋_GB2312" w:eastAsia="仿宋_GB2312" w:cs="仿宋_GB2312"/>
          <w:bCs/>
          <w:spacing w:val="6"/>
          <w:sz w:val="32"/>
          <w:szCs w:val="32"/>
          <w:highlight w:val="none"/>
        </w:rPr>
        <w:t>号）</w:t>
      </w:r>
      <w:r>
        <w:rPr>
          <w:rFonts w:hint="eastAsia" w:ascii="仿宋_GB2312" w:hAnsi="仿宋_GB2312" w:eastAsia="仿宋_GB2312" w:cs="仿宋_GB2312"/>
          <w:bCs/>
          <w:spacing w:val="6"/>
          <w:sz w:val="32"/>
          <w:szCs w:val="32"/>
          <w:highlight w:val="none"/>
          <w:lang w:val="en-US" w:eastAsia="zh-CN"/>
        </w:rPr>
        <w:t>文件要求云岩区大数据产业促进中心核定事业编5名，其中：管理人员2名、专业技术人员2名、工勤人员1名。</w:t>
      </w:r>
      <w:r>
        <w:rPr>
          <w:rFonts w:hint="eastAsia" w:ascii="仿宋_GB2312" w:hAnsi="Times New Roman" w:eastAsia="仿宋_GB2312" w:cs="Times New Roman"/>
          <w:spacing w:val="6"/>
          <w:sz w:val="32"/>
          <w:szCs w:val="32"/>
          <w:highlight w:val="none"/>
          <w:lang w:val="en-US" w:eastAsia="zh-CN"/>
        </w:rPr>
        <w:t>2021年年末区工信局人员编制15名，在职人员为13名。</w:t>
      </w:r>
    </w:p>
    <w:p>
      <w:pPr>
        <w:widowControl w:val="0"/>
        <w:spacing w:afterLines="0" w:line="590" w:lineRule="exact"/>
        <w:ind w:firstLine="664" w:firstLineChars="200"/>
        <w:jc w:val="both"/>
        <w:outlineLvl w:val="1"/>
        <w:rPr>
          <w:rFonts w:hint="default" w:ascii="楷体_GB2312" w:hAnsi="楷体_GB2312" w:eastAsia="楷体_GB2312" w:cs="楷体_GB2312"/>
          <w:spacing w:val="6"/>
          <w:sz w:val="32"/>
          <w:szCs w:val="32"/>
          <w:lang w:val="en-US" w:eastAsia="zh-CN"/>
        </w:rPr>
      </w:pPr>
      <w:bookmarkStart w:id="20" w:name="_Toc18203"/>
      <w:bookmarkStart w:id="21" w:name="_Toc20084"/>
      <w:bookmarkStart w:id="22" w:name="_Toc11896"/>
      <w:bookmarkStart w:id="23" w:name="_Toc11877"/>
      <w:r>
        <w:rPr>
          <w:rFonts w:hint="eastAsia" w:ascii="楷体_GB2312" w:hAnsi="楷体_GB2312" w:eastAsia="楷体_GB2312" w:cs="楷体_GB2312"/>
          <w:spacing w:val="6"/>
          <w:sz w:val="32"/>
          <w:szCs w:val="32"/>
        </w:rPr>
        <w:fldChar w:fldCharType="begin"/>
      </w:r>
      <w:r>
        <w:rPr>
          <w:rFonts w:hint="eastAsia" w:ascii="楷体_GB2312" w:hAnsi="楷体_GB2312" w:eastAsia="楷体_GB2312" w:cs="楷体_GB2312"/>
          <w:spacing w:val="6"/>
          <w:sz w:val="32"/>
          <w:szCs w:val="32"/>
        </w:rPr>
        <w:instrText xml:space="preserve"> HYPERLINK \l "_Toc434746187" </w:instrText>
      </w:r>
      <w:r>
        <w:rPr>
          <w:rFonts w:hint="eastAsia" w:ascii="楷体_GB2312" w:hAnsi="楷体_GB2312" w:eastAsia="楷体_GB2312" w:cs="楷体_GB2312"/>
          <w:spacing w:val="6"/>
          <w:sz w:val="32"/>
          <w:szCs w:val="32"/>
        </w:rPr>
        <w:fldChar w:fldCharType="separate"/>
      </w:r>
      <w:bookmarkStart w:id="24" w:name="_Toc41306267"/>
      <w:r>
        <w:rPr>
          <w:rFonts w:hint="eastAsia" w:ascii="楷体_GB2312" w:hAnsi="楷体_GB2312" w:eastAsia="楷体_GB2312" w:cs="楷体_GB2312"/>
          <w:spacing w:val="6"/>
          <w:sz w:val="32"/>
          <w:szCs w:val="32"/>
          <w:lang w:val="zh-CN"/>
        </w:rPr>
        <w:t>（二）</w:t>
      </w:r>
      <w:r>
        <w:rPr>
          <w:rFonts w:hint="eastAsia" w:ascii="楷体_GB2312" w:hAnsi="楷体_GB2312" w:eastAsia="楷体_GB2312" w:cs="楷体_GB2312"/>
          <w:spacing w:val="6"/>
          <w:sz w:val="32"/>
          <w:szCs w:val="32"/>
          <w:lang w:val="zh-CN"/>
        </w:rPr>
        <w:fldChar w:fldCharType="end"/>
      </w:r>
      <w:bookmarkEnd w:id="17"/>
      <w:bookmarkEnd w:id="18"/>
      <w:bookmarkEnd w:id="19"/>
      <w:bookmarkEnd w:id="20"/>
      <w:bookmarkEnd w:id="21"/>
      <w:bookmarkEnd w:id="24"/>
      <w:r>
        <w:rPr>
          <w:rFonts w:hint="eastAsia" w:ascii="楷体_GB2312" w:hAnsi="楷体_GB2312" w:eastAsia="楷体_GB2312" w:cs="楷体_GB2312"/>
          <w:spacing w:val="6"/>
          <w:sz w:val="32"/>
          <w:szCs w:val="32"/>
          <w:lang w:val="en-US" w:eastAsia="zh-CN"/>
        </w:rPr>
        <w:t>资金投入和使用情况</w:t>
      </w:r>
      <w:bookmarkEnd w:id="22"/>
      <w:bookmarkEnd w:id="23"/>
    </w:p>
    <w:p>
      <w:pPr>
        <w:widowControl w:val="0"/>
        <w:spacing w:afterLines="0" w:line="590" w:lineRule="exact"/>
        <w:ind w:firstLine="664" w:firstLineChars="200"/>
        <w:jc w:val="both"/>
        <w:rPr>
          <w:rFonts w:hint="default" w:ascii="仿宋_GB2312" w:hAnsi="仿宋_GB2312" w:eastAsia="仿宋_GB2312" w:cs="仿宋_GB2312"/>
          <w:spacing w:val="6"/>
          <w:sz w:val="32"/>
          <w:szCs w:val="32"/>
          <w:highlight w:val="none"/>
          <w:lang w:val="en-US" w:eastAsia="zh-CN"/>
        </w:rPr>
      </w:pPr>
      <w:r>
        <w:rPr>
          <w:rFonts w:hint="eastAsia" w:ascii="仿宋_GB2312" w:hAnsi="仿宋_GB2312" w:eastAsia="仿宋_GB2312" w:cs="仿宋_GB2312"/>
          <w:spacing w:val="6"/>
          <w:sz w:val="32"/>
          <w:szCs w:val="32"/>
        </w:rPr>
        <w:t>1．</w:t>
      </w:r>
      <w:r>
        <w:rPr>
          <w:rFonts w:hint="eastAsia" w:ascii="仿宋_GB2312" w:hAnsi="仿宋_GB2312" w:eastAsia="仿宋_GB2312" w:cs="仿宋_GB2312"/>
          <w:spacing w:val="6"/>
          <w:sz w:val="32"/>
          <w:szCs w:val="32"/>
          <w:highlight w:val="none"/>
          <w:lang w:val="en-US" w:eastAsia="zh-CN"/>
        </w:rPr>
        <w:t>部门预算批复情况</w:t>
      </w:r>
    </w:p>
    <w:p>
      <w:pPr>
        <w:widowControl w:val="0"/>
        <w:spacing w:afterLines="0" w:line="590" w:lineRule="exact"/>
        <w:ind w:firstLine="664" w:firstLineChars="200"/>
        <w:jc w:val="both"/>
        <w:rPr>
          <w:rFonts w:hint="eastAsia" w:ascii="仿宋_GB2312" w:hAnsi="仿宋_GB2312" w:eastAsia="仿宋_GB2312" w:cs="仿宋_GB2312"/>
          <w:spacing w:val="6"/>
          <w:sz w:val="32"/>
          <w:szCs w:val="32"/>
        </w:rPr>
      </w:pPr>
      <w:r>
        <w:rPr>
          <w:rFonts w:hint="eastAsia" w:ascii="仿宋_GB2312" w:hAnsi="仿宋_GB2312" w:eastAsia="仿宋_GB2312" w:cs="仿宋_GB2312"/>
          <w:spacing w:val="6"/>
          <w:sz w:val="32"/>
          <w:szCs w:val="32"/>
          <w:highlight w:val="none"/>
        </w:rPr>
        <w:t>根据区财政局《关于下达202</w:t>
      </w:r>
      <w:r>
        <w:rPr>
          <w:rFonts w:hint="eastAsia" w:ascii="仿宋_GB2312" w:hAnsi="仿宋_GB2312" w:eastAsia="仿宋_GB2312" w:cs="仿宋_GB2312"/>
          <w:spacing w:val="6"/>
          <w:sz w:val="32"/>
          <w:szCs w:val="32"/>
          <w:highlight w:val="none"/>
          <w:lang w:val="en-US" w:eastAsia="zh-CN"/>
        </w:rPr>
        <w:t>1</w:t>
      </w:r>
      <w:r>
        <w:rPr>
          <w:rFonts w:hint="eastAsia" w:ascii="仿宋_GB2312" w:hAnsi="仿宋_GB2312" w:eastAsia="仿宋_GB2312" w:cs="仿宋_GB2312"/>
          <w:spacing w:val="6"/>
          <w:sz w:val="32"/>
          <w:szCs w:val="32"/>
          <w:highlight w:val="none"/>
        </w:rPr>
        <w:t>年部门预算指标的通知》（</w:t>
      </w:r>
      <w:r>
        <w:rPr>
          <w:rFonts w:hint="eastAsia" w:ascii="仿宋_GB2312" w:hAnsi="仿宋_GB2312" w:eastAsia="仿宋_GB2312" w:cs="仿宋_GB2312"/>
          <w:spacing w:val="6"/>
          <w:sz w:val="32"/>
          <w:szCs w:val="32"/>
          <w:highlight w:val="none"/>
          <w:lang w:val="en-US" w:eastAsia="zh-CN"/>
        </w:rPr>
        <w:t>云</w:t>
      </w:r>
      <w:r>
        <w:rPr>
          <w:rFonts w:hint="eastAsia" w:ascii="仿宋_GB2312" w:hAnsi="仿宋_GB2312" w:eastAsia="仿宋_GB2312" w:cs="仿宋_GB2312"/>
          <w:spacing w:val="6"/>
          <w:sz w:val="32"/>
          <w:szCs w:val="32"/>
          <w:highlight w:val="none"/>
        </w:rPr>
        <w:t>财预〔202</w:t>
      </w:r>
      <w:r>
        <w:rPr>
          <w:rFonts w:hint="eastAsia" w:ascii="仿宋_GB2312" w:hAnsi="仿宋_GB2312" w:eastAsia="仿宋_GB2312" w:cs="仿宋_GB2312"/>
          <w:spacing w:val="6"/>
          <w:sz w:val="32"/>
          <w:szCs w:val="32"/>
          <w:highlight w:val="none"/>
          <w:lang w:val="en-US" w:eastAsia="zh-CN"/>
        </w:rPr>
        <w:t>1</w:t>
      </w:r>
      <w:r>
        <w:rPr>
          <w:rFonts w:hint="eastAsia" w:ascii="仿宋_GB2312" w:hAnsi="仿宋_GB2312" w:eastAsia="仿宋_GB2312" w:cs="仿宋_GB2312"/>
          <w:spacing w:val="6"/>
          <w:sz w:val="32"/>
          <w:szCs w:val="32"/>
          <w:highlight w:val="none"/>
        </w:rPr>
        <w:t>〕5号），下达</w:t>
      </w:r>
      <w:r>
        <w:rPr>
          <w:rFonts w:hint="eastAsia" w:ascii="仿宋_GB2312" w:hAnsi="仿宋_GB2312" w:eastAsia="仿宋_GB2312" w:cs="仿宋_GB2312"/>
          <w:spacing w:val="6"/>
          <w:sz w:val="32"/>
          <w:szCs w:val="32"/>
          <w:highlight w:val="none"/>
          <w:lang w:val="en-US" w:eastAsia="zh-CN"/>
        </w:rPr>
        <w:t>区工信</w:t>
      </w:r>
      <w:r>
        <w:rPr>
          <w:rFonts w:hint="eastAsia" w:ascii="仿宋_GB2312" w:hAnsi="仿宋_GB2312" w:eastAsia="仿宋_GB2312" w:cs="仿宋_GB2312"/>
          <w:spacing w:val="6"/>
          <w:sz w:val="32"/>
          <w:szCs w:val="32"/>
          <w:highlight w:val="none"/>
        </w:rPr>
        <w:t>局202</w:t>
      </w:r>
      <w:r>
        <w:rPr>
          <w:rFonts w:hint="eastAsia" w:ascii="仿宋_GB2312" w:hAnsi="仿宋_GB2312" w:eastAsia="仿宋_GB2312" w:cs="仿宋_GB2312"/>
          <w:spacing w:val="6"/>
          <w:sz w:val="32"/>
          <w:szCs w:val="32"/>
          <w:highlight w:val="none"/>
          <w:lang w:val="en-US" w:eastAsia="zh-CN"/>
        </w:rPr>
        <w:t>1</w:t>
      </w:r>
      <w:r>
        <w:rPr>
          <w:rFonts w:hint="eastAsia" w:ascii="仿宋_GB2312" w:hAnsi="仿宋_GB2312" w:eastAsia="仿宋_GB2312" w:cs="仿宋_GB2312"/>
          <w:spacing w:val="6"/>
          <w:sz w:val="32"/>
          <w:szCs w:val="32"/>
          <w:highlight w:val="none"/>
        </w:rPr>
        <w:t>年初预算资金为</w:t>
      </w:r>
      <w:r>
        <w:rPr>
          <w:rFonts w:hint="eastAsia" w:ascii="仿宋_GB2312" w:hAnsi="仿宋_GB2312" w:eastAsia="仿宋_GB2312" w:cs="仿宋_GB2312"/>
          <w:spacing w:val="6"/>
          <w:sz w:val="32"/>
          <w:szCs w:val="32"/>
          <w:highlight w:val="none"/>
          <w:lang w:val="en-US" w:eastAsia="zh-CN"/>
        </w:rPr>
        <w:t>1</w:t>
      </w:r>
      <w:r>
        <w:rPr>
          <w:rFonts w:hint="eastAsia" w:ascii="仿宋_GB2312" w:hAnsi="仿宋_GB2312" w:eastAsia="仿宋_GB2312" w:cs="仿宋_GB2312"/>
          <w:spacing w:val="6"/>
          <w:sz w:val="32"/>
          <w:szCs w:val="32"/>
          <w:highlight w:val="none"/>
        </w:rPr>
        <w:t>,</w:t>
      </w:r>
      <w:r>
        <w:rPr>
          <w:rFonts w:hint="eastAsia" w:ascii="仿宋_GB2312" w:hAnsi="仿宋_GB2312" w:eastAsia="仿宋_GB2312" w:cs="仿宋_GB2312"/>
          <w:spacing w:val="6"/>
          <w:sz w:val="32"/>
          <w:szCs w:val="32"/>
          <w:highlight w:val="none"/>
          <w:lang w:val="en-US" w:eastAsia="zh-CN"/>
        </w:rPr>
        <w:t>617</w:t>
      </w:r>
      <w:r>
        <w:rPr>
          <w:rFonts w:hint="eastAsia" w:ascii="仿宋_GB2312" w:hAnsi="仿宋_GB2312" w:eastAsia="仿宋_GB2312" w:cs="仿宋_GB2312"/>
          <w:spacing w:val="6"/>
          <w:sz w:val="32"/>
          <w:szCs w:val="32"/>
          <w:highlight w:val="none"/>
        </w:rPr>
        <w:t>.</w:t>
      </w:r>
      <w:r>
        <w:rPr>
          <w:rFonts w:hint="eastAsia" w:ascii="仿宋_GB2312" w:hAnsi="仿宋_GB2312" w:eastAsia="仿宋_GB2312" w:cs="仿宋_GB2312"/>
          <w:spacing w:val="6"/>
          <w:sz w:val="32"/>
          <w:szCs w:val="32"/>
          <w:highlight w:val="none"/>
          <w:lang w:val="en-US" w:eastAsia="zh-CN"/>
        </w:rPr>
        <w:t>8</w:t>
      </w:r>
      <w:r>
        <w:rPr>
          <w:rFonts w:hint="eastAsia" w:ascii="仿宋_GB2312" w:hAnsi="仿宋_GB2312" w:eastAsia="仿宋_GB2312" w:cs="仿宋_GB2312"/>
          <w:spacing w:val="6"/>
          <w:sz w:val="32"/>
          <w:szCs w:val="32"/>
          <w:highlight w:val="none"/>
        </w:rPr>
        <w:t>0万元</w:t>
      </w:r>
      <w:r>
        <w:rPr>
          <w:rFonts w:hint="eastAsia" w:ascii="仿宋_GB2312" w:hAnsi="仿宋_GB2312" w:eastAsia="仿宋_GB2312" w:cs="仿宋_GB2312"/>
          <w:spacing w:val="6"/>
          <w:sz w:val="32"/>
          <w:szCs w:val="32"/>
          <w:highlight w:val="none"/>
          <w:lang w:eastAsia="zh-CN"/>
        </w:rPr>
        <w:t>，</w:t>
      </w:r>
      <w:r>
        <w:rPr>
          <w:rFonts w:hint="eastAsia" w:ascii="仿宋_GB2312" w:hAnsi="仿宋_GB2312" w:eastAsia="仿宋_GB2312" w:cs="仿宋_GB2312"/>
          <w:spacing w:val="6"/>
          <w:sz w:val="32"/>
          <w:szCs w:val="32"/>
          <w:highlight w:val="none"/>
          <w:lang w:val="en-US" w:eastAsia="zh-CN"/>
        </w:rPr>
        <w:t>其中基本支出228.97万元、项目支出1</w:t>
      </w:r>
      <w:r>
        <w:rPr>
          <w:rFonts w:hint="eastAsia" w:ascii="仿宋_GB2312" w:hAnsi="仿宋_GB2312" w:eastAsia="仿宋_GB2312" w:cs="仿宋_GB2312"/>
          <w:spacing w:val="6"/>
          <w:sz w:val="32"/>
          <w:szCs w:val="32"/>
          <w:highlight w:val="none"/>
        </w:rPr>
        <w:t>,</w:t>
      </w:r>
      <w:r>
        <w:rPr>
          <w:rFonts w:hint="eastAsia" w:ascii="仿宋_GB2312" w:hAnsi="仿宋_GB2312" w:eastAsia="仿宋_GB2312" w:cs="仿宋_GB2312"/>
          <w:spacing w:val="6"/>
          <w:sz w:val="32"/>
          <w:szCs w:val="32"/>
          <w:highlight w:val="none"/>
          <w:lang w:val="en-US" w:eastAsia="zh-CN"/>
        </w:rPr>
        <w:t>388.83万元。</w:t>
      </w:r>
      <w:r>
        <w:rPr>
          <w:rFonts w:hint="eastAsia" w:ascii="仿宋_GB2312" w:hAnsi="仿宋_GB2312" w:eastAsia="仿宋_GB2312" w:cs="仿宋_GB2312"/>
          <w:spacing w:val="6"/>
          <w:sz w:val="32"/>
          <w:szCs w:val="32"/>
        </w:rPr>
        <w:t>调整预算</w:t>
      </w:r>
      <w:r>
        <w:rPr>
          <w:rFonts w:hint="eastAsia" w:ascii="仿宋_GB2312" w:hAnsi="仿宋_GB2312" w:eastAsia="仿宋_GB2312" w:cs="仿宋_GB2312"/>
          <w:spacing w:val="6"/>
          <w:sz w:val="32"/>
          <w:szCs w:val="32"/>
          <w:lang w:val="en-US" w:eastAsia="zh-CN"/>
        </w:rPr>
        <w:t>9,537.90</w:t>
      </w:r>
      <w:r>
        <w:rPr>
          <w:rFonts w:hint="eastAsia" w:ascii="仿宋_GB2312" w:hAnsi="仿宋_GB2312" w:eastAsia="仿宋_GB2312" w:cs="仿宋_GB2312"/>
          <w:spacing w:val="6"/>
          <w:sz w:val="32"/>
          <w:szCs w:val="32"/>
        </w:rPr>
        <w:t>万元</w:t>
      </w:r>
      <w:r>
        <w:rPr>
          <w:rFonts w:hint="eastAsia" w:ascii="仿宋_GB2312" w:hAnsi="仿宋_GB2312" w:eastAsia="仿宋_GB2312" w:cs="仿宋_GB2312"/>
          <w:spacing w:val="6"/>
          <w:sz w:val="32"/>
          <w:szCs w:val="32"/>
          <w:lang w:eastAsia="zh-CN"/>
        </w:rPr>
        <w:t>，</w:t>
      </w:r>
      <w:r>
        <w:rPr>
          <w:rFonts w:hint="eastAsia" w:ascii="仿宋_GB2312" w:hAnsi="仿宋_GB2312" w:eastAsia="仿宋_GB2312" w:cs="仿宋_GB2312"/>
          <w:spacing w:val="6"/>
          <w:sz w:val="32"/>
          <w:szCs w:val="32"/>
          <w:lang w:val="en-US" w:eastAsia="zh-CN"/>
        </w:rPr>
        <w:t>调整后预算11,155.70万元</w:t>
      </w:r>
      <w:r>
        <w:rPr>
          <w:rFonts w:hint="eastAsia" w:ascii="仿宋_GB2312" w:hAnsi="仿宋_GB2312" w:eastAsia="仿宋_GB2312" w:cs="仿宋_GB2312"/>
          <w:spacing w:val="6"/>
          <w:sz w:val="32"/>
          <w:szCs w:val="32"/>
        </w:rPr>
        <w:t>。</w:t>
      </w:r>
    </w:p>
    <w:p>
      <w:pPr>
        <w:widowControl w:val="0"/>
        <w:spacing w:afterLines="0" w:line="590" w:lineRule="exact"/>
        <w:ind w:firstLine="664" w:firstLineChars="200"/>
        <w:jc w:val="both"/>
        <w:rPr>
          <w:rFonts w:hint="default" w:ascii="仿宋_GB2312" w:hAnsi="仿宋_GB2312" w:eastAsia="仿宋_GB2312" w:cs="仿宋_GB2312"/>
          <w:spacing w:val="6"/>
          <w:sz w:val="32"/>
          <w:szCs w:val="32"/>
          <w:lang w:val="en-US"/>
        </w:rPr>
      </w:pPr>
      <w:r>
        <w:rPr>
          <w:rFonts w:hint="eastAsia" w:ascii="仿宋_GB2312" w:hAnsi="仿宋_GB2312" w:eastAsia="仿宋_GB2312" w:cs="仿宋_GB2312"/>
          <w:spacing w:val="6"/>
          <w:sz w:val="32"/>
          <w:szCs w:val="32"/>
        </w:rPr>
        <w:t>具体情况详见下表</w:t>
      </w:r>
      <w:r>
        <w:rPr>
          <w:rFonts w:hint="eastAsia" w:ascii="仿宋_GB2312" w:hAnsi="仿宋_GB2312" w:eastAsia="仿宋_GB2312" w:cs="仿宋_GB2312"/>
          <w:spacing w:val="6"/>
          <w:sz w:val="32"/>
          <w:szCs w:val="32"/>
          <w:lang w:val="en-US" w:eastAsia="zh-CN"/>
        </w:rPr>
        <w:t>：</w:t>
      </w:r>
    </w:p>
    <w:p>
      <w:pPr>
        <w:widowControl w:val="0"/>
        <w:spacing w:line="590" w:lineRule="exact"/>
        <w:ind w:firstLine="584" w:firstLineChars="200"/>
        <w:jc w:val="right"/>
        <w:rPr>
          <w:rFonts w:hint="eastAsia" w:ascii="Times New Roman" w:hAnsi="Times New Roman" w:eastAsia="仿宋_GB2312" w:cs="Times New Roman"/>
          <w:spacing w:val="6"/>
          <w:sz w:val="28"/>
          <w:szCs w:val="28"/>
          <w:highlight w:val="none"/>
        </w:rPr>
      </w:pPr>
      <w:r>
        <w:rPr>
          <w:rFonts w:hint="eastAsia" w:ascii="Times New Roman" w:hAnsi="Times New Roman" w:eastAsia="仿宋_GB2312" w:cs="Times New Roman"/>
          <w:spacing w:val="6"/>
          <w:sz w:val="28"/>
          <w:szCs w:val="28"/>
          <w:highlight w:val="none"/>
        </w:rPr>
        <w:t>单位：万元</w:t>
      </w:r>
    </w:p>
    <w:tbl>
      <w:tblPr>
        <w:tblStyle w:val="18"/>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79"/>
        <w:gridCol w:w="1978"/>
        <w:gridCol w:w="1622"/>
        <w:gridCol w:w="1708"/>
        <w:gridCol w:w="1765"/>
        <w:gridCol w:w="13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atLeast"/>
        </w:trPr>
        <w:tc>
          <w:tcPr>
            <w:tcW w:w="424" w:type="pct"/>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序号</w:t>
            </w:r>
          </w:p>
        </w:tc>
        <w:tc>
          <w:tcPr>
            <w:tcW w:w="1078" w:type="pct"/>
            <w:vMerge w:val="restart"/>
            <w:tcBorders>
              <w:top w:val="single" w:color="000000" w:sz="8" w:space="0"/>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名称</w:t>
            </w:r>
          </w:p>
        </w:tc>
        <w:tc>
          <w:tcPr>
            <w:tcW w:w="885" w:type="pct"/>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年初预算</w:t>
            </w:r>
          </w:p>
        </w:tc>
        <w:tc>
          <w:tcPr>
            <w:tcW w:w="931" w:type="pct"/>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预算调整</w:t>
            </w:r>
          </w:p>
        </w:tc>
        <w:tc>
          <w:tcPr>
            <w:tcW w:w="1679" w:type="pct"/>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调整后预算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atLeast"/>
        </w:trPr>
        <w:tc>
          <w:tcPr>
            <w:tcW w:w="424"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仿宋_GB2312" w:hAnsi="宋体" w:eastAsia="仿宋_GB2312" w:cs="仿宋_GB2312"/>
                <w:b/>
                <w:bCs/>
                <w:i w:val="0"/>
                <w:iCs w:val="0"/>
                <w:color w:val="000000"/>
                <w:sz w:val="28"/>
                <w:szCs w:val="28"/>
                <w:u w:val="none"/>
              </w:rPr>
            </w:pPr>
          </w:p>
        </w:tc>
        <w:tc>
          <w:tcPr>
            <w:tcW w:w="1078" w:type="pct"/>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eastAsia" w:ascii="仿宋_GB2312" w:hAnsi="宋体" w:eastAsia="仿宋_GB2312" w:cs="仿宋_GB2312"/>
                <w:b/>
                <w:bCs/>
                <w:i w:val="0"/>
                <w:iCs w:val="0"/>
                <w:color w:val="000000"/>
                <w:sz w:val="28"/>
                <w:szCs w:val="28"/>
                <w:u w:val="none"/>
              </w:rPr>
            </w:pPr>
          </w:p>
        </w:tc>
        <w:tc>
          <w:tcPr>
            <w:tcW w:w="885" w:type="pct"/>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b/>
                <w:bCs/>
                <w:i w:val="0"/>
                <w:iCs w:val="0"/>
                <w:color w:val="000000"/>
                <w:sz w:val="28"/>
                <w:szCs w:val="28"/>
                <w:u w:val="none"/>
              </w:rPr>
            </w:pPr>
          </w:p>
        </w:tc>
        <w:tc>
          <w:tcPr>
            <w:tcW w:w="931" w:type="pct"/>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b/>
                <w:bCs/>
                <w:i w:val="0"/>
                <w:iCs w:val="0"/>
                <w:color w:val="000000"/>
                <w:sz w:val="28"/>
                <w:szCs w:val="28"/>
                <w:u w:val="none"/>
              </w:rPr>
            </w:pPr>
          </w:p>
        </w:tc>
        <w:tc>
          <w:tcPr>
            <w:tcW w:w="962"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金额</w:t>
            </w:r>
          </w:p>
        </w:tc>
        <w:tc>
          <w:tcPr>
            <w:tcW w:w="717"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占比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atLeast"/>
        </w:trPr>
        <w:tc>
          <w:tcPr>
            <w:tcW w:w="424" w:type="pct"/>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1</w:t>
            </w:r>
          </w:p>
        </w:tc>
        <w:tc>
          <w:tcPr>
            <w:tcW w:w="1078"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基本支出</w:t>
            </w:r>
          </w:p>
        </w:tc>
        <w:tc>
          <w:tcPr>
            <w:tcW w:w="1622" w:type="dxa"/>
            <w:tcBorders>
              <w:top w:val="nil"/>
              <w:left w:val="nil"/>
              <w:bottom w:val="single" w:color="000000" w:sz="8" w:space="0"/>
              <w:right w:val="single" w:color="000000" w:sz="8" w:space="0"/>
            </w:tcBorders>
            <w:shd w:val="clear" w:color="auto" w:fill="auto"/>
            <w:noWrap/>
            <w:vAlign w:val="bottom"/>
          </w:tcPr>
          <w:p>
            <w:pPr>
              <w:keepNext w:val="0"/>
              <w:keepLines w:val="0"/>
              <w:widowControl/>
              <w:suppressLineNumbers w:val="0"/>
              <w:jc w:val="right"/>
              <w:textAlignment w:val="bottom"/>
              <w:rPr>
                <w:rFonts w:hint="eastAsia" w:ascii="仿宋_GB2312" w:hAnsi="宋体" w:eastAsia="仿宋_GB2312" w:cs="仿宋_GB2312"/>
                <w:i w:val="0"/>
                <w:iCs w:val="0"/>
                <w:color w:val="000000"/>
                <w:sz w:val="28"/>
                <w:szCs w:val="28"/>
                <w:u w:val="none"/>
              </w:rPr>
            </w:pPr>
            <w:r>
              <w:rPr>
                <w:rFonts w:hint="eastAsia" w:ascii="仿宋_GB2312" w:hAnsi="Arial" w:eastAsia="仿宋_GB2312" w:cs="仿宋_GB2312"/>
                <w:i w:val="0"/>
                <w:iCs w:val="0"/>
                <w:color w:val="000000"/>
                <w:kern w:val="0"/>
                <w:sz w:val="28"/>
                <w:szCs w:val="28"/>
                <w:u w:val="none"/>
                <w:lang w:val="en-US" w:eastAsia="zh-CN" w:bidi="ar"/>
              </w:rPr>
              <w:t>228.97</w:t>
            </w:r>
          </w:p>
        </w:tc>
        <w:tc>
          <w:tcPr>
            <w:tcW w:w="1708" w:type="dxa"/>
            <w:tcBorders>
              <w:top w:val="nil"/>
              <w:left w:val="nil"/>
              <w:bottom w:val="single" w:color="000000" w:sz="8" w:space="0"/>
              <w:right w:val="single" w:color="000000" w:sz="8" w:space="0"/>
            </w:tcBorders>
            <w:shd w:val="clear" w:color="auto" w:fill="auto"/>
            <w:noWrap/>
            <w:vAlign w:val="bottom"/>
          </w:tcPr>
          <w:p>
            <w:pPr>
              <w:keepNext w:val="0"/>
              <w:keepLines w:val="0"/>
              <w:widowControl/>
              <w:suppressLineNumbers w:val="0"/>
              <w:jc w:val="right"/>
              <w:textAlignment w:val="bottom"/>
              <w:rPr>
                <w:rFonts w:hint="eastAsia" w:ascii="仿宋_GB2312" w:hAnsi="宋体" w:eastAsia="仿宋_GB2312" w:cs="仿宋_GB2312"/>
                <w:i w:val="0"/>
                <w:iCs w:val="0"/>
                <w:color w:val="000000"/>
                <w:sz w:val="28"/>
                <w:szCs w:val="28"/>
                <w:u w:val="none"/>
              </w:rPr>
            </w:pPr>
            <w:r>
              <w:rPr>
                <w:rFonts w:hint="eastAsia" w:ascii="仿宋_GB2312" w:hAnsi="Arial" w:eastAsia="仿宋_GB2312" w:cs="仿宋_GB2312"/>
                <w:i w:val="0"/>
                <w:iCs w:val="0"/>
                <w:color w:val="000000"/>
                <w:kern w:val="0"/>
                <w:sz w:val="28"/>
                <w:szCs w:val="28"/>
                <w:u w:val="none"/>
                <w:lang w:val="en-US" w:eastAsia="zh-CN" w:bidi="ar"/>
              </w:rPr>
              <w:t>4.12</w:t>
            </w:r>
          </w:p>
        </w:tc>
        <w:tc>
          <w:tcPr>
            <w:tcW w:w="1765" w:type="dxa"/>
            <w:tcBorders>
              <w:top w:val="nil"/>
              <w:left w:val="nil"/>
              <w:bottom w:val="single" w:color="000000" w:sz="8" w:space="0"/>
              <w:right w:val="single" w:color="000000" w:sz="8" w:space="0"/>
            </w:tcBorders>
            <w:shd w:val="clear" w:color="auto" w:fill="auto"/>
            <w:noWrap/>
            <w:vAlign w:val="bottom"/>
          </w:tcPr>
          <w:p>
            <w:pPr>
              <w:keepNext w:val="0"/>
              <w:keepLines w:val="0"/>
              <w:widowControl/>
              <w:suppressLineNumbers w:val="0"/>
              <w:jc w:val="right"/>
              <w:textAlignment w:val="bottom"/>
              <w:rPr>
                <w:rFonts w:hint="eastAsia" w:ascii="仿宋_GB2312" w:hAnsi="宋体" w:eastAsia="仿宋_GB2312" w:cs="仿宋_GB2312"/>
                <w:i w:val="0"/>
                <w:iCs w:val="0"/>
                <w:color w:val="000000"/>
                <w:sz w:val="28"/>
                <w:szCs w:val="28"/>
                <w:u w:val="none"/>
              </w:rPr>
            </w:pPr>
            <w:r>
              <w:rPr>
                <w:rFonts w:hint="eastAsia" w:ascii="仿宋_GB2312" w:hAnsi="Arial" w:eastAsia="仿宋_GB2312" w:cs="仿宋_GB2312"/>
                <w:i w:val="0"/>
                <w:iCs w:val="0"/>
                <w:color w:val="000000"/>
                <w:kern w:val="0"/>
                <w:sz w:val="28"/>
                <w:szCs w:val="28"/>
                <w:u w:val="none"/>
                <w:lang w:val="en-US" w:eastAsia="zh-CN" w:bidi="ar"/>
              </w:rPr>
              <w:t>233.09</w:t>
            </w:r>
          </w:p>
        </w:tc>
        <w:tc>
          <w:tcPr>
            <w:tcW w:w="131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8"/>
                <w:szCs w:val="28"/>
                <w:u w:val="none"/>
              </w:rPr>
            </w:pPr>
            <w:r>
              <w:rPr>
                <w:rFonts w:hint="eastAsia" w:ascii="仿宋_GB2312" w:hAnsi="Arial" w:eastAsia="仿宋_GB2312" w:cs="仿宋_GB2312"/>
                <w:i w:val="0"/>
                <w:iCs w:val="0"/>
                <w:color w:val="000000"/>
                <w:kern w:val="0"/>
                <w:sz w:val="28"/>
                <w:szCs w:val="28"/>
                <w:u w:val="none"/>
                <w:lang w:val="en-US" w:eastAsia="zh-CN" w:bidi="ar"/>
              </w:rPr>
              <w:t>2.09%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atLeast"/>
        </w:trPr>
        <w:tc>
          <w:tcPr>
            <w:tcW w:w="424" w:type="pct"/>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1.1</w:t>
            </w:r>
          </w:p>
        </w:tc>
        <w:tc>
          <w:tcPr>
            <w:tcW w:w="1078"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人员经费</w:t>
            </w:r>
          </w:p>
        </w:tc>
        <w:tc>
          <w:tcPr>
            <w:tcW w:w="1622" w:type="dxa"/>
            <w:tcBorders>
              <w:top w:val="nil"/>
              <w:left w:val="nil"/>
              <w:bottom w:val="single" w:color="000000" w:sz="8" w:space="0"/>
              <w:right w:val="single" w:color="000000" w:sz="8" w:space="0"/>
            </w:tcBorders>
            <w:shd w:val="clear" w:color="auto" w:fill="auto"/>
            <w:noWrap/>
            <w:vAlign w:val="bottom"/>
          </w:tcPr>
          <w:p>
            <w:pPr>
              <w:keepNext w:val="0"/>
              <w:keepLines w:val="0"/>
              <w:widowControl/>
              <w:suppressLineNumbers w:val="0"/>
              <w:jc w:val="right"/>
              <w:textAlignment w:val="bottom"/>
              <w:rPr>
                <w:rFonts w:hint="eastAsia" w:ascii="仿宋_GB2312" w:hAnsi="宋体" w:eastAsia="仿宋_GB2312" w:cs="仿宋_GB2312"/>
                <w:i w:val="0"/>
                <w:iCs w:val="0"/>
                <w:color w:val="000000"/>
                <w:sz w:val="28"/>
                <w:szCs w:val="28"/>
                <w:u w:val="none"/>
              </w:rPr>
            </w:pPr>
            <w:r>
              <w:rPr>
                <w:rFonts w:hint="eastAsia" w:ascii="仿宋_GB2312" w:hAnsi="Arial" w:eastAsia="仿宋_GB2312" w:cs="仿宋_GB2312"/>
                <w:i w:val="0"/>
                <w:iCs w:val="0"/>
                <w:color w:val="000000"/>
                <w:kern w:val="0"/>
                <w:sz w:val="28"/>
                <w:szCs w:val="28"/>
                <w:u w:val="none"/>
                <w:lang w:val="en-US" w:eastAsia="zh-CN" w:bidi="ar"/>
              </w:rPr>
              <w:t>204.81</w:t>
            </w:r>
          </w:p>
        </w:tc>
        <w:tc>
          <w:tcPr>
            <w:tcW w:w="1708" w:type="dxa"/>
            <w:tcBorders>
              <w:top w:val="nil"/>
              <w:left w:val="nil"/>
              <w:bottom w:val="single" w:color="000000" w:sz="8" w:space="0"/>
              <w:right w:val="single" w:color="000000" w:sz="8" w:space="0"/>
            </w:tcBorders>
            <w:shd w:val="clear" w:color="auto" w:fill="auto"/>
            <w:noWrap/>
            <w:vAlign w:val="bottom"/>
          </w:tcPr>
          <w:p>
            <w:pPr>
              <w:keepNext w:val="0"/>
              <w:keepLines w:val="0"/>
              <w:widowControl/>
              <w:suppressLineNumbers w:val="0"/>
              <w:jc w:val="right"/>
              <w:textAlignment w:val="bottom"/>
              <w:rPr>
                <w:rFonts w:hint="eastAsia" w:ascii="仿宋_GB2312" w:hAnsi="宋体" w:eastAsia="仿宋_GB2312" w:cs="仿宋_GB2312"/>
                <w:i w:val="0"/>
                <w:iCs w:val="0"/>
                <w:color w:val="000000"/>
                <w:sz w:val="28"/>
                <w:szCs w:val="28"/>
                <w:u w:val="none"/>
              </w:rPr>
            </w:pPr>
            <w:r>
              <w:rPr>
                <w:rFonts w:hint="eastAsia" w:ascii="仿宋_GB2312" w:hAnsi="Arial" w:eastAsia="仿宋_GB2312" w:cs="仿宋_GB2312"/>
                <w:i w:val="0"/>
                <w:iCs w:val="0"/>
                <w:color w:val="000000"/>
                <w:kern w:val="0"/>
                <w:sz w:val="28"/>
                <w:szCs w:val="28"/>
                <w:u w:val="none"/>
                <w:lang w:val="en-US" w:eastAsia="zh-CN" w:bidi="ar"/>
              </w:rPr>
              <w:t>0.19</w:t>
            </w:r>
          </w:p>
        </w:tc>
        <w:tc>
          <w:tcPr>
            <w:tcW w:w="1765" w:type="dxa"/>
            <w:tcBorders>
              <w:top w:val="nil"/>
              <w:left w:val="nil"/>
              <w:bottom w:val="single" w:color="000000" w:sz="8" w:space="0"/>
              <w:right w:val="single" w:color="000000" w:sz="8" w:space="0"/>
            </w:tcBorders>
            <w:shd w:val="clear" w:color="auto" w:fill="auto"/>
            <w:noWrap/>
            <w:vAlign w:val="bottom"/>
          </w:tcPr>
          <w:p>
            <w:pPr>
              <w:keepNext w:val="0"/>
              <w:keepLines w:val="0"/>
              <w:widowControl/>
              <w:suppressLineNumbers w:val="0"/>
              <w:jc w:val="right"/>
              <w:textAlignment w:val="bottom"/>
              <w:rPr>
                <w:rFonts w:hint="eastAsia" w:ascii="仿宋_GB2312" w:hAnsi="宋体" w:eastAsia="仿宋_GB2312" w:cs="仿宋_GB2312"/>
                <w:i w:val="0"/>
                <w:iCs w:val="0"/>
                <w:color w:val="000000"/>
                <w:sz w:val="28"/>
                <w:szCs w:val="28"/>
                <w:u w:val="none"/>
              </w:rPr>
            </w:pPr>
            <w:r>
              <w:rPr>
                <w:rFonts w:hint="eastAsia" w:ascii="仿宋_GB2312" w:hAnsi="Arial" w:eastAsia="仿宋_GB2312" w:cs="仿宋_GB2312"/>
                <w:i w:val="0"/>
                <w:iCs w:val="0"/>
                <w:color w:val="000000"/>
                <w:kern w:val="0"/>
                <w:sz w:val="28"/>
                <w:szCs w:val="28"/>
                <w:u w:val="none"/>
                <w:lang w:val="en-US" w:eastAsia="zh-CN" w:bidi="ar"/>
              </w:rPr>
              <w:t>205</w:t>
            </w:r>
          </w:p>
        </w:tc>
        <w:tc>
          <w:tcPr>
            <w:tcW w:w="131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8"/>
                <w:szCs w:val="28"/>
                <w:u w:val="none"/>
              </w:rPr>
            </w:pPr>
            <w:r>
              <w:rPr>
                <w:rFonts w:hint="eastAsia" w:ascii="仿宋_GB2312" w:hAnsi="Arial" w:eastAsia="仿宋_GB2312" w:cs="仿宋_GB2312"/>
                <w:i w:val="0"/>
                <w:iCs w:val="0"/>
                <w:color w:val="000000"/>
                <w:kern w:val="0"/>
                <w:sz w:val="28"/>
                <w:szCs w:val="28"/>
                <w:u w:val="none"/>
                <w:lang w:val="en-US" w:eastAsia="zh-CN" w:bidi="ar"/>
              </w:rPr>
              <w:t>1.84%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atLeast"/>
        </w:trPr>
        <w:tc>
          <w:tcPr>
            <w:tcW w:w="424" w:type="pct"/>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1.2</w:t>
            </w:r>
          </w:p>
        </w:tc>
        <w:tc>
          <w:tcPr>
            <w:tcW w:w="1078"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日常公用经费</w:t>
            </w:r>
          </w:p>
        </w:tc>
        <w:tc>
          <w:tcPr>
            <w:tcW w:w="1622" w:type="dxa"/>
            <w:tcBorders>
              <w:top w:val="nil"/>
              <w:left w:val="nil"/>
              <w:bottom w:val="single" w:color="000000" w:sz="8" w:space="0"/>
              <w:right w:val="single" w:color="000000" w:sz="8" w:space="0"/>
            </w:tcBorders>
            <w:shd w:val="clear" w:color="auto" w:fill="auto"/>
            <w:noWrap/>
            <w:vAlign w:val="bottom"/>
          </w:tcPr>
          <w:p>
            <w:pPr>
              <w:keepNext w:val="0"/>
              <w:keepLines w:val="0"/>
              <w:widowControl/>
              <w:suppressLineNumbers w:val="0"/>
              <w:jc w:val="right"/>
              <w:textAlignment w:val="bottom"/>
              <w:rPr>
                <w:rFonts w:hint="eastAsia" w:ascii="仿宋_GB2312" w:hAnsi="宋体" w:eastAsia="仿宋_GB2312" w:cs="仿宋_GB2312"/>
                <w:i w:val="0"/>
                <w:iCs w:val="0"/>
                <w:color w:val="000000"/>
                <w:sz w:val="28"/>
                <w:szCs w:val="28"/>
                <w:u w:val="none"/>
              </w:rPr>
            </w:pPr>
            <w:r>
              <w:rPr>
                <w:rFonts w:hint="eastAsia" w:ascii="仿宋_GB2312" w:hAnsi="Arial" w:eastAsia="仿宋_GB2312" w:cs="仿宋_GB2312"/>
                <w:i w:val="0"/>
                <w:iCs w:val="0"/>
                <w:color w:val="000000"/>
                <w:kern w:val="0"/>
                <w:sz w:val="28"/>
                <w:szCs w:val="28"/>
                <w:u w:val="none"/>
                <w:lang w:val="en-US" w:eastAsia="zh-CN" w:bidi="ar"/>
              </w:rPr>
              <w:t>24.16</w:t>
            </w:r>
          </w:p>
        </w:tc>
        <w:tc>
          <w:tcPr>
            <w:tcW w:w="1708" w:type="dxa"/>
            <w:tcBorders>
              <w:top w:val="nil"/>
              <w:left w:val="nil"/>
              <w:bottom w:val="single" w:color="000000" w:sz="8" w:space="0"/>
              <w:right w:val="single" w:color="000000" w:sz="8" w:space="0"/>
            </w:tcBorders>
            <w:shd w:val="clear" w:color="auto" w:fill="auto"/>
            <w:noWrap/>
            <w:vAlign w:val="bottom"/>
          </w:tcPr>
          <w:p>
            <w:pPr>
              <w:keepNext w:val="0"/>
              <w:keepLines w:val="0"/>
              <w:widowControl/>
              <w:suppressLineNumbers w:val="0"/>
              <w:jc w:val="right"/>
              <w:textAlignment w:val="bottom"/>
              <w:rPr>
                <w:rFonts w:hint="eastAsia" w:ascii="仿宋_GB2312" w:hAnsi="宋体" w:eastAsia="仿宋_GB2312" w:cs="仿宋_GB2312"/>
                <w:i w:val="0"/>
                <w:iCs w:val="0"/>
                <w:color w:val="000000"/>
                <w:sz w:val="28"/>
                <w:szCs w:val="28"/>
                <w:u w:val="none"/>
              </w:rPr>
            </w:pPr>
            <w:r>
              <w:rPr>
                <w:rFonts w:hint="eastAsia" w:ascii="仿宋_GB2312" w:hAnsi="Arial" w:eastAsia="仿宋_GB2312" w:cs="仿宋_GB2312"/>
                <w:i w:val="0"/>
                <w:iCs w:val="0"/>
                <w:color w:val="000000"/>
                <w:kern w:val="0"/>
                <w:sz w:val="28"/>
                <w:szCs w:val="28"/>
                <w:u w:val="none"/>
                <w:lang w:val="en-US" w:eastAsia="zh-CN" w:bidi="ar"/>
              </w:rPr>
              <w:t>3.93</w:t>
            </w:r>
          </w:p>
        </w:tc>
        <w:tc>
          <w:tcPr>
            <w:tcW w:w="1765" w:type="dxa"/>
            <w:tcBorders>
              <w:top w:val="nil"/>
              <w:left w:val="nil"/>
              <w:bottom w:val="single" w:color="000000" w:sz="8" w:space="0"/>
              <w:right w:val="single" w:color="000000" w:sz="8" w:space="0"/>
            </w:tcBorders>
            <w:shd w:val="clear" w:color="auto" w:fill="auto"/>
            <w:noWrap/>
            <w:vAlign w:val="bottom"/>
          </w:tcPr>
          <w:p>
            <w:pPr>
              <w:keepNext w:val="0"/>
              <w:keepLines w:val="0"/>
              <w:widowControl/>
              <w:suppressLineNumbers w:val="0"/>
              <w:jc w:val="right"/>
              <w:textAlignment w:val="bottom"/>
              <w:rPr>
                <w:rFonts w:hint="eastAsia" w:ascii="仿宋_GB2312" w:hAnsi="宋体" w:eastAsia="仿宋_GB2312" w:cs="仿宋_GB2312"/>
                <w:i w:val="0"/>
                <w:iCs w:val="0"/>
                <w:color w:val="000000"/>
                <w:sz w:val="28"/>
                <w:szCs w:val="28"/>
                <w:u w:val="none"/>
              </w:rPr>
            </w:pPr>
            <w:r>
              <w:rPr>
                <w:rFonts w:hint="eastAsia" w:ascii="仿宋_GB2312" w:hAnsi="Arial" w:eastAsia="仿宋_GB2312" w:cs="仿宋_GB2312"/>
                <w:i w:val="0"/>
                <w:iCs w:val="0"/>
                <w:color w:val="000000"/>
                <w:kern w:val="0"/>
                <w:sz w:val="28"/>
                <w:szCs w:val="28"/>
                <w:u w:val="none"/>
                <w:lang w:val="en-US" w:eastAsia="zh-CN" w:bidi="ar"/>
              </w:rPr>
              <w:t>28.09</w:t>
            </w:r>
          </w:p>
        </w:tc>
        <w:tc>
          <w:tcPr>
            <w:tcW w:w="131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8"/>
                <w:szCs w:val="28"/>
                <w:u w:val="none"/>
              </w:rPr>
            </w:pPr>
            <w:r>
              <w:rPr>
                <w:rFonts w:hint="eastAsia" w:ascii="仿宋_GB2312" w:hAnsi="Arial" w:eastAsia="仿宋_GB2312" w:cs="仿宋_GB2312"/>
                <w:i w:val="0"/>
                <w:iCs w:val="0"/>
                <w:color w:val="000000"/>
                <w:kern w:val="0"/>
                <w:sz w:val="28"/>
                <w:szCs w:val="28"/>
                <w:u w:val="none"/>
                <w:lang w:val="en-US" w:eastAsia="zh-CN" w:bidi="ar"/>
              </w:rPr>
              <w:t>0.25%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atLeast"/>
        </w:trPr>
        <w:tc>
          <w:tcPr>
            <w:tcW w:w="424" w:type="pct"/>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2</w:t>
            </w:r>
          </w:p>
        </w:tc>
        <w:tc>
          <w:tcPr>
            <w:tcW w:w="1078"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项目支出</w:t>
            </w:r>
          </w:p>
        </w:tc>
        <w:tc>
          <w:tcPr>
            <w:tcW w:w="1622" w:type="dxa"/>
            <w:tcBorders>
              <w:top w:val="nil"/>
              <w:left w:val="nil"/>
              <w:bottom w:val="single" w:color="000000" w:sz="8" w:space="0"/>
              <w:right w:val="single" w:color="000000" w:sz="8" w:space="0"/>
            </w:tcBorders>
            <w:shd w:val="clear" w:color="auto" w:fill="auto"/>
            <w:noWrap/>
            <w:vAlign w:val="bottom"/>
          </w:tcPr>
          <w:p>
            <w:pPr>
              <w:keepNext w:val="0"/>
              <w:keepLines w:val="0"/>
              <w:widowControl/>
              <w:suppressLineNumbers w:val="0"/>
              <w:jc w:val="right"/>
              <w:textAlignment w:val="bottom"/>
              <w:rPr>
                <w:rFonts w:hint="eastAsia" w:ascii="仿宋_GB2312" w:hAnsi="宋体" w:eastAsia="仿宋_GB2312" w:cs="仿宋_GB2312"/>
                <w:i w:val="0"/>
                <w:iCs w:val="0"/>
                <w:color w:val="000000"/>
                <w:sz w:val="28"/>
                <w:szCs w:val="28"/>
                <w:u w:val="none"/>
              </w:rPr>
            </w:pPr>
            <w:r>
              <w:rPr>
                <w:rFonts w:hint="eastAsia" w:ascii="仿宋_GB2312" w:hAnsi="Arial" w:eastAsia="仿宋_GB2312" w:cs="仿宋_GB2312"/>
                <w:i w:val="0"/>
                <w:iCs w:val="0"/>
                <w:color w:val="000000"/>
                <w:kern w:val="0"/>
                <w:sz w:val="28"/>
                <w:szCs w:val="28"/>
                <w:u w:val="none"/>
                <w:lang w:val="en-US" w:eastAsia="zh-CN" w:bidi="ar"/>
              </w:rPr>
              <w:t>1,388.83</w:t>
            </w:r>
          </w:p>
        </w:tc>
        <w:tc>
          <w:tcPr>
            <w:tcW w:w="1708" w:type="dxa"/>
            <w:tcBorders>
              <w:top w:val="nil"/>
              <w:left w:val="nil"/>
              <w:bottom w:val="single" w:color="000000" w:sz="8" w:space="0"/>
              <w:right w:val="single" w:color="000000" w:sz="8" w:space="0"/>
            </w:tcBorders>
            <w:shd w:val="clear" w:color="auto" w:fill="auto"/>
            <w:noWrap/>
            <w:vAlign w:val="bottom"/>
          </w:tcPr>
          <w:p>
            <w:pPr>
              <w:keepNext w:val="0"/>
              <w:keepLines w:val="0"/>
              <w:widowControl/>
              <w:suppressLineNumbers w:val="0"/>
              <w:jc w:val="right"/>
              <w:textAlignment w:val="bottom"/>
              <w:rPr>
                <w:rFonts w:hint="eastAsia" w:ascii="仿宋_GB2312" w:hAnsi="宋体" w:eastAsia="仿宋_GB2312" w:cs="仿宋_GB2312"/>
                <w:i w:val="0"/>
                <w:iCs w:val="0"/>
                <w:color w:val="000000"/>
                <w:sz w:val="28"/>
                <w:szCs w:val="28"/>
                <w:u w:val="none"/>
              </w:rPr>
            </w:pPr>
            <w:r>
              <w:rPr>
                <w:rFonts w:hint="eastAsia" w:ascii="仿宋_GB2312" w:hAnsi="Arial" w:eastAsia="仿宋_GB2312" w:cs="仿宋_GB2312"/>
                <w:i w:val="0"/>
                <w:iCs w:val="0"/>
                <w:color w:val="000000"/>
                <w:kern w:val="0"/>
                <w:sz w:val="28"/>
                <w:szCs w:val="28"/>
                <w:u w:val="none"/>
                <w:lang w:val="en-US" w:eastAsia="zh-CN" w:bidi="ar"/>
              </w:rPr>
              <w:t>9,533.78</w:t>
            </w:r>
          </w:p>
        </w:tc>
        <w:tc>
          <w:tcPr>
            <w:tcW w:w="1765" w:type="dxa"/>
            <w:tcBorders>
              <w:top w:val="nil"/>
              <w:left w:val="nil"/>
              <w:bottom w:val="single" w:color="000000" w:sz="8" w:space="0"/>
              <w:right w:val="single" w:color="000000" w:sz="8" w:space="0"/>
            </w:tcBorders>
            <w:shd w:val="clear" w:color="auto" w:fill="auto"/>
            <w:noWrap/>
            <w:vAlign w:val="bottom"/>
          </w:tcPr>
          <w:p>
            <w:pPr>
              <w:keepNext w:val="0"/>
              <w:keepLines w:val="0"/>
              <w:widowControl/>
              <w:suppressLineNumbers w:val="0"/>
              <w:jc w:val="right"/>
              <w:textAlignment w:val="bottom"/>
              <w:rPr>
                <w:rFonts w:hint="eastAsia" w:ascii="仿宋_GB2312" w:hAnsi="宋体" w:eastAsia="仿宋_GB2312" w:cs="仿宋_GB2312"/>
                <w:i w:val="0"/>
                <w:iCs w:val="0"/>
                <w:color w:val="000000"/>
                <w:sz w:val="28"/>
                <w:szCs w:val="28"/>
                <w:u w:val="none"/>
              </w:rPr>
            </w:pPr>
            <w:r>
              <w:rPr>
                <w:rFonts w:hint="eastAsia" w:ascii="仿宋_GB2312" w:hAnsi="Arial" w:eastAsia="仿宋_GB2312" w:cs="仿宋_GB2312"/>
                <w:i w:val="0"/>
                <w:iCs w:val="0"/>
                <w:color w:val="000000"/>
                <w:kern w:val="0"/>
                <w:sz w:val="28"/>
                <w:szCs w:val="28"/>
                <w:u w:val="none"/>
                <w:lang w:val="en-US" w:eastAsia="zh-CN" w:bidi="ar"/>
              </w:rPr>
              <w:t>10,922.61</w:t>
            </w:r>
          </w:p>
        </w:tc>
        <w:tc>
          <w:tcPr>
            <w:tcW w:w="131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8"/>
                <w:szCs w:val="28"/>
                <w:u w:val="none"/>
              </w:rPr>
            </w:pPr>
            <w:r>
              <w:rPr>
                <w:rFonts w:hint="eastAsia" w:ascii="仿宋_GB2312" w:hAnsi="Arial" w:eastAsia="仿宋_GB2312" w:cs="仿宋_GB2312"/>
                <w:i w:val="0"/>
                <w:iCs w:val="0"/>
                <w:color w:val="000000"/>
                <w:kern w:val="0"/>
                <w:sz w:val="28"/>
                <w:szCs w:val="28"/>
                <w:u w:val="none"/>
                <w:lang w:val="en-US" w:eastAsia="zh-CN" w:bidi="ar"/>
              </w:rPr>
              <w:t>97.91%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atLeast"/>
        </w:trPr>
        <w:tc>
          <w:tcPr>
            <w:tcW w:w="1503" w:type="pct"/>
            <w:gridSpan w:val="2"/>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合 计</w:t>
            </w:r>
          </w:p>
        </w:tc>
        <w:tc>
          <w:tcPr>
            <w:tcW w:w="1622" w:type="dxa"/>
            <w:tcBorders>
              <w:top w:val="nil"/>
              <w:left w:val="nil"/>
              <w:bottom w:val="single" w:color="000000" w:sz="8" w:space="0"/>
              <w:right w:val="single" w:color="000000" w:sz="8" w:space="0"/>
            </w:tcBorders>
            <w:shd w:val="clear" w:color="auto" w:fill="auto"/>
            <w:noWrap/>
            <w:vAlign w:val="bottom"/>
          </w:tcPr>
          <w:p>
            <w:pPr>
              <w:keepNext w:val="0"/>
              <w:keepLines w:val="0"/>
              <w:widowControl/>
              <w:suppressLineNumbers w:val="0"/>
              <w:jc w:val="right"/>
              <w:textAlignment w:val="bottom"/>
              <w:rPr>
                <w:rFonts w:hint="eastAsia" w:ascii="仿宋_GB2312" w:hAnsi="宋体" w:eastAsia="仿宋_GB2312" w:cs="仿宋_GB2312"/>
                <w:b/>
                <w:bCs/>
                <w:i w:val="0"/>
                <w:iCs w:val="0"/>
                <w:color w:val="000000"/>
                <w:sz w:val="28"/>
                <w:szCs w:val="28"/>
                <w:u w:val="none"/>
              </w:rPr>
            </w:pPr>
            <w:r>
              <w:rPr>
                <w:rFonts w:hint="eastAsia" w:ascii="仿宋_GB2312" w:hAnsi="Arial" w:eastAsia="仿宋_GB2312" w:cs="仿宋_GB2312"/>
                <w:b/>
                <w:bCs/>
                <w:i w:val="0"/>
                <w:iCs w:val="0"/>
                <w:color w:val="000000"/>
                <w:kern w:val="0"/>
                <w:sz w:val="28"/>
                <w:szCs w:val="28"/>
                <w:u w:val="none"/>
                <w:lang w:val="en-US" w:eastAsia="zh-CN" w:bidi="ar"/>
              </w:rPr>
              <w:t>1,617.80</w:t>
            </w:r>
          </w:p>
        </w:tc>
        <w:tc>
          <w:tcPr>
            <w:tcW w:w="1708" w:type="dxa"/>
            <w:tcBorders>
              <w:top w:val="nil"/>
              <w:left w:val="nil"/>
              <w:bottom w:val="single" w:color="000000" w:sz="8" w:space="0"/>
              <w:right w:val="single" w:color="000000" w:sz="8" w:space="0"/>
            </w:tcBorders>
            <w:shd w:val="clear" w:color="auto" w:fill="auto"/>
            <w:noWrap/>
            <w:vAlign w:val="bottom"/>
          </w:tcPr>
          <w:p>
            <w:pPr>
              <w:keepNext w:val="0"/>
              <w:keepLines w:val="0"/>
              <w:widowControl/>
              <w:suppressLineNumbers w:val="0"/>
              <w:jc w:val="right"/>
              <w:textAlignment w:val="bottom"/>
              <w:rPr>
                <w:rFonts w:hint="eastAsia" w:ascii="仿宋_GB2312" w:hAnsi="宋体" w:eastAsia="仿宋_GB2312" w:cs="仿宋_GB2312"/>
                <w:b/>
                <w:bCs/>
                <w:i w:val="0"/>
                <w:iCs w:val="0"/>
                <w:color w:val="000000"/>
                <w:sz w:val="28"/>
                <w:szCs w:val="28"/>
                <w:u w:val="none"/>
              </w:rPr>
            </w:pPr>
            <w:r>
              <w:rPr>
                <w:rFonts w:hint="eastAsia" w:ascii="仿宋_GB2312" w:hAnsi="Arial" w:eastAsia="仿宋_GB2312" w:cs="仿宋_GB2312"/>
                <w:b/>
                <w:bCs/>
                <w:i w:val="0"/>
                <w:iCs w:val="0"/>
                <w:color w:val="000000"/>
                <w:kern w:val="0"/>
                <w:sz w:val="28"/>
                <w:szCs w:val="28"/>
                <w:u w:val="none"/>
                <w:lang w:val="en-US" w:eastAsia="zh-CN" w:bidi="ar"/>
              </w:rPr>
              <w:t>9,537.90</w:t>
            </w:r>
          </w:p>
        </w:tc>
        <w:tc>
          <w:tcPr>
            <w:tcW w:w="1765" w:type="dxa"/>
            <w:tcBorders>
              <w:top w:val="nil"/>
              <w:left w:val="nil"/>
              <w:bottom w:val="single" w:color="000000" w:sz="8" w:space="0"/>
              <w:right w:val="single" w:color="000000" w:sz="8" w:space="0"/>
            </w:tcBorders>
            <w:shd w:val="clear" w:color="auto" w:fill="auto"/>
            <w:noWrap/>
            <w:vAlign w:val="bottom"/>
          </w:tcPr>
          <w:p>
            <w:pPr>
              <w:keepNext w:val="0"/>
              <w:keepLines w:val="0"/>
              <w:widowControl/>
              <w:suppressLineNumbers w:val="0"/>
              <w:jc w:val="right"/>
              <w:textAlignment w:val="bottom"/>
              <w:rPr>
                <w:rFonts w:hint="eastAsia" w:ascii="仿宋_GB2312" w:hAnsi="宋体" w:eastAsia="仿宋_GB2312" w:cs="仿宋_GB2312"/>
                <w:b/>
                <w:bCs/>
                <w:i w:val="0"/>
                <w:iCs w:val="0"/>
                <w:color w:val="000000"/>
                <w:sz w:val="28"/>
                <w:szCs w:val="28"/>
                <w:u w:val="none"/>
              </w:rPr>
            </w:pPr>
            <w:r>
              <w:rPr>
                <w:rFonts w:hint="eastAsia" w:ascii="仿宋_GB2312" w:hAnsi="Arial" w:eastAsia="仿宋_GB2312" w:cs="仿宋_GB2312"/>
                <w:b/>
                <w:bCs/>
                <w:i w:val="0"/>
                <w:iCs w:val="0"/>
                <w:color w:val="000000"/>
                <w:kern w:val="0"/>
                <w:sz w:val="28"/>
                <w:szCs w:val="28"/>
                <w:u w:val="none"/>
                <w:lang w:val="en-US" w:eastAsia="zh-CN" w:bidi="ar"/>
              </w:rPr>
              <w:t>11,155.70</w:t>
            </w:r>
          </w:p>
        </w:tc>
        <w:tc>
          <w:tcPr>
            <w:tcW w:w="131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b/>
                <w:bCs/>
                <w:i w:val="0"/>
                <w:iCs w:val="0"/>
                <w:color w:val="000000"/>
                <w:sz w:val="28"/>
                <w:szCs w:val="28"/>
                <w:u w:val="none"/>
              </w:rPr>
            </w:pPr>
            <w:r>
              <w:rPr>
                <w:rFonts w:hint="eastAsia" w:ascii="仿宋_GB2312" w:hAnsi="Arial" w:eastAsia="仿宋_GB2312" w:cs="仿宋_GB2312"/>
                <w:b/>
                <w:bCs/>
                <w:i w:val="0"/>
                <w:iCs w:val="0"/>
                <w:color w:val="000000"/>
                <w:kern w:val="0"/>
                <w:sz w:val="28"/>
                <w:szCs w:val="28"/>
                <w:u w:val="none"/>
                <w:lang w:val="en-US" w:eastAsia="zh-CN" w:bidi="ar"/>
              </w:rPr>
              <w:t>100.00%</w:t>
            </w:r>
          </w:p>
        </w:tc>
      </w:tr>
    </w:tbl>
    <w:p>
      <w:pPr>
        <w:widowControl w:val="0"/>
        <w:spacing w:line="590" w:lineRule="exact"/>
        <w:ind w:firstLine="664" w:firstLineChars="200"/>
        <w:jc w:val="both"/>
        <w:rPr>
          <w:rFonts w:hint="default" w:ascii="仿宋_GB2312" w:hAnsi="仿宋_GB2312" w:eastAsia="仿宋_GB2312" w:cs="仿宋_GB2312"/>
          <w:spacing w:val="6"/>
          <w:sz w:val="32"/>
          <w:szCs w:val="32"/>
          <w:lang w:val="en-US" w:eastAsia="zh-CN"/>
        </w:rPr>
      </w:pPr>
      <w:r>
        <w:rPr>
          <w:rFonts w:hint="eastAsia" w:ascii="仿宋_GB2312" w:hAnsi="仿宋_GB2312" w:eastAsia="仿宋_GB2312" w:cs="仿宋_GB2312"/>
          <w:spacing w:val="6"/>
          <w:sz w:val="32"/>
          <w:szCs w:val="32"/>
          <w:lang w:val="en-US" w:eastAsia="zh-CN"/>
        </w:rPr>
        <w:t>2</w:t>
      </w:r>
      <w:r>
        <w:rPr>
          <w:rFonts w:hint="eastAsia" w:ascii="仿宋_GB2312" w:hAnsi="仿宋_GB2312" w:eastAsia="仿宋_GB2312" w:cs="仿宋_GB2312"/>
          <w:spacing w:val="6"/>
          <w:sz w:val="32"/>
          <w:szCs w:val="32"/>
        </w:rPr>
        <w:t>．</w:t>
      </w:r>
      <w:r>
        <w:rPr>
          <w:rFonts w:hint="eastAsia" w:ascii="仿宋_GB2312" w:hAnsi="仿宋_GB2312" w:eastAsia="仿宋_GB2312" w:cs="仿宋_GB2312"/>
          <w:spacing w:val="6"/>
          <w:sz w:val="32"/>
          <w:szCs w:val="32"/>
          <w:lang w:val="en-US" w:eastAsia="zh-CN"/>
        </w:rPr>
        <w:t>部门决算情况</w:t>
      </w:r>
    </w:p>
    <w:p>
      <w:pPr>
        <w:widowControl w:val="0"/>
        <w:spacing w:line="590" w:lineRule="exact"/>
        <w:ind w:firstLine="664" w:firstLineChars="200"/>
        <w:jc w:val="both"/>
        <w:rPr>
          <w:rFonts w:hint="eastAsia" w:ascii="仿宋_GB2312" w:hAnsi="仿宋_GB2312" w:eastAsia="仿宋_GB2312" w:cs="仿宋_GB2312"/>
          <w:spacing w:val="6"/>
          <w:sz w:val="32"/>
          <w:szCs w:val="32"/>
          <w:highlight w:val="none"/>
          <w:lang w:val="en-US" w:eastAsia="zh-CN"/>
        </w:rPr>
      </w:pPr>
      <w:r>
        <w:rPr>
          <w:rFonts w:hint="eastAsia" w:ascii="仿宋_GB2312" w:hAnsi="仿宋_GB2312" w:eastAsia="仿宋_GB2312" w:cs="仿宋_GB2312"/>
          <w:spacing w:val="6"/>
          <w:sz w:val="32"/>
          <w:szCs w:val="32"/>
          <w:highlight w:val="none"/>
          <w:lang w:val="en-US" w:eastAsia="zh-CN"/>
        </w:rPr>
        <w:t>根据区工信局2021年度决算报表，</w:t>
      </w:r>
      <w:bookmarkStart w:id="25" w:name="_Toc2534"/>
      <w:bookmarkStart w:id="26" w:name="_Toc20300"/>
      <w:bookmarkStart w:id="27" w:name="_Toc19624"/>
      <w:bookmarkStart w:id="28" w:name="_Toc6008"/>
      <w:bookmarkStart w:id="29" w:name="_Toc2675"/>
      <w:r>
        <w:rPr>
          <w:rFonts w:hint="eastAsia" w:ascii="仿宋_GB2312" w:hAnsi="仿宋_GB2312" w:eastAsia="仿宋_GB2312" w:cs="仿宋_GB2312"/>
          <w:spacing w:val="6"/>
          <w:sz w:val="32"/>
          <w:szCs w:val="32"/>
          <w:highlight w:val="none"/>
          <w:lang w:val="en-US" w:eastAsia="zh-CN"/>
        </w:rPr>
        <w:t>2021年该部门决算收入合计10,683.24万元，年初</w:t>
      </w:r>
      <w:r>
        <w:rPr>
          <w:rFonts w:hint="eastAsia" w:ascii="仿宋_GB2312" w:hAnsi="Times New Roman" w:eastAsia="仿宋_GB2312" w:cs="Times New Roman"/>
          <w:spacing w:val="6"/>
          <w:sz w:val="32"/>
          <w:szCs w:val="32"/>
        </w:rPr>
        <w:t>结转和结余</w:t>
      </w:r>
      <w:r>
        <w:rPr>
          <w:rFonts w:hint="eastAsia" w:ascii="仿宋_GB2312" w:hAnsi="Times New Roman" w:eastAsia="仿宋_GB2312" w:cs="Times New Roman"/>
          <w:spacing w:val="6"/>
          <w:sz w:val="32"/>
          <w:szCs w:val="32"/>
          <w:lang w:val="en-US" w:eastAsia="zh-CN"/>
        </w:rPr>
        <w:t>472.45</w:t>
      </w:r>
      <w:r>
        <w:rPr>
          <w:rFonts w:hint="eastAsia" w:ascii="仿宋_GB2312" w:hAnsi="Times New Roman" w:eastAsia="仿宋_GB2312" w:cs="Times New Roman"/>
          <w:spacing w:val="6"/>
          <w:sz w:val="32"/>
          <w:szCs w:val="32"/>
        </w:rPr>
        <w:t>万元</w:t>
      </w:r>
      <w:r>
        <w:rPr>
          <w:rFonts w:hint="eastAsia" w:ascii="仿宋_GB2312" w:hAnsi="Times New Roman" w:eastAsia="仿宋_GB2312" w:cs="Times New Roman"/>
          <w:spacing w:val="6"/>
          <w:sz w:val="32"/>
          <w:szCs w:val="32"/>
          <w:lang w:eastAsia="zh-CN"/>
        </w:rPr>
        <w:t>；</w:t>
      </w:r>
      <w:r>
        <w:rPr>
          <w:rFonts w:hint="eastAsia" w:ascii="仿宋_GB2312" w:hAnsi="仿宋_GB2312" w:eastAsia="仿宋_GB2312" w:cs="仿宋_GB2312"/>
          <w:spacing w:val="6"/>
          <w:sz w:val="32"/>
          <w:szCs w:val="32"/>
          <w:highlight w:val="none"/>
          <w:lang w:val="en-US" w:eastAsia="zh-CN"/>
        </w:rPr>
        <w:t>决算支出合计11,137.93万元，年末结转结余资金17.76万元。</w:t>
      </w:r>
    </w:p>
    <w:p>
      <w:pPr>
        <w:widowControl w:val="0"/>
        <w:spacing w:line="590" w:lineRule="exact"/>
        <w:ind w:firstLine="444" w:firstLineChars="200"/>
        <w:jc w:val="both"/>
        <w:outlineLvl w:val="1"/>
        <w:rPr>
          <w:rFonts w:hint="default" w:ascii="楷体_GB2312" w:hAnsi="楷体_GB2312" w:eastAsia="楷体_GB2312" w:cs="楷体_GB2312"/>
          <w:spacing w:val="6"/>
          <w:sz w:val="32"/>
          <w:szCs w:val="32"/>
          <w:lang w:val="en-US" w:eastAsia="zh-CN"/>
        </w:rPr>
      </w:pPr>
      <w:bookmarkStart w:id="30" w:name="_Toc14089"/>
      <w:bookmarkStart w:id="31" w:name="_Toc3176"/>
      <w:r>
        <w:rPr>
          <w:rFonts w:hint="eastAsia" w:ascii="楷体_GB2312" w:hAnsi="楷体_GB2312" w:eastAsia="楷体_GB2312" w:cs="楷体_GB2312"/>
          <w:spacing w:val="6"/>
        </w:rPr>
        <w:fldChar w:fldCharType="begin"/>
      </w:r>
      <w:r>
        <w:rPr>
          <w:rFonts w:hint="eastAsia" w:ascii="楷体_GB2312" w:hAnsi="楷体_GB2312" w:eastAsia="楷体_GB2312" w:cs="楷体_GB2312"/>
          <w:spacing w:val="6"/>
        </w:rPr>
        <w:instrText xml:space="preserve"> HYPERLINK \l "_Toc434746187" </w:instrText>
      </w:r>
      <w:r>
        <w:rPr>
          <w:rFonts w:hint="eastAsia" w:ascii="楷体_GB2312" w:hAnsi="楷体_GB2312" w:eastAsia="楷体_GB2312" w:cs="楷体_GB2312"/>
          <w:spacing w:val="6"/>
        </w:rPr>
        <w:fldChar w:fldCharType="separate"/>
      </w:r>
      <w:bookmarkStart w:id="32" w:name="_Toc41306268"/>
      <w:r>
        <w:rPr>
          <w:rFonts w:hint="eastAsia" w:ascii="楷体_GB2312" w:hAnsi="楷体_GB2312" w:eastAsia="楷体_GB2312" w:cs="楷体_GB2312"/>
          <w:spacing w:val="6"/>
          <w:sz w:val="32"/>
          <w:szCs w:val="32"/>
          <w:lang w:val="zh-CN"/>
        </w:rPr>
        <w:t>（三）</w:t>
      </w:r>
      <w:r>
        <w:rPr>
          <w:rFonts w:hint="eastAsia" w:ascii="楷体_GB2312" w:hAnsi="楷体_GB2312" w:eastAsia="楷体_GB2312" w:cs="楷体_GB2312"/>
          <w:spacing w:val="6"/>
          <w:sz w:val="32"/>
          <w:szCs w:val="32"/>
          <w:lang w:val="zh-CN"/>
        </w:rPr>
        <w:fldChar w:fldCharType="end"/>
      </w:r>
      <w:bookmarkEnd w:id="25"/>
      <w:bookmarkEnd w:id="26"/>
      <w:bookmarkEnd w:id="27"/>
      <w:bookmarkEnd w:id="32"/>
      <w:r>
        <w:rPr>
          <w:rFonts w:hint="eastAsia" w:ascii="楷体_GB2312" w:hAnsi="楷体_GB2312" w:eastAsia="楷体_GB2312" w:cs="楷体_GB2312"/>
          <w:spacing w:val="6"/>
          <w:sz w:val="32"/>
          <w:szCs w:val="32"/>
          <w:lang w:val="en-US" w:eastAsia="zh-CN"/>
        </w:rPr>
        <w:t>部门整体支出绩效目标及指标设立情况</w:t>
      </w:r>
      <w:bookmarkEnd w:id="28"/>
      <w:bookmarkEnd w:id="29"/>
      <w:bookmarkEnd w:id="30"/>
      <w:bookmarkEnd w:id="31"/>
    </w:p>
    <w:p>
      <w:pPr>
        <w:keepNext w:val="0"/>
        <w:keepLines w:val="0"/>
        <w:pageBreakBefore w:val="0"/>
        <w:widowControl w:val="0"/>
        <w:kinsoku/>
        <w:wordWrap/>
        <w:overflowPunct/>
        <w:topLinePunct w:val="0"/>
        <w:autoSpaceDE/>
        <w:autoSpaceDN/>
        <w:bidi w:val="0"/>
        <w:adjustRightInd/>
        <w:snapToGrid/>
        <w:spacing w:line="590" w:lineRule="exact"/>
        <w:ind w:firstLine="664" w:firstLineChars="200"/>
        <w:textAlignment w:val="auto"/>
        <w:rPr>
          <w:rFonts w:hint="eastAsia" w:ascii="仿宋_GB2312" w:hAnsi="仿宋_GB2312" w:eastAsia="仿宋_GB2312" w:cs="仿宋_GB2312"/>
          <w:spacing w:val="6"/>
          <w:sz w:val="32"/>
          <w:szCs w:val="32"/>
          <w:highlight w:val="none"/>
        </w:rPr>
      </w:pPr>
      <w:bookmarkStart w:id="33" w:name="_Toc29408"/>
      <w:bookmarkStart w:id="34" w:name="_Toc32617"/>
      <w:bookmarkStart w:id="35" w:name="_Toc7954"/>
      <w:bookmarkStart w:id="36" w:name="_Toc15463"/>
      <w:bookmarkStart w:id="37" w:name="_Toc23690"/>
      <w:r>
        <w:rPr>
          <w:rFonts w:hint="eastAsia" w:ascii="仿宋_GB2312" w:hAnsi="仿宋_GB2312" w:eastAsia="仿宋_GB2312" w:cs="仿宋_GB2312"/>
          <w:spacing w:val="6"/>
          <w:sz w:val="32"/>
          <w:szCs w:val="32"/>
          <w:highlight w:val="none"/>
        </w:rPr>
        <w:t>我们在与</w:t>
      </w:r>
      <w:r>
        <w:rPr>
          <w:rFonts w:hint="eastAsia" w:ascii="仿宋_GB2312" w:hAnsi="仿宋_GB2312" w:eastAsia="仿宋_GB2312" w:cs="仿宋_GB2312"/>
          <w:spacing w:val="6"/>
          <w:kern w:val="0"/>
          <w:sz w:val="32"/>
          <w:szCs w:val="32"/>
          <w:highlight w:val="none"/>
          <w:lang w:val="en-US" w:eastAsia="zh-CN"/>
        </w:rPr>
        <w:t>区财政局、区工信局</w:t>
      </w:r>
      <w:r>
        <w:rPr>
          <w:rFonts w:hint="eastAsia" w:ascii="仿宋_GB2312" w:hAnsi="仿宋_GB2312" w:eastAsia="仿宋_GB2312" w:cs="仿宋_GB2312"/>
          <w:spacing w:val="6"/>
          <w:sz w:val="32"/>
          <w:szCs w:val="32"/>
          <w:highlight w:val="none"/>
        </w:rPr>
        <w:t>充分沟通的基础上，根据资金下达文件后附的绩效目标表，以及</w:t>
      </w:r>
      <w:r>
        <w:rPr>
          <w:rFonts w:hint="eastAsia" w:ascii="仿宋_GB2312" w:hAnsi="仿宋_GB2312" w:eastAsia="仿宋_GB2312" w:cs="仿宋_GB2312"/>
          <w:spacing w:val="6"/>
          <w:sz w:val="32"/>
          <w:szCs w:val="32"/>
          <w:highlight w:val="none"/>
          <w:lang w:val="en-US" w:eastAsia="zh-CN"/>
        </w:rPr>
        <w:t>中共云岩区委、云岩区人民政府与区工信局签订的2021年工作目标责任书</w:t>
      </w:r>
      <w:r>
        <w:rPr>
          <w:rFonts w:hint="eastAsia" w:ascii="仿宋_GB2312" w:hAnsi="仿宋_GB2312" w:eastAsia="仿宋_GB2312" w:cs="仿宋_GB2312"/>
          <w:spacing w:val="6"/>
          <w:sz w:val="32"/>
          <w:szCs w:val="32"/>
          <w:highlight w:val="none"/>
        </w:rPr>
        <w:t>等资料</w:t>
      </w:r>
      <w:r>
        <w:rPr>
          <w:rFonts w:hint="eastAsia" w:ascii="仿宋_GB2312" w:hAnsi="仿宋_GB2312" w:eastAsia="仿宋_GB2312" w:cs="仿宋_GB2312"/>
          <w:spacing w:val="6"/>
          <w:sz w:val="32"/>
          <w:szCs w:val="32"/>
          <w:highlight w:val="none"/>
          <w:lang w:eastAsia="zh-CN"/>
        </w:rPr>
        <w:t>，</w:t>
      </w:r>
      <w:r>
        <w:rPr>
          <w:rFonts w:hint="eastAsia" w:ascii="仿宋_GB2312" w:hAnsi="仿宋_GB2312" w:eastAsia="仿宋_GB2312" w:cs="仿宋_GB2312"/>
          <w:spacing w:val="6"/>
          <w:sz w:val="32"/>
          <w:szCs w:val="32"/>
          <w:highlight w:val="none"/>
        </w:rPr>
        <w:t>结合</w:t>
      </w:r>
      <w:r>
        <w:rPr>
          <w:rFonts w:hint="eastAsia" w:ascii="仿宋_GB2312" w:hAnsi="仿宋_GB2312" w:eastAsia="仿宋_GB2312" w:cs="仿宋_GB2312"/>
          <w:spacing w:val="6"/>
          <w:sz w:val="32"/>
          <w:szCs w:val="32"/>
          <w:highlight w:val="none"/>
          <w:lang w:val="en-US" w:eastAsia="zh-CN"/>
        </w:rPr>
        <w:t>部门整体</w:t>
      </w:r>
      <w:r>
        <w:rPr>
          <w:rFonts w:hint="eastAsia" w:ascii="仿宋_GB2312" w:hAnsi="仿宋_GB2312" w:eastAsia="仿宋_GB2312" w:cs="仿宋_GB2312"/>
          <w:spacing w:val="6"/>
          <w:sz w:val="32"/>
          <w:szCs w:val="32"/>
          <w:highlight w:val="none"/>
        </w:rPr>
        <w:t>实际情况对</w:t>
      </w:r>
      <w:r>
        <w:rPr>
          <w:rFonts w:hint="eastAsia" w:ascii="仿宋_GB2312" w:hAnsi="仿宋_GB2312" w:eastAsia="仿宋_GB2312" w:cs="仿宋_GB2312"/>
          <w:spacing w:val="6"/>
          <w:sz w:val="32"/>
          <w:szCs w:val="32"/>
          <w:highlight w:val="none"/>
          <w:lang w:val="en-US" w:eastAsia="zh-CN"/>
        </w:rPr>
        <w:t>部门整体支出</w:t>
      </w:r>
      <w:r>
        <w:rPr>
          <w:rFonts w:hint="eastAsia" w:ascii="仿宋_GB2312" w:hAnsi="仿宋_GB2312" w:eastAsia="仿宋_GB2312" w:cs="仿宋_GB2312"/>
          <w:spacing w:val="6"/>
          <w:sz w:val="32"/>
          <w:szCs w:val="32"/>
          <w:highlight w:val="none"/>
        </w:rPr>
        <w:t>绩效目标和绩效指标进行再次梳理。再次梳理的绩效目标</w:t>
      </w:r>
      <w:r>
        <w:rPr>
          <w:rFonts w:hint="eastAsia" w:ascii="仿宋_GB2312" w:hAnsi="仿宋_GB2312" w:eastAsia="仿宋_GB2312" w:cs="仿宋_GB2312"/>
          <w:spacing w:val="6"/>
          <w:sz w:val="32"/>
          <w:szCs w:val="32"/>
          <w:highlight w:val="none"/>
          <w:lang w:val="en-US" w:eastAsia="zh-CN"/>
        </w:rPr>
        <w:t>及指标</w:t>
      </w:r>
      <w:r>
        <w:rPr>
          <w:rFonts w:hint="eastAsia" w:ascii="仿宋_GB2312" w:hAnsi="仿宋_GB2312" w:eastAsia="仿宋_GB2312" w:cs="仿宋_GB2312"/>
          <w:spacing w:val="6"/>
          <w:sz w:val="32"/>
          <w:szCs w:val="32"/>
          <w:highlight w:val="none"/>
        </w:rPr>
        <w:t>如下：</w:t>
      </w:r>
    </w:p>
    <w:p>
      <w:pPr>
        <w:widowControl w:val="0"/>
        <w:numPr>
          <w:ilvl w:val="0"/>
          <w:numId w:val="0"/>
        </w:numPr>
        <w:spacing w:line="590" w:lineRule="exact"/>
        <w:ind w:firstLine="664" w:firstLineChars="200"/>
        <w:jc w:val="both"/>
        <w:rPr>
          <w:rFonts w:hint="eastAsia" w:ascii="仿宋_GB2312" w:hAnsi="仿宋_GB2312" w:eastAsia="仿宋_GB2312" w:cs="仿宋_GB2312"/>
          <w:spacing w:val="6"/>
          <w:sz w:val="32"/>
          <w:szCs w:val="32"/>
          <w:lang w:val="en-US" w:eastAsia="zh-CN"/>
        </w:rPr>
      </w:pPr>
      <w:r>
        <w:rPr>
          <w:rFonts w:hint="eastAsia" w:ascii="仿宋_GB2312" w:hAnsi="仿宋_GB2312" w:eastAsia="仿宋_GB2312" w:cs="仿宋_GB2312"/>
          <w:spacing w:val="6"/>
          <w:sz w:val="32"/>
          <w:szCs w:val="32"/>
          <w:lang w:val="en-US" w:eastAsia="zh-CN"/>
        </w:rPr>
        <w:t>1</w:t>
      </w:r>
      <w:r>
        <w:rPr>
          <w:rFonts w:hint="eastAsia" w:ascii="仿宋_GB2312" w:hAnsi="仿宋_GB2312" w:eastAsia="仿宋_GB2312" w:cs="仿宋_GB2312"/>
          <w:spacing w:val="6"/>
          <w:sz w:val="32"/>
          <w:szCs w:val="32"/>
        </w:rPr>
        <w:t>．</w:t>
      </w:r>
      <w:r>
        <w:rPr>
          <w:rFonts w:hint="eastAsia" w:ascii="仿宋_GB2312" w:hAnsi="仿宋_GB2312" w:eastAsia="仿宋_GB2312" w:cs="仿宋_GB2312"/>
          <w:spacing w:val="6"/>
          <w:sz w:val="32"/>
          <w:szCs w:val="32"/>
          <w:lang w:val="en-US" w:eastAsia="zh-CN"/>
        </w:rPr>
        <w:t>绩效目标</w:t>
      </w:r>
    </w:p>
    <w:p>
      <w:pPr>
        <w:keepNext w:val="0"/>
        <w:keepLines w:val="0"/>
        <w:pageBreakBefore w:val="0"/>
        <w:widowControl w:val="0"/>
        <w:kinsoku/>
        <w:wordWrap/>
        <w:overflowPunct/>
        <w:topLinePunct w:val="0"/>
        <w:autoSpaceDE/>
        <w:autoSpaceDN/>
        <w:bidi w:val="0"/>
        <w:adjustRightInd/>
        <w:snapToGrid/>
        <w:spacing w:line="590" w:lineRule="exact"/>
        <w:ind w:firstLine="664" w:firstLineChars="200"/>
        <w:textAlignment w:val="auto"/>
        <w:rPr>
          <w:rFonts w:hint="eastAsia" w:ascii="仿宋_GB2312" w:hAnsi="仿宋_GB2312" w:eastAsia="仿宋_GB2312" w:cs="仿宋_GB2312"/>
          <w:spacing w:val="6"/>
          <w:sz w:val="32"/>
          <w:szCs w:val="32"/>
          <w:highlight w:val="none"/>
          <w:lang w:val="en-US" w:eastAsia="zh-CN"/>
        </w:rPr>
      </w:pPr>
      <w:r>
        <w:rPr>
          <w:rFonts w:hint="eastAsia" w:ascii="仿宋_GB2312" w:hAnsi="仿宋_GB2312" w:eastAsia="仿宋_GB2312" w:cs="仿宋_GB2312"/>
          <w:spacing w:val="6"/>
          <w:sz w:val="32"/>
          <w:szCs w:val="32"/>
          <w:highlight w:val="none"/>
          <w:lang w:val="en-US" w:eastAsia="zh-CN"/>
        </w:rPr>
        <w:t>目标1：促进工业企业发展，提升新型工业化综合指数，提升规模以上工业增加值增速，增加工业投资占固定资产投资比重。</w:t>
      </w:r>
    </w:p>
    <w:p>
      <w:pPr>
        <w:keepNext w:val="0"/>
        <w:keepLines w:val="0"/>
        <w:pageBreakBefore w:val="0"/>
        <w:widowControl w:val="0"/>
        <w:kinsoku/>
        <w:wordWrap/>
        <w:overflowPunct/>
        <w:topLinePunct w:val="0"/>
        <w:autoSpaceDE/>
        <w:autoSpaceDN/>
        <w:bidi w:val="0"/>
        <w:adjustRightInd/>
        <w:snapToGrid/>
        <w:spacing w:line="590" w:lineRule="exact"/>
        <w:ind w:firstLine="664" w:firstLineChars="200"/>
        <w:textAlignment w:val="auto"/>
        <w:rPr>
          <w:rFonts w:hint="eastAsia" w:ascii="仿宋_GB2312" w:hAnsi="仿宋_GB2312" w:eastAsia="仿宋_GB2312" w:cs="仿宋_GB2312"/>
          <w:spacing w:val="6"/>
          <w:sz w:val="32"/>
          <w:szCs w:val="32"/>
          <w:highlight w:val="none"/>
          <w:lang w:val="en-US" w:eastAsia="zh-CN"/>
        </w:rPr>
      </w:pPr>
      <w:r>
        <w:rPr>
          <w:rFonts w:hint="eastAsia" w:ascii="仿宋_GB2312" w:hAnsi="仿宋_GB2312" w:eastAsia="仿宋_GB2312" w:cs="仿宋_GB2312"/>
          <w:spacing w:val="6"/>
          <w:sz w:val="32"/>
          <w:szCs w:val="32"/>
          <w:highlight w:val="none"/>
          <w:lang w:val="en-US" w:eastAsia="zh-CN"/>
        </w:rPr>
        <w:t>目标2：促进中小企业发展，提升中小企业抵抗风险能力。</w:t>
      </w:r>
    </w:p>
    <w:p>
      <w:pPr>
        <w:keepNext w:val="0"/>
        <w:keepLines w:val="0"/>
        <w:pageBreakBefore w:val="0"/>
        <w:widowControl w:val="0"/>
        <w:kinsoku/>
        <w:wordWrap/>
        <w:overflowPunct/>
        <w:topLinePunct w:val="0"/>
        <w:autoSpaceDE/>
        <w:autoSpaceDN/>
        <w:bidi w:val="0"/>
        <w:adjustRightInd/>
        <w:snapToGrid/>
        <w:spacing w:line="590" w:lineRule="exact"/>
        <w:ind w:firstLine="664" w:firstLineChars="200"/>
        <w:textAlignment w:val="auto"/>
        <w:rPr>
          <w:rFonts w:hint="eastAsia" w:ascii="仿宋_GB2312" w:hAnsi="仿宋_GB2312" w:eastAsia="仿宋_GB2312" w:cs="仿宋_GB2312"/>
          <w:spacing w:val="6"/>
          <w:sz w:val="32"/>
          <w:szCs w:val="32"/>
          <w:highlight w:val="none"/>
          <w:lang w:val="en-US" w:eastAsia="zh-CN"/>
        </w:rPr>
      </w:pPr>
      <w:r>
        <w:rPr>
          <w:rFonts w:hint="eastAsia" w:ascii="仿宋_GB2312" w:hAnsi="仿宋_GB2312" w:eastAsia="仿宋_GB2312" w:cs="仿宋_GB2312"/>
          <w:spacing w:val="6"/>
          <w:sz w:val="32"/>
          <w:szCs w:val="32"/>
          <w:highlight w:val="none"/>
          <w:lang w:val="en-US" w:eastAsia="zh-CN"/>
        </w:rPr>
        <w:t>目标3：加强“中国数谷”建设工作，提升大数据与实体经济融合指数，完成全区自建系统上云。</w:t>
      </w:r>
    </w:p>
    <w:p>
      <w:pPr>
        <w:keepNext w:val="0"/>
        <w:keepLines w:val="0"/>
        <w:pageBreakBefore w:val="0"/>
        <w:widowControl w:val="0"/>
        <w:kinsoku/>
        <w:wordWrap/>
        <w:overflowPunct/>
        <w:topLinePunct w:val="0"/>
        <w:autoSpaceDE/>
        <w:autoSpaceDN/>
        <w:bidi w:val="0"/>
        <w:adjustRightInd/>
        <w:snapToGrid/>
        <w:spacing w:line="590" w:lineRule="exact"/>
        <w:ind w:firstLine="664" w:firstLineChars="200"/>
        <w:textAlignment w:val="auto"/>
        <w:rPr>
          <w:rFonts w:hint="eastAsia" w:ascii="仿宋_GB2312" w:hAnsi="仿宋_GB2312" w:eastAsia="仿宋_GB2312" w:cs="仿宋_GB2312"/>
          <w:spacing w:val="6"/>
          <w:sz w:val="32"/>
          <w:szCs w:val="32"/>
          <w:highlight w:val="none"/>
          <w:lang w:val="en-US" w:eastAsia="zh-CN"/>
        </w:rPr>
      </w:pPr>
      <w:r>
        <w:rPr>
          <w:rFonts w:hint="eastAsia" w:ascii="仿宋_GB2312" w:hAnsi="仿宋_GB2312" w:eastAsia="仿宋_GB2312" w:cs="仿宋_GB2312"/>
          <w:spacing w:val="6"/>
          <w:sz w:val="32"/>
          <w:szCs w:val="32"/>
          <w:highlight w:val="none"/>
          <w:lang w:val="en-US" w:eastAsia="zh-CN"/>
        </w:rPr>
        <w:t>目标4：引进工业产业项目和数字企业，确保引进项目资金到位，并按期开工和投产。</w:t>
      </w:r>
    </w:p>
    <w:p>
      <w:pPr>
        <w:keepNext w:val="0"/>
        <w:keepLines w:val="0"/>
        <w:pageBreakBefore w:val="0"/>
        <w:widowControl w:val="0"/>
        <w:kinsoku/>
        <w:wordWrap/>
        <w:overflowPunct/>
        <w:topLinePunct w:val="0"/>
        <w:autoSpaceDE/>
        <w:autoSpaceDN/>
        <w:bidi w:val="0"/>
        <w:adjustRightInd/>
        <w:snapToGrid/>
        <w:spacing w:line="590" w:lineRule="exact"/>
        <w:ind w:firstLine="664" w:firstLineChars="200"/>
        <w:textAlignment w:val="auto"/>
        <w:rPr>
          <w:rFonts w:hint="eastAsia" w:ascii="仿宋_GB2312" w:hAnsi="仿宋_GB2312" w:eastAsia="仿宋_GB2312" w:cs="仿宋_GB2312"/>
          <w:spacing w:val="6"/>
          <w:sz w:val="32"/>
          <w:szCs w:val="32"/>
          <w:highlight w:val="none"/>
          <w:lang w:val="en-US" w:eastAsia="zh-CN"/>
        </w:rPr>
      </w:pPr>
      <w:r>
        <w:rPr>
          <w:rFonts w:hint="eastAsia" w:ascii="仿宋_GB2312" w:hAnsi="仿宋_GB2312" w:eastAsia="仿宋_GB2312" w:cs="仿宋_GB2312"/>
          <w:spacing w:val="6"/>
          <w:sz w:val="32"/>
          <w:szCs w:val="32"/>
          <w:highlight w:val="none"/>
          <w:lang w:val="en-US" w:eastAsia="zh-CN"/>
        </w:rPr>
        <w:t>目标5：全力服务规模以上工业企业、数字企业和中小企业，提升企业满意度。</w:t>
      </w:r>
    </w:p>
    <w:p>
      <w:pPr>
        <w:widowControl w:val="0"/>
        <w:numPr>
          <w:ilvl w:val="0"/>
          <w:numId w:val="0"/>
        </w:numPr>
        <w:spacing w:line="590" w:lineRule="exact"/>
        <w:ind w:firstLine="664" w:firstLineChars="200"/>
        <w:jc w:val="both"/>
        <w:rPr>
          <w:rFonts w:hint="eastAsia" w:ascii="仿宋_GB2312" w:hAnsi="仿宋_GB2312" w:eastAsia="仿宋_GB2312" w:cs="仿宋_GB2312"/>
          <w:spacing w:val="6"/>
          <w:sz w:val="32"/>
          <w:szCs w:val="32"/>
        </w:rPr>
      </w:pPr>
      <w:r>
        <w:rPr>
          <w:rFonts w:hint="eastAsia" w:ascii="仿宋_GB2312" w:hAnsi="仿宋_GB2312" w:eastAsia="仿宋_GB2312" w:cs="仿宋_GB2312"/>
          <w:spacing w:val="6"/>
          <w:sz w:val="32"/>
          <w:szCs w:val="32"/>
          <w:lang w:val="en-US" w:eastAsia="zh-CN"/>
        </w:rPr>
        <w:t>2</w:t>
      </w:r>
      <w:r>
        <w:rPr>
          <w:rFonts w:hint="eastAsia" w:ascii="仿宋_GB2312" w:hAnsi="仿宋_GB2312" w:eastAsia="仿宋_GB2312" w:cs="仿宋_GB2312"/>
          <w:spacing w:val="6"/>
          <w:sz w:val="32"/>
          <w:szCs w:val="32"/>
        </w:rPr>
        <w:t>．绩效指标</w:t>
      </w:r>
    </w:p>
    <w:p>
      <w:pPr>
        <w:widowControl w:val="0"/>
        <w:spacing w:line="590" w:lineRule="exact"/>
        <w:ind w:firstLine="664" w:firstLineChars="200"/>
        <w:jc w:val="both"/>
        <w:rPr>
          <w:rFonts w:hint="eastAsia" w:ascii="仿宋_GB2312" w:hAnsi="仿宋_GB2312" w:eastAsia="仿宋_GB2312" w:cs="仿宋_GB2312"/>
          <w:spacing w:val="6"/>
          <w:sz w:val="32"/>
          <w:szCs w:val="32"/>
          <w:lang w:val="en-US" w:eastAsia="zh-CN"/>
        </w:rPr>
      </w:pPr>
      <w:r>
        <w:rPr>
          <w:rFonts w:hint="eastAsia" w:ascii="仿宋_GB2312" w:hAnsi="仿宋_GB2312" w:eastAsia="仿宋_GB2312" w:cs="仿宋_GB2312"/>
          <w:spacing w:val="6"/>
          <w:sz w:val="32"/>
          <w:szCs w:val="32"/>
          <w:lang w:val="en-US" w:eastAsia="zh-CN"/>
        </w:rPr>
        <w:t>设置了产出数量、产出质量、产出时效、社会效益、服务对象满意度等指标，绩效目标细化分解后的绩效指标情况详见附件</w:t>
      </w:r>
      <w:r>
        <w:rPr>
          <w:rFonts w:hint="eastAsia" w:ascii="仿宋_GB2312" w:hAnsi="仿宋_GB2312" w:eastAsia="仿宋_GB2312" w:cs="仿宋_GB2312"/>
          <w:spacing w:val="6"/>
          <w:sz w:val="32"/>
          <w:szCs w:val="32"/>
          <w:highlight w:val="none"/>
          <w:lang w:val="en-US" w:eastAsia="zh-CN"/>
        </w:rPr>
        <w:t>。</w:t>
      </w:r>
    </w:p>
    <w:bookmarkEnd w:id="33"/>
    <w:bookmarkEnd w:id="34"/>
    <w:bookmarkEnd w:id="35"/>
    <w:bookmarkEnd w:id="36"/>
    <w:bookmarkEnd w:id="37"/>
    <w:p>
      <w:pPr>
        <w:widowControl w:val="0"/>
        <w:spacing w:line="590" w:lineRule="exact"/>
        <w:ind w:firstLine="664" w:firstLineChars="200"/>
        <w:jc w:val="both"/>
        <w:outlineLvl w:val="0"/>
        <w:rPr>
          <w:rFonts w:ascii="Times New Roman" w:hAnsi="Times New Roman" w:eastAsia="黑体" w:cs="Times New Roman"/>
          <w:spacing w:val="6"/>
          <w:sz w:val="32"/>
          <w:szCs w:val="32"/>
        </w:rPr>
      </w:pPr>
      <w:bookmarkStart w:id="38" w:name="_Toc8792"/>
      <w:bookmarkStart w:id="39" w:name="_Toc32600"/>
      <w:r>
        <w:rPr>
          <w:rFonts w:hint="eastAsia" w:ascii="Times New Roman" w:hAnsi="Times New Roman" w:eastAsia="黑体" w:cs="Times New Roman"/>
          <w:spacing w:val="6"/>
          <w:sz w:val="32"/>
          <w:szCs w:val="32"/>
          <w:lang w:val="en-US" w:eastAsia="zh-CN"/>
        </w:rPr>
        <w:t>二、</w:t>
      </w:r>
      <w:bookmarkEnd w:id="38"/>
      <w:bookmarkEnd w:id="39"/>
      <w:bookmarkStart w:id="40" w:name="_Toc19262"/>
      <w:bookmarkStart w:id="41" w:name="_Toc30325"/>
      <w:r>
        <w:rPr>
          <w:rFonts w:hint="eastAsia" w:ascii="Times New Roman" w:hAnsi="Times New Roman" w:eastAsia="黑体" w:cs="Times New Roman"/>
          <w:spacing w:val="6"/>
          <w:sz w:val="32"/>
          <w:szCs w:val="32"/>
        </w:rPr>
        <w:t>绩效评价综合评价情况及评价结论</w:t>
      </w:r>
      <w:bookmarkEnd w:id="40"/>
      <w:bookmarkEnd w:id="41"/>
    </w:p>
    <w:p>
      <w:pPr>
        <w:widowControl w:val="0"/>
        <w:spacing w:line="590" w:lineRule="exact"/>
        <w:ind w:firstLine="444" w:firstLineChars="200"/>
        <w:outlineLvl w:val="1"/>
        <w:rPr>
          <w:rFonts w:ascii="Times New Roman" w:hAnsi="Times New Roman" w:eastAsia="楷体_GB2312" w:cs="Times New Roman"/>
          <w:spacing w:val="6"/>
          <w:sz w:val="32"/>
          <w:szCs w:val="32"/>
          <w:lang w:val="zh-CN"/>
        </w:rPr>
      </w:pPr>
      <w:bookmarkStart w:id="42" w:name="_Toc31404"/>
      <w:bookmarkStart w:id="43" w:name="_Toc2809"/>
      <w:bookmarkStart w:id="44" w:name="_Toc29803"/>
      <w:bookmarkStart w:id="45" w:name="_Toc28124"/>
      <w:bookmarkStart w:id="46" w:name="_Toc30521"/>
      <w:bookmarkStart w:id="47" w:name="_Toc11314"/>
      <w:bookmarkStart w:id="48" w:name="_Toc12265"/>
      <w:bookmarkStart w:id="49" w:name="_Toc4392"/>
      <w:bookmarkStart w:id="50" w:name="_Toc24622"/>
      <w:bookmarkStart w:id="51" w:name="_Toc1201"/>
      <w:bookmarkStart w:id="52" w:name="_Toc311"/>
      <w:bookmarkStart w:id="53" w:name="_Toc5772"/>
      <w:r>
        <w:rPr>
          <w:spacing w:val="6"/>
        </w:rPr>
        <w:fldChar w:fldCharType="begin"/>
      </w:r>
      <w:r>
        <w:rPr>
          <w:spacing w:val="6"/>
        </w:rPr>
        <w:instrText xml:space="preserve"> HYPERLINK \l "_Toc434746187" </w:instrText>
      </w:r>
      <w:r>
        <w:rPr>
          <w:spacing w:val="6"/>
        </w:rPr>
        <w:fldChar w:fldCharType="separate"/>
      </w:r>
      <w:bookmarkStart w:id="54" w:name="_Toc531246097"/>
      <w:bookmarkStart w:id="55" w:name="_Toc41306282"/>
      <w:r>
        <w:rPr>
          <w:rFonts w:hint="eastAsia" w:ascii="Times New Roman" w:hAnsi="Times New Roman" w:eastAsia="楷体_GB2312" w:cs="Times New Roman"/>
          <w:spacing w:val="6"/>
          <w:sz w:val="32"/>
          <w:szCs w:val="32"/>
          <w:lang w:val="zh-CN"/>
        </w:rPr>
        <w:t>（</w:t>
      </w:r>
      <w:r>
        <w:rPr>
          <w:rFonts w:hint="eastAsia" w:ascii="Times New Roman" w:hAnsi="Times New Roman" w:eastAsia="楷体_GB2312" w:cs="Times New Roman"/>
          <w:spacing w:val="6"/>
          <w:sz w:val="32"/>
          <w:szCs w:val="32"/>
          <w:lang w:val="en-US" w:eastAsia="zh-CN"/>
        </w:rPr>
        <w:t>一</w:t>
      </w:r>
      <w:r>
        <w:rPr>
          <w:rFonts w:hint="eastAsia" w:ascii="Times New Roman" w:hAnsi="Times New Roman" w:eastAsia="楷体_GB2312" w:cs="Times New Roman"/>
          <w:spacing w:val="6"/>
          <w:sz w:val="32"/>
          <w:szCs w:val="32"/>
          <w:lang w:val="zh-CN"/>
        </w:rPr>
        <w:t>）</w:t>
      </w:r>
      <w:bookmarkEnd w:id="54"/>
      <w:bookmarkEnd w:id="55"/>
      <w:r>
        <w:rPr>
          <w:rFonts w:hint="eastAsia" w:ascii="Times New Roman" w:hAnsi="Times New Roman" w:eastAsia="楷体_GB2312" w:cs="Times New Roman"/>
          <w:spacing w:val="6"/>
          <w:sz w:val="32"/>
          <w:szCs w:val="32"/>
          <w:lang w:val="zh-CN"/>
        </w:rPr>
        <w:t>绩效评价综合评价情况</w:t>
      </w:r>
      <w:r>
        <w:rPr>
          <w:rFonts w:hint="eastAsia" w:ascii="Times New Roman" w:hAnsi="Times New Roman" w:eastAsia="楷体_GB2312" w:cs="Times New Roman"/>
          <w:spacing w:val="6"/>
          <w:sz w:val="32"/>
          <w:szCs w:val="32"/>
          <w:lang w:val="zh-CN"/>
        </w:rPr>
        <w:fldChar w:fldCharType="end"/>
      </w:r>
      <w:bookmarkEnd w:id="42"/>
      <w:bookmarkEnd w:id="43"/>
      <w:bookmarkEnd w:id="44"/>
      <w:bookmarkEnd w:id="45"/>
      <w:bookmarkEnd w:id="46"/>
      <w:bookmarkEnd w:id="47"/>
      <w:bookmarkEnd w:id="48"/>
    </w:p>
    <w:p>
      <w:pPr>
        <w:keepNext w:val="0"/>
        <w:keepLines w:val="0"/>
        <w:pageBreakBefore w:val="0"/>
        <w:widowControl w:val="0"/>
        <w:kinsoku/>
        <w:wordWrap/>
        <w:overflowPunct/>
        <w:topLinePunct w:val="0"/>
        <w:autoSpaceDE/>
        <w:autoSpaceDN/>
        <w:bidi w:val="0"/>
        <w:adjustRightInd/>
        <w:snapToGrid/>
        <w:spacing w:line="590" w:lineRule="exact"/>
        <w:ind w:firstLine="664" w:firstLineChars="200"/>
        <w:textAlignment w:val="auto"/>
        <w:rPr>
          <w:rFonts w:hint="eastAsia" w:ascii="仿宋_GB2312" w:hAnsi="仿宋_GB2312" w:eastAsia="仿宋_GB2312" w:cs="仿宋_GB2312"/>
          <w:spacing w:val="6"/>
          <w:sz w:val="32"/>
          <w:szCs w:val="32"/>
          <w:highlight w:val="none"/>
          <w:shd w:val="clear"/>
        </w:rPr>
      </w:pPr>
      <w:bookmarkStart w:id="56" w:name="_Toc27041138"/>
      <w:bookmarkStart w:id="57" w:name="_Toc31649"/>
      <w:bookmarkStart w:id="58" w:name="_Toc20907"/>
      <w:bookmarkStart w:id="59" w:name="_Toc10440"/>
      <w:bookmarkStart w:id="60" w:name="_Toc41306283"/>
      <w:bookmarkStart w:id="61" w:name="_Toc32724"/>
      <w:bookmarkStart w:id="62" w:name="_Toc3400"/>
      <w:r>
        <w:rPr>
          <w:rFonts w:hint="eastAsia" w:ascii="仿宋_GB2312" w:hAnsi="仿宋_GB2312" w:eastAsia="仿宋_GB2312" w:cs="仿宋_GB2312"/>
          <w:spacing w:val="6"/>
          <w:sz w:val="32"/>
          <w:szCs w:val="32"/>
          <w:highlight w:val="none"/>
          <w:lang w:val="en-US" w:eastAsia="zh-CN"/>
        </w:rPr>
        <w:t>根据与区工信局充分沟通后再次梳理的2021年部门整体支出绩效目标合</w:t>
      </w:r>
      <w:r>
        <w:rPr>
          <w:rFonts w:hint="eastAsia" w:ascii="仿宋_GB2312" w:hAnsi="仿宋_GB2312" w:eastAsia="仿宋_GB2312" w:cs="仿宋_GB2312"/>
          <w:spacing w:val="6"/>
          <w:sz w:val="32"/>
          <w:szCs w:val="32"/>
          <w:highlight w:val="none"/>
          <w:shd w:val="clear"/>
          <w:lang w:val="en-US" w:eastAsia="zh-CN"/>
        </w:rPr>
        <w:t>计5个，其中：已完成3个，部分完成2个。绩效指标合计36个，已完成26个，基本完成1个，未完成8个，未出结果1个。</w:t>
      </w:r>
      <w:r>
        <w:rPr>
          <w:rFonts w:hint="eastAsia" w:ascii="仿宋_GB2312" w:hAnsi="仿宋_GB2312" w:eastAsia="仿宋_GB2312" w:cs="仿宋_GB2312"/>
          <w:spacing w:val="6"/>
          <w:sz w:val="32"/>
          <w:szCs w:val="32"/>
          <w:highlight w:val="none"/>
          <w:shd w:val="clear"/>
        </w:rPr>
        <w:t>绩效目标及绩效指标完成情况详见下表：</w:t>
      </w:r>
    </w:p>
    <w:tbl>
      <w:tblPr>
        <w:tblStyle w:val="1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741"/>
        <w:gridCol w:w="3333"/>
        <w:gridCol w:w="1427"/>
        <w:gridCol w:w="1226"/>
        <w:gridCol w:w="1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trPr>
        <w:tc>
          <w:tcPr>
            <w:tcW w:w="3543" w:type="pct"/>
            <w:gridSpan w:val="3"/>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2021年总体目标</w:t>
            </w:r>
          </w:p>
        </w:tc>
        <w:tc>
          <w:tcPr>
            <w:tcW w:w="1456" w:type="pct"/>
            <w:gridSpan w:val="2"/>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0"/>
                <w:sz w:val="24"/>
                <w:szCs w:val="24"/>
                <w:u w:val="none"/>
                <w:lang w:val="en-US" w:eastAsia="zh-CN" w:bidi="ar"/>
              </w:rPr>
            </w:pPr>
            <w:r>
              <w:rPr>
                <w:rFonts w:hint="eastAsia" w:ascii="仿宋_GB2312" w:hAnsi="仿宋_GB2312" w:eastAsia="仿宋_GB2312" w:cs="仿宋_GB2312"/>
                <w:b/>
                <w:bCs/>
                <w:i w:val="0"/>
                <w:iCs w:val="0"/>
                <w:color w:val="000000"/>
                <w:kern w:val="0"/>
                <w:sz w:val="24"/>
                <w:szCs w:val="24"/>
                <w:u w:val="none"/>
                <w:lang w:val="en-US" w:eastAsia="zh-CN" w:bidi="ar"/>
              </w:rPr>
              <w:t>2021年总体目标</w:t>
            </w:r>
          </w:p>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543" w:type="pct"/>
            <w:gridSpan w:val="3"/>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目标1：促进工业企业发展，提升新型工业化综合指数，提升规模以上工业增加值增速，增加工业投资占固定资产投资比重。</w:t>
            </w:r>
          </w:p>
        </w:tc>
        <w:tc>
          <w:tcPr>
            <w:tcW w:w="1456" w:type="pct"/>
            <w:gridSpan w:val="2"/>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目标1：部分完成。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543" w:type="pct"/>
            <w:gridSpan w:val="3"/>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目标2：促进中小企业发展，提升中小企业抵抗风险能力。</w:t>
            </w:r>
          </w:p>
        </w:tc>
        <w:tc>
          <w:tcPr>
            <w:tcW w:w="1456" w:type="pct"/>
            <w:gridSpan w:val="2"/>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目标2：已完成。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543" w:type="pct"/>
            <w:gridSpan w:val="3"/>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目标3：加强“中国数谷”建设工作，提升大数据与实体经济融合指数，完成全区自建系统上云。</w:t>
            </w:r>
          </w:p>
        </w:tc>
        <w:tc>
          <w:tcPr>
            <w:tcW w:w="1456" w:type="pct"/>
            <w:gridSpan w:val="2"/>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目标3：已完成。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543" w:type="pct"/>
            <w:gridSpan w:val="3"/>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目标4：引进工业产业项目和数字企业，确保引进项目资金到位，并按期开工和投产。</w:t>
            </w:r>
          </w:p>
        </w:tc>
        <w:tc>
          <w:tcPr>
            <w:tcW w:w="1456" w:type="pct"/>
            <w:gridSpan w:val="2"/>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目标4：已完成。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543" w:type="pct"/>
            <w:gridSpan w:val="3"/>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目标5：全力服务规模以上工业企业、数字企业和中小企业，提升企业满意度。</w:t>
            </w:r>
          </w:p>
        </w:tc>
        <w:tc>
          <w:tcPr>
            <w:tcW w:w="1456" w:type="pct"/>
            <w:gridSpan w:val="2"/>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目标5：部分完成。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765" w:type="pct"/>
            <w:gridSpan w:val="2"/>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三级指标</w:t>
            </w:r>
          </w:p>
        </w:tc>
        <w:tc>
          <w:tcPr>
            <w:tcW w:w="777" w:type="pct"/>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指标值</w:t>
            </w:r>
          </w:p>
        </w:tc>
        <w:tc>
          <w:tcPr>
            <w:tcW w:w="668" w:type="pct"/>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指标完成情况</w:t>
            </w:r>
          </w:p>
        </w:tc>
        <w:tc>
          <w:tcPr>
            <w:tcW w:w="788" w:type="pct"/>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0"/>
                <w:sz w:val="24"/>
                <w:szCs w:val="24"/>
                <w:u w:val="none"/>
                <w:lang w:val="en-US" w:eastAsia="zh-CN" w:bidi="ar"/>
              </w:rPr>
            </w:pPr>
            <w:r>
              <w:rPr>
                <w:rFonts w:hint="eastAsia" w:ascii="仿宋_GB2312" w:hAnsi="仿宋_GB2312" w:eastAsia="仿宋_GB2312" w:cs="仿宋_GB2312"/>
                <w:b/>
                <w:bCs/>
                <w:i w:val="0"/>
                <w:iCs w:val="0"/>
                <w:color w:val="000000"/>
                <w:kern w:val="0"/>
                <w:sz w:val="24"/>
                <w:szCs w:val="24"/>
                <w:u w:val="none"/>
                <w:lang w:val="en-US" w:eastAsia="zh-CN" w:bidi="ar"/>
              </w:rPr>
              <w:t>完成情况</w:t>
            </w:r>
          </w:p>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48" w:type="pct"/>
            <w:vMerge w:val="restart"/>
            <w:shd w:val="clear" w:color="auto" w:fill="auto"/>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促进工业企业发展情况</w:t>
            </w:r>
          </w:p>
        </w:tc>
        <w:tc>
          <w:tcPr>
            <w:tcW w:w="1816"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新型工业化综合评价指数</w:t>
            </w:r>
          </w:p>
        </w:tc>
        <w:tc>
          <w:tcPr>
            <w:tcW w:w="777"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≤20</w:t>
            </w:r>
          </w:p>
        </w:tc>
        <w:tc>
          <w:tcPr>
            <w:tcW w:w="668" w:type="pct"/>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788" w:type="pct"/>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48" w:type="pct"/>
            <w:vMerge w:val="continue"/>
            <w:shd w:val="clear" w:color="auto" w:fill="auto"/>
            <w:noWrap/>
            <w:vAlign w:val="center"/>
          </w:tcPr>
          <w:p>
            <w:pPr>
              <w:jc w:val="both"/>
              <w:rPr>
                <w:rFonts w:hint="eastAsia" w:ascii="仿宋_GB2312" w:hAnsi="仿宋_GB2312" w:eastAsia="仿宋_GB2312" w:cs="仿宋_GB2312"/>
                <w:i w:val="0"/>
                <w:iCs w:val="0"/>
                <w:color w:val="000000"/>
                <w:sz w:val="24"/>
                <w:szCs w:val="24"/>
                <w:u w:val="none"/>
              </w:rPr>
            </w:pPr>
          </w:p>
        </w:tc>
        <w:tc>
          <w:tcPr>
            <w:tcW w:w="1816"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新增规模以上工业企业</w:t>
            </w:r>
          </w:p>
        </w:tc>
        <w:tc>
          <w:tcPr>
            <w:tcW w:w="777"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≥4户</w:t>
            </w:r>
          </w:p>
        </w:tc>
        <w:tc>
          <w:tcPr>
            <w:tcW w:w="668" w:type="pct"/>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788" w:type="pct"/>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48" w:type="pct"/>
            <w:vMerge w:val="restart"/>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规模以上制造企业补助发放情况</w:t>
            </w:r>
          </w:p>
        </w:tc>
        <w:tc>
          <w:tcPr>
            <w:tcW w:w="1816"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流动资金贷款利息补贴企业数量</w:t>
            </w:r>
          </w:p>
        </w:tc>
        <w:tc>
          <w:tcPr>
            <w:tcW w:w="777"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≥3个</w:t>
            </w:r>
          </w:p>
        </w:tc>
        <w:tc>
          <w:tcPr>
            <w:tcW w:w="668" w:type="pct"/>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788" w:type="pct"/>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48" w:type="pct"/>
            <w:vMerge w:val="continue"/>
            <w:shd w:val="clear" w:color="auto" w:fill="auto"/>
            <w:vAlign w:val="center"/>
          </w:tcPr>
          <w:p>
            <w:pPr>
              <w:jc w:val="both"/>
              <w:rPr>
                <w:rFonts w:hint="eastAsia" w:ascii="仿宋_GB2312" w:hAnsi="仿宋_GB2312" w:eastAsia="仿宋_GB2312" w:cs="仿宋_GB2312"/>
                <w:i w:val="0"/>
                <w:iCs w:val="0"/>
                <w:color w:val="000000"/>
                <w:sz w:val="24"/>
                <w:szCs w:val="24"/>
                <w:u w:val="none"/>
              </w:rPr>
            </w:pPr>
          </w:p>
        </w:tc>
        <w:tc>
          <w:tcPr>
            <w:tcW w:w="1816"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工业企业达产增效奖励企业数量</w:t>
            </w:r>
          </w:p>
        </w:tc>
        <w:tc>
          <w:tcPr>
            <w:tcW w:w="777"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≥33个</w:t>
            </w:r>
          </w:p>
        </w:tc>
        <w:tc>
          <w:tcPr>
            <w:tcW w:w="668" w:type="pct"/>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788" w:type="pct"/>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36个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48" w:type="pct"/>
            <w:vMerge w:val="restart"/>
            <w:shd w:val="clear" w:color="auto" w:fill="auto"/>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“中国数谷”建设工作</w:t>
            </w:r>
          </w:p>
        </w:tc>
        <w:tc>
          <w:tcPr>
            <w:tcW w:w="1816"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新增规模以上大数据企业</w:t>
            </w:r>
          </w:p>
        </w:tc>
        <w:tc>
          <w:tcPr>
            <w:tcW w:w="777"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≥3家</w:t>
            </w:r>
          </w:p>
        </w:tc>
        <w:tc>
          <w:tcPr>
            <w:tcW w:w="668" w:type="pct"/>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788" w:type="pct"/>
            <w:shd w:val="clear" w:color="auto" w:fill="auto"/>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48" w:type="pct"/>
            <w:vMerge w:val="continue"/>
            <w:shd w:val="clear" w:color="auto" w:fill="auto"/>
            <w:noWrap/>
            <w:vAlign w:val="center"/>
          </w:tcPr>
          <w:p>
            <w:pPr>
              <w:jc w:val="both"/>
              <w:rPr>
                <w:rFonts w:hint="eastAsia" w:ascii="仿宋_GB2312" w:hAnsi="仿宋_GB2312" w:eastAsia="仿宋_GB2312" w:cs="仿宋_GB2312"/>
                <w:i w:val="0"/>
                <w:iCs w:val="0"/>
                <w:color w:val="000000"/>
                <w:sz w:val="24"/>
                <w:szCs w:val="24"/>
                <w:u w:val="none"/>
              </w:rPr>
            </w:pPr>
          </w:p>
        </w:tc>
        <w:tc>
          <w:tcPr>
            <w:tcW w:w="1816"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大数据与实体经济深度融合指数</w:t>
            </w:r>
          </w:p>
        </w:tc>
        <w:tc>
          <w:tcPr>
            <w:tcW w:w="777"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=第一梯队</w:t>
            </w:r>
          </w:p>
        </w:tc>
        <w:tc>
          <w:tcPr>
            <w:tcW w:w="668" w:type="pct"/>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788"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=第一梯队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48" w:type="pct"/>
            <w:vMerge w:val="continue"/>
            <w:shd w:val="clear" w:color="auto" w:fill="auto"/>
            <w:noWrap/>
            <w:vAlign w:val="center"/>
          </w:tcPr>
          <w:p>
            <w:pPr>
              <w:jc w:val="both"/>
              <w:rPr>
                <w:rFonts w:hint="eastAsia" w:ascii="仿宋_GB2312" w:hAnsi="仿宋_GB2312" w:eastAsia="仿宋_GB2312" w:cs="仿宋_GB2312"/>
                <w:i w:val="0"/>
                <w:iCs w:val="0"/>
                <w:color w:val="000000"/>
                <w:sz w:val="24"/>
                <w:szCs w:val="24"/>
                <w:u w:val="none"/>
              </w:rPr>
            </w:pPr>
          </w:p>
        </w:tc>
        <w:tc>
          <w:tcPr>
            <w:tcW w:w="1816"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培育大数据及软件和信息技术服务业初创型企业</w:t>
            </w:r>
          </w:p>
        </w:tc>
        <w:tc>
          <w:tcPr>
            <w:tcW w:w="777"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≥15家</w:t>
            </w:r>
          </w:p>
        </w:tc>
        <w:tc>
          <w:tcPr>
            <w:tcW w:w="668" w:type="pct"/>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788" w:type="pct"/>
            <w:shd w:val="clear" w:color="auto" w:fill="auto"/>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19家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48" w:type="pct"/>
            <w:vMerge w:val="continue"/>
            <w:shd w:val="clear" w:color="auto" w:fill="auto"/>
            <w:noWrap/>
            <w:vAlign w:val="center"/>
          </w:tcPr>
          <w:p>
            <w:pPr>
              <w:jc w:val="both"/>
              <w:rPr>
                <w:rFonts w:hint="eastAsia" w:ascii="仿宋_GB2312" w:hAnsi="仿宋_GB2312" w:eastAsia="仿宋_GB2312" w:cs="仿宋_GB2312"/>
                <w:i w:val="0"/>
                <w:iCs w:val="0"/>
                <w:color w:val="000000"/>
                <w:sz w:val="24"/>
                <w:szCs w:val="24"/>
                <w:u w:val="none"/>
              </w:rPr>
            </w:pPr>
          </w:p>
        </w:tc>
        <w:tc>
          <w:tcPr>
            <w:tcW w:w="1816"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培育大数据及软件和信息技术服务业成长型企业</w:t>
            </w:r>
          </w:p>
        </w:tc>
        <w:tc>
          <w:tcPr>
            <w:tcW w:w="777"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≥14家</w:t>
            </w:r>
          </w:p>
        </w:tc>
        <w:tc>
          <w:tcPr>
            <w:tcW w:w="668" w:type="pct"/>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未完成</w:t>
            </w:r>
          </w:p>
        </w:tc>
        <w:tc>
          <w:tcPr>
            <w:tcW w:w="788" w:type="pct"/>
            <w:shd w:val="clear" w:color="auto" w:fill="auto"/>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48" w:type="pct"/>
            <w:vMerge w:val="continue"/>
            <w:shd w:val="clear" w:color="auto" w:fill="auto"/>
            <w:noWrap/>
            <w:vAlign w:val="center"/>
          </w:tcPr>
          <w:p>
            <w:pPr>
              <w:jc w:val="both"/>
              <w:rPr>
                <w:rFonts w:hint="eastAsia" w:ascii="仿宋_GB2312" w:hAnsi="仿宋_GB2312" w:eastAsia="仿宋_GB2312" w:cs="仿宋_GB2312"/>
                <w:i w:val="0"/>
                <w:iCs w:val="0"/>
                <w:color w:val="000000"/>
                <w:sz w:val="24"/>
                <w:szCs w:val="24"/>
                <w:u w:val="none"/>
              </w:rPr>
            </w:pPr>
          </w:p>
        </w:tc>
        <w:tc>
          <w:tcPr>
            <w:tcW w:w="1816" w:type="pct"/>
            <w:shd w:val="clear" w:color="auto" w:fill="auto"/>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自建非涉密信息化系统迁移部署率</w:t>
            </w:r>
          </w:p>
        </w:tc>
        <w:tc>
          <w:tcPr>
            <w:tcW w:w="777" w:type="pct"/>
            <w:shd w:val="clear" w:color="auto" w:fill="auto"/>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c>
          <w:tcPr>
            <w:tcW w:w="668" w:type="pct"/>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788" w:type="pct"/>
            <w:shd w:val="clear" w:color="auto" w:fill="auto"/>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48" w:type="pct"/>
            <w:vMerge w:val="continue"/>
            <w:shd w:val="clear" w:color="auto" w:fill="auto"/>
            <w:noWrap/>
            <w:vAlign w:val="center"/>
          </w:tcPr>
          <w:p>
            <w:pPr>
              <w:jc w:val="both"/>
              <w:rPr>
                <w:rFonts w:hint="eastAsia" w:ascii="仿宋_GB2312" w:hAnsi="仿宋_GB2312" w:eastAsia="仿宋_GB2312" w:cs="仿宋_GB2312"/>
                <w:i w:val="0"/>
                <w:iCs w:val="0"/>
                <w:color w:val="000000"/>
                <w:sz w:val="24"/>
                <w:szCs w:val="24"/>
                <w:u w:val="none"/>
              </w:rPr>
            </w:pPr>
          </w:p>
        </w:tc>
        <w:tc>
          <w:tcPr>
            <w:tcW w:w="1816" w:type="pct"/>
            <w:shd w:val="clear" w:color="auto" w:fill="auto"/>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新建5G基站</w:t>
            </w:r>
          </w:p>
        </w:tc>
        <w:tc>
          <w:tcPr>
            <w:tcW w:w="777" w:type="pct"/>
            <w:shd w:val="clear" w:color="auto" w:fill="auto"/>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≥479个</w:t>
            </w:r>
          </w:p>
        </w:tc>
        <w:tc>
          <w:tcPr>
            <w:tcW w:w="668" w:type="pct"/>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788" w:type="pct"/>
            <w:shd w:val="clear" w:color="auto" w:fill="auto"/>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721个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48" w:type="pct"/>
            <w:vMerge w:val="continue"/>
            <w:shd w:val="clear" w:color="auto" w:fill="auto"/>
            <w:noWrap/>
            <w:vAlign w:val="center"/>
          </w:tcPr>
          <w:p>
            <w:pPr>
              <w:jc w:val="both"/>
              <w:rPr>
                <w:rFonts w:hint="eastAsia" w:ascii="仿宋_GB2312" w:hAnsi="仿宋_GB2312" w:eastAsia="仿宋_GB2312" w:cs="仿宋_GB2312"/>
                <w:i w:val="0"/>
                <w:iCs w:val="0"/>
                <w:color w:val="000000"/>
                <w:sz w:val="24"/>
                <w:szCs w:val="24"/>
                <w:u w:val="none"/>
              </w:rPr>
            </w:pPr>
          </w:p>
        </w:tc>
        <w:tc>
          <w:tcPr>
            <w:tcW w:w="1816"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打造5G应用示范场景</w:t>
            </w:r>
          </w:p>
        </w:tc>
        <w:tc>
          <w:tcPr>
            <w:tcW w:w="777"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≥4个</w:t>
            </w:r>
          </w:p>
        </w:tc>
        <w:tc>
          <w:tcPr>
            <w:tcW w:w="668" w:type="pct"/>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788" w:type="pct"/>
            <w:shd w:val="clear" w:color="auto" w:fill="auto"/>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48" w:type="pct"/>
            <w:vMerge w:val="restart"/>
            <w:shd w:val="clear" w:color="auto" w:fill="auto"/>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招商工作</w:t>
            </w:r>
          </w:p>
        </w:tc>
        <w:tc>
          <w:tcPr>
            <w:tcW w:w="1816"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引进新工业产业项目</w:t>
            </w:r>
          </w:p>
        </w:tc>
        <w:tc>
          <w:tcPr>
            <w:tcW w:w="777"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≥4个</w:t>
            </w:r>
          </w:p>
        </w:tc>
        <w:tc>
          <w:tcPr>
            <w:tcW w:w="668" w:type="pct"/>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788" w:type="pct"/>
            <w:shd w:val="clear" w:color="auto" w:fill="auto"/>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16个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48" w:type="pct"/>
            <w:vMerge w:val="continue"/>
            <w:shd w:val="clear" w:color="auto" w:fill="auto"/>
            <w:noWrap/>
            <w:vAlign w:val="center"/>
          </w:tcPr>
          <w:p>
            <w:pPr>
              <w:jc w:val="both"/>
              <w:rPr>
                <w:rFonts w:hint="eastAsia" w:ascii="仿宋_GB2312" w:hAnsi="仿宋_GB2312" w:eastAsia="仿宋_GB2312" w:cs="仿宋_GB2312"/>
                <w:i w:val="0"/>
                <w:iCs w:val="0"/>
                <w:color w:val="000000"/>
                <w:sz w:val="24"/>
                <w:szCs w:val="24"/>
                <w:u w:val="none"/>
              </w:rPr>
            </w:pPr>
          </w:p>
        </w:tc>
        <w:tc>
          <w:tcPr>
            <w:tcW w:w="1816"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引进工业产业项目到位资金</w:t>
            </w:r>
          </w:p>
        </w:tc>
        <w:tc>
          <w:tcPr>
            <w:tcW w:w="777"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≥2亿元</w:t>
            </w:r>
          </w:p>
        </w:tc>
        <w:tc>
          <w:tcPr>
            <w:tcW w:w="668" w:type="pct"/>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788" w:type="pct"/>
            <w:shd w:val="clear" w:color="auto" w:fill="auto"/>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16.61亿元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48" w:type="pct"/>
            <w:vMerge w:val="continue"/>
            <w:shd w:val="clear" w:color="auto" w:fill="auto"/>
            <w:noWrap/>
            <w:vAlign w:val="center"/>
          </w:tcPr>
          <w:p>
            <w:pPr>
              <w:jc w:val="both"/>
              <w:rPr>
                <w:rFonts w:hint="eastAsia" w:ascii="仿宋_GB2312" w:hAnsi="仿宋_GB2312" w:eastAsia="仿宋_GB2312" w:cs="仿宋_GB2312"/>
                <w:i w:val="0"/>
                <w:iCs w:val="0"/>
                <w:color w:val="000000"/>
                <w:sz w:val="24"/>
                <w:szCs w:val="24"/>
                <w:u w:val="none"/>
              </w:rPr>
            </w:pPr>
          </w:p>
        </w:tc>
        <w:tc>
          <w:tcPr>
            <w:tcW w:w="1816"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引进数字经济企业</w:t>
            </w:r>
          </w:p>
        </w:tc>
        <w:tc>
          <w:tcPr>
            <w:tcW w:w="777"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≥10家</w:t>
            </w:r>
          </w:p>
        </w:tc>
        <w:tc>
          <w:tcPr>
            <w:tcW w:w="668" w:type="pct"/>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788" w:type="pct"/>
            <w:shd w:val="clear" w:color="auto" w:fill="auto"/>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48" w:type="pct"/>
            <w:vMerge w:val="restart"/>
            <w:shd w:val="clear" w:color="auto" w:fill="auto"/>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工业产值增速及占比情况</w:t>
            </w:r>
          </w:p>
        </w:tc>
        <w:tc>
          <w:tcPr>
            <w:tcW w:w="1816"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制造业增加值占地区生产总值比重</w:t>
            </w:r>
          </w:p>
        </w:tc>
        <w:tc>
          <w:tcPr>
            <w:tcW w:w="777"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≥20%</w:t>
            </w:r>
          </w:p>
        </w:tc>
        <w:tc>
          <w:tcPr>
            <w:tcW w:w="668" w:type="pct"/>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未完成</w:t>
            </w:r>
          </w:p>
        </w:tc>
        <w:tc>
          <w:tcPr>
            <w:tcW w:w="788" w:type="pct"/>
            <w:shd w:val="clear" w:color="auto" w:fill="auto"/>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48" w:type="pct"/>
            <w:vMerge w:val="continue"/>
            <w:shd w:val="clear" w:color="auto" w:fill="auto"/>
            <w:noWrap/>
            <w:vAlign w:val="center"/>
          </w:tcPr>
          <w:p>
            <w:pPr>
              <w:jc w:val="both"/>
              <w:rPr>
                <w:rFonts w:hint="eastAsia" w:ascii="仿宋_GB2312" w:hAnsi="仿宋_GB2312" w:eastAsia="仿宋_GB2312" w:cs="仿宋_GB2312"/>
                <w:i w:val="0"/>
                <w:iCs w:val="0"/>
                <w:color w:val="000000"/>
                <w:sz w:val="24"/>
                <w:szCs w:val="24"/>
                <w:u w:val="none"/>
              </w:rPr>
            </w:pPr>
          </w:p>
        </w:tc>
        <w:tc>
          <w:tcPr>
            <w:tcW w:w="1816"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工业投资占固定资产投资比重</w:t>
            </w:r>
          </w:p>
        </w:tc>
        <w:tc>
          <w:tcPr>
            <w:tcW w:w="777"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≥30%</w:t>
            </w:r>
          </w:p>
        </w:tc>
        <w:tc>
          <w:tcPr>
            <w:tcW w:w="668" w:type="pct"/>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未完成</w:t>
            </w:r>
          </w:p>
        </w:tc>
        <w:tc>
          <w:tcPr>
            <w:tcW w:w="788" w:type="pct"/>
            <w:shd w:val="clear" w:color="auto" w:fill="auto"/>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48" w:type="pct"/>
            <w:vMerge w:val="continue"/>
            <w:shd w:val="clear" w:color="auto" w:fill="auto"/>
            <w:noWrap/>
            <w:vAlign w:val="center"/>
          </w:tcPr>
          <w:p>
            <w:pPr>
              <w:jc w:val="both"/>
              <w:rPr>
                <w:rFonts w:hint="eastAsia" w:ascii="仿宋_GB2312" w:hAnsi="仿宋_GB2312" w:eastAsia="仿宋_GB2312" w:cs="仿宋_GB2312"/>
                <w:i w:val="0"/>
                <w:iCs w:val="0"/>
                <w:color w:val="000000"/>
                <w:sz w:val="24"/>
                <w:szCs w:val="24"/>
                <w:u w:val="none"/>
              </w:rPr>
            </w:pPr>
          </w:p>
        </w:tc>
        <w:tc>
          <w:tcPr>
            <w:tcW w:w="1816"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规模以上工业增加值增速</w:t>
            </w:r>
          </w:p>
        </w:tc>
        <w:tc>
          <w:tcPr>
            <w:tcW w:w="777"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≥18%</w:t>
            </w:r>
          </w:p>
        </w:tc>
        <w:tc>
          <w:tcPr>
            <w:tcW w:w="668" w:type="pct"/>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未完成</w:t>
            </w:r>
          </w:p>
        </w:tc>
        <w:tc>
          <w:tcPr>
            <w:tcW w:w="788" w:type="pct"/>
            <w:shd w:val="clear" w:color="auto" w:fill="auto"/>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48" w:type="pct"/>
            <w:vMerge w:val="restart"/>
            <w:shd w:val="clear" w:color="auto" w:fill="auto"/>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企业复查合格率</w:t>
            </w:r>
          </w:p>
        </w:tc>
        <w:tc>
          <w:tcPr>
            <w:tcW w:w="1816"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小型微型企业创业创新示范基地复查合格率</w:t>
            </w:r>
          </w:p>
        </w:tc>
        <w:tc>
          <w:tcPr>
            <w:tcW w:w="777"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c>
          <w:tcPr>
            <w:tcW w:w="668" w:type="pct"/>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788"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48" w:type="pct"/>
            <w:vMerge w:val="continue"/>
            <w:shd w:val="clear" w:color="auto" w:fill="auto"/>
            <w:noWrap/>
            <w:vAlign w:val="center"/>
          </w:tcPr>
          <w:p>
            <w:pPr>
              <w:jc w:val="both"/>
              <w:rPr>
                <w:rFonts w:hint="eastAsia" w:ascii="仿宋_GB2312" w:hAnsi="仿宋_GB2312" w:eastAsia="仿宋_GB2312" w:cs="仿宋_GB2312"/>
                <w:i w:val="0"/>
                <w:iCs w:val="0"/>
                <w:color w:val="000000"/>
                <w:sz w:val="24"/>
                <w:szCs w:val="24"/>
                <w:u w:val="none"/>
              </w:rPr>
            </w:pPr>
          </w:p>
        </w:tc>
        <w:tc>
          <w:tcPr>
            <w:tcW w:w="1816" w:type="pct"/>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企业技术中心复查合格率</w:t>
            </w:r>
          </w:p>
        </w:tc>
        <w:tc>
          <w:tcPr>
            <w:tcW w:w="777" w:type="pct"/>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c>
          <w:tcPr>
            <w:tcW w:w="668" w:type="pct"/>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w:t>
            </w:r>
          </w:p>
        </w:tc>
        <w:tc>
          <w:tcPr>
            <w:tcW w:w="788" w:type="pct"/>
            <w:shd w:val="clear" w:color="auto" w:fill="auto"/>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未开展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48" w:type="pct"/>
            <w:vMerge w:val="restart"/>
            <w:shd w:val="clear" w:color="auto" w:fill="auto"/>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数字企业招商情况</w:t>
            </w:r>
          </w:p>
        </w:tc>
        <w:tc>
          <w:tcPr>
            <w:tcW w:w="1816"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引入培育区块链重点企业</w:t>
            </w:r>
          </w:p>
        </w:tc>
        <w:tc>
          <w:tcPr>
            <w:tcW w:w="777"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≥3家</w:t>
            </w:r>
          </w:p>
        </w:tc>
        <w:tc>
          <w:tcPr>
            <w:tcW w:w="668" w:type="pct"/>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788" w:type="pct"/>
            <w:shd w:val="clear" w:color="auto" w:fill="auto"/>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48" w:type="pct"/>
            <w:vMerge w:val="continue"/>
            <w:shd w:val="clear" w:color="auto" w:fill="auto"/>
            <w:noWrap/>
            <w:vAlign w:val="center"/>
          </w:tcPr>
          <w:p>
            <w:pPr>
              <w:jc w:val="both"/>
              <w:rPr>
                <w:rFonts w:hint="eastAsia" w:ascii="仿宋_GB2312" w:hAnsi="仿宋_GB2312" w:eastAsia="仿宋_GB2312" w:cs="仿宋_GB2312"/>
                <w:i w:val="0"/>
                <w:iCs w:val="0"/>
                <w:color w:val="000000"/>
                <w:sz w:val="24"/>
                <w:szCs w:val="24"/>
                <w:u w:val="none"/>
              </w:rPr>
            </w:pPr>
          </w:p>
        </w:tc>
        <w:tc>
          <w:tcPr>
            <w:tcW w:w="1816"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引入培育互联网潜力企业</w:t>
            </w:r>
          </w:p>
        </w:tc>
        <w:tc>
          <w:tcPr>
            <w:tcW w:w="777"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≥4家</w:t>
            </w:r>
          </w:p>
        </w:tc>
        <w:tc>
          <w:tcPr>
            <w:tcW w:w="668" w:type="pct"/>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788" w:type="pct"/>
            <w:shd w:val="clear" w:color="auto" w:fill="auto"/>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48" w:type="pct"/>
            <w:vMerge w:val="continue"/>
            <w:shd w:val="clear" w:color="auto" w:fill="auto"/>
            <w:noWrap/>
            <w:vAlign w:val="center"/>
          </w:tcPr>
          <w:p>
            <w:pPr>
              <w:jc w:val="both"/>
              <w:rPr>
                <w:rFonts w:hint="eastAsia" w:ascii="仿宋_GB2312" w:hAnsi="仿宋_GB2312" w:eastAsia="仿宋_GB2312" w:cs="仿宋_GB2312"/>
                <w:i w:val="0"/>
                <w:iCs w:val="0"/>
                <w:color w:val="000000"/>
                <w:sz w:val="24"/>
                <w:szCs w:val="24"/>
                <w:u w:val="none"/>
              </w:rPr>
            </w:pPr>
          </w:p>
        </w:tc>
        <w:tc>
          <w:tcPr>
            <w:tcW w:w="1816"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引入培育互联网骨干企业</w:t>
            </w:r>
          </w:p>
        </w:tc>
        <w:tc>
          <w:tcPr>
            <w:tcW w:w="777"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≥1家</w:t>
            </w:r>
          </w:p>
        </w:tc>
        <w:tc>
          <w:tcPr>
            <w:tcW w:w="668" w:type="pct"/>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788" w:type="pct"/>
            <w:shd w:val="clear" w:color="auto" w:fill="auto"/>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48" w:type="pct"/>
            <w:vMerge w:val="restart"/>
            <w:shd w:val="clear" w:color="auto" w:fill="auto"/>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工业招商项目启动情况</w:t>
            </w:r>
          </w:p>
        </w:tc>
        <w:tc>
          <w:tcPr>
            <w:tcW w:w="1816"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新引进工业产业项目开工率</w:t>
            </w:r>
          </w:p>
        </w:tc>
        <w:tc>
          <w:tcPr>
            <w:tcW w:w="777"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≥90%</w:t>
            </w:r>
          </w:p>
        </w:tc>
        <w:tc>
          <w:tcPr>
            <w:tcW w:w="668" w:type="pct"/>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788"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48" w:type="pct"/>
            <w:vMerge w:val="continue"/>
            <w:shd w:val="clear" w:color="auto" w:fill="auto"/>
            <w:noWrap/>
            <w:vAlign w:val="center"/>
          </w:tcPr>
          <w:p>
            <w:pPr>
              <w:jc w:val="both"/>
              <w:rPr>
                <w:rFonts w:hint="eastAsia" w:ascii="仿宋_GB2312" w:hAnsi="仿宋_GB2312" w:eastAsia="仿宋_GB2312" w:cs="仿宋_GB2312"/>
                <w:i w:val="0"/>
                <w:iCs w:val="0"/>
                <w:color w:val="000000"/>
                <w:sz w:val="24"/>
                <w:szCs w:val="24"/>
                <w:u w:val="none"/>
              </w:rPr>
            </w:pPr>
          </w:p>
        </w:tc>
        <w:tc>
          <w:tcPr>
            <w:tcW w:w="1816"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新引进工业产业项目投产率</w:t>
            </w:r>
          </w:p>
        </w:tc>
        <w:tc>
          <w:tcPr>
            <w:tcW w:w="777"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≥80%</w:t>
            </w:r>
          </w:p>
        </w:tc>
        <w:tc>
          <w:tcPr>
            <w:tcW w:w="668" w:type="pct"/>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788" w:type="pct"/>
            <w:shd w:val="clear" w:color="auto" w:fill="auto"/>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86.66%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48" w:type="pct"/>
            <w:shd w:val="clear" w:color="auto" w:fill="auto"/>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审核资料及时性</w:t>
            </w:r>
          </w:p>
        </w:tc>
        <w:tc>
          <w:tcPr>
            <w:tcW w:w="1816" w:type="pct"/>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审核企业申报资料实际天数</w:t>
            </w:r>
          </w:p>
        </w:tc>
        <w:tc>
          <w:tcPr>
            <w:tcW w:w="777" w:type="pct"/>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≤计划天数</w:t>
            </w:r>
          </w:p>
        </w:tc>
        <w:tc>
          <w:tcPr>
            <w:tcW w:w="668" w:type="pct"/>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788" w:type="pct"/>
            <w:shd w:val="clear" w:color="auto" w:fill="auto"/>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≤计划天数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48" w:type="pct"/>
            <w:shd w:val="clear" w:color="auto" w:fill="auto"/>
            <w:noWrap/>
            <w:vAlign w:val="center"/>
          </w:tcPr>
          <w:p>
            <w:pPr>
              <w:keepNext w:val="0"/>
              <w:keepLines w:val="0"/>
              <w:widowControl/>
              <w:suppressLineNumbers w:val="0"/>
              <w:jc w:val="both"/>
              <w:textAlignment w:val="bottom"/>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资金拨付及时性</w:t>
            </w:r>
          </w:p>
        </w:tc>
        <w:tc>
          <w:tcPr>
            <w:tcW w:w="1816" w:type="pct"/>
            <w:shd w:val="clear" w:color="auto" w:fill="auto"/>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收到上级资金后拨付给企业实际间隔天数</w:t>
            </w:r>
          </w:p>
        </w:tc>
        <w:tc>
          <w:tcPr>
            <w:tcW w:w="777" w:type="pct"/>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≤计划天数</w:t>
            </w:r>
          </w:p>
        </w:tc>
        <w:tc>
          <w:tcPr>
            <w:tcW w:w="668" w:type="pct"/>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788" w:type="pct"/>
            <w:shd w:val="clear" w:color="auto" w:fill="auto"/>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≤计划天数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48" w:type="pct"/>
            <w:vMerge w:val="restart"/>
            <w:shd w:val="clear" w:color="auto" w:fill="auto"/>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数字化企业收入情况</w:t>
            </w:r>
          </w:p>
        </w:tc>
        <w:tc>
          <w:tcPr>
            <w:tcW w:w="1816" w:type="pct"/>
            <w:shd w:val="clear" w:color="auto" w:fill="auto"/>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软件和信息技术服务业软件业务收入（500万元口径）</w:t>
            </w:r>
          </w:p>
        </w:tc>
        <w:tc>
          <w:tcPr>
            <w:tcW w:w="777"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≥18亿元</w:t>
            </w:r>
          </w:p>
        </w:tc>
        <w:tc>
          <w:tcPr>
            <w:tcW w:w="668" w:type="pct"/>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788" w:type="pct"/>
            <w:shd w:val="clear" w:color="auto" w:fill="auto"/>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18.23亿元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48" w:type="pct"/>
            <w:vMerge w:val="continue"/>
            <w:shd w:val="clear" w:color="auto" w:fill="auto"/>
            <w:noWrap/>
            <w:vAlign w:val="center"/>
          </w:tcPr>
          <w:p>
            <w:pPr>
              <w:jc w:val="both"/>
              <w:rPr>
                <w:rFonts w:hint="eastAsia" w:ascii="仿宋_GB2312" w:hAnsi="仿宋_GB2312" w:eastAsia="仿宋_GB2312" w:cs="仿宋_GB2312"/>
                <w:i w:val="0"/>
                <w:iCs w:val="0"/>
                <w:color w:val="000000"/>
                <w:sz w:val="24"/>
                <w:szCs w:val="24"/>
                <w:u w:val="none"/>
              </w:rPr>
            </w:pPr>
          </w:p>
        </w:tc>
        <w:tc>
          <w:tcPr>
            <w:tcW w:w="1816" w:type="pct"/>
            <w:shd w:val="clear" w:color="auto" w:fill="auto"/>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规上互联网和相关、软件和信息技术服务业务收入</w:t>
            </w:r>
          </w:p>
        </w:tc>
        <w:tc>
          <w:tcPr>
            <w:tcW w:w="777"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≥9.5亿元</w:t>
            </w:r>
          </w:p>
        </w:tc>
        <w:tc>
          <w:tcPr>
            <w:tcW w:w="668" w:type="pct"/>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788" w:type="pct"/>
            <w:shd w:val="clear" w:color="auto" w:fill="auto"/>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11.45亿元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48" w:type="pct"/>
            <w:vMerge w:val="restart"/>
            <w:shd w:val="clear" w:color="auto" w:fill="auto"/>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工业企业投资和产值情况</w:t>
            </w:r>
          </w:p>
        </w:tc>
        <w:tc>
          <w:tcPr>
            <w:tcW w:w="1816"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工业投资</w:t>
            </w:r>
          </w:p>
        </w:tc>
        <w:tc>
          <w:tcPr>
            <w:tcW w:w="777"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≥30亿元</w:t>
            </w:r>
          </w:p>
        </w:tc>
        <w:tc>
          <w:tcPr>
            <w:tcW w:w="668" w:type="pct"/>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未完成</w:t>
            </w:r>
          </w:p>
        </w:tc>
        <w:tc>
          <w:tcPr>
            <w:tcW w:w="788" w:type="pct"/>
            <w:shd w:val="clear" w:color="auto" w:fill="auto"/>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21.3亿元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48" w:type="pct"/>
            <w:vMerge w:val="continue"/>
            <w:shd w:val="clear" w:color="auto" w:fill="auto"/>
            <w:noWrap/>
            <w:vAlign w:val="center"/>
          </w:tcPr>
          <w:p>
            <w:pPr>
              <w:jc w:val="both"/>
              <w:rPr>
                <w:rFonts w:hint="eastAsia" w:ascii="仿宋_GB2312" w:hAnsi="仿宋_GB2312" w:eastAsia="仿宋_GB2312" w:cs="仿宋_GB2312"/>
                <w:i w:val="0"/>
                <w:iCs w:val="0"/>
                <w:color w:val="000000"/>
                <w:sz w:val="24"/>
                <w:szCs w:val="24"/>
                <w:u w:val="none"/>
              </w:rPr>
            </w:pPr>
          </w:p>
        </w:tc>
        <w:tc>
          <w:tcPr>
            <w:tcW w:w="1816"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工业总产值</w:t>
            </w:r>
          </w:p>
        </w:tc>
        <w:tc>
          <w:tcPr>
            <w:tcW w:w="777"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≥285亿元</w:t>
            </w:r>
          </w:p>
        </w:tc>
        <w:tc>
          <w:tcPr>
            <w:tcW w:w="668" w:type="pct"/>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788" w:type="pct"/>
            <w:shd w:val="clear" w:color="auto" w:fill="auto"/>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288.5亿元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48" w:type="pct"/>
            <w:shd w:val="clear" w:color="auto" w:fill="auto"/>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政策知晓率</w:t>
            </w:r>
          </w:p>
        </w:tc>
        <w:tc>
          <w:tcPr>
            <w:tcW w:w="1816"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企业对补助政策的知晓率</w:t>
            </w:r>
          </w:p>
        </w:tc>
        <w:tc>
          <w:tcPr>
            <w:tcW w:w="777"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c>
          <w:tcPr>
            <w:tcW w:w="668" w:type="pct"/>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未完成</w:t>
            </w:r>
          </w:p>
        </w:tc>
        <w:tc>
          <w:tcPr>
            <w:tcW w:w="788" w:type="pct"/>
            <w:shd w:val="clear" w:color="auto" w:fill="auto"/>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48" w:type="pct"/>
            <w:shd w:val="clear" w:color="auto" w:fill="auto"/>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规模以上工业企业就业保持率</w:t>
            </w:r>
          </w:p>
        </w:tc>
        <w:tc>
          <w:tcPr>
            <w:tcW w:w="1816" w:type="pct"/>
            <w:shd w:val="clear" w:color="auto" w:fill="auto"/>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规模以上工业企业就业保持率</w:t>
            </w:r>
          </w:p>
        </w:tc>
        <w:tc>
          <w:tcPr>
            <w:tcW w:w="777"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c>
          <w:tcPr>
            <w:tcW w:w="668" w:type="pct"/>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未完成</w:t>
            </w:r>
          </w:p>
        </w:tc>
        <w:tc>
          <w:tcPr>
            <w:tcW w:w="788" w:type="pct"/>
            <w:shd w:val="clear" w:color="auto" w:fill="auto"/>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96.52%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48" w:type="pct"/>
            <w:shd w:val="clear" w:color="auto" w:fill="auto"/>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安全生产</w:t>
            </w:r>
          </w:p>
        </w:tc>
        <w:tc>
          <w:tcPr>
            <w:tcW w:w="1816"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工业企业安全生产事故发生数量</w:t>
            </w:r>
          </w:p>
        </w:tc>
        <w:tc>
          <w:tcPr>
            <w:tcW w:w="777"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=0件</w:t>
            </w:r>
          </w:p>
        </w:tc>
        <w:tc>
          <w:tcPr>
            <w:tcW w:w="668" w:type="pct"/>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788" w:type="pct"/>
            <w:shd w:val="clear" w:color="auto" w:fill="auto"/>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48" w:type="pct"/>
            <w:vMerge w:val="restart"/>
            <w:shd w:val="clear" w:color="auto" w:fill="auto"/>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企业满意度</w:t>
            </w:r>
          </w:p>
        </w:tc>
        <w:tc>
          <w:tcPr>
            <w:tcW w:w="1816" w:type="pct"/>
            <w:shd w:val="clear" w:color="auto" w:fill="auto"/>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数字企业满意度</w:t>
            </w:r>
          </w:p>
        </w:tc>
        <w:tc>
          <w:tcPr>
            <w:tcW w:w="777"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c>
          <w:tcPr>
            <w:tcW w:w="668" w:type="pct"/>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基本完成</w:t>
            </w:r>
          </w:p>
        </w:tc>
        <w:tc>
          <w:tcPr>
            <w:tcW w:w="788" w:type="pct"/>
            <w:shd w:val="clear" w:color="auto" w:fill="auto"/>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48" w:type="pct"/>
            <w:vMerge w:val="continue"/>
            <w:shd w:val="clear" w:color="auto" w:fill="auto"/>
            <w:noWrap/>
            <w:vAlign w:val="center"/>
          </w:tcPr>
          <w:p>
            <w:pPr>
              <w:jc w:val="both"/>
              <w:rPr>
                <w:rFonts w:hint="eastAsia" w:ascii="仿宋_GB2312" w:hAnsi="仿宋_GB2312" w:eastAsia="仿宋_GB2312" w:cs="仿宋_GB2312"/>
                <w:i w:val="0"/>
                <w:iCs w:val="0"/>
                <w:color w:val="000000"/>
                <w:sz w:val="24"/>
                <w:szCs w:val="24"/>
                <w:u w:val="none"/>
              </w:rPr>
            </w:pPr>
          </w:p>
        </w:tc>
        <w:tc>
          <w:tcPr>
            <w:tcW w:w="1816"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规模以上工业企业满意度</w:t>
            </w:r>
          </w:p>
        </w:tc>
        <w:tc>
          <w:tcPr>
            <w:tcW w:w="777"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c>
          <w:tcPr>
            <w:tcW w:w="668" w:type="pct"/>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已完成</w:t>
            </w:r>
          </w:p>
        </w:tc>
        <w:tc>
          <w:tcPr>
            <w:tcW w:w="788" w:type="pct"/>
            <w:shd w:val="clear" w:color="auto" w:fill="auto"/>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48" w:type="pct"/>
            <w:vMerge w:val="continue"/>
            <w:shd w:val="clear" w:color="auto" w:fill="auto"/>
            <w:noWrap/>
            <w:vAlign w:val="center"/>
          </w:tcPr>
          <w:p>
            <w:pPr>
              <w:jc w:val="both"/>
              <w:rPr>
                <w:rFonts w:hint="eastAsia" w:ascii="仿宋_GB2312" w:hAnsi="仿宋_GB2312" w:eastAsia="仿宋_GB2312" w:cs="仿宋_GB2312"/>
                <w:i w:val="0"/>
                <w:iCs w:val="0"/>
                <w:color w:val="000000"/>
                <w:sz w:val="24"/>
                <w:szCs w:val="24"/>
                <w:u w:val="none"/>
              </w:rPr>
            </w:pPr>
          </w:p>
        </w:tc>
        <w:tc>
          <w:tcPr>
            <w:tcW w:w="1816"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中小企业企业满意度</w:t>
            </w:r>
          </w:p>
        </w:tc>
        <w:tc>
          <w:tcPr>
            <w:tcW w:w="777" w:type="pct"/>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≥95%</w:t>
            </w:r>
          </w:p>
        </w:tc>
        <w:tc>
          <w:tcPr>
            <w:tcW w:w="668" w:type="pct"/>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未完成</w:t>
            </w:r>
          </w:p>
        </w:tc>
        <w:tc>
          <w:tcPr>
            <w:tcW w:w="788" w:type="pct"/>
            <w:shd w:val="clear" w:color="auto" w:fill="auto"/>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92.00%</w:t>
            </w:r>
          </w:p>
        </w:tc>
      </w:tr>
      <w:bookmarkEnd w:id="56"/>
      <w:bookmarkEnd w:id="57"/>
      <w:bookmarkEnd w:id="58"/>
      <w:bookmarkEnd w:id="59"/>
      <w:bookmarkEnd w:id="60"/>
      <w:bookmarkEnd w:id="61"/>
      <w:bookmarkEnd w:id="62"/>
    </w:tbl>
    <w:p>
      <w:pPr>
        <w:widowControl w:val="0"/>
        <w:spacing w:line="590" w:lineRule="exact"/>
        <w:ind w:firstLine="444" w:firstLineChars="200"/>
        <w:jc w:val="both"/>
        <w:outlineLvl w:val="1"/>
        <w:rPr>
          <w:rFonts w:ascii="Times New Roman" w:hAnsi="Times New Roman" w:eastAsia="楷体_GB2312" w:cs="Times New Roman"/>
          <w:spacing w:val="6"/>
          <w:sz w:val="32"/>
          <w:szCs w:val="32"/>
          <w:lang w:val="zh-CN"/>
        </w:rPr>
      </w:pPr>
      <w:bookmarkStart w:id="63" w:name="_Toc18598"/>
      <w:bookmarkStart w:id="64" w:name="_Toc7296"/>
      <w:r>
        <w:rPr>
          <w:spacing w:val="6"/>
        </w:rPr>
        <w:fldChar w:fldCharType="begin"/>
      </w:r>
      <w:r>
        <w:rPr>
          <w:spacing w:val="6"/>
        </w:rPr>
        <w:instrText xml:space="preserve"> HYPERLINK \l "_Toc434746187" </w:instrText>
      </w:r>
      <w:r>
        <w:rPr>
          <w:spacing w:val="6"/>
        </w:rPr>
        <w:fldChar w:fldCharType="separate"/>
      </w:r>
      <w:bookmarkStart w:id="65" w:name="_Toc41306281"/>
      <w:r>
        <w:rPr>
          <w:rFonts w:hint="eastAsia" w:ascii="Times New Roman" w:hAnsi="Times New Roman" w:eastAsia="楷体_GB2312" w:cs="Times New Roman"/>
          <w:spacing w:val="6"/>
          <w:sz w:val="32"/>
          <w:szCs w:val="32"/>
          <w:lang w:val="zh-CN"/>
        </w:rPr>
        <w:t>（</w:t>
      </w:r>
      <w:r>
        <w:rPr>
          <w:rFonts w:hint="eastAsia" w:ascii="Times New Roman" w:hAnsi="Times New Roman" w:eastAsia="楷体_GB2312" w:cs="Times New Roman"/>
          <w:spacing w:val="6"/>
          <w:sz w:val="32"/>
          <w:szCs w:val="32"/>
          <w:lang w:val="en-US" w:eastAsia="zh-CN"/>
        </w:rPr>
        <w:t>二</w:t>
      </w:r>
      <w:r>
        <w:rPr>
          <w:rFonts w:hint="eastAsia" w:ascii="Times New Roman" w:hAnsi="Times New Roman" w:eastAsia="楷体_GB2312" w:cs="Times New Roman"/>
          <w:spacing w:val="6"/>
          <w:sz w:val="32"/>
          <w:szCs w:val="32"/>
          <w:lang w:val="zh-CN"/>
        </w:rPr>
        <w:t>）</w:t>
      </w:r>
      <w:bookmarkStart w:id="66" w:name="_Hlk11067164"/>
      <w:r>
        <w:rPr>
          <w:rFonts w:hint="eastAsia" w:ascii="Times New Roman" w:hAnsi="Times New Roman" w:eastAsia="楷体_GB2312" w:cs="Times New Roman"/>
          <w:spacing w:val="6"/>
          <w:sz w:val="32"/>
          <w:szCs w:val="32"/>
          <w:lang w:val="zh-CN"/>
        </w:rPr>
        <w:t>绩效评价综合结论</w:t>
      </w:r>
      <w:bookmarkEnd w:id="65"/>
      <w:bookmarkEnd w:id="66"/>
      <w:r>
        <w:rPr>
          <w:rFonts w:hint="eastAsia" w:ascii="Times New Roman" w:hAnsi="Times New Roman" w:eastAsia="楷体_GB2312" w:cs="Times New Roman"/>
          <w:spacing w:val="6"/>
          <w:sz w:val="32"/>
          <w:szCs w:val="32"/>
          <w:lang w:val="zh-CN"/>
        </w:rPr>
        <w:fldChar w:fldCharType="end"/>
      </w:r>
      <w:bookmarkEnd w:id="49"/>
      <w:bookmarkEnd w:id="50"/>
      <w:bookmarkEnd w:id="51"/>
      <w:bookmarkEnd w:id="52"/>
      <w:bookmarkEnd w:id="53"/>
      <w:bookmarkEnd w:id="63"/>
      <w:bookmarkEnd w:id="64"/>
    </w:p>
    <w:p>
      <w:pPr>
        <w:widowControl w:val="0"/>
        <w:spacing w:line="590" w:lineRule="exact"/>
        <w:ind w:firstLine="664" w:firstLineChars="200"/>
        <w:jc w:val="both"/>
        <w:rPr>
          <w:rFonts w:hint="eastAsia" w:ascii="仿宋_GB2312" w:hAnsi="仿宋_GB2312" w:eastAsia="仿宋_GB2312" w:cs="仿宋_GB2312"/>
          <w:spacing w:val="6"/>
          <w:sz w:val="32"/>
          <w:szCs w:val="32"/>
        </w:rPr>
      </w:pPr>
      <w:r>
        <w:rPr>
          <w:rFonts w:hint="eastAsia" w:ascii="仿宋_GB2312" w:hAnsi="仿宋_GB2312" w:eastAsia="仿宋_GB2312" w:cs="仿宋_GB2312"/>
          <w:color w:val="auto"/>
          <w:spacing w:val="6"/>
          <w:sz w:val="32"/>
          <w:szCs w:val="32"/>
          <w:lang w:val="en-US" w:eastAsia="zh-CN"/>
        </w:rPr>
        <w:t>区工信</w:t>
      </w:r>
      <w:r>
        <w:rPr>
          <w:rFonts w:hint="eastAsia" w:ascii="仿宋_GB2312" w:hAnsi="仿宋_GB2312" w:eastAsia="仿宋_GB2312" w:cs="仿宋_GB2312"/>
          <w:color w:val="auto"/>
          <w:spacing w:val="6"/>
          <w:sz w:val="32"/>
          <w:szCs w:val="32"/>
        </w:rPr>
        <w:t>局</w:t>
      </w:r>
      <w:r>
        <w:rPr>
          <w:rFonts w:hint="eastAsia" w:ascii="仿宋_GB2312" w:hAnsi="仿宋_GB2312" w:eastAsia="仿宋_GB2312" w:cs="仿宋_GB2312"/>
          <w:color w:val="auto"/>
          <w:spacing w:val="6"/>
          <w:sz w:val="32"/>
          <w:szCs w:val="32"/>
          <w:lang w:val="en-US" w:eastAsia="zh-CN"/>
        </w:rPr>
        <w:t>紧紧围绕</w:t>
      </w:r>
      <w:r>
        <w:rPr>
          <w:rFonts w:hint="eastAsia" w:ascii="仿宋_GB2312" w:hAnsi="仿宋_GB2312" w:eastAsia="仿宋_GB2312" w:cs="仿宋_GB2312"/>
          <w:color w:val="auto"/>
          <w:spacing w:val="6"/>
          <w:sz w:val="32"/>
          <w:szCs w:val="32"/>
        </w:rPr>
        <w:t>党中央、省</w:t>
      </w:r>
      <w:r>
        <w:rPr>
          <w:rFonts w:hint="eastAsia" w:ascii="仿宋_GB2312" w:hAnsi="仿宋_GB2312" w:eastAsia="仿宋_GB2312" w:cs="仿宋_GB2312"/>
          <w:color w:val="auto"/>
          <w:spacing w:val="6"/>
          <w:sz w:val="32"/>
          <w:szCs w:val="32"/>
          <w:lang w:val="en-US" w:eastAsia="zh-CN"/>
        </w:rPr>
        <w:t>委</w:t>
      </w:r>
      <w:r>
        <w:rPr>
          <w:rFonts w:hint="eastAsia" w:ascii="仿宋_GB2312" w:hAnsi="仿宋_GB2312" w:eastAsia="仿宋_GB2312" w:cs="仿宋_GB2312"/>
          <w:color w:val="auto"/>
          <w:spacing w:val="6"/>
          <w:sz w:val="32"/>
          <w:szCs w:val="32"/>
        </w:rPr>
        <w:t>、省政府、市委、市政府和区委、区政府决策部署，</w:t>
      </w:r>
      <w:r>
        <w:rPr>
          <w:rFonts w:hint="eastAsia" w:ascii="仿宋_GB2312" w:hAnsi="仿宋_GB2312" w:eastAsia="仿宋_GB2312" w:cs="仿宋_GB2312"/>
          <w:color w:val="auto"/>
          <w:spacing w:val="6"/>
          <w:sz w:val="32"/>
          <w:szCs w:val="32"/>
          <w:lang w:val="en-US" w:eastAsia="zh-CN"/>
        </w:rPr>
        <w:t>聚焦工业总量目标、结构目标、重点项目科学目标，为做大工业总量、做优工业结构夯实基础，为</w:t>
      </w:r>
      <w:r>
        <w:rPr>
          <w:rFonts w:hint="eastAsia" w:ascii="仿宋_GB2312" w:hAnsi="仿宋_GB2312" w:eastAsia="仿宋_GB2312" w:cs="仿宋_GB2312"/>
          <w:color w:val="auto"/>
          <w:spacing w:val="6"/>
          <w:sz w:val="32"/>
          <w:szCs w:val="32"/>
        </w:rPr>
        <w:t>推动全区</w:t>
      </w:r>
      <w:r>
        <w:rPr>
          <w:rFonts w:hint="eastAsia" w:ascii="仿宋_GB2312" w:hAnsi="仿宋_GB2312" w:eastAsia="仿宋_GB2312" w:cs="仿宋_GB2312"/>
          <w:color w:val="auto"/>
          <w:spacing w:val="6"/>
          <w:sz w:val="32"/>
          <w:szCs w:val="32"/>
          <w:lang w:val="en-US" w:eastAsia="zh-CN"/>
        </w:rPr>
        <w:t>工业</w:t>
      </w:r>
      <w:r>
        <w:rPr>
          <w:rFonts w:hint="eastAsia" w:ascii="仿宋_GB2312" w:hAnsi="仿宋_GB2312" w:eastAsia="仿宋_GB2312" w:cs="仿宋_GB2312"/>
          <w:color w:val="auto"/>
          <w:spacing w:val="6"/>
          <w:sz w:val="32"/>
          <w:szCs w:val="32"/>
        </w:rPr>
        <w:t>事业高质量发展</w:t>
      </w:r>
      <w:r>
        <w:rPr>
          <w:rFonts w:hint="eastAsia" w:ascii="仿宋_GB2312" w:hAnsi="仿宋_GB2312" w:eastAsia="仿宋_GB2312" w:cs="仿宋_GB2312"/>
          <w:spacing w:val="6"/>
          <w:sz w:val="32"/>
          <w:szCs w:val="32"/>
        </w:rPr>
        <w:t>取得了</w:t>
      </w:r>
      <w:r>
        <w:rPr>
          <w:rFonts w:hint="eastAsia" w:ascii="仿宋_GB2312" w:hAnsi="仿宋_GB2312" w:eastAsia="仿宋_GB2312" w:cs="仿宋_GB2312"/>
          <w:spacing w:val="6"/>
          <w:sz w:val="32"/>
          <w:szCs w:val="32"/>
          <w:lang w:val="en-US" w:eastAsia="zh-CN"/>
        </w:rPr>
        <w:t>较好</w:t>
      </w:r>
      <w:r>
        <w:rPr>
          <w:rFonts w:hint="eastAsia" w:ascii="仿宋_GB2312" w:hAnsi="仿宋_GB2312" w:eastAsia="仿宋_GB2312" w:cs="仿宋_GB2312"/>
          <w:spacing w:val="6"/>
          <w:sz w:val="32"/>
          <w:szCs w:val="32"/>
        </w:rPr>
        <w:t>成效</w:t>
      </w:r>
      <w:r>
        <w:rPr>
          <w:rFonts w:hint="eastAsia" w:ascii="仿宋_GB2312" w:hAnsi="仿宋_GB2312" w:eastAsia="仿宋_GB2312" w:cs="仿宋_GB2312"/>
          <w:spacing w:val="6"/>
          <w:sz w:val="32"/>
          <w:szCs w:val="32"/>
          <w:lang w:eastAsia="zh-CN"/>
        </w:rPr>
        <w:t>。</w:t>
      </w:r>
      <w:r>
        <w:rPr>
          <w:rFonts w:hint="eastAsia" w:ascii="仿宋_GB2312" w:hAnsi="仿宋_GB2312" w:eastAsia="仿宋_GB2312" w:cs="仿宋_GB2312"/>
          <w:spacing w:val="6"/>
          <w:sz w:val="32"/>
          <w:szCs w:val="32"/>
        </w:rPr>
        <w:t>但在</w:t>
      </w:r>
      <w:r>
        <w:rPr>
          <w:rFonts w:hint="eastAsia" w:ascii="仿宋_GB2312" w:hAnsi="仿宋_GB2312" w:eastAsia="仿宋_GB2312" w:cs="仿宋_GB2312"/>
          <w:spacing w:val="6"/>
          <w:sz w:val="32"/>
          <w:szCs w:val="32"/>
          <w:lang w:val="en-US" w:eastAsia="zh-CN"/>
        </w:rPr>
        <w:t>本次绩效评价</w:t>
      </w:r>
      <w:r>
        <w:rPr>
          <w:rFonts w:hint="eastAsia" w:ascii="仿宋_GB2312" w:hAnsi="仿宋_GB2312" w:eastAsia="仿宋_GB2312" w:cs="仿宋_GB2312"/>
          <w:spacing w:val="6"/>
          <w:sz w:val="32"/>
          <w:szCs w:val="32"/>
        </w:rPr>
        <w:t>过程中</w:t>
      </w:r>
      <w:r>
        <w:rPr>
          <w:rFonts w:hint="eastAsia" w:ascii="仿宋_GB2312" w:hAnsi="仿宋_GB2312" w:eastAsia="仿宋_GB2312" w:cs="仿宋_GB2312"/>
          <w:spacing w:val="6"/>
          <w:sz w:val="32"/>
          <w:szCs w:val="32"/>
          <w:lang w:eastAsia="zh-CN"/>
        </w:rPr>
        <w:t>，</w:t>
      </w:r>
      <w:r>
        <w:rPr>
          <w:rFonts w:hint="eastAsia" w:ascii="仿宋_GB2312" w:hAnsi="仿宋_GB2312" w:eastAsia="仿宋_GB2312" w:cs="仿宋_GB2312"/>
          <w:spacing w:val="6"/>
          <w:sz w:val="32"/>
          <w:szCs w:val="32"/>
        </w:rPr>
        <w:t>发现仍存在一些不足之处，</w:t>
      </w:r>
      <w:r>
        <w:rPr>
          <w:rFonts w:hint="eastAsia" w:ascii="仿宋_GB2312" w:hAnsi="仿宋_GB2312" w:eastAsia="仿宋_GB2312" w:cs="仿宋_GB2312"/>
          <w:spacing w:val="6"/>
          <w:sz w:val="32"/>
          <w:szCs w:val="32"/>
          <w:lang w:val="en-US" w:eastAsia="zh-CN"/>
        </w:rPr>
        <w:t>如部分绩效指标设置不够明确、绩效自评</w:t>
      </w:r>
      <w:r>
        <w:rPr>
          <w:rFonts w:hint="eastAsia" w:ascii="仿宋_GB2312" w:hAnsi="仿宋_GB2312" w:eastAsia="仿宋_GB2312" w:cs="仿宋_GB2312"/>
          <w:spacing w:val="6"/>
          <w:sz w:val="32"/>
          <w:szCs w:val="32"/>
        </w:rPr>
        <w:t>内容不完整</w:t>
      </w:r>
      <w:r>
        <w:rPr>
          <w:rFonts w:hint="eastAsia" w:ascii="仿宋_GB2312" w:hAnsi="仿宋_GB2312" w:eastAsia="仿宋_GB2312" w:cs="仿宋_GB2312"/>
          <w:spacing w:val="6"/>
          <w:sz w:val="32"/>
          <w:szCs w:val="32"/>
          <w:lang w:eastAsia="zh-CN"/>
        </w:rPr>
        <w:t>、</w:t>
      </w:r>
      <w:r>
        <w:rPr>
          <w:rFonts w:hint="eastAsia" w:ascii="仿宋_GB2312" w:hAnsi="仿宋_GB2312" w:eastAsia="仿宋_GB2312" w:cs="仿宋_GB2312"/>
          <w:spacing w:val="6"/>
          <w:sz w:val="32"/>
          <w:szCs w:val="32"/>
          <w:lang w:val="en-US" w:eastAsia="zh-CN"/>
        </w:rPr>
        <w:t>个别内控制度执行不够到位等</w:t>
      </w:r>
      <w:r>
        <w:rPr>
          <w:rFonts w:hint="eastAsia" w:ascii="仿宋_GB2312" w:hAnsi="仿宋_GB2312" w:eastAsia="仿宋_GB2312" w:cs="仿宋_GB2312"/>
          <w:spacing w:val="6"/>
          <w:sz w:val="32"/>
          <w:szCs w:val="32"/>
        </w:rPr>
        <w:t>。</w:t>
      </w:r>
    </w:p>
    <w:p>
      <w:pPr>
        <w:widowControl w:val="0"/>
        <w:spacing w:line="590" w:lineRule="exact"/>
        <w:ind w:firstLine="664" w:firstLineChars="200"/>
        <w:jc w:val="both"/>
        <w:rPr>
          <w:rFonts w:hint="eastAsia" w:ascii="仿宋_GB2312" w:hAnsi="仿宋_GB2312" w:eastAsia="仿宋_GB2312" w:cs="仿宋_GB2312"/>
          <w:spacing w:val="6"/>
          <w:sz w:val="32"/>
          <w:szCs w:val="32"/>
          <w:highlight w:val="none"/>
          <w:lang w:val="zh-CN"/>
        </w:rPr>
      </w:pPr>
      <w:r>
        <w:rPr>
          <w:rFonts w:hint="eastAsia" w:ascii="仿宋_GB2312" w:hAnsi="仿宋_GB2312" w:eastAsia="仿宋_GB2312" w:cs="仿宋_GB2312"/>
          <w:spacing w:val="6"/>
          <w:sz w:val="32"/>
          <w:szCs w:val="32"/>
          <w:highlight w:val="none"/>
        </w:rPr>
        <w:t>经综合评定</w:t>
      </w:r>
      <w:r>
        <w:rPr>
          <w:rFonts w:hint="eastAsia" w:ascii="仿宋_GB2312" w:hAnsi="仿宋_GB2312" w:eastAsia="仿宋_GB2312" w:cs="仿宋_GB2312"/>
          <w:spacing w:val="6"/>
          <w:sz w:val="32"/>
          <w:szCs w:val="32"/>
          <w:highlight w:val="none"/>
          <w:lang w:val="zh-CN"/>
        </w:rPr>
        <w:t>，绩效评价得分</w:t>
      </w:r>
      <w:r>
        <w:rPr>
          <w:rFonts w:hint="eastAsia" w:ascii="仿宋_GB2312" w:hAnsi="仿宋_GB2312" w:eastAsia="仿宋_GB2312" w:cs="仿宋_GB2312"/>
          <w:color w:val="auto"/>
          <w:spacing w:val="6"/>
          <w:sz w:val="32"/>
          <w:szCs w:val="32"/>
          <w:highlight w:val="none"/>
          <w:lang w:val="zh-CN"/>
        </w:rPr>
        <w:t>为：</w:t>
      </w:r>
      <w:r>
        <w:rPr>
          <w:rFonts w:hint="eastAsia" w:ascii="仿宋_GB2312" w:hAnsi="仿宋_GB2312" w:eastAsia="仿宋_GB2312" w:cs="仿宋_GB2312"/>
          <w:color w:val="auto"/>
          <w:spacing w:val="6"/>
          <w:sz w:val="32"/>
          <w:szCs w:val="32"/>
          <w:highlight w:val="none"/>
          <w:lang w:val="en-US" w:eastAsia="zh-CN"/>
        </w:rPr>
        <w:t>88.5</w:t>
      </w:r>
      <w:r>
        <w:rPr>
          <w:rFonts w:hint="eastAsia" w:ascii="仿宋_GB2312" w:hAnsi="仿宋_GB2312" w:eastAsia="仿宋_GB2312" w:cs="仿宋_GB2312"/>
          <w:color w:val="auto"/>
          <w:spacing w:val="6"/>
          <w:sz w:val="32"/>
          <w:szCs w:val="32"/>
          <w:highlight w:val="none"/>
          <w:lang w:val="zh-CN"/>
        </w:rPr>
        <w:t>分</w:t>
      </w:r>
      <w:r>
        <w:rPr>
          <w:rFonts w:hint="eastAsia" w:ascii="仿宋_GB2312" w:hAnsi="仿宋_GB2312" w:eastAsia="仿宋_GB2312" w:cs="仿宋_GB2312"/>
          <w:spacing w:val="6"/>
          <w:sz w:val="32"/>
          <w:szCs w:val="32"/>
          <w:highlight w:val="none"/>
          <w:lang w:val="zh-CN"/>
        </w:rPr>
        <w:t>，评定等级为：</w:t>
      </w:r>
      <w:r>
        <w:rPr>
          <w:rFonts w:hint="eastAsia" w:ascii="仿宋_GB2312" w:hAnsi="仿宋_GB2312" w:eastAsia="仿宋_GB2312" w:cs="仿宋_GB2312"/>
          <w:spacing w:val="6"/>
          <w:sz w:val="32"/>
          <w:szCs w:val="32"/>
          <w:highlight w:val="none"/>
          <w:lang w:val="en-US" w:eastAsia="zh-CN"/>
        </w:rPr>
        <w:t>良</w:t>
      </w:r>
      <w:r>
        <w:rPr>
          <w:rFonts w:hint="eastAsia" w:ascii="仿宋_GB2312" w:hAnsi="仿宋_GB2312" w:eastAsia="仿宋_GB2312" w:cs="仿宋_GB2312"/>
          <w:spacing w:val="6"/>
          <w:sz w:val="32"/>
          <w:szCs w:val="32"/>
          <w:highlight w:val="none"/>
          <w:lang w:val="zh-CN"/>
        </w:rPr>
        <w:t>。</w:t>
      </w:r>
      <w:r>
        <w:rPr>
          <w:rFonts w:hint="eastAsia" w:ascii="仿宋_GB2312" w:hAnsi="仿宋_GB2312" w:eastAsia="仿宋_GB2312" w:cs="仿宋_GB2312"/>
          <w:spacing w:val="6"/>
          <w:sz w:val="32"/>
          <w:szCs w:val="32"/>
          <w:highlight w:val="none"/>
          <w:lang w:val="en-US" w:eastAsia="zh-CN"/>
        </w:rPr>
        <w:t>2021</w:t>
      </w:r>
      <w:r>
        <w:rPr>
          <w:rFonts w:hint="eastAsia" w:ascii="仿宋_GB2312" w:hAnsi="仿宋_GB2312" w:eastAsia="仿宋_GB2312" w:cs="仿宋_GB2312"/>
          <w:spacing w:val="6"/>
          <w:sz w:val="32"/>
          <w:szCs w:val="32"/>
          <w:highlight w:val="none"/>
          <w:lang w:val="zh-CN"/>
        </w:rPr>
        <w:t>年度评价得分汇总情况详见下表：</w:t>
      </w:r>
    </w:p>
    <w:tbl>
      <w:tblPr>
        <w:tblStyle w:val="1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70"/>
        <w:gridCol w:w="1988"/>
        <w:gridCol w:w="1529"/>
        <w:gridCol w:w="1529"/>
        <w:gridCol w:w="1529"/>
        <w:gridCol w:w="152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7" w:hRule="atLeast"/>
        </w:trPr>
        <w:tc>
          <w:tcPr>
            <w:tcW w:w="583" w:type="pct"/>
            <w:tcBorders>
              <w:top w:val="single" w:color="000000" w:sz="8" w:space="0"/>
              <w:left w:val="single" w:color="000000" w:sz="8" w:space="0"/>
              <w:bottom w:val="single" w:color="000000" w:sz="8" w:space="0"/>
              <w:right w:val="single" w:color="000000" w:sz="8" w:space="0"/>
            </w:tcBorders>
            <w:shd w:val="clear" w:color="auto" w:fill="auto"/>
            <w:noWrap/>
            <w:vAlign w:val="bottom"/>
          </w:tcPr>
          <w:p>
            <w:pPr>
              <w:keepNext w:val="0"/>
              <w:keepLines w:val="0"/>
              <w:widowControl/>
              <w:suppressLineNumbers w:val="0"/>
              <w:jc w:val="center"/>
              <w:textAlignment w:val="bottom"/>
              <w:rPr>
                <w:rFonts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序号</w:t>
            </w:r>
          </w:p>
        </w:tc>
        <w:tc>
          <w:tcPr>
            <w:tcW w:w="1082" w:type="pct"/>
            <w:tcBorders>
              <w:top w:val="single" w:color="000000" w:sz="8" w:space="0"/>
              <w:left w:val="nil"/>
              <w:bottom w:val="single" w:color="000000" w:sz="8" w:space="0"/>
              <w:right w:val="single" w:color="000000" w:sz="8" w:space="0"/>
            </w:tcBorders>
            <w:shd w:val="clear" w:color="auto" w:fill="auto"/>
            <w:noWrap/>
            <w:vAlign w:val="bottom"/>
          </w:tcPr>
          <w:p>
            <w:pPr>
              <w:keepNext w:val="0"/>
              <w:keepLines w:val="0"/>
              <w:widowControl/>
              <w:suppressLineNumbers w:val="0"/>
              <w:jc w:val="center"/>
              <w:textAlignment w:val="bottom"/>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一级指标</w:t>
            </w:r>
          </w:p>
        </w:tc>
        <w:tc>
          <w:tcPr>
            <w:tcW w:w="833" w:type="pct"/>
            <w:tcBorders>
              <w:top w:val="single" w:color="000000" w:sz="8" w:space="0"/>
              <w:left w:val="nil"/>
              <w:bottom w:val="single" w:color="000000" w:sz="8" w:space="0"/>
              <w:right w:val="single" w:color="000000" w:sz="8" w:space="0"/>
            </w:tcBorders>
            <w:shd w:val="clear" w:color="auto" w:fill="auto"/>
            <w:noWrap/>
            <w:vAlign w:val="bottom"/>
          </w:tcPr>
          <w:p>
            <w:pPr>
              <w:keepNext w:val="0"/>
              <w:keepLines w:val="0"/>
              <w:widowControl/>
              <w:suppressLineNumbers w:val="0"/>
              <w:jc w:val="center"/>
              <w:textAlignment w:val="bottom"/>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 xml:space="preserve"> 总分</w:t>
            </w:r>
          </w:p>
        </w:tc>
        <w:tc>
          <w:tcPr>
            <w:tcW w:w="833" w:type="pct"/>
            <w:tcBorders>
              <w:top w:val="single" w:color="000000" w:sz="8" w:space="0"/>
              <w:left w:val="nil"/>
              <w:bottom w:val="single" w:color="000000" w:sz="8" w:space="0"/>
              <w:right w:val="single" w:color="000000" w:sz="8" w:space="0"/>
            </w:tcBorders>
            <w:shd w:val="clear" w:color="auto" w:fill="auto"/>
            <w:noWrap/>
            <w:vAlign w:val="bottom"/>
          </w:tcPr>
          <w:p>
            <w:pPr>
              <w:keepNext w:val="0"/>
              <w:keepLines w:val="0"/>
              <w:widowControl/>
              <w:suppressLineNumbers w:val="0"/>
              <w:jc w:val="center"/>
              <w:textAlignment w:val="bottom"/>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 xml:space="preserve"> 得分</w:t>
            </w:r>
          </w:p>
        </w:tc>
        <w:tc>
          <w:tcPr>
            <w:tcW w:w="833" w:type="pct"/>
            <w:tcBorders>
              <w:top w:val="single" w:color="000000" w:sz="8" w:space="0"/>
              <w:left w:val="nil"/>
              <w:bottom w:val="single" w:color="000000" w:sz="8" w:space="0"/>
              <w:right w:val="single" w:color="000000" w:sz="8" w:space="0"/>
            </w:tcBorders>
            <w:shd w:val="clear" w:color="auto" w:fill="auto"/>
            <w:noWrap/>
            <w:vAlign w:val="bottom"/>
          </w:tcPr>
          <w:p>
            <w:pPr>
              <w:keepNext w:val="0"/>
              <w:keepLines w:val="0"/>
              <w:widowControl/>
              <w:suppressLineNumbers w:val="0"/>
              <w:jc w:val="center"/>
              <w:textAlignment w:val="bottom"/>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扣分</w:t>
            </w:r>
          </w:p>
        </w:tc>
        <w:tc>
          <w:tcPr>
            <w:tcW w:w="833" w:type="pct"/>
            <w:tcBorders>
              <w:top w:val="single" w:color="000000" w:sz="8" w:space="0"/>
              <w:left w:val="nil"/>
              <w:bottom w:val="single" w:color="000000" w:sz="8" w:space="0"/>
              <w:right w:val="single" w:color="000000" w:sz="8" w:space="0"/>
            </w:tcBorders>
            <w:shd w:val="clear" w:color="auto" w:fill="auto"/>
            <w:noWrap/>
            <w:vAlign w:val="bottom"/>
          </w:tcPr>
          <w:p>
            <w:pPr>
              <w:keepNext w:val="0"/>
              <w:keepLines w:val="0"/>
              <w:widowControl/>
              <w:suppressLineNumbers w:val="0"/>
              <w:jc w:val="center"/>
              <w:textAlignment w:val="bottom"/>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得分率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583" w:type="pct"/>
            <w:tcBorders>
              <w:top w:val="nil"/>
              <w:left w:val="single" w:color="000000" w:sz="8" w:space="0"/>
              <w:bottom w:val="single" w:color="000000" w:sz="8" w:space="0"/>
              <w:right w:val="single" w:color="000000" w:sz="8" w:space="0"/>
            </w:tcBorders>
            <w:shd w:val="clear" w:color="auto" w:fill="auto"/>
            <w:noWrap/>
            <w:vAlign w:val="bottom"/>
          </w:tcPr>
          <w:p>
            <w:pPr>
              <w:keepNext w:val="0"/>
              <w:keepLines w:val="0"/>
              <w:widowControl/>
              <w:suppressLineNumbers w:val="0"/>
              <w:jc w:val="center"/>
              <w:textAlignment w:val="bottom"/>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1</w:t>
            </w:r>
          </w:p>
        </w:tc>
        <w:tc>
          <w:tcPr>
            <w:tcW w:w="1082" w:type="pct"/>
            <w:tcBorders>
              <w:top w:val="nil"/>
              <w:left w:val="nil"/>
              <w:bottom w:val="single" w:color="000000" w:sz="8" w:space="0"/>
              <w:right w:val="single" w:color="000000" w:sz="8" w:space="0"/>
            </w:tcBorders>
            <w:shd w:val="clear" w:color="auto" w:fill="auto"/>
            <w:noWrap/>
            <w:vAlign w:val="bottom"/>
          </w:tcPr>
          <w:p>
            <w:pPr>
              <w:keepNext w:val="0"/>
              <w:keepLines w:val="0"/>
              <w:widowControl/>
              <w:suppressLineNumbers w:val="0"/>
              <w:jc w:val="center"/>
              <w:textAlignment w:val="bottom"/>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投入</w:t>
            </w:r>
          </w:p>
        </w:tc>
        <w:tc>
          <w:tcPr>
            <w:tcW w:w="833"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kern w:val="0"/>
                <w:sz w:val="28"/>
                <w:szCs w:val="28"/>
                <w:u w:val="none"/>
                <w:lang w:val="en-US" w:eastAsia="zh-CN" w:bidi="ar"/>
              </w:rPr>
            </w:pPr>
            <w:r>
              <w:rPr>
                <w:rFonts w:hint="eastAsia" w:ascii="仿宋_GB2312" w:hAnsi="宋体" w:eastAsia="仿宋_GB2312" w:cs="仿宋_GB2312"/>
                <w:i w:val="0"/>
                <w:iCs w:val="0"/>
                <w:color w:val="000000"/>
                <w:kern w:val="0"/>
                <w:sz w:val="28"/>
                <w:szCs w:val="28"/>
                <w:u w:val="none"/>
                <w:lang w:val="en-US" w:eastAsia="zh-CN" w:bidi="ar"/>
              </w:rPr>
              <w:t xml:space="preserve">11.00 </w:t>
            </w:r>
          </w:p>
        </w:tc>
        <w:tc>
          <w:tcPr>
            <w:tcW w:w="833"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10.10 </w:t>
            </w:r>
          </w:p>
        </w:tc>
        <w:tc>
          <w:tcPr>
            <w:tcW w:w="833"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0.90 </w:t>
            </w:r>
          </w:p>
        </w:tc>
        <w:tc>
          <w:tcPr>
            <w:tcW w:w="833"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91.82%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583" w:type="pct"/>
            <w:tcBorders>
              <w:top w:val="nil"/>
              <w:left w:val="single" w:color="000000" w:sz="8" w:space="0"/>
              <w:bottom w:val="single" w:color="000000" w:sz="8" w:space="0"/>
              <w:right w:val="single" w:color="000000" w:sz="8" w:space="0"/>
            </w:tcBorders>
            <w:shd w:val="clear" w:color="auto" w:fill="auto"/>
            <w:noWrap/>
            <w:vAlign w:val="bottom"/>
          </w:tcPr>
          <w:p>
            <w:pPr>
              <w:keepNext w:val="0"/>
              <w:keepLines w:val="0"/>
              <w:widowControl/>
              <w:suppressLineNumbers w:val="0"/>
              <w:jc w:val="center"/>
              <w:textAlignment w:val="bottom"/>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2</w:t>
            </w:r>
          </w:p>
        </w:tc>
        <w:tc>
          <w:tcPr>
            <w:tcW w:w="1082" w:type="pct"/>
            <w:tcBorders>
              <w:top w:val="nil"/>
              <w:left w:val="nil"/>
              <w:bottom w:val="single" w:color="000000" w:sz="8" w:space="0"/>
              <w:right w:val="single" w:color="000000" w:sz="8" w:space="0"/>
            </w:tcBorders>
            <w:shd w:val="clear" w:color="auto" w:fill="auto"/>
            <w:noWrap/>
            <w:vAlign w:val="bottom"/>
          </w:tcPr>
          <w:p>
            <w:pPr>
              <w:keepNext w:val="0"/>
              <w:keepLines w:val="0"/>
              <w:widowControl/>
              <w:suppressLineNumbers w:val="0"/>
              <w:jc w:val="center"/>
              <w:textAlignment w:val="bottom"/>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过程</w:t>
            </w:r>
          </w:p>
        </w:tc>
        <w:tc>
          <w:tcPr>
            <w:tcW w:w="833"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kern w:val="0"/>
                <w:sz w:val="28"/>
                <w:szCs w:val="28"/>
                <w:u w:val="none"/>
                <w:lang w:val="en-US" w:eastAsia="zh-CN" w:bidi="ar"/>
              </w:rPr>
            </w:pPr>
            <w:r>
              <w:rPr>
                <w:rFonts w:hint="eastAsia" w:ascii="仿宋_GB2312" w:hAnsi="宋体" w:eastAsia="仿宋_GB2312" w:cs="仿宋_GB2312"/>
                <w:i w:val="0"/>
                <w:iCs w:val="0"/>
                <w:color w:val="000000"/>
                <w:kern w:val="0"/>
                <w:sz w:val="28"/>
                <w:szCs w:val="28"/>
                <w:u w:val="none"/>
                <w:lang w:val="en-US" w:eastAsia="zh-CN" w:bidi="ar"/>
              </w:rPr>
              <w:t xml:space="preserve">27.00 </w:t>
            </w:r>
          </w:p>
        </w:tc>
        <w:tc>
          <w:tcPr>
            <w:tcW w:w="833"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22.75 </w:t>
            </w:r>
          </w:p>
        </w:tc>
        <w:tc>
          <w:tcPr>
            <w:tcW w:w="833"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4.25 </w:t>
            </w:r>
          </w:p>
        </w:tc>
        <w:tc>
          <w:tcPr>
            <w:tcW w:w="833"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84.26%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trPr>
        <w:tc>
          <w:tcPr>
            <w:tcW w:w="583" w:type="pct"/>
            <w:tcBorders>
              <w:top w:val="nil"/>
              <w:left w:val="single" w:color="000000" w:sz="8" w:space="0"/>
              <w:bottom w:val="single" w:color="000000" w:sz="8" w:space="0"/>
              <w:right w:val="single" w:color="000000" w:sz="8" w:space="0"/>
            </w:tcBorders>
            <w:shd w:val="clear" w:color="auto" w:fill="auto"/>
            <w:noWrap/>
            <w:vAlign w:val="bottom"/>
          </w:tcPr>
          <w:p>
            <w:pPr>
              <w:keepNext w:val="0"/>
              <w:keepLines w:val="0"/>
              <w:widowControl/>
              <w:suppressLineNumbers w:val="0"/>
              <w:jc w:val="center"/>
              <w:textAlignment w:val="bottom"/>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3</w:t>
            </w:r>
          </w:p>
        </w:tc>
        <w:tc>
          <w:tcPr>
            <w:tcW w:w="1082" w:type="pct"/>
            <w:tcBorders>
              <w:top w:val="nil"/>
              <w:left w:val="nil"/>
              <w:bottom w:val="single" w:color="000000" w:sz="8" w:space="0"/>
              <w:right w:val="single" w:color="000000" w:sz="8" w:space="0"/>
            </w:tcBorders>
            <w:shd w:val="clear" w:color="auto" w:fill="auto"/>
            <w:noWrap/>
            <w:vAlign w:val="bottom"/>
          </w:tcPr>
          <w:p>
            <w:pPr>
              <w:keepNext w:val="0"/>
              <w:keepLines w:val="0"/>
              <w:widowControl/>
              <w:suppressLineNumbers w:val="0"/>
              <w:jc w:val="center"/>
              <w:textAlignment w:val="bottom"/>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产出</w:t>
            </w:r>
          </w:p>
        </w:tc>
        <w:tc>
          <w:tcPr>
            <w:tcW w:w="833"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kern w:val="0"/>
                <w:sz w:val="28"/>
                <w:szCs w:val="28"/>
                <w:u w:val="none"/>
                <w:lang w:val="en-US" w:eastAsia="zh-CN" w:bidi="ar"/>
              </w:rPr>
            </w:pPr>
            <w:r>
              <w:rPr>
                <w:rFonts w:hint="eastAsia" w:ascii="仿宋_GB2312" w:hAnsi="宋体" w:eastAsia="仿宋_GB2312" w:cs="仿宋_GB2312"/>
                <w:i w:val="0"/>
                <w:iCs w:val="0"/>
                <w:color w:val="000000"/>
                <w:kern w:val="0"/>
                <w:sz w:val="28"/>
                <w:szCs w:val="28"/>
                <w:u w:val="none"/>
                <w:lang w:val="en-US" w:eastAsia="zh-CN" w:bidi="ar"/>
              </w:rPr>
              <w:t xml:space="preserve">31.00 </w:t>
            </w:r>
          </w:p>
        </w:tc>
        <w:tc>
          <w:tcPr>
            <w:tcW w:w="833"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27.50 </w:t>
            </w:r>
          </w:p>
        </w:tc>
        <w:tc>
          <w:tcPr>
            <w:tcW w:w="833"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3.50 </w:t>
            </w:r>
          </w:p>
        </w:tc>
        <w:tc>
          <w:tcPr>
            <w:tcW w:w="833"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88.71%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583" w:type="pct"/>
            <w:tcBorders>
              <w:top w:val="nil"/>
              <w:left w:val="single" w:color="000000" w:sz="8" w:space="0"/>
              <w:bottom w:val="single" w:color="000000" w:sz="8" w:space="0"/>
              <w:right w:val="single" w:color="000000" w:sz="8" w:space="0"/>
            </w:tcBorders>
            <w:shd w:val="clear" w:color="auto" w:fill="auto"/>
            <w:noWrap/>
            <w:vAlign w:val="bottom"/>
          </w:tcPr>
          <w:p>
            <w:pPr>
              <w:keepNext w:val="0"/>
              <w:keepLines w:val="0"/>
              <w:widowControl/>
              <w:suppressLineNumbers w:val="0"/>
              <w:jc w:val="center"/>
              <w:textAlignment w:val="bottom"/>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4</w:t>
            </w:r>
          </w:p>
        </w:tc>
        <w:tc>
          <w:tcPr>
            <w:tcW w:w="1082" w:type="pct"/>
            <w:tcBorders>
              <w:top w:val="nil"/>
              <w:left w:val="nil"/>
              <w:bottom w:val="single" w:color="000000" w:sz="8" w:space="0"/>
              <w:right w:val="single" w:color="000000" w:sz="8" w:space="0"/>
            </w:tcBorders>
            <w:shd w:val="clear" w:color="auto" w:fill="auto"/>
            <w:noWrap/>
            <w:vAlign w:val="bottom"/>
          </w:tcPr>
          <w:p>
            <w:pPr>
              <w:keepNext w:val="0"/>
              <w:keepLines w:val="0"/>
              <w:widowControl/>
              <w:suppressLineNumbers w:val="0"/>
              <w:jc w:val="center"/>
              <w:textAlignment w:val="bottom"/>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效益</w:t>
            </w:r>
          </w:p>
        </w:tc>
        <w:tc>
          <w:tcPr>
            <w:tcW w:w="833"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kern w:val="0"/>
                <w:sz w:val="28"/>
                <w:szCs w:val="28"/>
                <w:u w:val="none"/>
                <w:lang w:val="en-US" w:eastAsia="zh-CN" w:bidi="ar"/>
              </w:rPr>
            </w:pPr>
            <w:r>
              <w:rPr>
                <w:rFonts w:hint="eastAsia" w:ascii="仿宋_GB2312" w:hAnsi="宋体" w:eastAsia="仿宋_GB2312" w:cs="仿宋_GB2312"/>
                <w:i w:val="0"/>
                <w:iCs w:val="0"/>
                <w:color w:val="000000"/>
                <w:kern w:val="0"/>
                <w:sz w:val="28"/>
                <w:szCs w:val="28"/>
                <w:u w:val="none"/>
                <w:lang w:val="en-US" w:eastAsia="zh-CN" w:bidi="ar"/>
              </w:rPr>
              <w:t xml:space="preserve">31.00 </w:t>
            </w:r>
          </w:p>
        </w:tc>
        <w:tc>
          <w:tcPr>
            <w:tcW w:w="833"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28.15 </w:t>
            </w:r>
          </w:p>
        </w:tc>
        <w:tc>
          <w:tcPr>
            <w:tcW w:w="833"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2.85 </w:t>
            </w:r>
          </w:p>
        </w:tc>
        <w:tc>
          <w:tcPr>
            <w:tcW w:w="833"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90.81%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1666" w:type="pct"/>
            <w:gridSpan w:val="2"/>
            <w:tcBorders>
              <w:top w:val="nil"/>
              <w:left w:val="single" w:color="000000" w:sz="8" w:space="0"/>
              <w:bottom w:val="single" w:color="000000" w:sz="8" w:space="0"/>
              <w:right w:val="single" w:color="000000" w:sz="8" w:space="0"/>
            </w:tcBorders>
            <w:shd w:val="clear" w:color="auto" w:fill="auto"/>
            <w:noWrap/>
            <w:vAlign w:val="bottom"/>
          </w:tcPr>
          <w:p>
            <w:pPr>
              <w:keepNext w:val="0"/>
              <w:keepLines w:val="0"/>
              <w:widowControl/>
              <w:suppressLineNumbers w:val="0"/>
              <w:jc w:val="center"/>
              <w:textAlignment w:val="bottom"/>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合  计</w:t>
            </w:r>
          </w:p>
        </w:tc>
        <w:tc>
          <w:tcPr>
            <w:tcW w:w="833"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b/>
                <w:bCs/>
                <w:i w:val="0"/>
                <w:iCs w:val="0"/>
                <w:color w:val="000000"/>
                <w:kern w:val="0"/>
                <w:sz w:val="28"/>
                <w:szCs w:val="28"/>
                <w:u w:val="none"/>
                <w:lang w:val="en-US" w:eastAsia="zh-CN" w:bidi="ar"/>
              </w:rPr>
            </w:pPr>
            <w:r>
              <w:rPr>
                <w:rFonts w:hint="eastAsia" w:ascii="仿宋_GB2312" w:hAnsi="宋体" w:eastAsia="仿宋_GB2312" w:cs="仿宋_GB2312"/>
                <w:b/>
                <w:bCs/>
                <w:i w:val="0"/>
                <w:iCs w:val="0"/>
                <w:color w:val="000000"/>
                <w:kern w:val="0"/>
                <w:sz w:val="28"/>
                <w:szCs w:val="28"/>
                <w:u w:val="none"/>
                <w:lang w:val="en-US" w:eastAsia="zh-CN" w:bidi="ar"/>
              </w:rPr>
              <w:t xml:space="preserve">100.00 </w:t>
            </w:r>
          </w:p>
        </w:tc>
        <w:tc>
          <w:tcPr>
            <w:tcW w:w="833"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b/>
                <w:bCs/>
                <w:i w:val="0"/>
                <w:iCs w:val="0"/>
                <w:color w:val="000000"/>
                <w:sz w:val="28"/>
                <w:szCs w:val="28"/>
                <w:u w:val="none"/>
                <w:lang w:val="en-US"/>
              </w:rPr>
            </w:pPr>
            <w:r>
              <w:rPr>
                <w:rFonts w:hint="eastAsia" w:ascii="仿宋_GB2312" w:hAnsi="宋体" w:eastAsia="仿宋_GB2312" w:cs="仿宋_GB2312"/>
                <w:b/>
                <w:bCs/>
                <w:i w:val="0"/>
                <w:iCs w:val="0"/>
                <w:color w:val="000000"/>
                <w:kern w:val="0"/>
                <w:sz w:val="28"/>
                <w:szCs w:val="28"/>
                <w:u w:val="none"/>
                <w:lang w:val="en-US" w:eastAsia="zh-CN" w:bidi="ar"/>
              </w:rPr>
              <w:t>88.50</w:t>
            </w:r>
          </w:p>
        </w:tc>
        <w:tc>
          <w:tcPr>
            <w:tcW w:w="833"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 xml:space="preserve">10.10 </w:t>
            </w:r>
          </w:p>
        </w:tc>
        <w:tc>
          <w:tcPr>
            <w:tcW w:w="833"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88.50%</w:t>
            </w:r>
          </w:p>
        </w:tc>
      </w:tr>
    </w:tbl>
    <w:p>
      <w:pPr>
        <w:pStyle w:val="3"/>
        <w:keepNext w:val="0"/>
        <w:keepLines w:val="0"/>
        <w:widowControl w:val="0"/>
        <w:spacing w:before="0" w:after="0" w:line="590" w:lineRule="exact"/>
        <w:ind w:firstLine="664" w:firstLineChars="200"/>
        <w:rPr>
          <w:rFonts w:ascii="黑体" w:hAnsi="黑体" w:eastAsia="黑体"/>
          <w:b w:val="0"/>
          <w:spacing w:val="6"/>
          <w:sz w:val="32"/>
          <w:szCs w:val="32"/>
        </w:rPr>
      </w:pPr>
      <w:bookmarkStart w:id="67" w:name="_Toc16281"/>
      <w:bookmarkStart w:id="68" w:name="_Toc2803"/>
      <w:bookmarkStart w:id="69" w:name="_Toc3221"/>
      <w:bookmarkStart w:id="70" w:name="_Toc41306289"/>
      <w:bookmarkStart w:id="71" w:name="_Toc21258"/>
      <w:bookmarkStart w:id="72" w:name="_Toc19956"/>
      <w:bookmarkStart w:id="73" w:name="_Toc30273"/>
      <w:bookmarkStart w:id="74" w:name="_Toc8587"/>
      <w:r>
        <w:rPr>
          <w:rFonts w:hint="eastAsia"/>
          <w:b w:val="0"/>
          <w:spacing w:val="6"/>
          <w:sz w:val="32"/>
          <w:szCs w:val="32"/>
          <w:lang w:eastAsia="zh-CN"/>
        </w:rPr>
        <w:t>三</w:t>
      </w:r>
      <w:r>
        <w:rPr>
          <w:rFonts w:hint="eastAsia" w:ascii="黑体" w:hAnsi="黑体" w:eastAsia="黑体"/>
          <w:b w:val="0"/>
          <w:spacing w:val="6"/>
          <w:sz w:val="32"/>
          <w:szCs w:val="32"/>
        </w:rPr>
        <w:t>、存在的主要问题</w:t>
      </w:r>
      <w:bookmarkEnd w:id="67"/>
      <w:bookmarkEnd w:id="68"/>
      <w:bookmarkEnd w:id="69"/>
      <w:bookmarkEnd w:id="70"/>
      <w:bookmarkEnd w:id="71"/>
      <w:bookmarkEnd w:id="72"/>
      <w:bookmarkEnd w:id="73"/>
      <w:bookmarkEnd w:id="74"/>
    </w:p>
    <w:p>
      <w:pPr>
        <w:pStyle w:val="4"/>
      </w:pPr>
      <w:bookmarkStart w:id="75" w:name="_Toc15878"/>
      <w:bookmarkStart w:id="76" w:name="_Toc531300200"/>
      <w:r>
        <w:rPr>
          <w:rFonts w:hint="eastAsia"/>
          <w:lang w:eastAsia="zh-CN"/>
        </w:rPr>
        <w:t>（</w:t>
      </w:r>
      <w:r>
        <w:rPr>
          <w:rFonts w:hint="eastAsia"/>
          <w:lang w:val="en-US" w:eastAsia="zh-CN"/>
        </w:rPr>
        <w:t>一）制度管理</w:t>
      </w:r>
      <w:r>
        <w:rPr>
          <w:rFonts w:hint="eastAsia"/>
        </w:rPr>
        <w:t>方面</w:t>
      </w:r>
      <w:bookmarkEnd w:id="75"/>
    </w:p>
    <w:p>
      <w:pPr>
        <w:spacing w:line="590" w:lineRule="exact"/>
        <w:ind w:firstLine="664" w:firstLineChars="200"/>
        <w:rPr>
          <w:rFonts w:hint="eastAsia" w:ascii="仿宋_GB2312" w:hAnsi="仿宋_GB2312" w:eastAsia="仿宋_GB2312" w:cs="仿宋_GB2312"/>
          <w:spacing w:val="6"/>
          <w:sz w:val="32"/>
          <w:szCs w:val="32"/>
          <w:lang w:val="en-US"/>
        </w:rPr>
      </w:pPr>
      <w:r>
        <w:rPr>
          <w:rFonts w:hint="eastAsia" w:ascii="仿宋_GB2312" w:hAnsi="仿宋_GB2312" w:eastAsia="仿宋_GB2312" w:cs="仿宋_GB2312"/>
          <w:spacing w:val="6"/>
          <w:sz w:val="32"/>
          <w:szCs w:val="32"/>
          <w:lang w:val="en-US" w:eastAsia="zh-CN"/>
        </w:rPr>
        <w:t>固定资产账实不符。根据</w:t>
      </w:r>
      <w:r>
        <w:rPr>
          <w:rFonts w:hint="eastAsia" w:ascii="仿宋_GB2312" w:hAnsi="仿宋_GB2312" w:eastAsia="仿宋_GB2312" w:cs="仿宋_GB2312"/>
          <w:spacing w:val="6"/>
          <w:sz w:val="32"/>
          <w:szCs w:val="32"/>
        </w:rPr>
        <w:t>《</w:t>
      </w:r>
      <w:r>
        <w:rPr>
          <w:rFonts w:hint="eastAsia" w:ascii="仿宋_GB2312" w:hAnsi="仿宋_GB2312" w:eastAsia="仿宋_GB2312" w:cs="仿宋_GB2312"/>
          <w:spacing w:val="6"/>
          <w:sz w:val="32"/>
          <w:szCs w:val="32"/>
          <w:lang w:val="en-US" w:eastAsia="zh-CN"/>
        </w:rPr>
        <w:t>云岩区工业和信息化局资产管理制度</w:t>
      </w:r>
      <w:r>
        <w:rPr>
          <w:rFonts w:hint="eastAsia" w:ascii="仿宋_GB2312" w:hAnsi="仿宋_GB2312" w:eastAsia="仿宋_GB2312" w:cs="仿宋_GB2312"/>
          <w:spacing w:val="6"/>
          <w:sz w:val="32"/>
          <w:szCs w:val="32"/>
        </w:rPr>
        <w:t>》第</w:t>
      </w:r>
      <w:r>
        <w:rPr>
          <w:rFonts w:hint="eastAsia" w:ascii="仿宋_GB2312" w:hAnsi="仿宋_GB2312" w:eastAsia="仿宋_GB2312" w:cs="仿宋_GB2312"/>
          <w:spacing w:val="6"/>
          <w:sz w:val="32"/>
          <w:szCs w:val="32"/>
          <w:lang w:val="en-US" w:eastAsia="zh-CN"/>
        </w:rPr>
        <w:t>十七</w:t>
      </w:r>
      <w:r>
        <w:rPr>
          <w:rFonts w:hint="eastAsia" w:ascii="仿宋_GB2312" w:hAnsi="仿宋_GB2312" w:eastAsia="仿宋_GB2312" w:cs="仿宋_GB2312"/>
          <w:spacing w:val="6"/>
          <w:sz w:val="32"/>
          <w:szCs w:val="32"/>
        </w:rPr>
        <w:t>条</w:t>
      </w:r>
      <w:r>
        <w:rPr>
          <w:rFonts w:hint="eastAsia" w:ascii="仿宋_GB2312" w:hAnsi="仿宋_GB2312" w:eastAsia="仿宋_GB2312" w:cs="仿宋_GB2312"/>
          <w:spacing w:val="6"/>
          <w:sz w:val="32"/>
          <w:szCs w:val="32"/>
          <w:lang w:val="en-US" w:eastAsia="zh-CN"/>
        </w:rPr>
        <w:t>规定“为保证固定资产的完整和财务会计报告的真实，办公室（资产）负责建立健全固定资产清查盘点制度，明确固定资产清查的范围、期限和组织程序，定期或不定期地对固定资产进行清查、盘点，确保账、卡、物相符，负责组建固定资产清查小组实施固定资产的清查工作”。根据区工信局提供2021年固定资产盘点，存在盘盈资产，针对盘盈资产未进行会计账务处理，固定资产账实不符。</w:t>
      </w:r>
    </w:p>
    <w:p>
      <w:pPr>
        <w:pStyle w:val="4"/>
        <w:rPr>
          <w:rFonts w:hint="eastAsia" w:ascii="楷体_GB2312" w:hAnsi="楷体_GB2312" w:eastAsia="楷体_GB2312" w:cs="Times New Roman"/>
          <w:spacing w:val="0"/>
          <w:sz w:val="32"/>
          <w:szCs w:val="36"/>
          <w:lang w:val="zh-CN" w:eastAsia="zh-CN"/>
        </w:rPr>
      </w:pPr>
      <w:bookmarkStart w:id="77" w:name="_Toc31466"/>
      <w:r>
        <w:rPr>
          <w:rFonts w:hint="eastAsia" w:ascii="楷体_GB2312" w:hAnsi="楷体_GB2312" w:eastAsia="楷体_GB2312" w:cs="Times New Roman"/>
          <w:spacing w:val="0"/>
          <w:sz w:val="32"/>
          <w:szCs w:val="36"/>
          <w:lang w:val="zh-CN" w:eastAsia="zh-CN"/>
        </w:rPr>
        <w:t>（二）预算管理方面</w:t>
      </w:r>
      <w:bookmarkEnd w:id="77"/>
    </w:p>
    <w:p>
      <w:pPr>
        <w:widowControl w:val="0"/>
        <w:spacing w:line="590" w:lineRule="exact"/>
        <w:ind w:firstLine="664" w:firstLineChars="200"/>
        <w:jc w:val="both"/>
        <w:rPr>
          <w:rFonts w:hint="eastAsia" w:ascii="仿宋_GB2312" w:hAnsi="仿宋_GB2312" w:eastAsia="仿宋_GB2312" w:cs="仿宋_GB2312"/>
          <w:spacing w:val="6"/>
          <w:sz w:val="32"/>
          <w:szCs w:val="32"/>
          <w:lang w:val="en-US" w:eastAsia="zh-CN"/>
        </w:rPr>
      </w:pPr>
      <w:r>
        <w:rPr>
          <w:rFonts w:hint="eastAsia" w:ascii="仿宋_GB2312" w:hAnsi="仿宋_GB2312" w:eastAsia="仿宋_GB2312" w:cs="仿宋_GB2312"/>
          <w:spacing w:val="6"/>
          <w:sz w:val="32"/>
          <w:szCs w:val="32"/>
          <w:lang w:val="en-US" w:eastAsia="zh-CN"/>
        </w:rPr>
        <w:t>区工信局预算资金调整幅度较大。根据区工信局2021年决算报表，2021区工信局年初预算1,572.73万元，预算调整至11,155.70万元，预算调整数9,582.97万元，其中因落实国家政策、上级部门或本级党委政府临时交办而产生的调整9,026.73，区工信局预算调整金额为556.24万元，预算调整率=556.24÷1572.73×100%=35%，区工信局预算编制准确性有待进一步提高。</w:t>
      </w:r>
    </w:p>
    <w:p>
      <w:pPr>
        <w:pStyle w:val="4"/>
        <w:rPr>
          <w:rFonts w:hint="eastAsia" w:ascii="楷体_GB2312" w:hAnsi="楷体_GB2312" w:eastAsia="楷体_GB2312" w:cs="Times New Roman"/>
          <w:spacing w:val="0"/>
          <w:sz w:val="32"/>
          <w:szCs w:val="36"/>
          <w:lang w:val="zh-CN"/>
        </w:rPr>
      </w:pPr>
      <w:bookmarkStart w:id="78" w:name="_Toc13766"/>
      <w:r>
        <w:rPr>
          <w:rFonts w:hint="eastAsia" w:ascii="楷体_GB2312" w:hAnsi="楷体_GB2312" w:eastAsia="楷体_GB2312" w:cs="Times New Roman"/>
          <w:spacing w:val="0"/>
          <w:sz w:val="32"/>
          <w:szCs w:val="36"/>
          <w:lang w:val="zh-CN" w:eastAsia="zh-CN"/>
        </w:rPr>
        <w:t>（三）业务管理方面</w:t>
      </w:r>
      <w:bookmarkEnd w:id="78"/>
    </w:p>
    <w:p>
      <w:pPr>
        <w:widowControl w:val="0"/>
        <w:spacing w:line="590" w:lineRule="exact"/>
        <w:ind w:firstLine="664" w:firstLineChars="200"/>
        <w:jc w:val="both"/>
        <w:rPr>
          <w:rFonts w:hint="default" w:ascii="仿宋_GB2312" w:hAnsi="仿宋_GB2312" w:eastAsia="仿宋_GB2312" w:cs="仿宋_GB2312"/>
          <w:color w:val="000000"/>
          <w:spacing w:val="6"/>
          <w:sz w:val="32"/>
          <w:szCs w:val="32"/>
          <w:lang w:val="en-US" w:eastAsia="zh-CN" w:bidi="ar"/>
        </w:rPr>
      </w:pPr>
      <w:r>
        <w:rPr>
          <w:rFonts w:hint="eastAsia" w:ascii="仿宋_GB2312" w:hAnsi="仿宋_GB2312" w:eastAsia="仿宋_GB2312" w:cs="仿宋_GB2312"/>
          <w:color w:val="000000"/>
          <w:spacing w:val="6"/>
          <w:sz w:val="32"/>
          <w:szCs w:val="32"/>
          <w:lang w:val="en-US" w:eastAsia="zh-CN" w:bidi="ar"/>
        </w:rPr>
        <w:t>区工信局部分业务管理目标未实现。根据云岩区人民政府与区工信局2021年工作目标责任书，存在部分目标未实现的情况。如：制造业增加值占地区生产总值比重、工业投资占固定资产投资比重和工业投资未达到预定的目标。</w:t>
      </w:r>
    </w:p>
    <w:p>
      <w:pPr>
        <w:pStyle w:val="4"/>
        <w:rPr>
          <w:rFonts w:hint="eastAsia" w:ascii="楷体_GB2312" w:hAnsi="楷体_GB2312" w:eastAsia="楷体_GB2312" w:cs="Times New Roman"/>
          <w:bCs w:val="0"/>
          <w:spacing w:val="0"/>
          <w:sz w:val="32"/>
          <w:szCs w:val="36"/>
          <w:lang w:val="zh-CN"/>
        </w:rPr>
      </w:pPr>
      <w:bookmarkStart w:id="79" w:name="_Toc16648"/>
      <w:bookmarkStart w:id="80" w:name="_Toc1628"/>
      <w:bookmarkStart w:id="81" w:name="_Toc41306291"/>
      <w:r>
        <w:rPr>
          <w:rFonts w:hint="eastAsia" w:ascii="楷体_GB2312" w:hAnsi="楷体_GB2312" w:eastAsia="楷体_GB2312" w:cs="Times New Roman"/>
          <w:bCs w:val="0"/>
          <w:spacing w:val="0"/>
          <w:sz w:val="32"/>
          <w:szCs w:val="36"/>
          <w:lang w:val="zh-CN" w:eastAsia="zh-CN"/>
        </w:rPr>
        <w:t>（四）</w:t>
      </w:r>
      <w:r>
        <w:rPr>
          <w:rFonts w:hint="eastAsia" w:ascii="楷体_GB2312" w:hAnsi="楷体_GB2312" w:eastAsia="楷体_GB2312" w:cs="Times New Roman"/>
          <w:bCs w:val="0"/>
          <w:spacing w:val="0"/>
          <w:sz w:val="32"/>
          <w:szCs w:val="36"/>
          <w:lang w:val="zh-CN"/>
        </w:rPr>
        <w:t>绩效管理方面</w:t>
      </w:r>
      <w:bookmarkEnd w:id="79"/>
    </w:p>
    <w:p>
      <w:pPr>
        <w:widowControl w:val="0"/>
        <w:spacing w:line="590" w:lineRule="exact"/>
        <w:ind w:firstLine="664" w:firstLineChars="200"/>
        <w:jc w:val="both"/>
        <w:rPr>
          <w:rFonts w:hint="eastAsia" w:ascii="仿宋_GB2312" w:hAnsi="仿宋_GB2312" w:eastAsia="仿宋_GB2312" w:cs="仿宋_GB2312"/>
          <w:spacing w:val="6"/>
          <w:sz w:val="32"/>
          <w:szCs w:val="32"/>
        </w:rPr>
      </w:pPr>
      <w:r>
        <w:rPr>
          <w:rFonts w:hint="eastAsia" w:ascii="仿宋_GB2312" w:hAnsi="仿宋_GB2312" w:eastAsia="仿宋_GB2312" w:cs="仿宋_GB2312"/>
          <w:bCs/>
          <w:spacing w:val="6"/>
          <w:sz w:val="32"/>
          <w:szCs w:val="32"/>
          <w:lang w:val="en-US" w:eastAsia="zh-CN"/>
        </w:rPr>
        <w:t>区工信局已将2021年度部门整体支出绩效目标细化分解为具体绩效指标，但个别目标不符合部门中长期规划、不准确，部分绩效指标不够清晰，不便于考核。如绩效目标中“保障1月-12月制药厂人员工资以及本单位人员工资的按时发放”不符合部门中长期规划，“预计新增规模以上工业企业2户”与云岩区人民政府与区工信局签订的工作目标责任书中的相关指标不一致；社会效益指标中“网络运维人员工作效率”“促进企业生产积极性”，可持续影响指标中“促进数据一体化工程建设”“提升企业管理水平”指标不够清晰，不具有可衡量性。</w:t>
      </w:r>
      <w:r>
        <w:rPr>
          <w:rFonts w:hint="eastAsia" w:ascii="仿宋_GB2312" w:hAnsi="仿宋_GB2312" w:eastAsia="仿宋_GB2312" w:cs="仿宋_GB2312"/>
          <w:spacing w:val="6"/>
          <w:sz w:val="32"/>
          <w:szCs w:val="32"/>
        </w:rPr>
        <w:tab/>
      </w:r>
    </w:p>
    <w:p>
      <w:pPr>
        <w:pStyle w:val="3"/>
        <w:rPr>
          <w:lang w:val="zh-CN"/>
        </w:rPr>
      </w:pPr>
      <w:bookmarkStart w:id="82" w:name="_Toc31349"/>
      <w:bookmarkStart w:id="83" w:name="_Toc22246"/>
      <w:bookmarkStart w:id="84" w:name="_Toc27583"/>
      <w:bookmarkStart w:id="85" w:name="_Toc13479"/>
      <w:bookmarkStart w:id="86" w:name="_Toc30105"/>
      <w:bookmarkStart w:id="87" w:name="_Toc5847"/>
      <w:r>
        <w:rPr>
          <w:rFonts w:hint="eastAsia"/>
          <w:lang w:val="en-US" w:eastAsia="zh-CN"/>
        </w:rPr>
        <w:t>四、针对问题提出的</w:t>
      </w:r>
      <w:r>
        <w:rPr>
          <w:rFonts w:hint="eastAsia"/>
          <w:lang w:val="zh-CN"/>
        </w:rPr>
        <w:t>建议</w:t>
      </w:r>
      <w:bookmarkEnd w:id="80"/>
      <w:bookmarkEnd w:id="81"/>
      <w:bookmarkEnd w:id="82"/>
      <w:bookmarkEnd w:id="83"/>
      <w:bookmarkEnd w:id="84"/>
      <w:bookmarkEnd w:id="85"/>
      <w:bookmarkEnd w:id="86"/>
      <w:bookmarkEnd w:id="87"/>
    </w:p>
    <w:p>
      <w:pPr>
        <w:pStyle w:val="4"/>
        <w:rPr>
          <w:rFonts w:ascii="楷体_GB2312" w:hAnsi="楷体_GB2312" w:eastAsia="楷体_GB2312" w:cs="Times New Roman"/>
          <w:spacing w:val="0"/>
          <w:sz w:val="32"/>
          <w:szCs w:val="36"/>
          <w:lang w:val="zh-CN"/>
        </w:rPr>
      </w:pPr>
      <w:bookmarkStart w:id="88" w:name="_Toc20609"/>
      <w:r>
        <w:rPr>
          <w:rFonts w:hint="eastAsia" w:ascii="楷体_GB2312" w:hAnsi="楷体_GB2312" w:eastAsia="楷体_GB2312" w:cs="Times New Roman"/>
          <w:spacing w:val="0"/>
          <w:sz w:val="32"/>
          <w:szCs w:val="36"/>
          <w:lang w:val="zh-CN" w:eastAsia="zh-CN"/>
        </w:rPr>
        <w:t>（一）制度管理</w:t>
      </w:r>
      <w:r>
        <w:rPr>
          <w:rFonts w:hint="eastAsia" w:ascii="楷体_GB2312" w:hAnsi="楷体_GB2312" w:eastAsia="楷体_GB2312" w:cs="Times New Roman"/>
          <w:spacing w:val="0"/>
          <w:sz w:val="32"/>
          <w:szCs w:val="36"/>
          <w:lang w:val="zh-CN"/>
        </w:rPr>
        <w:t>方面</w:t>
      </w:r>
      <w:bookmarkEnd w:id="88"/>
    </w:p>
    <w:p>
      <w:pPr>
        <w:widowControl w:val="0"/>
        <w:spacing w:line="590" w:lineRule="exact"/>
        <w:ind w:firstLine="664" w:firstLineChars="200"/>
        <w:jc w:val="both"/>
        <w:rPr>
          <w:rFonts w:hint="eastAsia" w:ascii="仿宋_GB2312" w:hAnsi="仿宋_GB2312" w:eastAsia="仿宋_GB2312" w:cs="仿宋_GB2312"/>
          <w:spacing w:val="6"/>
          <w:sz w:val="32"/>
          <w:szCs w:val="32"/>
        </w:rPr>
      </w:pPr>
      <w:r>
        <w:rPr>
          <w:rFonts w:hint="eastAsia" w:ascii="仿宋_GB2312" w:hAnsi="仿宋_GB2312" w:eastAsia="仿宋_GB2312" w:cs="仿宋_GB2312"/>
          <w:spacing w:val="6"/>
          <w:sz w:val="32"/>
          <w:szCs w:val="32"/>
          <w:highlight w:val="none"/>
        </w:rPr>
        <w:t>建议</w:t>
      </w:r>
      <w:r>
        <w:rPr>
          <w:rFonts w:hint="eastAsia" w:ascii="仿宋_GB2312" w:hAnsi="仿宋_GB2312" w:eastAsia="仿宋_GB2312" w:cs="仿宋_GB2312"/>
          <w:bCs/>
          <w:spacing w:val="6"/>
          <w:sz w:val="32"/>
          <w:szCs w:val="32"/>
          <w:lang w:val="en-US" w:eastAsia="zh-CN"/>
        </w:rPr>
        <w:t>区工信局</w:t>
      </w:r>
      <w:r>
        <w:rPr>
          <w:rFonts w:hint="eastAsia" w:ascii="仿宋_GB2312" w:hAnsi="仿宋_GB2312" w:eastAsia="仿宋_GB2312" w:cs="仿宋_GB2312"/>
          <w:spacing w:val="6"/>
          <w:sz w:val="32"/>
          <w:szCs w:val="32"/>
          <w:highlight w:val="none"/>
          <w:lang w:val="en-US" w:eastAsia="zh-CN"/>
        </w:rPr>
        <w:t>严格按照</w:t>
      </w:r>
      <w:r>
        <w:rPr>
          <w:rFonts w:hint="eastAsia" w:ascii="仿宋_GB2312" w:hAnsi="仿宋_GB2312" w:eastAsia="仿宋_GB2312" w:cs="仿宋_GB2312"/>
          <w:spacing w:val="6"/>
          <w:sz w:val="32"/>
          <w:szCs w:val="32"/>
        </w:rPr>
        <w:t>资产管理制度</w:t>
      </w:r>
      <w:r>
        <w:rPr>
          <w:rFonts w:hint="eastAsia" w:ascii="仿宋_GB2312" w:hAnsi="仿宋_GB2312" w:eastAsia="仿宋_GB2312" w:cs="仿宋_GB2312"/>
          <w:spacing w:val="6"/>
          <w:sz w:val="32"/>
          <w:szCs w:val="32"/>
          <w:lang w:val="en-US" w:eastAsia="zh-CN"/>
        </w:rPr>
        <w:t>执行，</w:t>
      </w:r>
      <w:r>
        <w:rPr>
          <w:rFonts w:hint="eastAsia" w:ascii="仿宋_GB2312" w:hAnsi="仿宋_GB2312" w:eastAsia="仿宋_GB2312" w:cs="仿宋_GB2312"/>
          <w:spacing w:val="6"/>
          <w:sz w:val="32"/>
          <w:szCs w:val="32"/>
          <w:highlight w:val="none"/>
          <w:lang w:val="en-US" w:eastAsia="zh-CN"/>
        </w:rPr>
        <w:t>及时对清产核资核定增加的固定资产进行账务处理，</w:t>
      </w:r>
      <w:r>
        <w:rPr>
          <w:rFonts w:hint="eastAsia" w:ascii="仿宋_GB2312" w:hAnsi="仿宋_GB2312" w:eastAsia="仿宋_GB2312" w:cs="仿宋_GB2312"/>
          <w:spacing w:val="6"/>
          <w:sz w:val="32"/>
          <w:szCs w:val="32"/>
        </w:rPr>
        <w:t>定期或不定期地对固定资产进行清查、盘点，确保账、卡、物相符</w:t>
      </w:r>
      <w:r>
        <w:rPr>
          <w:rFonts w:hint="eastAsia" w:ascii="仿宋_GB2312" w:hAnsi="仿宋_GB2312" w:eastAsia="仿宋_GB2312" w:cs="仿宋_GB2312"/>
          <w:spacing w:val="6"/>
          <w:sz w:val="32"/>
          <w:szCs w:val="32"/>
          <w:lang w:eastAsia="zh-CN"/>
        </w:rPr>
        <w:t>，</w:t>
      </w:r>
      <w:r>
        <w:rPr>
          <w:rFonts w:hint="eastAsia" w:ascii="仿宋_GB2312" w:hAnsi="仿宋_GB2312" w:eastAsia="仿宋_GB2312" w:cs="仿宋_GB2312"/>
          <w:spacing w:val="6"/>
          <w:sz w:val="32"/>
          <w:szCs w:val="32"/>
        </w:rPr>
        <w:t>强化国有资产管理责任。</w:t>
      </w:r>
    </w:p>
    <w:p>
      <w:pPr>
        <w:pStyle w:val="4"/>
        <w:rPr>
          <w:rFonts w:hint="eastAsia" w:ascii="楷体_GB2312" w:hAnsi="楷体_GB2312" w:eastAsia="楷体_GB2312" w:cs="Times New Roman"/>
          <w:spacing w:val="0"/>
          <w:sz w:val="32"/>
          <w:szCs w:val="36"/>
          <w:lang w:val="zh-CN"/>
        </w:rPr>
      </w:pPr>
      <w:bookmarkStart w:id="89" w:name="_Toc19347"/>
      <w:r>
        <w:rPr>
          <w:rFonts w:hint="eastAsia" w:ascii="楷体_GB2312" w:hAnsi="楷体_GB2312" w:eastAsia="楷体_GB2312" w:cs="Times New Roman"/>
          <w:spacing w:val="0"/>
          <w:sz w:val="32"/>
          <w:szCs w:val="36"/>
          <w:lang w:val="zh-CN" w:eastAsia="zh-CN"/>
        </w:rPr>
        <w:t>（二）预算</w:t>
      </w:r>
      <w:r>
        <w:rPr>
          <w:rFonts w:hint="eastAsia" w:ascii="楷体_GB2312" w:hAnsi="楷体_GB2312" w:eastAsia="楷体_GB2312" w:cs="Times New Roman"/>
          <w:spacing w:val="0"/>
          <w:sz w:val="32"/>
          <w:szCs w:val="36"/>
          <w:lang w:val="zh-CN"/>
        </w:rPr>
        <w:t>管理方面</w:t>
      </w:r>
      <w:bookmarkEnd w:id="89"/>
    </w:p>
    <w:p>
      <w:pPr>
        <w:widowControl w:val="0"/>
        <w:spacing w:line="590" w:lineRule="exact"/>
        <w:ind w:firstLine="664" w:firstLineChars="200"/>
        <w:jc w:val="both"/>
        <w:rPr>
          <w:rFonts w:hint="default" w:ascii="仿宋_GB2312" w:hAnsi="仿宋_GB2312" w:eastAsia="仿宋_GB2312" w:cs="仿宋_GB2312"/>
          <w:spacing w:val="6"/>
          <w:sz w:val="32"/>
          <w:szCs w:val="32"/>
          <w:lang w:val="en-US"/>
        </w:rPr>
      </w:pPr>
      <w:r>
        <w:rPr>
          <w:rFonts w:hint="eastAsia" w:ascii="仿宋_GB2312" w:hAnsi="仿宋_GB2312" w:eastAsia="仿宋_GB2312" w:cs="仿宋_GB2312"/>
          <w:spacing w:val="6"/>
          <w:sz w:val="32"/>
          <w:szCs w:val="32"/>
          <w:lang w:val="en-US" w:eastAsia="zh-CN"/>
        </w:rPr>
        <w:t>建议</w:t>
      </w:r>
      <w:r>
        <w:rPr>
          <w:rFonts w:hint="eastAsia" w:ascii="仿宋_GB2312" w:hAnsi="仿宋_GB2312" w:eastAsia="仿宋_GB2312" w:cs="仿宋_GB2312"/>
          <w:bCs/>
          <w:spacing w:val="6"/>
          <w:sz w:val="32"/>
          <w:szCs w:val="32"/>
          <w:lang w:val="en-US" w:eastAsia="zh-CN"/>
        </w:rPr>
        <w:t>区工信局</w:t>
      </w:r>
      <w:r>
        <w:rPr>
          <w:rFonts w:hint="eastAsia" w:ascii="仿宋_GB2312" w:hAnsi="仿宋_GB2312" w:eastAsia="仿宋_GB2312" w:cs="仿宋_GB2312"/>
          <w:spacing w:val="6"/>
          <w:sz w:val="32"/>
          <w:szCs w:val="32"/>
          <w:lang w:val="en-US" w:eastAsia="zh-CN"/>
        </w:rPr>
        <w:t>根据区工业和大数据事业发展的要求和实际情况、年度内单位可预见的工作任务，确定年度预算目标，科学合理编制部门年初预算金额，推进预算编制科学化、准确化。</w:t>
      </w:r>
    </w:p>
    <w:p>
      <w:pPr>
        <w:pStyle w:val="4"/>
        <w:rPr>
          <w:rFonts w:ascii="楷体_GB2312" w:hAnsi="楷体_GB2312" w:eastAsia="楷体_GB2312" w:cs="Times New Roman"/>
          <w:spacing w:val="0"/>
          <w:sz w:val="32"/>
          <w:szCs w:val="36"/>
          <w:lang w:val="zh-CN"/>
        </w:rPr>
      </w:pPr>
      <w:bookmarkStart w:id="90" w:name="_Toc5676"/>
      <w:r>
        <w:rPr>
          <w:rFonts w:hint="eastAsia" w:ascii="楷体_GB2312" w:hAnsi="楷体_GB2312" w:eastAsia="楷体_GB2312" w:cs="Times New Roman"/>
          <w:spacing w:val="0"/>
          <w:sz w:val="32"/>
          <w:szCs w:val="36"/>
          <w:lang w:val="zh-CN" w:eastAsia="zh-CN"/>
        </w:rPr>
        <w:t>（三）业务</w:t>
      </w:r>
      <w:r>
        <w:rPr>
          <w:rFonts w:hint="eastAsia" w:ascii="楷体_GB2312" w:hAnsi="楷体_GB2312" w:eastAsia="楷体_GB2312" w:cs="Times New Roman"/>
          <w:spacing w:val="0"/>
          <w:sz w:val="32"/>
          <w:szCs w:val="36"/>
          <w:lang w:val="zh-CN"/>
        </w:rPr>
        <w:t>管理方面</w:t>
      </w:r>
      <w:bookmarkEnd w:id="90"/>
    </w:p>
    <w:p>
      <w:pPr>
        <w:widowControl w:val="0"/>
        <w:adjustRightInd/>
        <w:spacing w:line="590" w:lineRule="exact"/>
        <w:ind w:firstLine="664" w:firstLineChars="200"/>
        <w:jc w:val="both"/>
        <w:rPr>
          <w:rFonts w:hint="default" w:ascii="仿宋_GB2312" w:hAnsi="仿宋_GB2312" w:eastAsia="仿宋_GB2312" w:cs="仿宋_GB2312"/>
          <w:bCs/>
          <w:spacing w:val="6"/>
          <w:sz w:val="32"/>
          <w:szCs w:val="32"/>
          <w:lang w:val="en-US" w:eastAsia="zh-CN"/>
        </w:rPr>
      </w:pPr>
      <w:r>
        <w:rPr>
          <w:rFonts w:hint="eastAsia" w:ascii="仿宋_GB2312" w:hAnsi="仿宋_GB2312" w:eastAsia="仿宋_GB2312" w:cs="仿宋_GB2312"/>
          <w:spacing w:val="6"/>
          <w:sz w:val="32"/>
          <w:szCs w:val="32"/>
          <w:lang w:val="zh-CN"/>
        </w:rPr>
        <w:t>建议</w:t>
      </w:r>
      <w:r>
        <w:rPr>
          <w:rFonts w:hint="eastAsia" w:ascii="仿宋_GB2312" w:hAnsi="仿宋_GB2312" w:eastAsia="仿宋_GB2312" w:cs="仿宋_GB2312"/>
          <w:bCs/>
          <w:spacing w:val="6"/>
          <w:sz w:val="32"/>
          <w:szCs w:val="32"/>
          <w:lang w:val="en-US" w:eastAsia="zh-CN"/>
        </w:rPr>
        <w:t>区工信局对业务管理目标进行分解，细化指标至企业、项目，开展精细化调度和服务。同时</w:t>
      </w:r>
      <w:r>
        <w:rPr>
          <w:rFonts w:hint="eastAsia" w:ascii="仿宋_GB2312" w:hAnsi="仿宋_GB2312" w:eastAsia="仿宋_GB2312" w:cs="仿宋_GB2312"/>
          <w:spacing w:val="6"/>
          <w:sz w:val="32"/>
          <w:szCs w:val="32"/>
          <w:lang w:val="zh-CN"/>
        </w:rPr>
        <w:t>加强</w:t>
      </w:r>
      <w:r>
        <w:rPr>
          <w:rFonts w:hint="eastAsia" w:ascii="仿宋_GB2312" w:hAnsi="仿宋_GB2312" w:eastAsia="仿宋_GB2312" w:cs="仿宋_GB2312"/>
          <w:spacing w:val="6"/>
          <w:sz w:val="32"/>
          <w:szCs w:val="32"/>
          <w:lang w:val="en-US" w:eastAsia="zh-CN"/>
        </w:rPr>
        <w:t>与其他部门对接力度，掌握目标完成情况，分析目标未完成原因，及时</w:t>
      </w:r>
      <w:r>
        <w:rPr>
          <w:rFonts w:hint="eastAsia" w:ascii="仿宋_GB2312" w:hAnsi="仿宋_GB2312" w:eastAsia="仿宋_GB2312" w:cs="仿宋_GB2312"/>
          <w:spacing w:val="6"/>
          <w:sz w:val="32"/>
          <w:szCs w:val="32"/>
          <w:lang w:val="zh-CN"/>
        </w:rPr>
        <w:t>协调解决</w:t>
      </w:r>
      <w:r>
        <w:rPr>
          <w:rFonts w:hint="eastAsia" w:ascii="仿宋_GB2312" w:hAnsi="仿宋_GB2312" w:eastAsia="仿宋_GB2312" w:cs="仿宋_GB2312"/>
          <w:spacing w:val="6"/>
          <w:sz w:val="32"/>
          <w:szCs w:val="32"/>
          <w:lang w:val="en-US" w:eastAsia="zh-CN"/>
        </w:rPr>
        <w:t>业务管理目标实现过程中的困难和问题，确保目标的实现。</w:t>
      </w:r>
    </w:p>
    <w:p>
      <w:pPr>
        <w:pStyle w:val="4"/>
        <w:rPr>
          <w:rFonts w:hint="eastAsia" w:ascii="楷体_GB2312" w:hAnsi="楷体_GB2312" w:eastAsia="楷体_GB2312" w:cs="Times New Roman"/>
          <w:bCs w:val="0"/>
          <w:spacing w:val="0"/>
          <w:sz w:val="32"/>
          <w:szCs w:val="36"/>
          <w:lang w:val="zh-CN"/>
        </w:rPr>
      </w:pPr>
      <w:bookmarkStart w:id="91" w:name="_Toc10407"/>
      <w:r>
        <w:rPr>
          <w:rFonts w:hint="eastAsia" w:ascii="楷体_GB2312" w:hAnsi="楷体_GB2312" w:eastAsia="楷体_GB2312" w:cs="Times New Roman"/>
          <w:bCs w:val="0"/>
          <w:spacing w:val="0"/>
          <w:sz w:val="32"/>
          <w:szCs w:val="36"/>
          <w:lang w:val="zh-CN" w:eastAsia="zh-CN"/>
        </w:rPr>
        <w:t>（四）</w:t>
      </w:r>
      <w:r>
        <w:rPr>
          <w:rFonts w:hint="eastAsia" w:ascii="楷体_GB2312" w:hAnsi="楷体_GB2312" w:eastAsia="楷体_GB2312" w:cs="Times New Roman"/>
          <w:bCs w:val="0"/>
          <w:spacing w:val="0"/>
          <w:sz w:val="32"/>
          <w:szCs w:val="36"/>
          <w:lang w:val="zh-CN"/>
        </w:rPr>
        <w:t>绩效管理方面</w:t>
      </w:r>
      <w:bookmarkEnd w:id="91"/>
    </w:p>
    <w:p>
      <w:pPr>
        <w:widowControl w:val="0"/>
        <w:spacing w:line="590" w:lineRule="exact"/>
        <w:ind w:firstLine="664" w:firstLineChars="200"/>
        <w:jc w:val="both"/>
        <w:outlineLvl w:val="9"/>
        <w:rPr>
          <w:rFonts w:hint="eastAsia" w:ascii="仿宋_GB2312" w:hAnsi="仿宋_GB2312" w:eastAsia="仿宋_GB2312" w:cs="仿宋_GB2312"/>
          <w:spacing w:val="6"/>
          <w:sz w:val="32"/>
          <w:szCs w:val="32"/>
        </w:rPr>
      </w:pPr>
      <w:r>
        <w:rPr>
          <w:rFonts w:hint="eastAsia" w:ascii="仿宋_GB2312" w:hAnsi="仿宋_GB2312" w:eastAsia="仿宋_GB2312" w:cs="仿宋_GB2312"/>
          <w:spacing w:val="6"/>
          <w:sz w:val="32"/>
          <w:szCs w:val="32"/>
        </w:rPr>
        <w:t>严格按照《中共中央 国务院关于全面实施预算绩效管理的意见》（中发〔2018〕34号）和《中共贵州省委 贵州省人民政府</w:t>
      </w:r>
      <w:r>
        <w:rPr>
          <w:rFonts w:hint="default" w:eastAsia="仿宋"/>
          <w:spacing w:val="6"/>
          <w:sz w:val="32"/>
          <w:szCs w:val="32"/>
          <w:lang w:val="zh-CN" w:eastAsia="zh-CN"/>
        </w:rPr>
        <w:t>〈</w:t>
      </w:r>
      <w:r>
        <w:rPr>
          <w:rFonts w:hint="eastAsia" w:ascii="仿宋_GB2312" w:hAnsi="仿宋_GB2312" w:eastAsia="仿宋_GB2312" w:cs="仿宋_GB2312"/>
          <w:spacing w:val="6"/>
          <w:sz w:val="32"/>
          <w:szCs w:val="32"/>
        </w:rPr>
        <w:t>关于全面实施预算绩效管理的实施意见</w:t>
      </w:r>
      <w:r>
        <w:rPr>
          <w:rFonts w:hint="default" w:eastAsia="仿宋"/>
          <w:spacing w:val="6"/>
          <w:sz w:val="32"/>
          <w:szCs w:val="32"/>
          <w:lang w:val="zh-CN" w:eastAsia="zh-CN"/>
        </w:rPr>
        <w:t>〉</w:t>
      </w:r>
      <w:r>
        <w:rPr>
          <w:rFonts w:hint="eastAsia" w:ascii="仿宋_GB2312" w:hAnsi="仿宋_GB2312" w:eastAsia="仿宋_GB2312" w:cs="仿宋_GB2312"/>
          <w:spacing w:val="6"/>
          <w:sz w:val="32"/>
          <w:szCs w:val="32"/>
        </w:rPr>
        <w:t>》</w:t>
      </w:r>
      <w:r>
        <w:rPr>
          <w:rFonts w:hint="eastAsia" w:ascii="仿宋_GB2312" w:hAnsi="仿宋_GB2312" w:eastAsia="仿宋_GB2312" w:cs="仿宋_GB2312"/>
          <w:spacing w:val="6"/>
          <w:sz w:val="32"/>
          <w:szCs w:val="32"/>
          <w:lang w:val="zh-CN"/>
        </w:rPr>
        <w:t>（黔党发〔2019〕29号）</w:t>
      </w:r>
      <w:r>
        <w:rPr>
          <w:rFonts w:hint="eastAsia" w:ascii="仿宋_GB2312" w:hAnsi="仿宋_GB2312" w:eastAsia="仿宋_GB2312" w:cs="仿宋_GB2312"/>
          <w:spacing w:val="6"/>
          <w:sz w:val="32"/>
          <w:szCs w:val="32"/>
        </w:rPr>
        <w:t>等文件规定，积极推进预算绩效管理工作，结合绩效目标，设置全面有效、现实可行、具体量化的绩效指标，</w:t>
      </w:r>
      <w:r>
        <w:rPr>
          <w:rFonts w:hint="eastAsia" w:ascii="仿宋_GB2312" w:hAnsi="仿宋_GB2312" w:eastAsia="仿宋_GB2312" w:cs="仿宋_GB2312"/>
          <w:spacing w:val="6"/>
          <w:sz w:val="32"/>
          <w:szCs w:val="32"/>
          <w:lang w:val="en-US" w:eastAsia="zh-CN"/>
        </w:rPr>
        <w:t>认真开展绩效自评工作，</w:t>
      </w:r>
      <w:r>
        <w:rPr>
          <w:rFonts w:hint="eastAsia" w:ascii="仿宋_GB2312" w:hAnsi="仿宋_GB2312" w:eastAsia="仿宋_GB2312" w:cs="仿宋_GB2312"/>
          <w:spacing w:val="6"/>
          <w:sz w:val="32"/>
          <w:szCs w:val="32"/>
        </w:rPr>
        <w:t>提高预算</w:t>
      </w:r>
      <w:r>
        <w:rPr>
          <w:rFonts w:hint="eastAsia" w:ascii="仿宋_GB2312" w:hAnsi="仿宋_GB2312" w:eastAsia="仿宋_GB2312" w:cs="仿宋_GB2312"/>
          <w:spacing w:val="6"/>
          <w:sz w:val="32"/>
          <w:szCs w:val="32"/>
          <w:lang w:val="en-US" w:eastAsia="zh-CN"/>
        </w:rPr>
        <w:t>绩效</w:t>
      </w:r>
      <w:r>
        <w:rPr>
          <w:rFonts w:hint="eastAsia" w:ascii="仿宋_GB2312" w:hAnsi="仿宋_GB2312" w:eastAsia="仿宋_GB2312" w:cs="仿宋_GB2312"/>
          <w:spacing w:val="6"/>
          <w:sz w:val="32"/>
          <w:szCs w:val="32"/>
        </w:rPr>
        <w:t>管理水平。</w:t>
      </w:r>
      <w:bookmarkStart w:id="92" w:name="_Toc41306292"/>
      <w:bookmarkStart w:id="93" w:name="_Toc24940"/>
      <w:bookmarkStart w:id="94" w:name="_Toc14019"/>
      <w:bookmarkStart w:id="95" w:name="_Toc21085"/>
    </w:p>
    <w:p>
      <w:pPr>
        <w:widowControl w:val="0"/>
        <w:spacing w:line="590" w:lineRule="exact"/>
        <w:ind w:firstLine="664" w:firstLineChars="200"/>
        <w:jc w:val="both"/>
        <w:outlineLvl w:val="0"/>
        <w:rPr>
          <w:rFonts w:ascii="黑体" w:hAnsi="黑体" w:eastAsia="黑体"/>
          <w:spacing w:val="6"/>
          <w:sz w:val="32"/>
          <w:szCs w:val="32"/>
        </w:rPr>
      </w:pPr>
      <w:bookmarkStart w:id="96" w:name="_Toc26963"/>
      <w:bookmarkStart w:id="97" w:name="_Toc16968"/>
      <w:bookmarkStart w:id="98" w:name="_Toc20740"/>
      <w:bookmarkStart w:id="99" w:name="_Toc10163"/>
      <w:r>
        <w:rPr>
          <w:rFonts w:hint="eastAsia" w:ascii="黑体" w:hAnsi="黑体" w:eastAsia="黑体"/>
          <w:spacing w:val="6"/>
          <w:sz w:val="32"/>
          <w:szCs w:val="32"/>
          <w:lang w:val="en-US" w:eastAsia="zh-CN"/>
        </w:rPr>
        <w:t>五</w:t>
      </w:r>
      <w:r>
        <w:rPr>
          <w:rFonts w:hint="eastAsia" w:ascii="黑体" w:hAnsi="黑体" w:eastAsia="黑体"/>
          <w:spacing w:val="6"/>
          <w:sz w:val="32"/>
          <w:szCs w:val="32"/>
        </w:rPr>
        <w:t>、绩效评价结果应用建议</w:t>
      </w:r>
      <w:bookmarkEnd w:id="92"/>
      <w:bookmarkEnd w:id="93"/>
      <w:bookmarkEnd w:id="94"/>
      <w:bookmarkEnd w:id="95"/>
      <w:bookmarkEnd w:id="96"/>
      <w:bookmarkEnd w:id="97"/>
      <w:bookmarkEnd w:id="98"/>
      <w:bookmarkEnd w:id="99"/>
    </w:p>
    <w:p>
      <w:pPr>
        <w:widowControl w:val="0"/>
        <w:spacing w:line="590" w:lineRule="exact"/>
        <w:ind w:firstLine="444" w:firstLineChars="200"/>
        <w:jc w:val="both"/>
        <w:outlineLvl w:val="1"/>
        <w:rPr>
          <w:rFonts w:ascii="Times New Roman" w:hAnsi="Times New Roman" w:eastAsia="楷体_GB2312" w:cs="Times New Roman"/>
          <w:spacing w:val="6"/>
          <w:sz w:val="32"/>
          <w:szCs w:val="32"/>
          <w:lang w:val="zh-CN"/>
        </w:rPr>
      </w:pPr>
      <w:bookmarkStart w:id="100" w:name="_Toc5519"/>
      <w:bookmarkStart w:id="101" w:name="_Toc17488"/>
      <w:bookmarkStart w:id="102" w:name="_Toc22089"/>
      <w:bookmarkStart w:id="103" w:name="_Toc5474"/>
      <w:bookmarkStart w:id="104" w:name="_Toc30308"/>
      <w:bookmarkStart w:id="105" w:name="_Toc15384"/>
      <w:bookmarkStart w:id="106" w:name="_Toc4653"/>
      <w:r>
        <w:rPr>
          <w:spacing w:val="6"/>
        </w:rPr>
        <w:fldChar w:fldCharType="begin"/>
      </w:r>
      <w:r>
        <w:rPr>
          <w:spacing w:val="6"/>
        </w:rPr>
        <w:instrText xml:space="preserve"> HYPERLINK \l "_Toc434746187" </w:instrText>
      </w:r>
      <w:r>
        <w:rPr>
          <w:spacing w:val="6"/>
        </w:rPr>
        <w:fldChar w:fldCharType="separate"/>
      </w:r>
      <w:bookmarkStart w:id="107" w:name="_Toc41306293"/>
      <w:bookmarkStart w:id="108" w:name="_Toc531300193"/>
      <w:r>
        <w:rPr>
          <w:rFonts w:hint="eastAsia" w:ascii="Times New Roman" w:hAnsi="Times New Roman" w:eastAsia="楷体_GB2312" w:cs="Times New Roman"/>
          <w:spacing w:val="6"/>
          <w:sz w:val="32"/>
          <w:szCs w:val="32"/>
          <w:lang w:val="zh-CN"/>
        </w:rPr>
        <w:t>（一）对发现的问题及时整改</w:t>
      </w:r>
      <w:bookmarkEnd w:id="107"/>
      <w:bookmarkEnd w:id="108"/>
      <w:r>
        <w:rPr>
          <w:rFonts w:hint="eastAsia" w:ascii="Times New Roman" w:hAnsi="Times New Roman" w:eastAsia="楷体_GB2312" w:cs="Times New Roman"/>
          <w:spacing w:val="6"/>
          <w:sz w:val="32"/>
          <w:szCs w:val="32"/>
          <w:lang w:val="zh-CN"/>
        </w:rPr>
        <w:fldChar w:fldCharType="end"/>
      </w:r>
      <w:bookmarkEnd w:id="100"/>
      <w:bookmarkEnd w:id="101"/>
      <w:bookmarkEnd w:id="102"/>
      <w:bookmarkEnd w:id="103"/>
      <w:bookmarkEnd w:id="104"/>
      <w:bookmarkEnd w:id="105"/>
      <w:bookmarkEnd w:id="106"/>
    </w:p>
    <w:p>
      <w:pPr>
        <w:widowControl w:val="0"/>
        <w:spacing w:line="590" w:lineRule="exact"/>
        <w:ind w:firstLine="664" w:firstLineChars="200"/>
        <w:jc w:val="both"/>
        <w:rPr>
          <w:rFonts w:hint="eastAsia" w:ascii="Times New Roman" w:hAnsi="Times New Roman" w:eastAsia="仿宋_GB2312" w:cs="Times New Roman"/>
          <w:spacing w:val="6"/>
          <w:sz w:val="32"/>
          <w:szCs w:val="32"/>
        </w:rPr>
      </w:pPr>
      <w:r>
        <w:rPr>
          <w:rFonts w:hint="eastAsia" w:ascii="Times New Roman" w:hAnsi="Times New Roman" w:eastAsia="仿宋_GB2312" w:cs="Times New Roman"/>
          <w:spacing w:val="6"/>
          <w:sz w:val="32"/>
          <w:szCs w:val="32"/>
        </w:rPr>
        <w:t>针对现场评价中发现的问题，建议</w:t>
      </w:r>
      <w:r>
        <w:rPr>
          <w:rFonts w:hint="eastAsia" w:ascii="仿宋_GB2312" w:hAnsi="仿宋_GB2312" w:eastAsia="仿宋_GB2312" w:cs="仿宋_GB2312"/>
          <w:bCs/>
          <w:spacing w:val="6"/>
          <w:sz w:val="32"/>
          <w:szCs w:val="32"/>
          <w:lang w:val="en-US" w:eastAsia="zh-CN"/>
        </w:rPr>
        <w:t>区工信局</w:t>
      </w:r>
      <w:r>
        <w:rPr>
          <w:rFonts w:hint="eastAsia" w:ascii="Times New Roman" w:hAnsi="Times New Roman" w:eastAsia="仿宋_GB2312" w:cs="Times New Roman"/>
          <w:spacing w:val="6"/>
          <w:sz w:val="32"/>
          <w:szCs w:val="32"/>
        </w:rPr>
        <w:t>及时进行整改，并将整改情况书面上报相关部门。</w:t>
      </w:r>
      <w:r>
        <w:rPr>
          <w:rFonts w:ascii="Times New Roman" w:hAnsi="Times New Roman" w:eastAsia="仿宋_GB2312" w:cs="Times New Roman"/>
          <w:spacing w:val="6"/>
          <w:sz w:val="32"/>
          <w:szCs w:val="32"/>
        </w:rPr>
        <w:t>同时建议</w:t>
      </w:r>
      <w:r>
        <w:rPr>
          <w:rFonts w:hint="eastAsia" w:ascii="仿宋_GB2312" w:hAnsi="仿宋_GB2312" w:eastAsia="仿宋_GB2312" w:cs="仿宋_GB2312"/>
          <w:bCs/>
          <w:spacing w:val="6"/>
          <w:sz w:val="32"/>
          <w:szCs w:val="32"/>
          <w:lang w:val="en-US" w:eastAsia="zh-CN"/>
        </w:rPr>
        <w:t>区工信局</w:t>
      </w:r>
      <w:r>
        <w:rPr>
          <w:rFonts w:ascii="Times New Roman" w:hAnsi="Times New Roman" w:eastAsia="仿宋_GB2312" w:cs="Times New Roman"/>
          <w:spacing w:val="6"/>
          <w:sz w:val="32"/>
          <w:szCs w:val="32"/>
        </w:rPr>
        <w:t>进一步加强</w:t>
      </w:r>
      <w:r>
        <w:rPr>
          <w:rFonts w:hint="eastAsia" w:ascii="Times New Roman" w:hAnsi="Times New Roman" w:eastAsia="仿宋_GB2312" w:cs="Times New Roman"/>
          <w:spacing w:val="6"/>
          <w:sz w:val="32"/>
          <w:szCs w:val="32"/>
          <w:lang w:val="en-US" w:eastAsia="zh-CN"/>
        </w:rPr>
        <w:t>部门整体支出</w:t>
      </w:r>
      <w:r>
        <w:rPr>
          <w:rFonts w:ascii="Times New Roman" w:hAnsi="Times New Roman" w:eastAsia="仿宋_GB2312" w:cs="Times New Roman"/>
          <w:spacing w:val="6"/>
          <w:sz w:val="32"/>
          <w:szCs w:val="32"/>
        </w:rPr>
        <w:t>督查工作，切实提高财政资源配置效率和使用效益</w:t>
      </w:r>
      <w:r>
        <w:rPr>
          <w:rFonts w:hint="eastAsia" w:ascii="Times New Roman" w:hAnsi="Times New Roman" w:eastAsia="仿宋_GB2312" w:cs="Times New Roman"/>
          <w:spacing w:val="6"/>
          <w:sz w:val="32"/>
          <w:szCs w:val="32"/>
        </w:rPr>
        <w:t>。</w:t>
      </w:r>
    </w:p>
    <w:p>
      <w:pPr>
        <w:widowControl w:val="0"/>
        <w:spacing w:line="590" w:lineRule="exact"/>
        <w:ind w:firstLine="444" w:firstLineChars="200"/>
        <w:jc w:val="both"/>
        <w:outlineLvl w:val="1"/>
        <w:rPr>
          <w:rFonts w:ascii="Times New Roman" w:hAnsi="Times New Roman" w:eastAsia="楷体_GB2312" w:cs="Times New Roman"/>
          <w:spacing w:val="6"/>
          <w:sz w:val="32"/>
          <w:szCs w:val="32"/>
          <w:lang w:val="zh-CN"/>
        </w:rPr>
      </w:pPr>
      <w:bookmarkStart w:id="109" w:name="_Toc26049"/>
      <w:bookmarkStart w:id="110" w:name="_Toc13582"/>
      <w:bookmarkStart w:id="111" w:name="_Toc15938"/>
      <w:bookmarkStart w:id="112" w:name="_Toc28714"/>
      <w:bookmarkStart w:id="113" w:name="_Toc14903"/>
      <w:bookmarkStart w:id="114" w:name="_Toc25602"/>
      <w:bookmarkStart w:id="115" w:name="_Toc7537"/>
      <w:r>
        <w:rPr>
          <w:spacing w:val="6"/>
        </w:rPr>
        <w:fldChar w:fldCharType="begin"/>
      </w:r>
      <w:r>
        <w:rPr>
          <w:spacing w:val="6"/>
        </w:rPr>
        <w:instrText xml:space="preserve"> HYPERLINK \l "_Toc434746187" </w:instrText>
      </w:r>
      <w:r>
        <w:rPr>
          <w:spacing w:val="6"/>
        </w:rPr>
        <w:fldChar w:fldCharType="separate"/>
      </w:r>
      <w:bookmarkStart w:id="116" w:name="_Toc531300194"/>
      <w:bookmarkStart w:id="117" w:name="_Toc41306294"/>
      <w:r>
        <w:rPr>
          <w:rFonts w:hint="eastAsia" w:ascii="Times New Roman" w:hAnsi="Times New Roman" w:eastAsia="楷体_GB2312" w:cs="Times New Roman"/>
          <w:spacing w:val="6"/>
          <w:sz w:val="32"/>
          <w:szCs w:val="32"/>
          <w:lang w:val="zh-CN"/>
        </w:rPr>
        <w:t>（二）以后年度预算安排建议</w:t>
      </w:r>
      <w:bookmarkEnd w:id="116"/>
      <w:bookmarkEnd w:id="117"/>
      <w:r>
        <w:rPr>
          <w:rFonts w:hint="eastAsia" w:ascii="Times New Roman" w:hAnsi="Times New Roman" w:eastAsia="楷体_GB2312" w:cs="Times New Roman"/>
          <w:spacing w:val="6"/>
          <w:sz w:val="32"/>
          <w:szCs w:val="32"/>
          <w:lang w:val="zh-CN"/>
        </w:rPr>
        <w:fldChar w:fldCharType="end"/>
      </w:r>
      <w:bookmarkEnd w:id="109"/>
      <w:bookmarkEnd w:id="110"/>
      <w:bookmarkEnd w:id="111"/>
      <w:bookmarkEnd w:id="112"/>
      <w:bookmarkEnd w:id="113"/>
      <w:bookmarkEnd w:id="114"/>
      <w:bookmarkEnd w:id="115"/>
    </w:p>
    <w:p>
      <w:pPr>
        <w:widowControl/>
        <w:spacing w:line="590" w:lineRule="exact"/>
        <w:ind w:firstLine="664" w:firstLineChars="200"/>
        <w:jc w:val="both"/>
        <w:rPr>
          <w:rFonts w:hint="eastAsia" w:ascii="仿宋_GB2312" w:hAnsi="仿宋_GB2312" w:eastAsia="仿宋_GB2312" w:cs="仿宋_GB2312"/>
          <w:color w:val="000000"/>
          <w:spacing w:val="6"/>
          <w:sz w:val="32"/>
          <w:szCs w:val="32"/>
          <w:lang w:val="en-US" w:eastAsia="zh-CN"/>
        </w:rPr>
      </w:pPr>
      <w:r>
        <w:rPr>
          <w:rFonts w:hint="eastAsia" w:ascii="仿宋_GB2312" w:hAnsi="仿宋_GB2312" w:eastAsia="仿宋_GB2312" w:cs="仿宋_GB2312"/>
          <w:color w:val="000000"/>
          <w:spacing w:val="6"/>
          <w:sz w:val="32"/>
          <w:szCs w:val="32"/>
          <w:highlight w:val="none"/>
        </w:rPr>
        <w:t>严格按照《中共贵州省委 贵州省人民政府</w:t>
      </w:r>
      <w:r>
        <w:rPr>
          <w:rFonts w:hint="eastAsia" w:ascii="仿宋_GB2312" w:hAnsi="仿宋_GB2312" w:eastAsia="仿宋_GB2312" w:cs="仿宋_GB2312"/>
          <w:color w:val="000000"/>
          <w:spacing w:val="6"/>
          <w:sz w:val="32"/>
          <w:szCs w:val="32"/>
          <w:highlight w:val="none"/>
          <w:lang w:val="en-US" w:eastAsia="zh-CN"/>
        </w:rPr>
        <w:t>〈</w:t>
      </w:r>
      <w:r>
        <w:rPr>
          <w:rFonts w:hint="eastAsia" w:ascii="仿宋_GB2312" w:hAnsi="仿宋_GB2312" w:eastAsia="仿宋_GB2312" w:cs="仿宋_GB2312"/>
          <w:color w:val="000000"/>
          <w:spacing w:val="6"/>
          <w:sz w:val="32"/>
          <w:szCs w:val="32"/>
          <w:highlight w:val="none"/>
        </w:rPr>
        <w:t>关于全面实施预算绩效管理的实施意见</w:t>
      </w:r>
      <w:r>
        <w:rPr>
          <w:rFonts w:hint="eastAsia" w:ascii="仿宋_GB2312" w:hAnsi="仿宋_GB2312" w:eastAsia="仿宋_GB2312" w:cs="仿宋_GB2312"/>
          <w:color w:val="000000"/>
          <w:spacing w:val="6"/>
          <w:sz w:val="32"/>
          <w:szCs w:val="32"/>
          <w:highlight w:val="none"/>
          <w:lang w:val="en-US" w:eastAsia="zh-CN"/>
        </w:rPr>
        <w:t>〉</w:t>
      </w:r>
      <w:r>
        <w:rPr>
          <w:rFonts w:hint="eastAsia" w:ascii="仿宋_GB2312" w:hAnsi="仿宋_GB2312" w:eastAsia="仿宋_GB2312" w:cs="仿宋_GB2312"/>
          <w:color w:val="000000"/>
          <w:spacing w:val="6"/>
          <w:sz w:val="32"/>
          <w:szCs w:val="32"/>
          <w:highlight w:val="none"/>
        </w:rPr>
        <w:t>》</w:t>
      </w:r>
      <w:r>
        <w:rPr>
          <w:rFonts w:hint="eastAsia" w:ascii="仿宋_GB2312" w:hAnsi="仿宋_GB2312" w:eastAsia="仿宋_GB2312" w:cs="仿宋_GB2312"/>
          <w:spacing w:val="6"/>
          <w:sz w:val="32"/>
          <w:szCs w:val="32"/>
          <w:lang w:val="zh-CN"/>
        </w:rPr>
        <w:t>（黔党发〔2019〕29号）</w:t>
      </w:r>
      <w:r>
        <w:rPr>
          <w:rFonts w:hint="eastAsia" w:ascii="仿宋_GB2312" w:hAnsi="仿宋_GB2312" w:eastAsia="仿宋_GB2312" w:cs="仿宋_GB2312"/>
          <w:color w:val="000000"/>
          <w:spacing w:val="6"/>
          <w:sz w:val="32"/>
          <w:szCs w:val="32"/>
          <w:highlight w:val="none"/>
        </w:rPr>
        <w:t>要求，全面实施零基预算管理，改变“基数+增长”的预算编制方式，打破财政资金分配的固化格局，建立财政资金“能进能出”的决策机制。在部门“三定”方案规定的部门主要职能基础上，结合</w:t>
      </w:r>
      <w:r>
        <w:rPr>
          <w:rFonts w:hint="eastAsia" w:ascii="仿宋_GB2312" w:hAnsi="仿宋_GB2312" w:eastAsia="仿宋_GB2312" w:cs="仿宋_GB2312"/>
          <w:color w:val="000000"/>
          <w:spacing w:val="6"/>
          <w:sz w:val="32"/>
          <w:szCs w:val="32"/>
          <w:highlight w:val="none"/>
          <w:lang w:val="en-US" w:eastAsia="zh-CN"/>
        </w:rPr>
        <w:t>云岩区人民政府</w:t>
      </w:r>
      <w:r>
        <w:rPr>
          <w:rFonts w:hint="eastAsia" w:ascii="仿宋_GB2312" w:hAnsi="仿宋_GB2312" w:eastAsia="仿宋_GB2312" w:cs="仿宋_GB2312"/>
          <w:color w:val="000000"/>
          <w:spacing w:val="6"/>
          <w:sz w:val="32"/>
          <w:szCs w:val="32"/>
          <w:highlight w:val="none"/>
        </w:rPr>
        <w:t>及上级业务主管部门交办的工作，全面梳理以后年度部门工作任务，合理科学预计以后年度部门工作任务数量、时效、效益等，详细科学规划任务完成时间表和路线图，合理科学安排以后年度预算</w:t>
      </w:r>
      <w:r>
        <w:rPr>
          <w:rFonts w:hint="eastAsia" w:ascii="仿宋_GB2312" w:hAnsi="仿宋_GB2312" w:eastAsia="仿宋_GB2312" w:cs="仿宋_GB2312"/>
          <w:bCs/>
          <w:spacing w:val="6"/>
          <w:sz w:val="32"/>
          <w:szCs w:val="32"/>
          <w:lang w:eastAsia="zh-CN"/>
        </w:rPr>
        <w:t>，</w:t>
      </w:r>
      <w:r>
        <w:rPr>
          <w:rFonts w:hint="eastAsia" w:ascii="仿宋_GB2312" w:hAnsi="仿宋_GB2312" w:eastAsia="仿宋_GB2312" w:cs="仿宋_GB2312"/>
          <w:color w:val="000000"/>
          <w:spacing w:val="6"/>
          <w:sz w:val="32"/>
          <w:szCs w:val="32"/>
          <w:lang w:val="en-US" w:eastAsia="zh-CN"/>
        </w:rPr>
        <w:t>优化预算管理流程，规范财政资金使用管理，提高财政资金使用效益。</w:t>
      </w:r>
    </w:p>
    <w:p>
      <w:pPr>
        <w:widowControl w:val="0"/>
        <w:spacing w:line="590" w:lineRule="exact"/>
        <w:ind w:firstLine="444" w:firstLineChars="200"/>
        <w:jc w:val="both"/>
        <w:outlineLvl w:val="1"/>
        <w:rPr>
          <w:rFonts w:ascii="仿宋_GB2312" w:hAnsi="仿宋" w:eastAsia="楷体_GB2312" w:cs="Times New Roman"/>
          <w:spacing w:val="6"/>
          <w:sz w:val="32"/>
          <w:szCs w:val="32"/>
          <w:lang w:val="zh-CN"/>
        </w:rPr>
      </w:pPr>
      <w:bookmarkStart w:id="118" w:name="_Toc22236"/>
      <w:bookmarkStart w:id="119" w:name="_Toc14922"/>
      <w:bookmarkStart w:id="120" w:name="_Toc9047"/>
      <w:bookmarkStart w:id="121" w:name="_Toc9739"/>
      <w:bookmarkStart w:id="122" w:name="_Toc32250"/>
      <w:bookmarkStart w:id="123" w:name="_Toc8679"/>
      <w:bookmarkStart w:id="124" w:name="_Toc16607"/>
      <w:r>
        <w:rPr>
          <w:spacing w:val="6"/>
        </w:rPr>
        <w:fldChar w:fldCharType="begin"/>
      </w:r>
      <w:r>
        <w:rPr>
          <w:spacing w:val="6"/>
        </w:rPr>
        <w:instrText xml:space="preserve"> HYPERLINK \l "_Toc434746187" </w:instrText>
      </w:r>
      <w:r>
        <w:rPr>
          <w:spacing w:val="6"/>
        </w:rPr>
        <w:fldChar w:fldCharType="separate"/>
      </w:r>
      <w:bookmarkStart w:id="125" w:name="_Toc41306295"/>
      <w:bookmarkStart w:id="126" w:name="_Toc531300195"/>
      <w:r>
        <w:rPr>
          <w:rFonts w:hint="eastAsia" w:ascii="仿宋_GB2312" w:hAnsi="仿宋" w:eastAsia="楷体_GB2312" w:cs="Times New Roman"/>
          <w:spacing w:val="6"/>
          <w:sz w:val="32"/>
          <w:szCs w:val="32"/>
          <w:lang w:val="zh-CN"/>
        </w:rPr>
        <w:t>（三）评价结果公开</w:t>
      </w:r>
      <w:bookmarkEnd w:id="125"/>
      <w:bookmarkEnd w:id="126"/>
      <w:r>
        <w:rPr>
          <w:rFonts w:hint="eastAsia" w:ascii="仿宋_GB2312" w:hAnsi="仿宋" w:eastAsia="楷体_GB2312" w:cs="Times New Roman"/>
          <w:spacing w:val="6"/>
          <w:sz w:val="32"/>
          <w:szCs w:val="32"/>
          <w:lang w:val="zh-CN"/>
        </w:rPr>
        <w:fldChar w:fldCharType="end"/>
      </w:r>
      <w:bookmarkEnd w:id="118"/>
      <w:bookmarkEnd w:id="119"/>
      <w:bookmarkEnd w:id="120"/>
      <w:bookmarkEnd w:id="121"/>
      <w:bookmarkEnd w:id="122"/>
      <w:bookmarkEnd w:id="123"/>
      <w:bookmarkEnd w:id="124"/>
    </w:p>
    <w:bookmarkEnd w:id="76"/>
    <w:p>
      <w:pPr>
        <w:widowControl w:val="0"/>
        <w:spacing w:line="590" w:lineRule="exact"/>
        <w:ind w:firstLine="664" w:firstLineChars="200"/>
        <w:jc w:val="both"/>
        <w:rPr>
          <w:rFonts w:hint="eastAsia" w:ascii="仿宋_GB2312" w:hAnsi="仿宋_GB2312" w:eastAsia="仿宋_GB2312" w:cs="仿宋_GB2312"/>
          <w:color w:val="000000"/>
          <w:spacing w:val="6"/>
          <w:sz w:val="32"/>
          <w:szCs w:val="32"/>
        </w:rPr>
      </w:pPr>
      <w:r>
        <w:rPr>
          <w:rFonts w:hint="eastAsia" w:ascii="仿宋_GB2312" w:hAnsi="仿宋_GB2312" w:eastAsia="仿宋_GB2312" w:cs="仿宋_GB2312"/>
          <w:color w:val="000000"/>
          <w:spacing w:val="6"/>
          <w:sz w:val="32"/>
          <w:szCs w:val="32"/>
        </w:rPr>
        <w:t>建议按照《中共中央 国务院关于全面实施预算绩效管理的意见》（中发〔2018〕34号）和《中共贵州省委 贵州省人民政府</w:t>
      </w:r>
      <w:r>
        <w:rPr>
          <w:rFonts w:hint="eastAsia" w:ascii="仿宋_GB2312" w:hAnsi="仿宋_GB2312" w:eastAsia="仿宋_GB2312" w:cs="仿宋_GB2312"/>
          <w:color w:val="000000"/>
          <w:spacing w:val="6"/>
          <w:sz w:val="32"/>
          <w:szCs w:val="32"/>
          <w:lang w:val="en-US" w:eastAsia="zh-CN"/>
        </w:rPr>
        <w:t>〈</w:t>
      </w:r>
      <w:r>
        <w:rPr>
          <w:rFonts w:hint="eastAsia" w:ascii="仿宋_GB2312" w:hAnsi="仿宋_GB2312" w:eastAsia="仿宋_GB2312" w:cs="仿宋_GB2312"/>
          <w:color w:val="000000"/>
          <w:spacing w:val="6"/>
          <w:sz w:val="32"/>
          <w:szCs w:val="32"/>
        </w:rPr>
        <w:t>关于全面实施预算绩效管理的实施意见</w:t>
      </w:r>
      <w:r>
        <w:rPr>
          <w:rFonts w:hint="eastAsia" w:ascii="仿宋_GB2312" w:hAnsi="仿宋_GB2312" w:eastAsia="仿宋_GB2312" w:cs="仿宋_GB2312"/>
          <w:color w:val="000000"/>
          <w:spacing w:val="6"/>
          <w:sz w:val="32"/>
          <w:szCs w:val="32"/>
          <w:lang w:val="en-US" w:eastAsia="zh-CN"/>
        </w:rPr>
        <w:t>〉</w:t>
      </w:r>
      <w:r>
        <w:rPr>
          <w:rFonts w:hint="eastAsia" w:ascii="仿宋_GB2312" w:hAnsi="仿宋_GB2312" w:eastAsia="仿宋_GB2312" w:cs="仿宋_GB2312"/>
          <w:color w:val="000000"/>
          <w:spacing w:val="6"/>
          <w:sz w:val="32"/>
          <w:szCs w:val="32"/>
        </w:rPr>
        <w:t>》</w:t>
      </w:r>
      <w:r>
        <w:rPr>
          <w:rFonts w:hint="eastAsia" w:ascii="仿宋_GB2312" w:hAnsi="仿宋_GB2312" w:eastAsia="仿宋_GB2312" w:cs="仿宋_GB2312"/>
          <w:spacing w:val="6"/>
          <w:sz w:val="32"/>
          <w:szCs w:val="32"/>
          <w:lang w:val="zh-CN"/>
        </w:rPr>
        <w:t>（黔党发〔2019〕29号）</w:t>
      </w:r>
      <w:r>
        <w:rPr>
          <w:rFonts w:hint="eastAsia" w:ascii="仿宋_GB2312" w:hAnsi="仿宋_GB2312" w:eastAsia="仿宋_GB2312" w:cs="仿宋_GB2312"/>
          <w:color w:val="000000"/>
          <w:spacing w:val="6"/>
          <w:sz w:val="32"/>
          <w:szCs w:val="32"/>
        </w:rPr>
        <w:t>规定，财政部门要推进绩效信息公开，重要绩效目标、</w:t>
      </w:r>
      <w:r>
        <w:rPr>
          <w:rFonts w:hint="eastAsia" w:ascii="仿宋_GB2312" w:hAnsi="仿宋_GB2312" w:eastAsia="仿宋_GB2312" w:cs="仿宋_GB2312"/>
          <w:color w:val="000000"/>
          <w:spacing w:val="6"/>
          <w:sz w:val="32"/>
          <w:szCs w:val="32"/>
          <w:lang w:eastAsia="zh-CN"/>
        </w:rPr>
        <w:t>绩效评价</w:t>
      </w:r>
      <w:r>
        <w:rPr>
          <w:rFonts w:hint="eastAsia" w:ascii="仿宋_GB2312" w:hAnsi="仿宋_GB2312" w:eastAsia="仿宋_GB2312" w:cs="仿宋_GB2312"/>
          <w:color w:val="000000"/>
          <w:spacing w:val="6"/>
          <w:sz w:val="32"/>
          <w:szCs w:val="32"/>
        </w:rPr>
        <w:t>结果要与预决算草案同步报送同级人大，同步向社会主动公开，搭建社会公众参与预算绩效管理的途径和平台，自觉接受人大和社会各界监督。</w:t>
      </w:r>
    </w:p>
    <w:p>
      <w:pPr>
        <w:numPr>
          <w:ilvl w:val="0"/>
          <w:numId w:val="0"/>
        </w:numPr>
        <w:outlineLvl w:val="9"/>
        <w:rPr>
          <w:rFonts w:hint="eastAsia"/>
          <w:lang w:val="en-US" w:eastAsia="zh-CN"/>
        </w:rPr>
      </w:pPr>
      <w:bookmarkStart w:id="127" w:name="_Toc30675"/>
      <w:bookmarkStart w:id="128" w:name="_Toc41306296"/>
      <w:bookmarkStart w:id="129" w:name="_Toc7208"/>
      <w:bookmarkStart w:id="130" w:name="_Toc17563"/>
    </w:p>
    <w:bookmarkEnd w:id="8"/>
    <w:bookmarkEnd w:id="127"/>
    <w:bookmarkEnd w:id="128"/>
    <w:bookmarkEnd w:id="129"/>
    <w:bookmarkEnd w:id="130"/>
    <w:p>
      <w:pPr>
        <w:bidi w:val="0"/>
        <w:rPr>
          <w:rFonts w:hint="default" w:ascii="仿宋_GB2312" w:hAnsi="仿宋_GB2312" w:eastAsia="仿宋_GB2312" w:cs="仿宋_GB2312"/>
          <w:sz w:val="28"/>
          <w:szCs w:val="28"/>
          <w:lang w:val="en-US" w:eastAsia="zh-CN"/>
        </w:rPr>
      </w:pPr>
    </w:p>
    <w:sectPr>
      <w:footerReference r:id="rId5" w:type="default"/>
      <w:footerReference r:id="rId6" w:type="even"/>
      <w:pgSz w:w="11906" w:h="16838"/>
      <w:pgMar w:top="1985" w:right="1474" w:bottom="1871" w:left="1474" w:header="851" w:footer="1474"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5040" w:firstLineChars="1800"/>
      <w:rPr>
        <w:rStyle w:val="21"/>
        <w:rFonts w:ascii="仿宋" w:hAnsi="仿宋" w:eastAsia="仿宋"/>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t xml:space="preserve">— </w:t>
                          </w:r>
                          <w:r>
                            <w:fldChar w:fldCharType="begin"/>
                          </w:r>
                          <w:r>
                            <w:instrText xml:space="preserve"> PAGE  \* MERGEFORMAT </w:instrText>
                          </w:r>
                          <w:r>
                            <w:fldChar w:fldCharType="separate"/>
                          </w:r>
                          <w:r>
                            <w:t>3</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LFPAVAgAAEwQAAA4AAABkcnMvZTJvRG9jLnhtbK1TTY7TMBTeI3EH&#10;y3uatIhRp2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PLFPAVAgAAEwQAAA4AAAAAAAAA&#10;AQAgAAAAHwEAAGRycy9lMm9Eb2MueG1sUEsFBgAAAAAGAAYAWQEAAKYFAAAAAA==&#10;">
              <v:fill on="f" focussize="0,0"/>
              <v:stroke on="f" weight="0.5pt"/>
              <v:imagedata o:title=""/>
              <o:lock v:ext="edit" aspectratio="f"/>
              <v:textbox inset="0mm,0mm,0mm,0mm" style="mso-fit-shape-to-text:t;">
                <w:txbxContent>
                  <w:p>
                    <w:pPr>
                      <w:pStyle w:val="11"/>
                    </w:pPr>
                    <w:r>
                      <w:t xml:space="preserve">— </w:t>
                    </w:r>
                    <w:r>
                      <w:fldChar w:fldCharType="begin"/>
                    </w:r>
                    <w:r>
                      <w:instrText xml:space="preserve"> PAGE  \* MERGEFORMAT </w:instrText>
                    </w:r>
                    <w:r>
                      <w:fldChar w:fldCharType="separate"/>
                    </w:r>
                    <w:r>
                      <w:t>3</w:t>
                    </w:r>
                    <w:r>
                      <w:fldChar w:fldCharType="end"/>
                    </w:r>
                    <w: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rPr>
        <w:rFonts w:ascii="仿宋" w:hAnsi="仿宋" w:eastAsia="仿宋"/>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t xml:space="preserve">— </w:t>
                          </w:r>
                          <w:r>
                            <w:fldChar w:fldCharType="begin"/>
                          </w:r>
                          <w:r>
                            <w:instrText xml:space="preserve"> PAGE  \* MERGEFORMAT </w:instrText>
                          </w:r>
                          <w:r>
                            <w:fldChar w:fldCharType="separate"/>
                          </w:r>
                          <w:r>
                            <w:t>4</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CjsqfhQCAAAVBAAADgAAAAAAAAAB&#10;ACAAAAAfAQAAZHJzL2Uyb0RvYy54bWxQSwUGAAAAAAYABgBZAQAApQUAAAAA&#10;">
              <v:fill on="f" focussize="0,0"/>
              <v:stroke on="f" weight="0.5pt"/>
              <v:imagedata o:title=""/>
              <o:lock v:ext="edit" aspectratio="f"/>
              <v:textbox inset="0mm,0mm,0mm,0mm" style="mso-fit-shape-to-text:t;">
                <w:txbxContent>
                  <w:p>
                    <w:pPr>
                      <w:pStyle w:val="11"/>
                    </w:pPr>
                    <w:r>
                      <w:t xml:space="preserve">— </w:t>
                    </w:r>
                    <w:r>
                      <w:fldChar w:fldCharType="begin"/>
                    </w:r>
                    <w:r>
                      <w:instrText xml:space="preserve"> PAGE  \* MERGEFORMAT </w:instrText>
                    </w:r>
                    <w:r>
                      <w:fldChar w:fldCharType="separate"/>
                    </w:r>
                    <w:r>
                      <w:t>4</w:t>
                    </w:r>
                    <w:r>
                      <w:fldChar w:fldCharType="end"/>
                    </w:r>
                    <w: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43E4F"/>
    <w:multiLevelType w:val="multilevel"/>
    <w:tmpl w:val="12A43E4F"/>
    <w:lvl w:ilvl="0" w:tentative="0">
      <w:start w:val="1"/>
      <w:numFmt w:val="decimal"/>
      <w:suff w:val="space"/>
      <w:lvlText w:val="第%1章"/>
      <w:lvlJc w:val="left"/>
      <w:pPr>
        <w:ind w:left="3685"/>
      </w:pPr>
      <w:rPr>
        <w:rFonts w:hint="eastAsia" w:cs="Times New Roman"/>
      </w:rPr>
    </w:lvl>
    <w:lvl w:ilvl="1" w:tentative="0">
      <w:start w:val="1"/>
      <w:numFmt w:val="decimal"/>
      <w:suff w:val="space"/>
      <w:lvlText w:val="§%1.%2"/>
      <w:lvlJc w:val="left"/>
      <w:rPr>
        <w:rFonts w:hint="eastAsia" w:cs="Times New Roman"/>
      </w:rPr>
    </w:lvl>
    <w:lvl w:ilvl="2" w:tentative="0">
      <w:start w:val="1"/>
      <w:numFmt w:val="decimal"/>
      <w:suff w:val="space"/>
      <w:lvlText w:val="§%1.%2.%3"/>
      <w:lvlJc w:val="left"/>
      <w:rPr>
        <w:rFonts w:hint="eastAsia" w:cs="Times New Roman"/>
      </w:rPr>
    </w:lvl>
    <w:lvl w:ilvl="3" w:tentative="0">
      <w:start w:val="1"/>
      <w:numFmt w:val="decimal"/>
      <w:pStyle w:val="6"/>
      <w:suff w:val="space"/>
      <w:lvlText w:val="(%4)"/>
      <w:lvlJc w:val="left"/>
      <w:rPr>
        <w:rFonts w:hint="eastAsia" w:cs="Times New Roman"/>
      </w:rPr>
    </w:lvl>
    <w:lvl w:ilvl="4" w:tentative="0">
      <w:start w:val="1"/>
      <w:numFmt w:val="bullet"/>
      <w:suff w:val="space"/>
      <w:lvlText w:val=""/>
      <w:lvlJc w:val="left"/>
      <w:rPr>
        <w:rFonts w:hint="default" w:ascii="Wingdings" w:hAnsi="Wingdings"/>
      </w:rPr>
    </w:lvl>
    <w:lvl w:ilvl="5" w:tentative="0">
      <w:start w:val="1"/>
      <w:numFmt w:val="decimal"/>
      <w:lvlText w:val="%1.%2.%3.%4.%5.%6"/>
      <w:lvlJc w:val="left"/>
      <w:pPr>
        <w:tabs>
          <w:tab w:val="left" w:pos="3260"/>
        </w:tabs>
        <w:ind w:left="3260" w:hanging="1134"/>
      </w:pPr>
      <w:rPr>
        <w:rFonts w:hint="eastAsia" w:cs="Times New Roman"/>
      </w:rPr>
    </w:lvl>
    <w:lvl w:ilvl="6" w:tentative="0">
      <w:start w:val="1"/>
      <w:numFmt w:val="decimal"/>
      <w:lvlText w:val="%1.%2.%3.%4.%5.%6.%7"/>
      <w:lvlJc w:val="left"/>
      <w:pPr>
        <w:tabs>
          <w:tab w:val="left" w:pos="3827"/>
        </w:tabs>
        <w:ind w:left="3827" w:hanging="1276"/>
      </w:pPr>
      <w:rPr>
        <w:rFonts w:hint="eastAsia" w:cs="Times New Roman"/>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ZlNmVhNmRiYTg4NTMwYzVjZmQ3MjYyMzA5YjUyNjgifQ=="/>
  </w:docVars>
  <w:rsids>
    <w:rsidRoot w:val="00172A27"/>
    <w:rsid w:val="0000037D"/>
    <w:rsid w:val="0000072F"/>
    <w:rsid w:val="0000082F"/>
    <w:rsid w:val="00001555"/>
    <w:rsid w:val="00001A18"/>
    <w:rsid w:val="00001A5B"/>
    <w:rsid w:val="00002476"/>
    <w:rsid w:val="00002BCD"/>
    <w:rsid w:val="00002EEA"/>
    <w:rsid w:val="00003932"/>
    <w:rsid w:val="00003A74"/>
    <w:rsid w:val="00004107"/>
    <w:rsid w:val="00005223"/>
    <w:rsid w:val="00006E8C"/>
    <w:rsid w:val="000070C9"/>
    <w:rsid w:val="0001066A"/>
    <w:rsid w:val="00012128"/>
    <w:rsid w:val="000135F1"/>
    <w:rsid w:val="000149DF"/>
    <w:rsid w:val="00015283"/>
    <w:rsid w:val="000157DE"/>
    <w:rsid w:val="00016EBC"/>
    <w:rsid w:val="000171A8"/>
    <w:rsid w:val="000176B4"/>
    <w:rsid w:val="000178D7"/>
    <w:rsid w:val="00017A66"/>
    <w:rsid w:val="00017C13"/>
    <w:rsid w:val="00017FA4"/>
    <w:rsid w:val="0002170E"/>
    <w:rsid w:val="00022276"/>
    <w:rsid w:val="0002262B"/>
    <w:rsid w:val="00022670"/>
    <w:rsid w:val="00022679"/>
    <w:rsid w:val="000227F3"/>
    <w:rsid w:val="00023740"/>
    <w:rsid w:val="00023C57"/>
    <w:rsid w:val="00023F85"/>
    <w:rsid w:val="00024263"/>
    <w:rsid w:val="00024294"/>
    <w:rsid w:val="0002587B"/>
    <w:rsid w:val="00026439"/>
    <w:rsid w:val="0002678E"/>
    <w:rsid w:val="000270DB"/>
    <w:rsid w:val="00027EBC"/>
    <w:rsid w:val="0003000D"/>
    <w:rsid w:val="000303D4"/>
    <w:rsid w:val="00030D3E"/>
    <w:rsid w:val="0003158B"/>
    <w:rsid w:val="0003169C"/>
    <w:rsid w:val="00031881"/>
    <w:rsid w:val="00031B1C"/>
    <w:rsid w:val="000325BF"/>
    <w:rsid w:val="00032DC9"/>
    <w:rsid w:val="00032F7E"/>
    <w:rsid w:val="000338E8"/>
    <w:rsid w:val="00035259"/>
    <w:rsid w:val="00035CCC"/>
    <w:rsid w:val="00035E15"/>
    <w:rsid w:val="00036B90"/>
    <w:rsid w:val="000375CE"/>
    <w:rsid w:val="00037645"/>
    <w:rsid w:val="00037977"/>
    <w:rsid w:val="00037B1C"/>
    <w:rsid w:val="00037CD6"/>
    <w:rsid w:val="00037F2A"/>
    <w:rsid w:val="00040298"/>
    <w:rsid w:val="00041258"/>
    <w:rsid w:val="00042047"/>
    <w:rsid w:val="00042240"/>
    <w:rsid w:val="000422ED"/>
    <w:rsid w:val="000428AB"/>
    <w:rsid w:val="00042BF2"/>
    <w:rsid w:val="00042D0C"/>
    <w:rsid w:val="00042F98"/>
    <w:rsid w:val="00043067"/>
    <w:rsid w:val="000433F2"/>
    <w:rsid w:val="000436D8"/>
    <w:rsid w:val="00043E83"/>
    <w:rsid w:val="00044485"/>
    <w:rsid w:val="00045A95"/>
    <w:rsid w:val="00050678"/>
    <w:rsid w:val="000506D2"/>
    <w:rsid w:val="00050B2A"/>
    <w:rsid w:val="00050F66"/>
    <w:rsid w:val="0005135B"/>
    <w:rsid w:val="00051521"/>
    <w:rsid w:val="00051FF7"/>
    <w:rsid w:val="000525F7"/>
    <w:rsid w:val="0005280B"/>
    <w:rsid w:val="0005301C"/>
    <w:rsid w:val="0005362F"/>
    <w:rsid w:val="00054668"/>
    <w:rsid w:val="000547F0"/>
    <w:rsid w:val="00055029"/>
    <w:rsid w:val="000552A4"/>
    <w:rsid w:val="0005533E"/>
    <w:rsid w:val="00055AC1"/>
    <w:rsid w:val="00055E93"/>
    <w:rsid w:val="00056401"/>
    <w:rsid w:val="00056485"/>
    <w:rsid w:val="000568D1"/>
    <w:rsid w:val="00056DF2"/>
    <w:rsid w:val="000572C4"/>
    <w:rsid w:val="000579E6"/>
    <w:rsid w:val="000602F1"/>
    <w:rsid w:val="00060317"/>
    <w:rsid w:val="0006085C"/>
    <w:rsid w:val="00060B2C"/>
    <w:rsid w:val="0006141E"/>
    <w:rsid w:val="00061CBB"/>
    <w:rsid w:val="00062079"/>
    <w:rsid w:val="000620B6"/>
    <w:rsid w:val="000635A2"/>
    <w:rsid w:val="000639B6"/>
    <w:rsid w:val="000641D9"/>
    <w:rsid w:val="0006435A"/>
    <w:rsid w:val="0006509A"/>
    <w:rsid w:val="000659D2"/>
    <w:rsid w:val="00065AF8"/>
    <w:rsid w:val="0006656D"/>
    <w:rsid w:val="0006720E"/>
    <w:rsid w:val="00067354"/>
    <w:rsid w:val="00067607"/>
    <w:rsid w:val="000676E7"/>
    <w:rsid w:val="00067D07"/>
    <w:rsid w:val="00067D4C"/>
    <w:rsid w:val="0007032B"/>
    <w:rsid w:val="00070520"/>
    <w:rsid w:val="000708C3"/>
    <w:rsid w:val="0007169A"/>
    <w:rsid w:val="00071888"/>
    <w:rsid w:val="000724BE"/>
    <w:rsid w:val="00072ABB"/>
    <w:rsid w:val="000733F6"/>
    <w:rsid w:val="00073A7C"/>
    <w:rsid w:val="000741F3"/>
    <w:rsid w:val="00074B16"/>
    <w:rsid w:val="00075C2F"/>
    <w:rsid w:val="00075CE5"/>
    <w:rsid w:val="00076506"/>
    <w:rsid w:val="0007772D"/>
    <w:rsid w:val="000818C7"/>
    <w:rsid w:val="0008197F"/>
    <w:rsid w:val="00082512"/>
    <w:rsid w:val="000829E0"/>
    <w:rsid w:val="00082B99"/>
    <w:rsid w:val="00082DDE"/>
    <w:rsid w:val="00084E15"/>
    <w:rsid w:val="00085DAF"/>
    <w:rsid w:val="00085EA5"/>
    <w:rsid w:val="0008629B"/>
    <w:rsid w:val="000867BC"/>
    <w:rsid w:val="00086F23"/>
    <w:rsid w:val="000907DC"/>
    <w:rsid w:val="00090A0E"/>
    <w:rsid w:val="00091295"/>
    <w:rsid w:val="000915AC"/>
    <w:rsid w:val="000919B9"/>
    <w:rsid w:val="0009210F"/>
    <w:rsid w:val="00092398"/>
    <w:rsid w:val="00092D8E"/>
    <w:rsid w:val="0009358B"/>
    <w:rsid w:val="00094343"/>
    <w:rsid w:val="0009492A"/>
    <w:rsid w:val="00094B51"/>
    <w:rsid w:val="000950AD"/>
    <w:rsid w:val="000953A5"/>
    <w:rsid w:val="000955CC"/>
    <w:rsid w:val="00095A91"/>
    <w:rsid w:val="00095FC3"/>
    <w:rsid w:val="000964A6"/>
    <w:rsid w:val="0009695D"/>
    <w:rsid w:val="00097DCB"/>
    <w:rsid w:val="000A0626"/>
    <w:rsid w:val="000A08ED"/>
    <w:rsid w:val="000A0AA1"/>
    <w:rsid w:val="000A1D1C"/>
    <w:rsid w:val="000A2748"/>
    <w:rsid w:val="000A2793"/>
    <w:rsid w:val="000A3B90"/>
    <w:rsid w:val="000A5611"/>
    <w:rsid w:val="000A59CC"/>
    <w:rsid w:val="000A5AD0"/>
    <w:rsid w:val="000A5BA7"/>
    <w:rsid w:val="000A6A45"/>
    <w:rsid w:val="000B00E6"/>
    <w:rsid w:val="000B04B7"/>
    <w:rsid w:val="000B14E3"/>
    <w:rsid w:val="000B1818"/>
    <w:rsid w:val="000B2240"/>
    <w:rsid w:val="000B3C39"/>
    <w:rsid w:val="000B3D75"/>
    <w:rsid w:val="000B4197"/>
    <w:rsid w:val="000B4521"/>
    <w:rsid w:val="000B4611"/>
    <w:rsid w:val="000B4870"/>
    <w:rsid w:val="000B48DF"/>
    <w:rsid w:val="000B6E67"/>
    <w:rsid w:val="000B712A"/>
    <w:rsid w:val="000B7B6E"/>
    <w:rsid w:val="000C044C"/>
    <w:rsid w:val="000C16B3"/>
    <w:rsid w:val="000C188A"/>
    <w:rsid w:val="000C18B5"/>
    <w:rsid w:val="000C2941"/>
    <w:rsid w:val="000C3015"/>
    <w:rsid w:val="000C3C78"/>
    <w:rsid w:val="000C3D93"/>
    <w:rsid w:val="000C3DA1"/>
    <w:rsid w:val="000C3F70"/>
    <w:rsid w:val="000C4836"/>
    <w:rsid w:val="000C4BC9"/>
    <w:rsid w:val="000C57A3"/>
    <w:rsid w:val="000C5C5E"/>
    <w:rsid w:val="000C60D9"/>
    <w:rsid w:val="000C6A1F"/>
    <w:rsid w:val="000C6E40"/>
    <w:rsid w:val="000C7194"/>
    <w:rsid w:val="000C72F3"/>
    <w:rsid w:val="000D0366"/>
    <w:rsid w:val="000D19A5"/>
    <w:rsid w:val="000D1B8A"/>
    <w:rsid w:val="000D1C3B"/>
    <w:rsid w:val="000D22A3"/>
    <w:rsid w:val="000D26F4"/>
    <w:rsid w:val="000D35AA"/>
    <w:rsid w:val="000D3ACE"/>
    <w:rsid w:val="000D3F24"/>
    <w:rsid w:val="000D426F"/>
    <w:rsid w:val="000D4D0F"/>
    <w:rsid w:val="000D4D5A"/>
    <w:rsid w:val="000D5575"/>
    <w:rsid w:val="000D5B6F"/>
    <w:rsid w:val="000D67F0"/>
    <w:rsid w:val="000D6818"/>
    <w:rsid w:val="000D752A"/>
    <w:rsid w:val="000D7BC2"/>
    <w:rsid w:val="000E0065"/>
    <w:rsid w:val="000E06F4"/>
    <w:rsid w:val="000E0821"/>
    <w:rsid w:val="000E08C4"/>
    <w:rsid w:val="000E1BE2"/>
    <w:rsid w:val="000E2083"/>
    <w:rsid w:val="000E2BF1"/>
    <w:rsid w:val="000E3373"/>
    <w:rsid w:val="000E346C"/>
    <w:rsid w:val="000E3519"/>
    <w:rsid w:val="000E4447"/>
    <w:rsid w:val="000E446F"/>
    <w:rsid w:val="000E480B"/>
    <w:rsid w:val="000E48B0"/>
    <w:rsid w:val="000E4F46"/>
    <w:rsid w:val="000E5EDE"/>
    <w:rsid w:val="000E646A"/>
    <w:rsid w:val="000E7821"/>
    <w:rsid w:val="000E7891"/>
    <w:rsid w:val="000F095F"/>
    <w:rsid w:val="000F0E55"/>
    <w:rsid w:val="000F153C"/>
    <w:rsid w:val="000F21C6"/>
    <w:rsid w:val="000F2EA4"/>
    <w:rsid w:val="000F4AF4"/>
    <w:rsid w:val="000F4D81"/>
    <w:rsid w:val="000F5889"/>
    <w:rsid w:val="000F5EDB"/>
    <w:rsid w:val="000F66D7"/>
    <w:rsid w:val="000F6AD4"/>
    <w:rsid w:val="000F723D"/>
    <w:rsid w:val="000F78B7"/>
    <w:rsid w:val="000F79B7"/>
    <w:rsid w:val="000F7DBC"/>
    <w:rsid w:val="0010025D"/>
    <w:rsid w:val="001002B0"/>
    <w:rsid w:val="00100766"/>
    <w:rsid w:val="0010076C"/>
    <w:rsid w:val="00100FAF"/>
    <w:rsid w:val="001010DB"/>
    <w:rsid w:val="0010233B"/>
    <w:rsid w:val="00103648"/>
    <w:rsid w:val="001040FC"/>
    <w:rsid w:val="001051A1"/>
    <w:rsid w:val="001058F7"/>
    <w:rsid w:val="00106765"/>
    <w:rsid w:val="00106B23"/>
    <w:rsid w:val="0010724D"/>
    <w:rsid w:val="001100AF"/>
    <w:rsid w:val="001104C1"/>
    <w:rsid w:val="0011063F"/>
    <w:rsid w:val="001115A1"/>
    <w:rsid w:val="00112693"/>
    <w:rsid w:val="00113395"/>
    <w:rsid w:val="001139A3"/>
    <w:rsid w:val="00114198"/>
    <w:rsid w:val="00115911"/>
    <w:rsid w:val="001164E8"/>
    <w:rsid w:val="0011779F"/>
    <w:rsid w:val="00117815"/>
    <w:rsid w:val="00117B38"/>
    <w:rsid w:val="00120337"/>
    <w:rsid w:val="00120E09"/>
    <w:rsid w:val="0012157D"/>
    <w:rsid w:val="0012429E"/>
    <w:rsid w:val="00124A15"/>
    <w:rsid w:val="00124B85"/>
    <w:rsid w:val="00124D54"/>
    <w:rsid w:val="00125133"/>
    <w:rsid w:val="00125997"/>
    <w:rsid w:val="00125ACA"/>
    <w:rsid w:val="0012668F"/>
    <w:rsid w:val="001271BC"/>
    <w:rsid w:val="001273F9"/>
    <w:rsid w:val="001274EB"/>
    <w:rsid w:val="00127CB4"/>
    <w:rsid w:val="0013002F"/>
    <w:rsid w:val="00130B87"/>
    <w:rsid w:val="00131901"/>
    <w:rsid w:val="0013268A"/>
    <w:rsid w:val="00132899"/>
    <w:rsid w:val="00132995"/>
    <w:rsid w:val="0013530A"/>
    <w:rsid w:val="00135830"/>
    <w:rsid w:val="00135C8F"/>
    <w:rsid w:val="00136842"/>
    <w:rsid w:val="00137074"/>
    <w:rsid w:val="00137B0D"/>
    <w:rsid w:val="00137DD6"/>
    <w:rsid w:val="00140A67"/>
    <w:rsid w:val="00140B8A"/>
    <w:rsid w:val="00141235"/>
    <w:rsid w:val="00143708"/>
    <w:rsid w:val="00144C61"/>
    <w:rsid w:val="00145C83"/>
    <w:rsid w:val="00145F7A"/>
    <w:rsid w:val="00146F86"/>
    <w:rsid w:val="00147321"/>
    <w:rsid w:val="001502EA"/>
    <w:rsid w:val="00150614"/>
    <w:rsid w:val="001511AB"/>
    <w:rsid w:val="001513E1"/>
    <w:rsid w:val="00151574"/>
    <w:rsid w:val="001517B1"/>
    <w:rsid w:val="00151A01"/>
    <w:rsid w:val="001523E7"/>
    <w:rsid w:val="00152A45"/>
    <w:rsid w:val="00152D16"/>
    <w:rsid w:val="00152D8B"/>
    <w:rsid w:val="00154EEB"/>
    <w:rsid w:val="001553E8"/>
    <w:rsid w:val="00155F93"/>
    <w:rsid w:val="00156468"/>
    <w:rsid w:val="00157352"/>
    <w:rsid w:val="00157B53"/>
    <w:rsid w:val="00160D9A"/>
    <w:rsid w:val="00161110"/>
    <w:rsid w:val="00161C69"/>
    <w:rsid w:val="001623B1"/>
    <w:rsid w:val="0016267F"/>
    <w:rsid w:val="00162727"/>
    <w:rsid w:val="00162B0E"/>
    <w:rsid w:val="00162FAD"/>
    <w:rsid w:val="00163C1F"/>
    <w:rsid w:val="001641A9"/>
    <w:rsid w:val="001653F3"/>
    <w:rsid w:val="00166429"/>
    <w:rsid w:val="0016683D"/>
    <w:rsid w:val="00166F1D"/>
    <w:rsid w:val="00167287"/>
    <w:rsid w:val="00167402"/>
    <w:rsid w:val="00167410"/>
    <w:rsid w:val="00167D7E"/>
    <w:rsid w:val="00167E0D"/>
    <w:rsid w:val="00170060"/>
    <w:rsid w:val="0017009E"/>
    <w:rsid w:val="00170F73"/>
    <w:rsid w:val="001718A1"/>
    <w:rsid w:val="00171D24"/>
    <w:rsid w:val="00171EE3"/>
    <w:rsid w:val="001725F8"/>
    <w:rsid w:val="0017261A"/>
    <w:rsid w:val="00172643"/>
    <w:rsid w:val="00172A27"/>
    <w:rsid w:val="001731DD"/>
    <w:rsid w:val="00173A7C"/>
    <w:rsid w:val="00173F8D"/>
    <w:rsid w:val="00174836"/>
    <w:rsid w:val="0017497A"/>
    <w:rsid w:val="001758CD"/>
    <w:rsid w:val="00176226"/>
    <w:rsid w:val="0017728A"/>
    <w:rsid w:val="00177E14"/>
    <w:rsid w:val="00180944"/>
    <w:rsid w:val="00180963"/>
    <w:rsid w:val="00180F99"/>
    <w:rsid w:val="0018126F"/>
    <w:rsid w:val="001812EB"/>
    <w:rsid w:val="00181CB6"/>
    <w:rsid w:val="0018241F"/>
    <w:rsid w:val="00182514"/>
    <w:rsid w:val="001844A5"/>
    <w:rsid w:val="0018489F"/>
    <w:rsid w:val="00184AAD"/>
    <w:rsid w:val="00185230"/>
    <w:rsid w:val="001853DC"/>
    <w:rsid w:val="00185421"/>
    <w:rsid w:val="0018568C"/>
    <w:rsid w:val="00185C7B"/>
    <w:rsid w:val="00186F5F"/>
    <w:rsid w:val="001871D4"/>
    <w:rsid w:val="00187450"/>
    <w:rsid w:val="00187F4E"/>
    <w:rsid w:val="0019025B"/>
    <w:rsid w:val="001904FF"/>
    <w:rsid w:val="00190AD1"/>
    <w:rsid w:val="00191B31"/>
    <w:rsid w:val="00193470"/>
    <w:rsid w:val="001935AC"/>
    <w:rsid w:val="001939BB"/>
    <w:rsid w:val="00194608"/>
    <w:rsid w:val="00194CA2"/>
    <w:rsid w:val="00194F47"/>
    <w:rsid w:val="00195163"/>
    <w:rsid w:val="00195532"/>
    <w:rsid w:val="0019590E"/>
    <w:rsid w:val="00195C6B"/>
    <w:rsid w:val="001961DE"/>
    <w:rsid w:val="001963EA"/>
    <w:rsid w:val="00196C48"/>
    <w:rsid w:val="00197DCE"/>
    <w:rsid w:val="001A1906"/>
    <w:rsid w:val="001A2674"/>
    <w:rsid w:val="001A3F1F"/>
    <w:rsid w:val="001A4EC9"/>
    <w:rsid w:val="001A513B"/>
    <w:rsid w:val="001A5D33"/>
    <w:rsid w:val="001A6117"/>
    <w:rsid w:val="001A6891"/>
    <w:rsid w:val="001A6E49"/>
    <w:rsid w:val="001A74D2"/>
    <w:rsid w:val="001A78A4"/>
    <w:rsid w:val="001A794D"/>
    <w:rsid w:val="001B0618"/>
    <w:rsid w:val="001B07B3"/>
    <w:rsid w:val="001B0BB5"/>
    <w:rsid w:val="001B1785"/>
    <w:rsid w:val="001B1AEB"/>
    <w:rsid w:val="001B30AB"/>
    <w:rsid w:val="001B3A21"/>
    <w:rsid w:val="001B4458"/>
    <w:rsid w:val="001B47FB"/>
    <w:rsid w:val="001B49A5"/>
    <w:rsid w:val="001B4A43"/>
    <w:rsid w:val="001B4EC5"/>
    <w:rsid w:val="001B5BBE"/>
    <w:rsid w:val="001B6EBE"/>
    <w:rsid w:val="001B773A"/>
    <w:rsid w:val="001B7A37"/>
    <w:rsid w:val="001B7A58"/>
    <w:rsid w:val="001B7DD3"/>
    <w:rsid w:val="001B7F66"/>
    <w:rsid w:val="001C0607"/>
    <w:rsid w:val="001C06A9"/>
    <w:rsid w:val="001C0DC8"/>
    <w:rsid w:val="001C104B"/>
    <w:rsid w:val="001C1286"/>
    <w:rsid w:val="001C20E6"/>
    <w:rsid w:val="001C2CFF"/>
    <w:rsid w:val="001C2EE3"/>
    <w:rsid w:val="001C332A"/>
    <w:rsid w:val="001C34BB"/>
    <w:rsid w:val="001C5AE6"/>
    <w:rsid w:val="001C5F00"/>
    <w:rsid w:val="001C766C"/>
    <w:rsid w:val="001C7CD7"/>
    <w:rsid w:val="001C7F50"/>
    <w:rsid w:val="001D033B"/>
    <w:rsid w:val="001D0396"/>
    <w:rsid w:val="001D10CC"/>
    <w:rsid w:val="001D1287"/>
    <w:rsid w:val="001D16AD"/>
    <w:rsid w:val="001D234E"/>
    <w:rsid w:val="001D288B"/>
    <w:rsid w:val="001D2907"/>
    <w:rsid w:val="001D2B6B"/>
    <w:rsid w:val="001D30D7"/>
    <w:rsid w:val="001D35DC"/>
    <w:rsid w:val="001D4104"/>
    <w:rsid w:val="001D43C1"/>
    <w:rsid w:val="001D4626"/>
    <w:rsid w:val="001D5D81"/>
    <w:rsid w:val="001D6210"/>
    <w:rsid w:val="001D64B8"/>
    <w:rsid w:val="001D6595"/>
    <w:rsid w:val="001D6A91"/>
    <w:rsid w:val="001D6CD5"/>
    <w:rsid w:val="001D6EC1"/>
    <w:rsid w:val="001D710A"/>
    <w:rsid w:val="001E041F"/>
    <w:rsid w:val="001E080D"/>
    <w:rsid w:val="001E09F1"/>
    <w:rsid w:val="001E0C46"/>
    <w:rsid w:val="001E0F38"/>
    <w:rsid w:val="001E1863"/>
    <w:rsid w:val="001E1E07"/>
    <w:rsid w:val="001E362A"/>
    <w:rsid w:val="001E3872"/>
    <w:rsid w:val="001E3BFB"/>
    <w:rsid w:val="001E4094"/>
    <w:rsid w:val="001E43B4"/>
    <w:rsid w:val="001E4958"/>
    <w:rsid w:val="001E49E9"/>
    <w:rsid w:val="001E5233"/>
    <w:rsid w:val="001E567C"/>
    <w:rsid w:val="001E5817"/>
    <w:rsid w:val="001E6874"/>
    <w:rsid w:val="001F16FD"/>
    <w:rsid w:val="001F1B04"/>
    <w:rsid w:val="001F29BA"/>
    <w:rsid w:val="001F3A67"/>
    <w:rsid w:val="001F472E"/>
    <w:rsid w:val="001F4927"/>
    <w:rsid w:val="001F4D06"/>
    <w:rsid w:val="001F6098"/>
    <w:rsid w:val="001F6BE9"/>
    <w:rsid w:val="001F7089"/>
    <w:rsid w:val="002002EA"/>
    <w:rsid w:val="00200930"/>
    <w:rsid w:val="00201037"/>
    <w:rsid w:val="002029C7"/>
    <w:rsid w:val="0020397E"/>
    <w:rsid w:val="0020413D"/>
    <w:rsid w:val="002041E3"/>
    <w:rsid w:val="00204484"/>
    <w:rsid w:val="002045B8"/>
    <w:rsid w:val="00204A19"/>
    <w:rsid w:val="002061AD"/>
    <w:rsid w:val="00206BAB"/>
    <w:rsid w:val="00206BAF"/>
    <w:rsid w:val="0020753C"/>
    <w:rsid w:val="00210274"/>
    <w:rsid w:val="002102EF"/>
    <w:rsid w:val="00211448"/>
    <w:rsid w:val="00211A63"/>
    <w:rsid w:val="00211E5C"/>
    <w:rsid w:val="002139F4"/>
    <w:rsid w:val="00213A6D"/>
    <w:rsid w:val="00214937"/>
    <w:rsid w:val="00215394"/>
    <w:rsid w:val="00215CF1"/>
    <w:rsid w:val="002161A4"/>
    <w:rsid w:val="002175BB"/>
    <w:rsid w:val="002178A8"/>
    <w:rsid w:val="00217AEA"/>
    <w:rsid w:val="00220C6B"/>
    <w:rsid w:val="002232BA"/>
    <w:rsid w:val="00224552"/>
    <w:rsid w:val="00224F3F"/>
    <w:rsid w:val="00225932"/>
    <w:rsid w:val="002261A8"/>
    <w:rsid w:val="00226C0F"/>
    <w:rsid w:val="00226EA6"/>
    <w:rsid w:val="002271F1"/>
    <w:rsid w:val="00227365"/>
    <w:rsid w:val="00227724"/>
    <w:rsid w:val="00227E04"/>
    <w:rsid w:val="00227E2C"/>
    <w:rsid w:val="00230CC7"/>
    <w:rsid w:val="002313DB"/>
    <w:rsid w:val="00231D7F"/>
    <w:rsid w:val="0023221D"/>
    <w:rsid w:val="0023227E"/>
    <w:rsid w:val="0023331B"/>
    <w:rsid w:val="002337EC"/>
    <w:rsid w:val="002338AD"/>
    <w:rsid w:val="0023396D"/>
    <w:rsid w:val="00233C15"/>
    <w:rsid w:val="00233EFF"/>
    <w:rsid w:val="0023424C"/>
    <w:rsid w:val="00234F6E"/>
    <w:rsid w:val="00235A07"/>
    <w:rsid w:val="00235CD0"/>
    <w:rsid w:val="00235D7E"/>
    <w:rsid w:val="0023696C"/>
    <w:rsid w:val="00237BD9"/>
    <w:rsid w:val="002407D1"/>
    <w:rsid w:val="00240C78"/>
    <w:rsid w:val="00240F46"/>
    <w:rsid w:val="0024161B"/>
    <w:rsid w:val="0024192D"/>
    <w:rsid w:val="00242098"/>
    <w:rsid w:val="002425B7"/>
    <w:rsid w:val="002434D8"/>
    <w:rsid w:val="00243AF3"/>
    <w:rsid w:val="002441BB"/>
    <w:rsid w:val="00245168"/>
    <w:rsid w:val="0024530A"/>
    <w:rsid w:val="002453B7"/>
    <w:rsid w:val="00246D9E"/>
    <w:rsid w:val="00247056"/>
    <w:rsid w:val="002470B6"/>
    <w:rsid w:val="00247616"/>
    <w:rsid w:val="002478EB"/>
    <w:rsid w:val="00247969"/>
    <w:rsid w:val="00247A8A"/>
    <w:rsid w:val="002509D5"/>
    <w:rsid w:val="00250EB8"/>
    <w:rsid w:val="002523CD"/>
    <w:rsid w:val="00252621"/>
    <w:rsid w:val="00253224"/>
    <w:rsid w:val="00253A4E"/>
    <w:rsid w:val="00253DF3"/>
    <w:rsid w:val="00253EF1"/>
    <w:rsid w:val="002544A7"/>
    <w:rsid w:val="00254887"/>
    <w:rsid w:val="00254EAD"/>
    <w:rsid w:val="00254FD9"/>
    <w:rsid w:val="002550DB"/>
    <w:rsid w:val="0025533A"/>
    <w:rsid w:val="00256234"/>
    <w:rsid w:val="0025641B"/>
    <w:rsid w:val="002566F0"/>
    <w:rsid w:val="00256F76"/>
    <w:rsid w:val="00257121"/>
    <w:rsid w:val="00257880"/>
    <w:rsid w:val="00260090"/>
    <w:rsid w:val="002619E1"/>
    <w:rsid w:val="00261B24"/>
    <w:rsid w:val="002627F5"/>
    <w:rsid w:val="00263CB2"/>
    <w:rsid w:val="00264679"/>
    <w:rsid w:val="00264832"/>
    <w:rsid w:val="00265007"/>
    <w:rsid w:val="0026564E"/>
    <w:rsid w:val="00265989"/>
    <w:rsid w:val="00265D1F"/>
    <w:rsid w:val="00267047"/>
    <w:rsid w:val="002676C0"/>
    <w:rsid w:val="00267FDC"/>
    <w:rsid w:val="002702B7"/>
    <w:rsid w:val="00270A75"/>
    <w:rsid w:val="00270AE3"/>
    <w:rsid w:val="00271142"/>
    <w:rsid w:val="00271461"/>
    <w:rsid w:val="002714A4"/>
    <w:rsid w:val="00272698"/>
    <w:rsid w:val="002727CF"/>
    <w:rsid w:val="00272964"/>
    <w:rsid w:val="00272D68"/>
    <w:rsid w:val="00272F2C"/>
    <w:rsid w:val="00273600"/>
    <w:rsid w:val="00273AC2"/>
    <w:rsid w:val="00273E9C"/>
    <w:rsid w:val="0027401C"/>
    <w:rsid w:val="002745F3"/>
    <w:rsid w:val="0027464B"/>
    <w:rsid w:val="002753A4"/>
    <w:rsid w:val="00275976"/>
    <w:rsid w:val="00275C90"/>
    <w:rsid w:val="002764B3"/>
    <w:rsid w:val="00276A28"/>
    <w:rsid w:val="00276BF3"/>
    <w:rsid w:val="00277246"/>
    <w:rsid w:val="00277369"/>
    <w:rsid w:val="00277FEA"/>
    <w:rsid w:val="00280A6F"/>
    <w:rsid w:val="002812A7"/>
    <w:rsid w:val="00283022"/>
    <w:rsid w:val="002832E3"/>
    <w:rsid w:val="00284336"/>
    <w:rsid w:val="00284510"/>
    <w:rsid w:val="00285190"/>
    <w:rsid w:val="002854C5"/>
    <w:rsid w:val="00285ADC"/>
    <w:rsid w:val="00286368"/>
    <w:rsid w:val="00286398"/>
    <w:rsid w:val="00286C98"/>
    <w:rsid w:val="00286EAD"/>
    <w:rsid w:val="00287668"/>
    <w:rsid w:val="002900F9"/>
    <w:rsid w:val="00290702"/>
    <w:rsid w:val="00290932"/>
    <w:rsid w:val="0029093F"/>
    <w:rsid w:val="0029094E"/>
    <w:rsid w:val="00290BBD"/>
    <w:rsid w:val="00290CBC"/>
    <w:rsid w:val="002920D2"/>
    <w:rsid w:val="002929D2"/>
    <w:rsid w:val="002931AE"/>
    <w:rsid w:val="00293610"/>
    <w:rsid w:val="002942C3"/>
    <w:rsid w:val="00294B9B"/>
    <w:rsid w:val="00294B9F"/>
    <w:rsid w:val="002950F9"/>
    <w:rsid w:val="00295374"/>
    <w:rsid w:val="002954B6"/>
    <w:rsid w:val="00296A2F"/>
    <w:rsid w:val="00296A72"/>
    <w:rsid w:val="00296AE7"/>
    <w:rsid w:val="002A0533"/>
    <w:rsid w:val="002A09F8"/>
    <w:rsid w:val="002A1D17"/>
    <w:rsid w:val="002A22BF"/>
    <w:rsid w:val="002A39EB"/>
    <w:rsid w:val="002A3AB5"/>
    <w:rsid w:val="002A3C9A"/>
    <w:rsid w:val="002A3E13"/>
    <w:rsid w:val="002A4A95"/>
    <w:rsid w:val="002A67D2"/>
    <w:rsid w:val="002B0D5D"/>
    <w:rsid w:val="002B142C"/>
    <w:rsid w:val="002B19D5"/>
    <w:rsid w:val="002B2AD6"/>
    <w:rsid w:val="002B2EBA"/>
    <w:rsid w:val="002B34DF"/>
    <w:rsid w:val="002B387F"/>
    <w:rsid w:val="002B3B24"/>
    <w:rsid w:val="002B3D7C"/>
    <w:rsid w:val="002B53AC"/>
    <w:rsid w:val="002B5C98"/>
    <w:rsid w:val="002B617B"/>
    <w:rsid w:val="002B6658"/>
    <w:rsid w:val="002B6B5A"/>
    <w:rsid w:val="002B7255"/>
    <w:rsid w:val="002B72A2"/>
    <w:rsid w:val="002C0D01"/>
    <w:rsid w:val="002C0EA8"/>
    <w:rsid w:val="002C21E2"/>
    <w:rsid w:val="002C2F47"/>
    <w:rsid w:val="002C3ABB"/>
    <w:rsid w:val="002C4399"/>
    <w:rsid w:val="002C4E20"/>
    <w:rsid w:val="002C4E95"/>
    <w:rsid w:val="002C4F75"/>
    <w:rsid w:val="002C4FB1"/>
    <w:rsid w:val="002C51E1"/>
    <w:rsid w:val="002C6909"/>
    <w:rsid w:val="002C6BF4"/>
    <w:rsid w:val="002C6CA2"/>
    <w:rsid w:val="002C7EC8"/>
    <w:rsid w:val="002C7F36"/>
    <w:rsid w:val="002C7F49"/>
    <w:rsid w:val="002D06D2"/>
    <w:rsid w:val="002D11B1"/>
    <w:rsid w:val="002D131E"/>
    <w:rsid w:val="002D13EF"/>
    <w:rsid w:val="002D161C"/>
    <w:rsid w:val="002D1756"/>
    <w:rsid w:val="002D1C71"/>
    <w:rsid w:val="002D1C80"/>
    <w:rsid w:val="002D22A8"/>
    <w:rsid w:val="002D28FA"/>
    <w:rsid w:val="002D31DB"/>
    <w:rsid w:val="002D3772"/>
    <w:rsid w:val="002D42F5"/>
    <w:rsid w:val="002D4403"/>
    <w:rsid w:val="002D6914"/>
    <w:rsid w:val="002D6B72"/>
    <w:rsid w:val="002D6BC0"/>
    <w:rsid w:val="002D75AC"/>
    <w:rsid w:val="002E03E8"/>
    <w:rsid w:val="002E0424"/>
    <w:rsid w:val="002E0978"/>
    <w:rsid w:val="002E29A1"/>
    <w:rsid w:val="002E2D0E"/>
    <w:rsid w:val="002E307D"/>
    <w:rsid w:val="002E3194"/>
    <w:rsid w:val="002E3D0A"/>
    <w:rsid w:val="002E4444"/>
    <w:rsid w:val="002E452B"/>
    <w:rsid w:val="002E4942"/>
    <w:rsid w:val="002E5351"/>
    <w:rsid w:val="002E5B83"/>
    <w:rsid w:val="002E5EB5"/>
    <w:rsid w:val="002E689A"/>
    <w:rsid w:val="002E6A3E"/>
    <w:rsid w:val="002E6C52"/>
    <w:rsid w:val="002E73AC"/>
    <w:rsid w:val="002E73E0"/>
    <w:rsid w:val="002E7B49"/>
    <w:rsid w:val="002F0A59"/>
    <w:rsid w:val="002F1CA7"/>
    <w:rsid w:val="002F1E6B"/>
    <w:rsid w:val="002F315B"/>
    <w:rsid w:val="002F3A3D"/>
    <w:rsid w:val="002F4B56"/>
    <w:rsid w:val="002F5B14"/>
    <w:rsid w:val="002F5D21"/>
    <w:rsid w:val="002F656A"/>
    <w:rsid w:val="002F72E1"/>
    <w:rsid w:val="002F7B4D"/>
    <w:rsid w:val="00300115"/>
    <w:rsid w:val="003005A0"/>
    <w:rsid w:val="003013D5"/>
    <w:rsid w:val="003018FB"/>
    <w:rsid w:val="00302064"/>
    <w:rsid w:val="003020EB"/>
    <w:rsid w:val="00302493"/>
    <w:rsid w:val="00302A5F"/>
    <w:rsid w:val="0030360F"/>
    <w:rsid w:val="00303C3B"/>
    <w:rsid w:val="0030431A"/>
    <w:rsid w:val="0030463A"/>
    <w:rsid w:val="00304B43"/>
    <w:rsid w:val="00304E5D"/>
    <w:rsid w:val="00305B0D"/>
    <w:rsid w:val="003068E2"/>
    <w:rsid w:val="00306B31"/>
    <w:rsid w:val="00307018"/>
    <w:rsid w:val="0030705B"/>
    <w:rsid w:val="00307460"/>
    <w:rsid w:val="00307905"/>
    <w:rsid w:val="003102CA"/>
    <w:rsid w:val="003103A5"/>
    <w:rsid w:val="00310438"/>
    <w:rsid w:val="00310CA6"/>
    <w:rsid w:val="00311000"/>
    <w:rsid w:val="0031117F"/>
    <w:rsid w:val="003114D6"/>
    <w:rsid w:val="003118DD"/>
    <w:rsid w:val="00311EDE"/>
    <w:rsid w:val="003135B5"/>
    <w:rsid w:val="00313C87"/>
    <w:rsid w:val="00313CA1"/>
    <w:rsid w:val="00314FD6"/>
    <w:rsid w:val="00315B1F"/>
    <w:rsid w:val="00315CEA"/>
    <w:rsid w:val="003162A8"/>
    <w:rsid w:val="00317963"/>
    <w:rsid w:val="00317D75"/>
    <w:rsid w:val="00317E4F"/>
    <w:rsid w:val="00317FBE"/>
    <w:rsid w:val="0032069D"/>
    <w:rsid w:val="00320F92"/>
    <w:rsid w:val="00322A4B"/>
    <w:rsid w:val="00322ABA"/>
    <w:rsid w:val="00322D5A"/>
    <w:rsid w:val="00322E3B"/>
    <w:rsid w:val="00323FFA"/>
    <w:rsid w:val="003247A4"/>
    <w:rsid w:val="0032494F"/>
    <w:rsid w:val="00324BE3"/>
    <w:rsid w:val="003256F2"/>
    <w:rsid w:val="00325D48"/>
    <w:rsid w:val="00326908"/>
    <w:rsid w:val="00326992"/>
    <w:rsid w:val="0032724E"/>
    <w:rsid w:val="003300A5"/>
    <w:rsid w:val="00330F43"/>
    <w:rsid w:val="00331314"/>
    <w:rsid w:val="00331C60"/>
    <w:rsid w:val="0033216E"/>
    <w:rsid w:val="00332B41"/>
    <w:rsid w:val="00332B59"/>
    <w:rsid w:val="00332C9D"/>
    <w:rsid w:val="00332E93"/>
    <w:rsid w:val="00334CE4"/>
    <w:rsid w:val="003352DB"/>
    <w:rsid w:val="0033583D"/>
    <w:rsid w:val="00335993"/>
    <w:rsid w:val="00336052"/>
    <w:rsid w:val="0033651E"/>
    <w:rsid w:val="003366D8"/>
    <w:rsid w:val="003374EF"/>
    <w:rsid w:val="00337AF7"/>
    <w:rsid w:val="00337C7C"/>
    <w:rsid w:val="0034119C"/>
    <w:rsid w:val="00341238"/>
    <w:rsid w:val="0034269E"/>
    <w:rsid w:val="00342884"/>
    <w:rsid w:val="003430BA"/>
    <w:rsid w:val="003433F5"/>
    <w:rsid w:val="00343FD4"/>
    <w:rsid w:val="00344AD4"/>
    <w:rsid w:val="00344ECB"/>
    <w:rsid w:val="00346ED9"/>
    <w:rsid w:val="0034706E"/>
    <w:rsid w:val="00347767"/>
    <w:rsid w:val="003477A8"/>
    <w:rsid w:val="003479EA"/>
    <w:rsid w:val="00350696"/>
    <w:rsid w:val="00350D8A"/>
    <w:rsid w:val="003515DC"/>
    <w:rsid w:val="00351BDA"/>
    <w:rsid w:val="003522C7"/>
    <w:rsid w:val="0035250F"/>
    <w:rsid w:val="0035330F"/>
    <w:rsid w:val="0035378E"/>
    <w:rsid w:val="00353BC0"/>
    <w:rsid w:val="00354166"/>
    <w:rsid w:val="003554F3"/>
    <w:rsid w:val="00355625"/>
    <w:rsid w:val="00355905"/>
    <w:rsid w:val="00356E45"/>
    <w:rsid w:val="003570D3"/>
    <w:rsid w:val="003576D3"/>
    <w:rsid w:val="00357CF4"/>
    <w:rsid w:val="00360A42"/>
    <w:rsid w:val="00360DFC"/>
    <w:rsid w:val="00360E16"/>
    <w:rsid w:val="00360F67"/>
    <w:rsid w:val="003613FB"/>
    <w:rsid w:val="00362531"/>
    <w:rsid w:val="003625AD"/>
    <w:rsid w:val="00362A57"/>
    <w:rsid w:val="003632B6"/>
    <w:rsid w:val="003637B5"/>
    <w:rsid w:val="0036417D"/>
    <w:rsid w:val="00364238"/>
    <w:rsid w:val="003644AC"/>
    <w:rsid w:val="003645B1"/>
    <w:rsid w:val="00364A78"/>
    <w:rsid w:val="00364CC2"/>
    <w:rsid w:val="00365A5D"/>
    <w:rsid w:val="0036634E"/>
    <w:rsid w:val="003677E8"/>
    <w:rsid w:val="003679A7"/>
    <w:rsid w:val="00370761"/>
    <w:rsid w:val="0037147A"/>
    <w:rsid w:val="003715C5"/>
    <w:rsid w:val="003723FB"/>
    <w:rsid w:val="00372ADB"/>
    <w:rsid w:val="003730FD"/>
    <w:rsid w:val="00373D60"/>
    <w:rsid w:val="003744D5"/>
    <w:rsid w:val="00375192"/>
    <w:rsid w:val="003751A5"/>
    <w:rsid w:val="003754E2"/>
    <w:rsid w:val="00375ABC"/>
    <w:rsid w:val="00376AE7"/>
    <w:rsid w:val="00376B3D"/>
    <w:rsid w:val="00377DA7"/>
    <w:rsid w:val="00380554"/>
    <w:rsid w:val="0038058C"/>
    <w:rsid w:val="0038129D"/>
    <w:rsid w:val="00381368"/>
    <w:rsid w:val="00382480"/>
    <w:rsid w:val="00382DB1"/>
    <w:rsid w:val="00382EC6"/>
    <w:rsid w:val="00383836"/>
    <w:rsid w:val="0038427C"/>
    <w:rsid w:val="00384325"/>
    <w:rsid w:val="003849B5"/>
    <w:rsid w:val="0038523C"/>
    <w:rsid w:val="00385457"/>
    <w:rsid w:val="00386056"/>
    <w:rsid w:val="0038704B"/>
    <w:rsid w:val="00387819"/>
    <w:rsid w:val="0038790D"/>
    <w:rsid w:val="00387DF3"/>
    <w:rsid w:val="003901AD"/>
    <w:rsid w:val="0039099F"/>
    <w:rsid w:val="00390A86"/>
    <w:rsid w:val="00390F9E"/>
    <w:rsid w:val="00391369"/>
    <w:rsid w:val="00391BD5"/>
    <w:rsid w:val="00391D0A"/>
    <w:rsid w:val="00391FE8"/>
    <w:rsid w:val="00392143"/>
    <w:rsid w:val="00392810"/>
    <w:rsid w:val="00393407"/>
    <w:rsid w:val="0039356D"/>
    <w:rsid w:val="00393A05"/>
    <w:rsid w:val="003942D8"/>
    <w:rsid w:val="003952DA"/>
    <w:rsid w:val="00395417"/>
    <w:rsid w:val="003957F7"/>
    <w:rsid w:val="003957FB"/>
    <w:rsid w:val="00397320"/>
    <w:rsid w:val="00397552"/>
    <w:rsid w:val="00397735"/>
    <w:rsid w:val="003A0193"/>
    <w:rsid w:val="003A0AB3"/>
    <w:rsid w:val="003A1570"/>
    <w:rsid w:val="003A16D2"/>
    <w:rsid w:val="003A20F8"/>
    <w:rsid w:val="003A2331"/>
    <w:rsid w:val="003A2F74"/>
    <w:rsid w:val="003A3763"/>
    <w:rsid w:val="003A3836"/>
    <w:rsid w:val="003A40CF"/>
    <w:rsid w:val="003A43CD"/>
    <w:rsid w:val="003A503C"/>
    <w:rsid w:val="003A5214"/>
    <w:rsid w:val="003A58C8"/>
    <w:rsid w:val="003A5B39"/>
    <w:rsid w:val="003A6242"/>
    <w:rsid w:val="003A6B11"/>
    <w:rsid w:val="003A6DA9"/>
    <w:rsid w:val="003A76C3"/>
    <w:rsid w:val="003B0AEB"/>
    <w:rsid w:val="003B15A4"/>
    <w:rsid w:val="003B19CC"/>
    <w:rsid w:val="003B1CDE"/>
    <w:rsid w:val="003B1EF8"/>
    <w:rsid w:val="003B240C"/>
    <w:rsid w:val="003B2B51"/>
    <w:rsid w:val="003B2E3C"/>
    <w:rsid w:val="003B3D80"/>
    <w:rsid w:val="003B523A"/>
    <w:rsid w:val="003B57F1"/>
    <w:rsid w:val="003B6981"/>
    <w:rsid w:val="003B7CA1"/>
    <w:rsid w:val="003C0336"/>
    <w:rsid w:val="003C0382"/>
    <w:rsid w:val="003C0539"/>
    <w:rsid w:val="003C0FFF"/>
    <w:rsid w:val="003C1FA5"/>
    <w:rsid w:val="003C2A47"/>
    <w:rsid w:val="003C2F8A"/>
    <w:rsid w:val="003C3CA5"/>
    <w:rsid w:val="003C4FF2"/>
    <w:rsid w:val="003C5AF6"/>
    <w:rsid w:val="003C616E"/>
    <w:rsid w:val="003C7A62"/>
    <w:rsid w:val="003D0C7E"/>
    <w:rsid w:val="003D1300"/>
    <w:rsid w:val="003D1866"/>
    <w:rsid w:val="003D2BCC"/>
    <w:rsid w:val="003D2E7F"/>
    <w:rsid w:val="003D306F"/>
    <w:rsid w:val="003D387A"/>
    <w:rsid w:val="003D38B3"/>
    <w:rsid w:val="003D41CC"/>
    <w:rsid w:val="003D41D9"/>
    <w:rsid w:val="003D471D"/>
    <w:rsid w:val="003D5C3F"/>
    <w:rsid w:val="003D5F70"/>
    <w:rsid w:val="003D6360"/>
    <w:rsid w:val="003D7512"/>
    <w:rsid w:val="003D7880"/>
    <w:rsid w:val="003E047A"/>
    <w:rsid w:val="003E089E"/>
    <w:rsid w:val="003E1013"/>
    <w:rsid w:val="003E1240"/>
    <w:rsid w:val="003E1949"/>
    <w:rsid w:val="003E201B"/>
    <w:rsid w:val="003E2423"/>
    <w:rsid w:val="003E24A4"/>
    <w:rsid w:val="003E26A4"/>
    <w:rsid w:val="003E3812"/>
    <w:rsid w:val="003E45AB"/>
    <w:rsid w:val="003E49B3"/>
    <w:rsid w:val="003E5757"/>
    <w:rsid w:val="003E588A"/>
    <w:rsid w:val="003E58EF"/>
    <w:rsid w:val="003E65BA"/>
    <w:rsid w:val="003E722A"/>
    <w:rsid w:val="003F0AC7"/>
    <w:rsid w:val="003F0E03"/>
    <w:rsid w:val="003F0E42"/>
    <w:rsid w:val="003F11CF"/>
    <w:rsid w:val="003F1640"/>
    <w:rsid w:val="003F2267"/>
    <w:rsid w:val="003F2280"/>
    <w:rsid w:val="003F36D0"/>
    <w:rsid w:val="003F3713"/>
    <w:rsid w:val="003F3CD1"/>
    <w:rsid w:val="003F471A"/>
    <w:rsid w:val="003F4FC4"/>
    <w:rsid w:val="003F5018"/>
    <w:rsid w:val="003F604C"/>
    <w:rsid w:val="00400653"/>
    <w:rsid w:val="0040069A"/>
    <w:rsid w:val="0040079A"/>
    <w:rsid w:val="004010F6"/>
    <w:rsid w:val="00401404"/>
    <w:rsid w:val="0040220F"/>
    <w:rsid w:val="004027D3"/>
    <w:rsid w:val="00403595"/>
    <w:rsid w:val="004037FF"/>
    <w:rsid w:val="00404149"/>
    <w:rsid w:val="00404500"/>
    <w:rsid w:val="00404592"/>
    <w:rsid w:val="00405238"/>
    <w:rsid w:val="004055FE"/>
    <w:rsid w:val="00405B0F"/>
    <w:rsid w:val="00406678"/>
    <w:rsid w:val="004076C5"/>
    <w:rsid w:val="004079DE"/>
    <w:rsid w:val="00410B01"/>
    <w:rsid w:val="00411DEB"/>
    <w:rsid w:val="00411EFF"/>
    <w:rsid w:val="004121A0"/>
    <w:rsid w:val="0041243D"/>
    <w:rsid w:val="00412834"/>
    <w:rsid w:val="004141D8"/>
    <w:rsid w:val="00414B59"/>
    <w:rsid w:val="00415265"/>
    <w:rsid w:val="00415D32"/>
    <w:rsid w:val="00416351"/>
    <w:rsid w:val="004164B9"/>
    <w:rsid w:val="00416D09"/>
    <w:rsid w:val="00417196"/>
    <w:rsid w:val="004176F8"/>
    <w:rsid w:val="00417902"/>
    <w:rsid w:val="00420886"/>
    <w:rsid w:val="00420988"/>
    <w:rsid w:val="00420BBF"/>
    <w:rsid w:val="00421185"/>
    <w:rsid w:val="00421314"/>
    <w:rsid w:val="00421576"/>
    <w:rsid w:val="00422147"/>
    <w:rsid w:val="00422411"/>
    <w:rsid w:val="00422770"/>
    <w:rsid w:val="00422884"/>
    <w:rsid w:val="00422BD2"/>
    <w:rsid w:val="00422C2B"/>
    <w:rsid w:val="00423C72"/>
    <w:rsid w:val="00424F31"/>
    <w:rsid w:val="004258B8"/>
    <w:rsid w:val="00426697"/>
    <w:rsid w:val="00426BB7"/>
    <w:rsid w:val="00430259"/>
    <w:rsid w:val="0043111B"/>
    <w:rsid w:val="0043190D"/>
    <w:rsid w:val="00432A56"/>
    <w:rsid w:val="00432F57"/>
    <w:rsid w:val="00434589"/>
    <w:rsid w:val="00435C64"/>
    <w:rsid w:val="0043619A"/>
    <w:rsid w:val="00436486"/>
    <w:rsid w:val="00436909"/>
    <w:rsid w:val="004414B3"/>
    <w:rsid w:val="00441523"/>
    <w:rsid w:val="00441958"/>
    <w:rsid w:val="0044295A"/>
    <w:rsid w:val="00442E81"/>
    <w:rsid w:val="004431D8"/>
    <w:rsid w:val="00443AC5"/>
    <w:rsid w:val="00443CB8"/>
    <w:rsid w:val="00443DF3"/>
    <w:rsid w:val="00443E5E"/>
    <w:rsid w:val="00443E78"/>
    <w:rsid w:val="00443F47"/>
    <w:rsid w:val="00444014"/>
    <w:rsid w:val="0044498D"/>
    <w:rsid w:val="00445207"/>
    <w:rsid w:val="00445BE8"/>
    <w:rsid w:val="00445F32"/>
    <w:rsid w:val="0044657C"/>
    <w:rsid w:val="00446688"/>
    <w:rsid w:val="00446CDA"/>
    <w:rsid w:val="004472D7"/>
    <w:rsid w:val="00447805"/>
    <w:rsid w:val="00450B24"/>
    <w:rsid w:val="00451492"/>
    <w:rsid w:val="004521DD"/>
    <w:rsid w:val="0045243A"/>
    <w:rsid w:val="00452B01"/>
    <w:rsid w:val="0045322E"/>
    <w:rsid w:val="00454325"/>
    <w:rsid w:val="00455444"/>
    <w:rsid w:val="004555A0"/>
    <w:rsid w:val="00455743"/>
    <w:rsid w:val="00455ACB"/>
    <w:rsid w:val="00457291"/>
    <w:rsid w:val="004579D0"/>
    <w:rsid w:val="00457DAE"/>
    <w:rsid w:val="00460451"/>
    <w:rsid w:val="00460DFE"/>
    <w:rsid w:val="00462689"/>
    <w:rsid w:val="00462E06"/>
    <w:rsid w:val="004630D1"/>
    <w:rsid w:val="00463BAD"/>
    <w:rsid w:val="00464018"/>
    <w:rsid w:val="00464112"/>
    <w:rsid w:val="00464C60"/>
    <w:rsid w:val="00465F85"/>
    <w:rsid w:val="00466CF6"/>
    <w:rsid w:val="00467E08"/>
    <w:rsid w:val="00467EF0"/>
    <w:rsid w:val="00467F52"/>
    <w:rsid w:val="0047085F"/>
    <w:rsid w:val="00470D66"/>
    <w:rsid w:val="00470FA8"/>
    <w:rsid w:val="00472800"/>
    <w:rsid w:val="00472884"/>
    <w:rsid w:val="004729D7"/>
    <w:rsid w:val="00472E7C"/>
    <w:rsid w:val="00473A69"/>
    <w:rsid w:val="0047450D"/>
    <w:rsid w:val="004750D9"/>
    <w:rsid w:val="00475264"/>
    <w:rsid w:val="00475B0E"/>
    <w:rsid w:val="00475D5D"/>
    <w:rsid w:val="00476E67"/>
    <w:rsid w:val="004774BC"/>
    <w:rsid w:val="00477844"/>
    <w:rsid w:val="004778C3"/>
    <w:rsid w:val="00477C72"/>
    <w:rsid w:val="00480476"/>
    <w:rsid w:val="004811BC"/>
    <w:rsid w:val="004813F1"/>
    <w:rsid w:val="00481E78"/>
    <w:rsid w:val="00482522"/>
    <w:rsid w:val="00483AE9"/>
    <w:rsid w:val="00484783"/>
    <w:rsid w:val="00484A20"/>
    <w:rsid w:val="004850B4"/>
    <w:rsid w:val="004850F5"/>
    <w:rsid w:val="00485FEF"/>
    <w:rsid w:val="004869FE"/>
    <w:rsid w:val="00486AF8"/>
    <w:rsid w:val="004873D8"/>
    <w:rsid w:val="00487838"/>
    <w:rsid w:val="00490060"/>
    <w:rsid w:val="00490563"/>
    <w:rsid w:val="004915C6"/>
    <w:rsid w:val="00491C09"/>
    <w:rsid w:val="004924B9"/>
    <w:rsid w:val="00492C52"/>
    <w:rsid w:val="00493200"/>
    <w:rsid w:val="00493268"/>
    <w:rsid w:val="004934DF"/>
    <w:rsid w:val="0049356B"/>
    <w:rsid w:val="00493745"/>
    <w:rsid w:val="00494021"/>
    <w:rsid w:val="004942DB"/>
    <w:rsid w:val="00494E82"/>
    <w:rsid w:val="00495751"/>
    <w:rsid w:val="00495AAA"/>
    <w:rsid w:val="00495E8B"/>
    <w:rsid w:val="00496D3C"/>
    <w:rsid w:val="004975AF"/>
    <w:rsid w:val="0049796C"/>
    <w:rsid w:val="004A009E"/>
    <w:rsid w:val="004A11DA"/>
    <w:rsid w:val="004A1F19"/>
    <w:rsid w:val="004A3E18"/>
    <w:rsid w:val="004A4100"/>
    <w:rsid w:val="004A415B"/>
    <w:rsid w:val="004A45AB"/>
    <w:rsid w:val="004A4CBD"/>
    <w:rsid w:val="004A57F5"/>
    <w:rsid w:val="004A5F0F"/>
    <w:rsid w:val="004A7176"/>
    <w:rsid w:val="004A742B"/>
    <w:rsid w:val="004A7538"/>
    <w:rsid w:val="004B08B6"/>
    <w:rsid w:val="004B194F"/>
    <w:rsid w:val="004B1EE4"/>
    <w:rsid w:val="004B3131"/>
    <w:rsid w:val="004B316E"/>
    <w:rsid w:val="004B343D"/>
    <w:rsid w:val="004B3A70"/>
    <w:rsid w:val="004B3DBD"/>
    <w:rsid w:val="004B41E7"/>
    <w:rsid w:val="004B4BD3"/>
    <w:rsid w:val="004B5182"/>
    <w:rsid w:val="004B51ED"/>
    <w:rsid w:val="004B52AC"/>
    <w:rsid w:val="004B6477"/>
    <w:rsid w:val="004B6638"/>
    <w:rsid w:val="004B6EB3"/>
    <w:rsid w:val="004B6F7D"/>
    <w:rsid w:val="004B79CE"/>
    <w:rsid w:val="004B7E1A"/>
    <w:rsid w:val="004C0160"/>
    <w:rsid w:val="004C03E2"/>
    <w:rsid w:val="004C158A"/>
    <w:rsid w:val="004C1F2B"/>
    <w:rsid w:val="004C263E"/>
    <w:rsid w:val="004C4477"/>
    <w:rsid w:val="004C4DA7"/>
    <w:rsid w:val="004C4F3A"/>
    <w:rsid w:val="004C54F8"/>
    <w:rsid w:val="004C58E9"/>
    <w:rsid w:val="004C5D51"/>
    <w:rsid w:val="004C5F7B"/>
    <w:rsid w:val="004C687B"/>
    <w:rsid w:val="004C68B4"/>
    <w:rsid w:val="004C6A76"/>
    <w:rsid w:val="004C7B65"/>
    <w:rsid w:val="004D0552"/>
    <w:rsid w:val="004D06F1"/>
    <w:rsid w:val="004D0798"/>
    <w:rsid w:val="004D1489"/>
    <w:rsid w:val="004D18B5"/>
    <w:rsid w:val="004D1D11"/>
    <w:rsid w:val="004D2324"/>
    <w:rsid w:val="004D277A"/>
    <w:rsid w:val="004D372B"/>
    <w:rsid w:val="004D3D6B"/>
    <w:rsid w:val="004D4516"/>
    <w:rsid w:val="004D46D1"/>
    <w:rsid w:val="004D4B8B"/>
    <w:rsid w:val="004D50C5"/>
    <w:rsid w:val="004D54BC"/>
    <w:rsid w:val="004D6373"/>
    <w:rsid w:val="004D6C7C"/>
    <w:rsid w:val="004D797E"/>
    <w:rsid w:val="004E01E5"/>
    <w:rsid w:val="004E095D"/>
    <w:rsid w:val="004E10A2"/>
    <w:rsid w:val="004E10EF"/>
    <w:rsid w:val="004E218D"/>
    <w:rsid w:val="004E26E9"/>
    <w:rsid w:val="004E2C9A"/>
    <w:rsid w:val="004E5195"/>
    <w:rsid w:val="004E5A69"/>
    <w:rsid w:val="004E637A"/>
    <w:rsid w:val="004E63D8"/>
    <w:rsid w:val="004E66F2"/>
    <w:rsid w:val="004E7272"/>
    <w:rsid w:val="004F012C"/>
    <w:rsid w:val="004F0C48"/>
    <w:rsid w:val="004F122B"/>
    <w:rsid w:val="004F183C"/>
    <w:rsid w:val="004F1D58"/>
    <w:rsid w:val="004F2DFA"/>
    <w:rsid w:val="004F309C"/>
    <w:rsid w:val="004F329C"/>
    <w:rsid w:val="004F381B"/>
    <w:rsid w:val="004F3BC7"/>
    <w:rsid w:val="004F3F7E"/>
    <w:rsid w:val="004F41AA"/>
    <w:rsid w:val="004F46FA"/>
    <w:rsid w:val="004F4B52"/>
    <w:rsid w:val="004F51D5"/>
    <w:rsid w:val="004F533D"/>
    <w:rsid w:val="004F53A2"/>
    <w:rsid w:val="004F5879"/>
    <w:rsid w:val="004F58D7"/>
    <w:rsid w:val="004F6ACD"/>
    <w:rsid w:val="004F7829"/>
    <w:rsid w:val="004F7BFE"/>
    <w:rsid w:val="0050028F"/>
    <w:rsid w:val="00500653"/>
    <w:rsid w:val="00501B83"/>
    <w:rsid w:val="005029E5"/>
    <w:rsid w:val="00503184"/>
    <w:rsid w:val="00503631"/>
    <w:rsid w:val="005039F5"/>
    <w:rsid w:val="00503D06"/>
    <w:rsid w:val="005048A9"/>
    <w:rsid w:val="00504CD9"/>
    <w:rsid w:val="00505AB5"/>
    <w:rsid w:val="00506311"/>
    <w:rsid w:val="005068F8"/>
    <w:rsid w:val="00506FB0"/>
    <w:rsid w:val="0050705E"/>
    <w:rsid w:val="005102CD"/>
    <w:rsid w:val="005102D7"/>
    <w:rsid w:val="0051056F"/>
    <w:rsid w:val="00510AE3"/>
    <w:rsid w:val="00510F35"/>
    <w:rsid w:val="00510F7A"/>
    <w:rsid w:val="0051249D"/>
    <w:rsid w:val="005126C7"/>
    <w:rsid w:val="0051343F"/>
    <w:rsid w:val="005140FE"/>
    <w:rsid w:val="00515201"/>
    <w:rsid w:val="005153F7"/>
    <w:rsid w:val="0051632D"/>
    <w:rsid w:val="00516F69"/>
    <w:rsid w:val="0051780B"/>
    <w:rsid w:val="00517DAF"/>
    <w:rsid w:val="0052071F"/>
    <w:rsid w:val="00520E24"/>
    <w:rsid w:val="00521026"/>
    <w:rsid w:val="00521119"/>
    <w:rsid w:val="005224CC"/>
    <w:rsid w:val="00522A86"/>
    <w:rsid w:val="00523165"/>
    <w:rsid w:val="00523289"/>
    <w:rsid w:val="00523C9E"/>
    <w:rsid w:val="005240D5"/>
    <w:rsid w:val="00524D59"/>
    <w:rsid w:val="00526078"/>
    <w:rsid w:val="00526C8E"/>
    <w:rsid w:val="00526ED0"/>
    <w:rsid w:val="00527511"/>
    <w:rsid w:val="005311F1"/>
    <w:rsid w:val="005314CB"/>
    <w:rsid w:val="005317D3"/>
    <w:rsid w:val="00532146"/>
    <w:rsid w:val="0053269F"/>
    <w:rsid w:val="00533480"/>
    <w:rsid w:val="0053349F"/>
    <w:rsid w:val="005335C3"/>
    <w:rsid w:val="00534C37"/>
    <w:rsid w:val="005351F9"/>
    <w:rsid w:val="005361A8"/>
    <w:rsid w:val="0053661A"/>
    <w:rsid w:val="00536C3B"/>
    <w:rsid w:val="00536F1D"/>
    <w:rsid w:val="0053792D"/>
    <w:rsid w:val="0054019C"/>
    <w:rsid w:val="005406BB"/>
    <w:rsid w:val="00540D09"/>
    <w:rsid w:val="00541F9B"/>
    <w:rsid w:val="00542059"/>
    <w:rsid w:val="005421C8"/>
    <w:rsid w:val="005422B7"/>
    <w:rsid w:val="005426CE"/>
    <w:rsid w:val="0054299E"/>
    <w:rsid w:val="00542C7A"/>
    <w:rsid w:val="00543262"/>
    <w:rsid w:val="00543450"/>
    <w:rsid w:val="005444A9"/>
    <w:rsid w:val="0054453F"/>
    <w:rsid w:val="00544DA7"/>
    <w:rsid w:val="00544F1E"/>
    <w:rsid w:val="0054689B"/>
    <w:rsid w:val="00546A66"/>
    <w:rsid w:val="005470C9"/>
    <w:rsid w:val="0055101E"/>
    <w:rsid w:val="005513F3"/>
    <w:rsid w:val="00551ACE"/>
    <w:rsid w:val="00552C97"/>
    <w:rsid w:val="00553753"/>
    <w:rsid w:val="00553A01"/>
    <w:rsid w:val="00554822"/>
    <w:rsid w:val="00555192"/>
    <w:rsid w:val="00555810"/>
    <w:rsid w:val="005560F1"/>
    <w:rsid w:val="0055638C"/>
    <w:rsid w:val="00557E31"/>
    <w:rsid w:val="00560355"/>
    <w:rsid w:val="00560483"/>
    <w:rsid w:val="00560EAB"/>
    <w:rsid w:val="0056131C"/>
    <w:rsid w:val="005618F9"/>
    <w:rsid w:val="00561E75"/>
    <w:rsid w:val="0056206C"/>
    <w:rsid w:val="005634DD"/>
    <w:rsid w:val="00563645"/>
    <w:rsid w:val="00563F2E"/>
    <w:rsid w:val="005643EB"/>
    <w:rsid w:val="00565340"/>
    <w:rsid w:val="0056560B"/>
    <w:rsid w:val="00565637"/>
    <w:rsid w:val="0056573B"/>
    <w:rsid w:val="00565A95"/>
    <w:rsid w:val="00567318"/>
    <w:rsid w:val="00567F4A"/>
    <w:rsid w:val="00570C87"/>
    <w:rsid w:val="00573465"/>
    <w:rsid w:val="00573619"/>
    <w:rsid w:val="00573710"/>
    <w:rsid w:val="00573B52"/>
    <w:rsid w:val="00573E0A"/>
    <w:rsid w:val="00573E21"/>
    <w:rsid w:val="00573F0D"/>
    <w:rsid w:val="00574265"/>
    <w:rsid w:val="00575211"/>
    <w:rsid w:val="00575784"/>
    <w:rsid w:val="00575BF1"/>
    <w:rsid w:val="0057634A"/>
    <w:rsid w:val="005771B8"/>
    <w:rsid w:val="0057721C"/>
    <w:rsid w:val="005778E9"/>
    <w:rsid w:val="005779CB"/>
    <w:rsid w:val="005809FD"/>
    <w:rsid w:val="00580C46"/>
    <w:rsid w:val="005815EB"/>
    <w:rsid w:val="00581A42"/>
    <w:rsid w:val="00581A90"/>
    <w:rsid w:val="00582EE7"/>
    <w:rsid w:val="00583A81"/>
    <w:rsid w:val="00585378"/>
    <w:rsid w:val="0058543C"/>
    <w:rsid w:val="00585476"/>
    <w:rsid w:val="005863B8"/>
    <w:rsid w:val="005871CB"/>
    <w:rsid w:val="00587CAD"/>
    <w:rsid w:val="00587E7E"/>
    <w:rsid w:val="005906D6"/>
    <w:rsid w:val="005914E5"/>
    <w:rsid w:val="005916C3"/>
    <w:rsid w:val="0059218C"/>
    <w:rsid w:val="005929E2"/>
    <w:rsid w:val="00592ABC"/>
    <w:rsid w:val="00592E74"/>
    <w:rsid w:val="00593241"/>
    <w:rsid w:val="00593260"/>
    <w:rsid w:val="00594781"/>
    <w:rsid w:val="00595A9C"/>
    <w:rsid w:val="00596133"/>
    <w:rsid w:val="0059650B"/>
    <w:rsid w:val="00596B13"/>
    <w:rsid w:val="00596BB5"/>
    <w:rsid w:val="00597485"/>
    <w:rsid w:val="005A0B32"/>
    <w:rsid w:val="005A11C0"/>
    <w:rsid w:val="005A3019"/>
    <w:rsid w:val="005A3040"/>
    <w:rsid w:val="005A30DD"/>
    <w:rsid w:val="005A3140"/>
    <w:rsid w:val="005A3E4B"/>
    <w:rsid w:val="005A530F"/>
    <w:rsid w:val="005A5444"/>
    <w:rsid w:val="005A74BC"/>
    <w:rsid w:val="005A74F1"/>
    <w:rsid w:val="005A786D"/>
    <w:rsid w:val="005A7E84"/>
    <w:rsid w:val="005B0204"/>
    <w:rsid w:val="005B0A11"/>
    <w:rsid w:val="005B1530"/>
    <w:rsid w:val="005B18A6"/>
    <w:rsid w:val="005B28E2"/>
    <w:rsid w:val="005B2EAF"/>
    <w:rsid w:val="005B2EBC"/>
    <w:rsid w:val="005B3433"/>
    <w:rsid w:val="005B379D"/>
    <w:rsid w:val="005B4412"/>
    <w:rsid w:val="005B4A9A"/>
    <w:rsid w:val="005B5D79"/>
    <w:rsid w:val="005B71DC"/>
    <w:rsid w:val="005B7263"/>
    <w:rsid w:val="005B754B"/>
    <w:rsid w:val="005B77A8"/>
    <w:rsid w:val="005B7CDB"/>
    <w:rsid w:val="005C04E3"/>
    <w:rsid w:val="005C0779"/>
    <w:rsid w:val="005C11F3"/>
    <w:rsid w:val="005C18AA"/>
    <w:rsid w:val="005C2773"/>
    <w:rsid w:val="005C2C1F"/>
    <w:rsid w:val="005C2F6A"/>
    <w:rsid w:val="005C569C"/>
    <w:rsid w:val="005C5FE4"/>
    <w:rsid w:val="005C71C5"/>
    <w:rsid w:val="005C7AF4"/>
    <w:rsid w:val="005D0A1B"/>
    <w:rsid w:val="005D0DA0"/>
    <w:rsid w:val="005D223B"/>
    <w:rsid w:val="005D25FA"/>
    <w:rsid w:val="005D2BF7"/>
    <w:rsid w:val="005D308B"/>
    <w:rsid w:val="005D3339"/>
    <w:rsid w:val="005D3536"/>
    <w:rsid w:val="005D3CEB"/>
    <w:rsid w:val="005D41A5"/>
    <w:rsid w:val="005D5A9D"/>
    <w:rsid w:val="005D5D71"/>
    <w:rsid w:val="005D6CE2"/>
    <w:rsid w:val="005E071D"/>
    <w:rsid w:val="005E11CD"/>
    <w:rsid w:val="005E32EE"/>
    <w:rsid w:val="005E4112"/>
    <w:rsid w:val="005E4725"/>
    <w:rsid w:val="005E4BC1"/>
    <w:rsid w:val="005E4BC4"/>
    <w:rsid w:val="005E5EC3"/>
    <w:rsid w:val="005E6553"/>
    <w:rsid w:val="005E74A3"/>
    <w:rsid w:val="005F00FE"/>
    <w:rsid w:val="005F04F6"/>
    <w:rsid w:val="005F0613"/>
    <w:rsid w:val="005F0B9F"/>
    <w:rsid w:val="005F39F8"/>
    <w:rsid w:val="005F5070"/>
    <w:rsid w:val="005F5429"/>
    <w:rsid w:val="005F55CD"/>
    <w:rsid w:val="005F5F42"/>
    <w:rsid w:val="005F69E8"/>
    <w:rsid w:val="006002DF"/>
    <w:rsid w:val="00600E71"/>
    <w:rsid w:val="00601FAC"/>
    <w:rsid w:val="006021ED"/>
    <w:rsid w:val="006024EC"/>
    <w:rsid w:val="00602CFC"/>
    <w:rsid w:val="00602D21"/>
    <w:rsid w:val="00603AB1"/>
    <w:rsid w:val="00603E62"/>
    <w:rsid w:val="00604B87"/>
    <w:rsid w:val="00605089"/>
    <w:rsid w:val="0060550C"/>
    <w:rsid w:val="006063B9"/>
    <w:rsid w:val="006065A9"/>
    <w:rsid w:val="00607702"/>
    <w:rsid w:val="006079CD"/>
    <w:rsid w:val="00607B41"/>
    <w:rsid w:val="00611113"/>
    <w:rsid w:val="0061230F"/>
    <w:rsid w:val="006127B4"/>
    <w:rsid w:val="00612857"/>
    <w:rsid w:val="00612B75"/>
    <w:rsid w:val="00612CEC"/>
    <w:rsid w:val="0061310C"/>
    <w:rsid w:val="00613879"/>
    <w:rsid w:val="006138E5"/>
    <w:rsid w:val="0061422C"/>
    <w:rsid w:val="00614844"/>
    <w:rsid w:val="00615856"/>
    <w:rsid w:val="006159AC"/>
    <w:rsid w:val="00615C7C"/>
    <w:rsid w:val="00615C89"/>
    <w:rsid w:val="00616356"/>
    <w:rsid w:val="00616860"/>
    <w:rsid w:val="00616BCA"/>
    <w:rsid w:val="00616F58"/>
    <w:rsid w:val="0062039E"/>
    <w:rsid w:val="00620CCF"/>
    <w:rsid w:val="0062149C"/>
    <w:rsid w:val="006216C3"/>
    <w:rsid w:val="00622004"/>
    <w:rsid w:val="00623B3E"/>
    <w:rsid w:val="0062422F"/>
    <w:rsid w:val="00625001"/>
    <w:rsid w:val="00625653"/>
    <w:rsid w:val="00626046"/>
    <w:rsid w:val="00626088"/>
    <w:rsid w:val="00626263"/>
    <w:rsid w:val="00626524"/>
    <w:rsid w:val="006303C7"/>
    <w:rsid w:val="00630EF4"/>
    <w:rsid w:val="00631067"/>
    <w:rsid w:val="00631BB5"/>
    <w:rsid w:val="00631CFC"/>
    <w:rsid w:val="00631DB5"/>
    <w:rsid w:val="00632D2A"/>
    <w:rsid w:val="00632D36"/>
    <w:rsid w:val="00633E03"/>
    <w:rsid w:val="006340DA"/>
    <w:rsid w:val="006343B3"/>
    <w:rsid w:val="00634535"/>
    <w:rsid w:val="00634AE7"/>
    <w:rsid w:val="0063543C"/>
    <w:rsid w:val="00635612"/>
    <w:rsid w:val="00636363"/>
    <w:rsid w:val="00636E71"/>
    <w:rsid w:val="006373A4"/>
    <w:rsid w:val="00637C1C"/>
    <w:rsid w:val="00637E2E"/>
    <w:rsid w:val="00640421"/>
    <w:rsid w:val="00640648"/>
    <w:rsid w:val="0064295C"/>
    <w:rsid w:val="006435EB"/>
    <w:rsid w:val="00643B82"/>
    <w:rsid w:val="00643EFA"/>
    <w:rsid w:val="00644056"/>
    <w:rsid w:val="00644CD7"/>
    <w:rsid w:val="00644D97"/>
    <w:rsid w:val="00646612"/>
    <w:rsid w:val="00646FBA"/>
    <w:rsid w:val="00647B3A"/>
    <w:rsid w:val="00650691"/>
    <w:rsid w:val="006506A1"/>
    <w:rsid w:val="00651FB8"/>
    <w:rsid w:val="00652152"/>
    <w:rsid w:val="00652884"/>
    <w:rsid w:val="006530EA"/>
    <w:rsid w:val="00655089"/>
    <w:rsid w:val="0065548C"/>
    <w:rsid w:val="0065582B"/>
    <w:rsid w:val="00655843"/>
    <w:rsid w:val="00655B4E"/>
    <w:rsid w:val="0066013F"/>
    <w:rsid w:val="00660183"/>
    <w:rsid w:val="00660392"/>
    <w:rsid w:val="00660647"/>
    <w:rsid w:val="00660A23"/>
    <w:rsid w:val="00661E96"/>
    <w:rsid w:val="00662136"/>
    <w:rsid w:val="006636A1"/>
    <w:rsid w:val="00663C1D"/>
    <w:rsid w:val="00663FE7"/>
    <w:rsid w:val="006650DD"/>
    <w:rsid w:val="00666470"/>
    <w:rsid w:val="00667BFC"/>
    <w:rsid w:val="0067066D"/>
    <w:rsid w:val="00672602"/>
    <w:rsid w:val="00672657"/>
    <w:rsid w:val="0067296B"/>
    <w:rsid w:val="006734FA"/>
    <w:rsid w:val="0067394F"/>
    <w:rsid w:val="00673F96"/>
    <w:rsid w:val="0067403F"/>
    <w:rsid w:val="0067438E"/>
    <w:rsid w:val="0067565C"/>
    <w:rsid w:val="006756F0"/>
    <w:rsid w:val="00675730"/>
    <w:rsid w:val="00675841"/>
    <w:rsid w:val="00675A73"/>
    <w:rsid w:val="00676256"/>
    <w:rsid w:val="006762A3"/>
    <w:rsid w:val="00676FA0"/>
    <w:rsid w:val="00676FF4"/>
    <w:rsid w:val="0067707E"/>
    <w:rsid w:val="006771FE"/>
    <w:rsid w:val="00677455"/>
    <w:rsid w:val="006800DD"/>
    <w:rsid w:val="00680821"/>
    <w:rsid w:val="006816CC"/>
    <w:rsid w:val="00681A3F"/>
    <w:rsid w:val="0068230B"/>
    <w:rsid w:val="00682BAD"/>
    <w:rsid w:val="00683B09"/>
    <w:rsid w:val="00684368"/>
    <w:rsid w:val="00684998"/>
    <w:rsid w:val="00685FE0"/>
    <w:rsid w:val="006863EA"/>
    <w:rsid w:val="00686A7D"/>
    <w:rsid w:val="00686EF9"/>
    <w:rsid w:val="006874AE"/>
    <w:rsid w:val="00687C4B"/>
    <w:rsid w:val="00687D35"/>
    <w:rsid w:val="00690740"/>
    <w:rsid w:val="00690E2E"/>
    <w:rsid w:val="006917D3"/>
    <w:rsid w:val="00691CF7"/>
    <w:rsid w:val="00691D29"/>
    <w:rsid w:val="006922EB"/>
    <w:rsid w:val="00692CA8"/>
    <w:rsid w:val="00692E17"/>
    <w:rsid w:val="0069335D"/>
    <w:rsid w:val="0069388F"/>
    <w:rsid w:val="00693D69"/>
    <w:rsid w:val="00694611"/>
    <w:rsid w:val="00694D79"/>
    <w:rsid w:val="0069543B"/>
    <w:rsid w:val="00696264"/>
    <w:rsid w:val="0069650E"/>
    <w:rsid w:val="0069660D"/>
    <w:rsid w:val="00696960"/>
    <w:rsid w:val="00696996"/>
    <w:rsid w:val="00697CB3"/>
    <w:rsid w:val="006A00B0"/>
    <w:rsid w:val="006A00E2"/>
    <w:rsid w:val="006A05A0"/>
    <w:rsid w:val="006A0EBC"/>
    <w:rsid w:val="006A18CE"/>
    <w:rsid w:val="006A22B2"/>
    <w:rsid w:val="006A234D"/>
    <w:rsid w:val="006A280F"/>
    <w:rsid w:val="006A2D88"/>
    <w:rsid w:val="006A2E56"/>
    <w:rsid w:val="006A38E7"/>
    <w:rsid w:val="006A3DE4"/>
    <w:rsid w:val="006A42E7"/>
    <w:rsid w:val="006A43BB"/>
    <w:rsid w:val="006A5FEA"/>
    <w:rsid w:val="006A6628"/>
    <w:rsid w:val="006A7388"/>
    <w:rsid w:val="006A77E4"/>
    <w:rsid w:val="006A7DDF"/>
    <w:rsid w:val="006B0061"/>
    <w:rsid w:val="006B022E"/>
    <w:rsid w:val="006B08F7"/>
    <w:rsid w:val="006B1605"/>
    <w:rsid w:val="006B207A"/>
    <w:rsid w:val="006B2526"/>
    <w:rsid w:val="006B2B77"/>
    <w:rsid w:val="006B44FF"/>
    <w:rsid w:val="006B458C"/>
    <w:rsid w:val="006B45C0"/>
    <w:rsid w:val="006B484E"/>
    <w:rsid w:val="006B4E84"/>
    <w:rsid w:val="006B576E"/>
    <w:rsid w:val="006B5F57"/>
    <w:rsid w:val="006B614B"/>
    <w:rsid w:val="006B7A83"/>
    <w:rsid w:val="006B7B1E"/>
    <w:rsid w:val="006B7D3F"/>
    <w:rsid w:val="006C04C2"/>
    <w:rsid w:val="006C0F62"/>
    <w:rsid w:val="006C14B4"/>
    <w:rsid w:val="006C1C61"/>
    <w:rsid w:val="006C2194"/>
    <w:rsid w:val="006C37E7"/>
    <w:rsid w:val="006C39D0"/>
    <w:rsid w:val="006C46E0"/>
    <w:rsid w:val="006C4A9D"/>
    <w:rsid w:val="006C4FFA"/>
    <w:rsid w:val="006C5576"/>
    <w:rsid w:val="006C6922"/>
    <w:rsid w:val="006C6CB1"/>
    <w:rsid w:val="006C70A2"/>
    <w:rsid w:val="006C77BD"/>
    <w:rsid w:val="006C7FC4"/>
    <w:rsid w:val="006D071B"/>
    <w:rsid w:val="006D0803"/>
    <w:rsid w:val="006D0BBE"/>
    <w:rsid w:val="006D146E"/>
    <w:rsid w:val="006D1DAD"/>
    <w:rsid w:val="006D21DA"/>
    <w:rsid w:val="006D3057"/>
    <w:rsid w:val="006D669E"/>
    <w:rsid w:val="006D67D3"/>
    <w:rsid w:val="006D6C52"/>
    <w:rsid w:val="006D71C9"/>
    <w:rsid w:val="006E0064"/>
    <w:rsid w:val="006E0335"/>
    <w:rsid w:val="006E05F8"/>
    <w:rsid w:val="006E0657"/>
    <w:rsid w:val="006E065E"/>
    <w:rsid w:val="006E0694"/>
    <w:rsid w:val="006E0B2D"/>
    <w:rsid w:val="006E18E8"/>
    <w:rsid w:val="006E224C"/>
    <w:rsid w:val="006E267F"/>
    <w:rsid w:val="006E26AD"/>
    <w:rsid w:val="006E32DB"/>
    <w:rsid w:val="006E3EFF"/>
    <w:rsid w:val="006E48FF"/>
    <w:rsid w:val="006E499D"/>
    <w:rsid w:val="006E5DB0"/>
    <w:rsid w:val="006E6391"/>
    <w:rsid w:val="006E66D2"/>
    <w:rsid w:val="006E6DCE"/>
    <w:rsid w:val="006E7BA0"/>
    <w:rsid w:val="006E7CDD"/>
    <w:rsid w:val="006F03FD"/>
    <w:rsid w:val="006F05EC"/>
    <w:rsid w:val="006F32CD"/>
    <w:rsid w:val="006F406E"/>
    <w:rsid w:val="006F4132"/>
    <w:rsid w:val="006F494B"/>
    <w:rsid w:val="006F50F6"/>
    <w:rsid w:val="006F5634"/>
    <w:rsid w:val="006F58BE"/>
    <w:rsid w:val="006F5B7D"/>
    <w:rsid w:val="006F6016"/>
    <w:rsid w:val="006F6E3E"/>
    <w:rsid w:val="006F72FA"/>
    <w:rsid w:val="006F7745"/>
    <w:rsid w:val="006F7B7B"/>
    <w:rsid w:val="00700EF4"/>
    <w:rsid w:val="0070142E"/>
    <w:rsid w:val="00701475"/>
    <w:rsid w:val="00701AF0"/>
    <w:rsid w:val="00702570"/>
    <w:rsid w:val="00702A2E"/>
    <w:rsid w:val="00702F35"/>
    <w:rsid w:val="00703654"/>
    <w:rsid w:val="00703889"/>
    <w:rsid w:val="00703CB0"/>
    <w:rsid w:val="00703CCF"/>
    <w:rsid w:val="0070439B"/>
    <w:rsid w:val="00704AF3"/>
    <w:rsid w:val="00705958"/>
    <w:rsid w:val="00705A19"/>
    <w:rsid w:val="00706000"/>
    <w:rsid w:val="00706381"/>
    <w:rsid w:val="0070679A"/>
    <w:rsid w:val="00707B62"/>
    <w:rsid w:val="00707E48"/>
    <w:rsid w:val="00710DCB"/>
    <w:rsid w:val="007120EB"/>
    <w:rsid w:val="00712291"/>
    <w:rsid w:val="00712681"/>
    <w:rsid w:val="007126F0"/>
    <w:rsid w:val="007127F3"/>
    <w:rsid w:val="00712C31"/>
    <w:rsid w:val="00712EEC"/>
    <w:rsid w:val="007138C7"/>
    <w:rsid w:val="00714BDE"/>
    <w:rsid w:val="00714DE0"/>
    <w:rsid w:val="00714F30"/>
    <w:rsid w:val="007153A0"/>
    <w:rsid w:val="00715659"/>
    <w:rsid w:val="0071602A"/>
    <w:rsid w:val="00716945"/>
    <w:rsid w:val="00717302"/>
    <w:rsid w:val="00717A8F"/>
    <w:rsid w:val="00717F96"/>
    <w:rsid w:val="007204F3"/>
    <w:rsid w:val="00720698"/>
    <w:rsid w:val="00720A5A"/>
    <w:rsid w:val="00720CD3"/>
    <w:rsid w:val="0072175B"/>
    <w:rsid w:val="00722D1B"/>
    <w:rsid w:val="0072344E"/>
    <w:rsid w:val="00723C56"/>
    <w:rsid w:val="00723F13"/>
    <w:rsid w:val="00725485"/>
    <w:rsid w:val="00725801"/>
    <w:rsid w:val="007265A7"/>
    <w:rsid w:val="00726A28"/>
    <w:rsid w:val="0073009A"/>
    <w:rsid w:val="007309F7"/>
    <w:rsid w:val="00730AFB"/>
    <w:rsid w:val="007312A2"/>
    <w:rsid w:val="00731894"/>
    <w:rsid w:val="00731954"/>
    <w:rsid w:val="00731A7F"/>
    <w:rsid w:val="007337A0"/>
    <w:rsid w:val="007348D8"/>
    <w:rsid w:val="00735060"/>
    <w:rsid w:val="00735F82"/>
    <w:rsid w:val="00736C6C"/>
    <w:rsid w:val="00736E8A"/>
    <w:rsid w:val="00737205"/>
    <w:rsid w:val="0073728F"/>
    <w:rsid w:val="00737E8A"/>
    <w:rsid w:val="00740EB2"/>
    <w:rsid w:val="00741878"/>
    <w:rsid w:val="00741D60"/>
    <w:rsid w:val="007420D5"/>
    <w:rsid w:val="00742B26"/>
    <w:rsid w:val="0074439A"/>
    <w:rsid w:val="00744409"/>
    <w:rsid w:val="007446AE"/>
    <w:rsid w:val="00744A15"/>
    <w:rsid w:val="00745ABE"/>
    <w:rsid w:val="00745D16"/>
    <w:rsid w:val="0074721B"/>
    <w:rsid w:val="0074788B"/>
    <w:rsid w:val="00750456"/>
    <w:rsid w:val="00750586"/>
    <w:rsid w:val="007516B2"/>
    <w:rsid w:val="007518A1"/>
    <w:rsid w:val="00751CF2"/>
    <w:rsid w:val="007520B0"/>
    <w:rsid w:val="00752512"/>
    <w:rsid w:val="00753423"/>
    <w:rsid w:val="00753661"/>
    <w:rsid w:val="00753B35"/>
    <w:rsid w:val="00753E1A"/>
    <w:rsid w:val="0075404F"/>
    <w:rsid w:val="0075438E"/>
    <w:rsid w:val="00754C34"/>
    <w:rsid w:val="00754D9B"/>
    <w:rsid w:val="007550B5"/>
    <w:rsid w:val="007556A7"/>
    <w:rsid w:val="0075667C"/>
    <w:rsid w:val="007566BE"/>
    <w:rsid w:val="00756A41"/>
    <w:rsid w:val="00756C62"/>
    <w:rsid w:val="007570F6"/>
    <w:rsid w:val="007572AD"/>
    <w:rsid w:val="0075741D"/>
    <w:rsid w:val="0075742E"/>
    <w:rsid w:val="007574DC"/>
    <w:rsid w:val="0075775B"/>
    <w:rsid w:val="00760E8E"/>
    <w:rsid w:val="00761270"/>
    <w:rsid w:val="0076192F"/>
    <w:rsid w:val="00762054"/>
    <w:rsid w:val="0076234B"/>
    <w:rsid w:val="00763097"/>
    <w:rsid w:val="00763131"/>
    <w:rsid w:val="00763D72"/>
    <w:rsid w:val="00764694"/>
    <w:rsid w:val="00764DDA"/>
    <w:rsid w:val="007651A7"/>
    <w:rsid w:val="007654C4"/>
    <w:rsid w:val="00765E85"/>
    <w:rsid w:val="00766B32"/>
    <w:rsid w:val="0076737F"/>
    <w:rsid w:val="00770552"/>
    <w:rsid w:val="00770BD6"/>
    <w:rsid w:val="00771967"/>
    <w:rsid w:val="00771CCF"/>
    <w:rsid w:val="007728EC"/>
    <w:rsid w:val="00773296"/>
    <w:rsid w:val="0077437F"/>
    <w:rsid w:val="007760B6"/>
    <w:rsid w:val="007760D5"/>
    <w:rsid w:val="007763C8"/>
    <w:rsid w:val="00777076"/>
    <w:rsid w:val="00777937"/>
    <w:rsid w:val="00777DCF"/>
    <w:rsid w:val="00777E33"/>
    <w:rsid w:val="007802E7"/>
    <w:rsid w:val="00780E44"/>
    <w:rsid w:val="00781827"/>
    <w:rsid w:val="00781F08"/>
    <w:rsid w:val="007821AD"/>
    <w:rsid w:val="007827B8"/>
    <w:rsid w:val="0078343F"/>
    <w:rsid w:val="007837A5"/>
    <w:rsid w:val="00783C0F"/>
    <w:rsid w:val="0078416C"/>
    <w:rsid w:val="0078426C"/>
    <w:rsid w:val="00785311"/>
    <w:rsid w:val="00785576"/>
    <w:rsid w:val="007856C9"/>
    <w:rsid w:val="00785B89"/>
    <w:rsid w:val="00785BEA"/>
    <w:rsid w:val="007865F3"/>
    <w:rsid w:val="007867E6"/>
    <w:rsid w:val="00786B7C"/>
    <w:rsid w:val="0078759B"/>
    <w:rsid w:val="00787D11"/>
    <w:rsid w:val="007915E4"/>
    <w:rsid w:val="00791620"/>
    <w:rsid w:val="00791D09"/>
    <w:rsid w:val="00791DC2"/>
    <w:rsid w:val="0079299A"/>
    <w:rsid w:val="0079375D"/>
    <w:rsid w:val="0079467F"/>
    <w:rsid w:val="00794BAD"/>
    <w:rsid w:val="00795C93"/>
    <w:rsid w:val="00795E54"/>
    <w:rsid w:val="0079678D"/>
    <w:rsid w:val="0079688A"/>
    <w:rsid w:val="00797203"/>
    <w:rsid w:val="007A03B7"/>
    <w:rsid w:val="007A07B4"/>
    <w:rsid w:val="007A0D53"/>
    <w:rsid w:val="007A0DC2"/>
    <w:rsid w:val="007A1B48"/>
    <w:rsid w:val="007A1EB9"/>
    <w:rsid w:val="007A2004"/>
    <w:rsid w:val="007A2237"/>
    <w:rsid w:val="007A2826"/>
    <w:rsid w:val="007A2F83"/>
    <w:rsid w:val="007A3088"/>
    <w:rsid w:val="007A423B"/>
    <w:rsid w:val="007A5208"/>
    <w:rsid w:val="007A5576"/>
    <w:rsid w:val="007A5994"/>
    <w:rsid w:val="007A5A53"/>
    <w:rsid w:val="007A61B3"/>
    <w:rsid w:val="007A6284"/>
    <w:rsid w:val="007A72EB"/>
    <w:rsid w:val="007A77B6"/>
    <w:rsid w:val="007A77E9"/>
    <w:rsid w:val="007B050E"/>
    <w:rsid w:val="007B0C27"/>
    <w:rsid w:val="007B137D"/>
    <w:rsid w:val="007B1775"/>
    <w:rsid w:val="007B1AC8"/>
    <w:rsid w:val="007B1EE1"/>
    <w:rsid w:val="007B21BC"/>
    <w:rsid w:val="007B2768"/>
    <w:rsid w:val="007B2E08"/>
    <w:rsid w:val="007B3171"/>
    <w:rsid w:val="007B32F7"/>
    <w:rsid w:val="007B374D"/>
    <w:rsid w:val="007B3EBB"/>
    <w:rsid w:val="007B404A"/>
    <w:rsid w:val="007B4B56"/>
    <w:rsid w:val="007B5BAA"/>
    <w:rsid w:val="007B6005"/>
    <w:rsid w:val="007B6966"/>
    <w:rsid w:val="007C01A9"/>
    <w:rsid w:val="007C0F24"/>
    <w:rsid w:val="007C16E6"/>
    <w:rsid w:val="007C1AD2"/>
    <w:rsid w:val="007C1FEB"/>
    <w:rsid w:val="007C22ED"/>
    <w:rsid w:val="007C2380"/>
    <w:rsid w:val="007C2496"/>
    <w:rsid w:val="007C2BAB"/>
    <w:rsid w:val="007C35C2"/>
    <w:rsid w:val="007C3664"/>
    <w:rsid w:val="007C4372"/>
    <w:rsid w:val="007C43A6"/>
    <w:rsid w:val="007C4467"/>
    <w:rsid w:val="007C4507"/>
    <w:rsid w:val="007C52B6"/>
    <w:rsid w:val="007C6401"/>
    <w:rsid w:val="007C6A65"/>
    <w:rsid w:val="007C6DA5"/>
    <w:rsid w:val="007C7E42"/>
    <w:rsid w:val="007D01DC"/>
    <w:rsid w:val="007D0F81"/>
    <w:rsid w:val="007D100C"/>
    <w:rsid w:val="007D121F"/>
    <w:rsid w:val="007D1668"/>
    <w:rsid w:val="007D1D6A"/>
    <w:rsid w:val="007D1F77"/>
    <w:rsid w:val="007D2E34"/>
    <w:rsid w:val="007D2F1F"/>
    <w:rsid w:val="007D33B5"/>
    <w:rsid w:val="007D47D6"/>
    <w:rsid w:val="007D50DE"/>
    <w:rsid w:val="007D53EA"/>
    <w:rsid w:val="007D5946"/>
    <w:rsid w:val="007D6468"/>
    <w:rsid w:val="007D785D"/>
    <w:rsid w:val="007E0EFD"/>
    <w:rsid w:val="007E14C3"/>
    <w:rsid w:val="007E14CC"/>
    <w:rsid w:val="007E20CB"/>
    <w:rsid w:val="007E25F3"/>
    <w:rsid w:val="007E2616"/>
    <w:rsid w:val="007E2A6F"/>
    <w:rsid w:val="007E2B85"/>
    <w:rsid w:val="007E327A"/>
    <w:rsid w:val="007E35B0"/>
    <w:rsid w:val="007E3DCD"/>
    <w:rsid w:val="007E44F5"/>
    <w:rsid w:val="007E50A7"/>
    <w:rsid w:val="007E5232"/>
    <w:rsid w:val="007E5495"/>
    <w:rsid w:val="007E5BDE"/>
    <w:rsid w:val="007E7169"/>
    <w:rsid w:val="007F00E5"/>
    <w:rsid w:val="007F01D5"/>
    <w:rsid w:val="007F0B81"/>
    <w:rsid w:val="007F16C7"/>
    <w:rsid w:val="007F1B44"/>
    <w:rsid w:val="007F2A44"/>
    <w:rsid w:val="007F3DCA"/>
    <w:rsid w:val="007F4057"/>
    <w:rsid w:val="007F4444"/>
    <w:rsid w:val="007F4D36"/>
    <w:rsid w:val="007F5057"/>
    <w:rsid w:val="007F524C"/>
    <w:rsid w:val="007F57EF"/>
    <w:rsid w:val="007F664E"/>
    <w:rsid w:val="007F777A"/>
    <w:rsid w:val="007F7976"/>
    <w:rsid w:val="00800028"/>
    <w:rsid w:val="008008A1"/>
    <w:rsid w:val="008011E9"/>
    <w:rsid w:val="00801FC6"/>
    <w:rsid w:val="00802373"/>
    <w:rsid w:val="00802B94"/>
    <w:rsid w:val="00802E55"/>
    <w:rsid w:val="0080450A"/>
    <w:rsid w:val="00804B63"/>
    <w:rsid w:val="0080535A"/>
    <w:rsid w:val="00805A41"/>
    <w:rsid w:val="00805BA3"/>
    <w:rsid w:val="00806887"/>
    <w:rsid w:val="00807220"/>
    <w:rsid w:val="00807C1C"/>
    <w:rsid w:val="008116D2"/>
    <w:rsid w:val="00811792"/>
    <w:rsid w:val="008117BE"/>
    <w:rsid w:val="008118E8"/>
    <w:rsid w:val="00811C93"/>
    <w:rsid w:val="00812406"/>
    <w:rsid w:val="00812979"/>
    <w:rsid w:val="00812FB9"/>
    <w:rsid w:val="008138F2"/>
    <w:rsid w:val="00814A79"/>
    <w:rsid w:val="0081585E"/>
    <w:rsid w:val="00815D6B"/>
    <w:rsid w:val="008166C2"/>
    <w:rsid w:val="008172FB"/>
    <w:rsid w:val="00817971"/>
    <w:rsid w:val="00820195"/>
    <w:rsid w:val="00820584"/>
    <w:rsid w:val="0082170D"/>
    <w:rsid w:val="00822374"/>
    <w:rsid w:val="00822679"/>
    <w:rsid w:val="00823253"/>
    <w:rsid w:val="008232C3"/>
    <w:rsid w:val="00823967"/>
    <w:rsid w:val="00823BF9"/>
    <w:rsid w:val="0082414C"/>
    <w:rsid w:val="00824700"/>
    <w:rsid w:val="008247FF"/>
    <w:rsid w:val="00824FF4"/>
    <w:rsid w:val="00826238"/>
    <w:rsid w:val="00827096"/>
    <w:rsid w:val="00827BF0"/>
    <w:rsid w:val="00827C6E"/>
    <w:rsid w:val="008302D9"/>
    <w:rsid w:val="00830D8E"/>
    <w:rsid w:val="00830EDA"/>
    <w:rsid w:val="00830F4D"/>
    <w:rsid w:val="008312CB"/>
    <w:rsid w:val="00832C41"/>
    <w:rsid w:val="0083393C"/>
    <w:rsid w:val="00833AED"/>
    <w:rsid w:val="00834408"/>
    <w:rsid w:val="0083473F"/>
    <w:rsid w:val="00834B6C"/>
    <w:rsid w:val="008356D5"/>
    <w:rsid w:val="008361C4"/>
    <w:rsid w:val="00836588"/>
    <w:rsid w:val="0083661A"/>
    <w:rsid w:val="0083689D"/>
    <w:rsid w:val="00836F25"/>
    <w:rsid w:val="00837525"/>
    <w:rsid w:val="00837EE1"/>
    <w:rsid w:val="00840868"/>
    <w:rsid w:val="00841545"/>
    <w:rsid w:val="00842BB1"/>
    <w:rsid w:val="008431D3"/>
    <w:rsid w:val="00843C1A"/>
    <w:rsid w:val="00843CDD"/>
    <w:rsid w:val="00843F5A"/>
    <w:rsid w:val="008448A4"/>
    <w:rsid w:val="00845311"/>
    <w:rsid w:val="00846F3A"/>
    <w:rsid w:val="00847110"/>
    <w:rsid w:val="0084764E"/>
    <w:rsid w:val="00847775"/>
    <w:rsid w:val="0085020E"/>
    <w:rsid w:val="00850331"/>
    <w:rsid w:val="008504B9"/>
    <w:rsid w:val="00851570"/>
    <w:rsid w:val="0085210B"/>
    <w:rsid w:val="00852189"/>
    <w:rsid w:val="00853598"/>
    <w:rsid w:val="00853B0C"/>
    <w:rsid w:val="00853DC0"/>
    <w:rsid w:val="00853FE1"/>
    <w:rsid w:val="00854087"/>
    <w:rsid w:val="00854537"/>
    <w:rsid w:val="00854B1A"/>
    <w:rsid w:val="00854FAD"/>
    <w:rsid w:val="00855296"/>
    <w:rsid w:val="0085575E"/>
    <w:rsid w:val="0085584E"/>
    <w:rsid w:val="00856F28"/>
    <w:rsid w:val="00860CAD"/>
    <w:rsid w:val="008610EE"/>
    <w:rsid w:val="00861167"/>
    <w:rsid w:val="008615BA"/>
    <w:rsid w:val="008617BC"/>
    <w:rsid w:val="00861C0B"/>
    <w:rsid w:val="00862B06"/>
    <w:rsid w:val="00862D19"/>
    <w:rsid w:val="008631C1"/>
    <w:rsid w:val="00863C21"/>
    <w:rsid w:val="0086465F"/>
    <w:rsid w:val="008647D1"/>
    <w:rsid w:val="008647DF"/>
    <w:rsid w:val="00865553"/>
    <w:rsid w:val="00865577"/>
    <w:rsid w:val="00866395"/>
    <w:rsid w:val="0087061B"/>
    <w:rsid w:val="0087091E"/>
    <w:rsid w:val="00870DE2"/>
    <w:rsid w:val="0087101D"/>
    <w:rsid w:val="00872E30"/>
    <w:rsid w:val="00873105"/>
    <w:rsid w:val="008734D7"/>
    <w:rsid w:val="0087361F"/>
    <w:rsid w:val="00873786"/>
    <w:rsid w:val="0087486B"/>
    <w:rsid w:val="00875239"/>
    <w:rsid w:val="008753FE"/>
    <w:rsid w:val="00875B9C"/>
    <w:rsid w:val="00875BAE"/>
    <w:rsid w:val="00876097"/>
    <w:rsid w:val="008762AE"/>
    <w:rsid w:val="0087652D"/>
    <w:rsid w:val="008767B7"/>
    <w:rsid w:val="00876853"/>
    <w:rsid w:val="00876912"/>
    <w:rsid w:val="00876AE3"/>
    <w:rsid w:val="00876B0E"/>
    <w:rsid w:val="0087719D"/>
    <w:rsid w:val="008776A6"/>
    <w:rsid w:val="00877A60"/>
    <w:rsid w:val="008802B6"/>
    <w:rsid w:val="008811C1"/>
    <w:rsid w:val="00881AD0"/>
    <w:rsid w:val="0088333C"/>
    <w:rsid w:val="008838ED"/>
    <w:rsid w:val="00883E6F"/>
    <w:rsid w:val="00884282"/>
    <w:rsid w:val="00884F30"/>
    <w:rsid w:val="00886044"/>
    <w:rsid w:val="008862BD"/>
    <w:rsid w:val="0088647F"/>
    <w:rsid w:val="0088652F"/>
    <w:rsid w:val="008868AB"/>
    <w:rsid w:val="00890F6C"/>
    <w:rsid w:val="0089134B"/>
    <w:rsid w:val="008915A4"/>
    <w:rsid w:val="00891781"/>
    <w:rsid w:val="00891889"/>
    <w:rsid w:val="008925DB"/>
    <w:rsid w:val="008926DD"/>
    <w:rsid w:val="00892987"/>
    <w:rsid w:val="00893B74"/>
    <w:rsid w:val="00894A29"/>
    <w:rsid w:val="00894CF5"/>
    <w:rsid w:val="00897752"/>
    <w:rsid w:val="00897B67"/>
    <w:rsid w:val="00897C4F"/>
    <w:rsid w:val="00897CFB"/>
    <w:rsid w:val="008A003A"/>
    <w:rsid w:val="008A05CF"/>
    <w:rsid w:val="008A0C9E"/>
    <w:rsid w:val="008A18B1"/>
    <w:rsid w:val="008A18F5"/>
    <w:rsid w:val="008A249D"/>
    <w:rsid w:val="008A2A26"/>
    <w:rsid w:val="008A2BCC"/>
    <w:rsid w:val="008A2F54"/>
    <w:rsid w:val="008A3054"/>
    <w:rsid w:val="008A3585"/>
    <w:rsid w:val="008A3BB1"/>
    <w:rsid w:val="008A4255"/>
    <w:rsid w:val="008A46C8"/>
    <w:rsid w:val="008A4EE7"/>
    <w:rsid w:val="008A56D5"/>
    <w:rsid w:val="008B0D6A"/>
    <w:rsid w:val="008B1515"/>
    <w:rsid w:val="008B1AB0"/>
    <w:rsid w:val="008B1C88"/>
    <w:rsid w:val="008B1DE7"/>
    <w:rsid w:val="008B21B8"/>
    <w:rsid w:val="008B2B17"/>
    <w:rsid w:val="008B2C9A"/>
    <w:rsid w:val="008B356F"/>
    <w:rsid w:val="008B36D3"/>
    <w:rsid w:val="008B38AF"/>
    <w:rsid w:val="008B38E1"/>
    <w:rsid w:val="008B3CDB"/>
    <w:rsid w:val="008B3F75"/>
    <w:rsid w:val="008B43CF"/>
    <w:rsid w:val="008B445F"/>
    <w:rsid w:val="008B4CD5"/>
    <w:rsid w:val="008B4F52"/>
    <w:rsid w:val="008B6103"/>
    <w:rsid w:val="008B615C"/>
    <w:rsid w:val="008B642A"/>
    <w:rsid w:val="008C089C"/>
    <w:rsid w:val="008C097C"/>
    <w:rsid w:val="008C0A4B"/>
    <w:rsid w:val="008C0AD0"/>
    <w:rsid w:val="008C0C6D"/>
    <w:rsid w:val="008C0FDC"/>
    <w:rsid w:val="008C1624"/>
    <w:rsid w:val="008C1C7E"/>
    <w:rsid w:val="008C209F"/>
    <w:rsid w:val="008C3506"/>
    <w:rsid w:val="008C3705"/>
    <w:rsid w:val="008C42E8"/>
    <w:rsid w:val="008C4F84"/>
    <w:rsid w:val="008C6E06"/>
    <w:rsid w:val="008C726A"/>
    <w:rsid w:val="008C7466"/>
    <w:rsid w:val="008C764C"/>
    <w:rsid w:val="008D0F16"/>
    <w:rsid w:val="008D1D2C"/>
    <w:rsid w:val="008D1D4B"/>
    <w:rsid w:val="008D2003"/>
    <w:rsid w:val="008D229B"/>
    <w:rsid w:val="008D22EF"/>
    <w:rsid w:val="008D2D41"/>
    <w:rsid w:val="008D2F2D"/>
    <w:rsid w:val="008D33DC"/>
    <w:rsid w:val="008D355D"/>
    <w:rsid w:val="008D3938"/>
    <w:rsid w:val="008D40AE"/>
    <w:rsid w:val="008D420B"/>
    <w:rsid w:val="008D4E4C"/>
    <w:rsid w:val="008D5B10"/>
    <w:rsid w:val="008D64F5"/>
    <w:rsid w:val="008D7072"/>
    <w:rsid w:val="008D7B80"/>
    <w:rsid w:val="008E0110"/>
    <w:rsid w:val="008E0445"/>
    <w:rsid w:val="008E095C"/>
    <w:rsid w:val="008E09BB"/>
    <w:rsid w:val="008E0E6C"/>
    <w:rsid w:val="008E2191"/>
    <w:rsid w:val="008E2F2B"/>
    <w:rsid w:val="008E35F6"/>
    <w:rsid w:val="008E3BF7"/>
    <w:rsid w:val="008E41DB"/>
    <w:rsid w:val="008E46FD"/>
    <w:rsid w:val="008E4C9A"/>
    <w:rsid w:val="008E5A45"/>
    <w:rsid w:val="008E6D66"/>
    <w:rsid w:val="008E73BE"/>
    <w:rsid w:val="008E7C4F"/>
    <w:rsid w:val="008E7F8B"/>
    <w:rsid w:val="008F097C"/>
    <w:rsid w:val="008F0BA3"/>
    <w:rsid w:val="008F1301"/>
    <w:rsid w:val="008F173A"/>
    <w:rsid w:val="008F1951"/>
    <w:rsid w:val="008F19EC"/>
    <w:rsid w:val="008F26BD"/>
    <w:rsid w:val="008F39DF"/>
    <w:rsid w:val="008F4023"/>
    <w:rsid w:val="008F48FE"/>
    <w:rsid w:val="008F5562"/>
    <w:rsid w:val="008F58F4"/>
    <w:rsid w:val="008F61AE"/>
    <w:rsid w:val="008F63A6"/>
    <w:rsid w:val="008F6559"/>
    <w:rsid w:val="008F6644"/>
    <w:rsid w:val="008F6EF6"/>
    <w:rsid w:val="008F724B"/>
    <w:rsid w:val="00900BB5"/>
    <w:rsid w:val="0090174F"/>
    <w:rsid w:val="00901BB7"/>
    <w:rsid w:val="00902092"/>
    <w:rsid w:val="0090210B"/>
    <w:rsid w:val="0090226E"/>
    <w:rsid w:val="00902C6F"/>
    <w:rsid w:val="00902CFE"/>
    <w:rsid w:val="00903041"/>
    <w:rsid w:val="00903186"/>
    <w:rsid w:val="0090389D"/>
    <w:rsid w:val="009045FD"/>
    <w:rsid w:val="0090482A"/>
    <w:rsid w:val="0090482F"/>
    <w:rsid w:val="00904837"/>
    <w:rsid w:val="0090627B"/>
    <w:rsid w:val="00906944"/>
    <w:rsid w:val="00907209"/>
    <w:rsid w:val="00907650"/>
    <w:rsid w:val="00907BF1"/>
    <w:rsid w:val="00910BCC"/>
    <w:rsid w:val="009117E9"/>
    <w:rsid w:val="00911D9A"/>
    <w:rsid w:val="00911F90"/>
    <w:rsid w:val="009120EF"/>
    <w:rsid w:val="0091214D"/>
    <w:rsid w:val="00912531"/>
    <w:rsid w:val="00912946"/>
    <w:rsid w:val="00913D98"/>
    <w:rsid w:val="009144B7"/>
    <w:rsid w:val="00914C8C"/>
    <w:rsid w:val="00915536"/>
    <w:rsid w:val="009158B1"/>
    <w:rsid w:val="00915C21"/>
    <w:rsid w:val="00915F06"/>
    <w:rsid w:val="00916B33"/>
    <w:rsid w:val="00916E7B"/>
    <w:rsid w:val="009172C9"/>
    <w:rsid w:val="00917653"/>
    <w:rsid w:val="00917B3F"/>
    <w:rsid w:val="00917C23"/>
    <w:rsid w:val="009201C2"/>
    <w:rsid w:val="00920268"/>
    <w:rsid w:val="00920B0A"/>
    <w:rsid w:val="009234D3"/>
    <w:rsid w:val="009235A7"/>
    <w:rsid w:val="00923A35"/>
    <w:rsid w:val="00923B1D"/>
    <w:rsid w:val="00923D48"/>
    <w:rsid w:val="00924653"/>
    <w:rsid w:val="00925119"/>
    <w:rsid w:val="00925365"/>
    <w:rsid w:val="009257EF"/>
    <w:rsid w:val="0092599B"/>
    <w:rsid w:val="00926932"/>
    <w:rsid w:val="00926A02"/>
    <w:rsid w:val="009272C8"/>
    <w:rsid w:val="009279EB"/>
    <w:rsid w:val="009300E0"/>
    <w:rsid w:val="00931E1D"/>
    <w:rsid w:val="009322B3"/>
    <w:rsid w:val="009326B5"/>
    <w:rsid w:val="00932E60"/>
    <w:rsid w:val="009332B4"/>
    <w:rsid w:val="0093343D"/>
    <w:rsid w:val="00934773"/>
    <w:rsid w:val="009354EA"/>
    <w:rsid w:val="0093660E"/>
    <w:rsid w:val="00936D10"/>
    <w:rsid w:val="0093731A"/>
    <w:rsid w:val="00937703"/>
    <w:rsid w:val="00937CC3"/>
    <w:rsid w:val="009401E4"/>
    <w:rsid w:val="0094033A"/>
    <w:rsid w:val="0094042E"/>
    <w:rsid w:val="00940A4B"/>
    <w:rsid w:val="00940CF6"/>
    <w:rsid w:val="00941124"/>
    <w:rsid w:val="00941F5D"/>
    <w:rsid w:val="00942603"/>
    <w:rsid w:val="0094313F"/>
    <w:rsid w:val="00943F47"/>
    <w:rsid w:val="009442C0"/>
    <w:rsid w:val="0094456B"/>
    <w:rsid w:val="0094500C"/>
    <w:rsid w:val="00945340"/>
    <w:rsid w:val="00945D6B"/>
    <w:rsid w:val="00945E3B"/>
    <w:rsid w:val="00946444"/>
    <w:rsid w:val="00951C10"/>
    <w:rsid w:val="00951E45"/>
    <w:rsid w:val="00952423"/>
    <w:rsid w:val="00952775"/>
    <w:rsid w:val="00952A4F"/>
    <w:rsid w:val="00953397"/>
    <w:rsid w:val="00953955"/>
    <w:rsid w:val="00954063"/>
    <w:rsid w:val="00954110"/>
    <w:rsid w:val="0095435E"/>
    <w:rsid w:val="00954873"/>
    <w:rsid w:val="00954B4D"/>
    <w:rsid w:val="00954D17"/>
    <w:rsid w:val="00955DF0"/>
    <w:rsid w:val="0095688E"/>
    <w:rsid w:val="00956DCE"/>
    <w:rsid w:val="00957669"/>
    <w:rsid w:val="009577E9"/>
    <w:rsid w:val="00957967"/>
    <w:rsid w:val="00957F6A"/>
    <w:rsid w:val="00960111"/>
    <w:rsid w:val="009601A9"/>
    <w:rsid w:val="00960BCC"/>
    <w:rsid w:val="00961072"/>
    <w:rsid w:val="00961D75"/>
    <w:rsid w:val="00963F06"/>
    <w:rsid w:val="00965D75"/>
    <w:rsid w:val="0096606A"/>
    <w:rsid w:val="00966120"/>
    <w:rsid w:val="009661BC"/>
    <w:rsid w:val="00966BDD"/>
    <w:rsid w:val="00967AFC"/>
    <w:rsid w:val="00967FC3"/>
    <w:rsid w:val="009701B1"/>
    <w:rsid w:val="0097030A"/>
    <w:rsid w:val="00970A15"/>
    <w:rsid w:val="00970EA4"/>
    <w:rsid w:val="0097212A"/>
    <w:rsid w:val="0097240F"/>
    <w:rsid w:val="0097415C"/>
    <w:rsid w:val="009750BF"/>
    <w:rsid w:val="0097515B"/>
    <w:rsid w:val="009759D7"/>
    <w:rsid w:val="00975AD9"/>
    <w:rsid w:val="00975E37"/>
    <w:rsid w:val="00976604"/>
    <w:rsid w:val="00977E6B"/>
    <w:rsid w:val="009819A0"/>
    <w:rsid w:val="00983B4D"/>
    <w:rsid w:val="00984140"/>
    <w:rsid w:val="00984CFA"/>
    <w:rsid w:val="00984D04"/>
    <w:rsid w:val="00984EBF"/>
    <w:rsid w:val="009854C1"/>
    <w:rsid w:val="0098571B"/>
    <w:rsid w:val="009863FF"/>
    <w:rsid w:val="0098704E"/>
    <w:rsid w:val="009905CB"/>
    <w:rsid w:val="0099124A"/>
    <w:rsid w:val="009921B9"/>
    <w:rsid w:val="0099316B"/>
    <w:rsid w:val="009939A2"/>
    <w:rsid w:val="00993F1B"/>
    <w:rsid w:val="00993FF0"/>
    <w:rsid w:val="009940E9"/>
    <w:rsid w:val="00995010"/>
    <w:rsid w:val="00995B50"/>
    <w:rsid w:val="00995E78"/>
    <w:rsid w:val="0099647A"/>
    <w:rsid w:val="00996764"/>
    <w:rsid w:val="00997191"/>
    <w:rsid w:val="009974FD"/>
    <w:rsid w:val="00997BE8"/>
    <w:rsid w:val="009A06D8"/>
    <w:rsid w:val="009A07D7"/>
    <w:rsid w:val="009A11A4"/>
    <w:rsid w:val="009A2A98"/>
    <w:rsid w:val="009A2C5D"/>
    <w:rsid w:val="009A3622"/>
    <w:rsid w:val="009A3856"/>
    <w:rsid w:val="009A4C8A"/>
    <w:rsid w:val="009A5203"/>
    <w:rsid w:val="009A5B1B"/>
    <w:rsid w:val="009A6F74"/>
    <w:rsid w:val="009B04F8"/>
    <w:rsid w:val="009B1365"/>
    <w:rsid w:val="009B1738"/>
    <w:rsid w:val="009B1C1C"/>
    <w:rsid w:val="009B2EF2"/>
    <w:rsid w:val="009B3514"/>
    <w:rsid w:val="009B4A1D"/>
    <w:rsid w:val="009B551E"/>
    <w:rsid w:val="009B6C11"/>
    <w:rsid w:val="009B72C0"/>
    <w:rsid w:val="009B75F6"/>
    <w:rsid w:val="009B7B74"/>
    <w:rsid w:val="009B7F66"/>
    <w:rsid w:val="009C0AF1"/>
    <w:rsid w:val="009C0E21"/>
    <w:rsid w:val="009C1298"/>
    <w:rsid w:val="009C1BC4"/>
    <w:rsid w:val="009C1E6E"/>
    <w:rsid w:val="009C296A"/>
    <w:rsid w:val="009C34BA"/>
    <w:rsid w:val="009C47BD"/>
    <w:rsid w:val="009C50DF"/>
    <w:rsid w:val="009C52F4"/>
    <w:rsid w:val="009C549E"/>
    <w:rsid w:val="009C5FC8"/>
    <w:rsid w:val="009C674C"/>
    <w:rsid w:val="009C6BB6"/>
    <w:rsid w:val="009C6FE8"/>
    <w:rsid w:val="009C78A4"/>
    <w:rsid w:val="009D08EF"/>
    <w:rsid w:val="009D0C89"/>
    <w:rsid w:val="009D202D"/>
    <w:rsid w:val="009D219A"/>
    <w:rsid w:val="009D3400"/>
    <w:rsid w:val="009D3549"/>
    <w:rsid w:val="009D36CE"/>
    <w:rsid w:val="009D44DB"/>
    <w:rsid w:val="009D4541"/>
    <w:rsid w:val="009D4D76"/>
    <w:rsid w:val="009D546D"/>
    <w:rsid w:val="009D58B1"/>
    <w:rsid w:val="009D6854"/>
    <w:rsid w:val="009D6BE0"/>
    <w:rsid w:val="009D752F"/>
    <w:rsid w:val="009D7604"/>
    <w:rsid w:val="009D79D8"/>
    <w:rsid w:val="009E0A3A"/>
    <w:rsid w:val="009E0B3E"/>
    <w:rsid w:val="009E10C4"/>
    <w:rsid w:val="009E120E"/>
    <w:rsid w:val="009E2226"/>
    <w:rsid w:val="009E2387"/>
    <w:rsid w:val="009E2A34"/>
    <w:rsid w:val="009E2AE1"/>
    <w:rsid w:val="009E3470"/>
    <w:rsid w:val="009E401D"/>
    <w:rsid w:val="009E64DC"/>
    <w:rsid w:val="009E68F3"/>
    <w:rsid w:val="009E7549"/>
    <w:rsid w:val="009E7C4D"/>
    <w:rsid w:val="009E7EF3"/>
    <w:rsid w:val="009F05C4"/>
    <w:rsid w:val="009F061D"/>
    <w:rsid w:val="009F1365"/>
    <w:rsid w:val="009F1435"/>
    <w:rsid w:val="009F2D36"/>
    <w:rsid w:val="009F3C2D"/>
    <w:rsid w:val="009F3F93"/>
    <w:rsid w:val="009F422D"/>
    <w:rsid w:val="009F468E"/>
    <w:rsid w:val="009F4929"/>
    <w:rsid w:val="009F4C70"/>
    <w:rsid w:val="009F584B"/>
    <w:rsid w:val="009F662C"/>
    <w:rsid w:val="009F69B6"/>
    <w:rsid w:val="009F6D4E"/>
    <w:rsid w:val="009F72F7"/>
    <w:rsid w:val="009F751E"/>
    <w:rsid w:val="009F7533"/>
    <w:rsid w:val="009F7A79"/>
    <w:rsid w:val="00A00627"/>
    <w:rsid w:val="00A0077C"/>
    <w:rsid w:val="00A0156C"/>
    <w:rsid w:val="00A01812"/>
    <w:rsid w:val="00A018E8"/>
    <w:rsid w:val="00A01CFD"/>
    <w:rsid w:val="00A01FB4"/>
    <w:rsid w:val="00A02840"/>
    <w:rsid w:val="00A03AD2"/>
    <w:rsid w:val="00A04665"/>
    <w:rsid w:val="00A04D9F"/>
    <w:rsid w:val="00A05774"/>
    <w:rsid w:val="00A05DF8"/>
    <w:rsid w:val="00A07FAF"/>
    <w:rsid w:val="00A1064E"/>
    <w:rsid w:val="00A11059"/>
    <w:rsid w:val="00A112E6"/>
    <w:rsid w:val="00A12576"/>
    <w:rsid w:val="00A13196"/>
    <w:rsid w:val="00A13CED"/>
    <w:rsid w:val="00A13E21"/>
    <w:rsid w:val="00A14508"/>
    <w:rsid w:val="00A14D73"/>
    <w:rsid w:val="00A15553"/>
    <w:rsid w:val="00A15706"/>
    <w:rsid w:val="00A15721"/>
    <w:rsid w:val="00A1580C"/>
    <w:rsid w:val="00A15E42"/>
    <w:rsid w:val="00A16ACF"/>
    <w:rsid w:val="00A20088"/>
    <w:rsid w:val="00A20434"/>
    <w:rsid w:val="00A20ED4"/>
    <w:rsid w:val="00A21292"/>
    <w:rsid w:val="00A2169E"/>
    <w:rsid w:val="00A21C74"/>
    <w:rsid w:val="00A2261C"/>
    <w:rsid w:val="00A22EE5"/>
    <w:rsid w:val="00A232FE"/>
    <w:rsid w:val="00A233E3"/>
    <w:rsid w:val="00A238B4"/>
    <w:rsid w:val="00A24E99"/>
    <w:rsid w:val="00A25988"/>
    <w:rsid w:val="00A26171"/>
    <w:rsid w:val="00A264C4"/>
    <w:rsid w:val="00A26E5D"/>
    <w:rsid w:val="00A3025B"/>
    <w:rsid w:val="00A30E21"/>
    <w:rsid w:val="00A31444"/>
    <w:rsid w:val="00A31D8F"/>
    <w:rsid w:val="00A32317"/>
    <w:rsid w:val="00A32318"/>
    <w:rsid w:val="00A3481F"/>
    <w:rsid w:val="00A34A74"/>
    <w:rsid w:val="00A3551D"/>
    <w:rsid w:val="00A359AA"/>
    <w:rsid w:val="00A37B9B"/>
    <w:rsid w:val="00A37CF9"/>
    <w:rsid w:val="00A40197"/>
    <w:rsid w:val="00A402AC"/>
    <w:rsid w:val="00A4051F"/>
    <w:rsid w:val="00A409E7"/>
    <w:rsid w:val="00A4101F"/>
    <w:rsid w:val="00A41F5B"/>
    <w:rsid w:val="00A420DB"/>
    <w:rsid w:val="00A42633"/>
    <w:rsid w:val="00A42758"/>
    <w:rsid w:val="00A42835"/>
    <w:rsid w:val="00A4356B"/>
    <w:rsid w:val="00A43711"/>
    <w:rsid w:val="00A44275"/>
    <w:rsid w:val="00A445BE"/>
    <w:rsid w:val="00A44679"/>
    <w:rsid w:val="00A45094"/>
    <w:rsid w:val="00A45107"/>
    <w:rsid w:val="00A4522B"/>
    <w:rsid w:val="00A45609"/>
    <w:rsid w:val="00A462C3"/>
    <w:rsid w:val="00A475FF"/>
    <w:rsid w:val="00A47797"/>
    <w:rsid w:val="00A477F0"/>
    <w:rsid w:val="00A47B95"/>
    <w:rsid w:val="00A47D71"/>
    <w:rsid w:val="00A50349"/>
    <w:rsid w:val="00A505D6"/>
    <w:rsid w:val="00A50D0E"/>
    <w:rsid w:val="00A51C9F"/>
    <w:rsid w:val="00A5229A"/>
    <w:rsid w:val="00A5265A"/>
    <w:rsid w:val="00A535D7"/>
    <w:rsid w:val="00A53726"/>
    <w:rsid w:val="00A53D18"/>
    <w:rsid w:val="00A5522D"/>
    <w:rsid w:val="00A554EC"/>
    <w:rsid w:val="00A554FD"/>
    <w:rsid w:val="00A55D04"/>
    <w:rsid w:val="00A55F21"/>
    <w:rsid w:val="00A56B61"/>
    <w:rsid w:val="00A56BE0"/>
    <w:rsid w:val="00A57419"/>
    <w:rsid w:val="00A576E1"/>
    <w:rsid w:val="00A57FF8"/>
    <w:rsid w:val="00A605AD"/>
    <w:rsid w:val="00A609FA"/>
    <w:rsid w:val="00A60F7C"/>
    <w:rsid w:val="00A616D8"/>
    <w:rsid w:val="00A6181C"/>
    <w:rsid w:val="00A61860"/>
    <w:rsid w:val="00A618DB"/>
    <w:rsid w:val="00A61AAF"/>
    <w:rsid w:val="00A61EAF"/>
    <w:rsid w:val="00A61EB2"/>
    <w:rsid w:val="00A62104"/>
    <w:rsid w:val="00A62302"/>
    <w:rsid w:val="00A623CC"/>
    <w:rsid w:val="00A634E1"/>
    <w:rsid w:val="00A63A7C"/>
    <w:rsid w:val="00A64DA8"/>
    <w:rsid w:val="00A65424"/>
    <w:rsid w:val="00A65835"/>
    <w:rsid w:val="00A65E91"/>
    <w:rsid w:val="00A65FA5"/>
    <w:rsid w:val="00A669AB"/>
    <w:rsid w:val="00A67A3C"/>
    <w:rsid w:val="00A70270"/>
    <w:rsid w:val="00A703C2"/>
    <w:rsid w:val="00A70466"/>
    <w:rsid w:val="00A704A4"/>
    <w:rsid w:val="00A70894"/>
    <w:rsid w:val="00A70972"/>
    <w:rsid w:val="00A71831"/>
    <w:rsid w:val="00A71933"/>
    <w:rsid w:val="00A71C0B"/>
    <w:rsid w:val="00A71DDE"/>
    <w:rsid w:val="00A72936"/>
    <w:rsid w:val="00A72DD4"/>
    <w:rsid w:val="00A73D60"/>
    <w:rsid w:val="00A73E93"/>
    <w:rsid w:val="00A746D9"/>
    <w:rsid w:val="00A74A97"/>
    <w:rsid w:val="00A7516D"/>
    <w:rsid w:val="00A75453"/>
    <w:rsid w:val="00A757B7"/>
    <w:rsid w:val="00A75D64"/>
    <w:rsid w:val="00A75E51"/>
    <w:rsid w:val="00A76587"/>
    <w:rsid w:val="00A769D6"/>
    <w:rsid w:val="00A77659"/>
    <w:rsid w:val="00A804C5"/>
    <w:rsid w:val="00A80C7C"/>
    <w:rsid w:val="00A810B2"/>
    <w:rsid w:val="00A82134"/>
    <w:rsid w:val="00A82A12"/>
    <w:rsid w:val="00A82A5D"/>
    <w:rsid w:val="00A831C7"/>
    <w:rsid w:val="00A83904"/>
    <w:rsid w:val="00A84022"/>
    <w:rsid w:val="00A840F8"/>
    <w:rsid w:val="00A84136"/>
    <w:rsid w:val="00A84142"/>
    <w:rsid w:val="00A8481F"/>
    <w:rsid w:val="00A84A62"/>
    <w:rsid w:val="00A84EF0"/>
    <w:rsid w:val="00A84F15"/>
    <w:rsid w:val="00A85AF2"/>
    <w:rsid w:val="00A86A65"/>
    <w:rsid w:val="00A87309"/>
    <w:rsid w:val="00A87462"/>
    <w:rsid w:val="00A878C9"/>
    <w:rsid w:val="00A87E96"/>
    <w:rsid w:val="00A903AD"/>
    <w:rsid w:val="00A903DE"/>
    <w:rsid w:val="00A933B3"/>
    <w:rsid w:val="00A9350C"/>
    <w:rsid w:val="00A93C58"/>
    <w:rsid w:val="00A94006"/>
    <w:rsid w:val="00A94B7D"/>
    <w:rsid w:val="00A94C82"/>
    <w:rsid w:val="00A94FBE"/>
    <w:rsid w:val="00A96771"/>
    <w:rsid w:val="00A96F1E"/>
    <w:rsid w:val="00A973C8"/>
    <w:rsid w:val="00AA0AB0"/>
    <w:rsid w:val="00AA0E88"/>
    <w:rsid w:val="00AA112F"/>
    <w:rsid w:val="00AA1262"/>
    <w:rsid w:val="00AA2436"/>
    <w:rsid w:val="00AA2940"/>
    <w:rsid w:val="00AA3001"/>
    <w:rsid w:val="00AA33E4"/>
    <w:rsid w:val="00AA421E"/>
    <w:rsid w:val="00AA4304"/>
    <w:rsid w:val="00AA4697"/>
    <w:rsid w:val="00AA5B74"/>
    <w:rsid w:val="00AA6000"/>
    <w:rsid w:val="00AA63BC"/>
    <w:rsid w:val="00AA7AFC"/>
    <w:rsid w:val="00AB02A9"/>
    <w:rsid w:val="00AB0B9A"/>
    <w:rsid w:val="00AB1694"/>
    <w:rsid w:val="00AB1788"/>
    <w:rsid w:val="00AB1FB8"/>
    <w:rsid w:val="00AB20CF"/>
    <w:rsid w:val="00AB2EAA"/>
    <w:rsid w:val="00AB3E8D"/>
    <w:rsid w:val="00AB40CB"/>
    <w:rsid w:val="00AB4311"/>
    <w:rsid w:val="00AB4590"/>
    <w:rsid w:val="00AB56F3"/>
    <w:rsid w:val="00AB5925"/>
    <w:rsid w:val="00AB5F61"/>
    <w:rsid w:val="00AB63C2"/>
    <w:rsid w:val="00AB6A8B"/>
    <w:rsid w:val="00AB6B65"/>
    <w:rsid w:val="00AB7F8E"/>
    <w:rsid w:val="00AC07FC"/>
    <w:rsid w:val="00AC0EBA"/>
    <w:rsid w:val="00AC176A"/>
    <w:rsid w:val="00AC1BA2"/>
    <w:rsid w:val="00AC3263"/>
    <w:rsid w:val="00AC3A63"/>
    <w:rsid w:val="00AC416F"/>
    <w:rsid w:val="00AC44F5"/>
    <w:rsid w:val="00AC4F7B"/>
    <w:rsid w:val="00AC5423"/>
    <w:rsid w:val="00AC557D"/>
    <w:rsid w:val="00AC59B5"/>
    <w:rsid w:val="00AC5B10"/>
    <w:rsid w:val="00AC601F"/>
    <w:rsid w:val="00AC6788"/>
    <w:rsid w:val="00AC6802"/>
    <w:rsid w:val="00AC6C32"/>
    <w:rsid w:val="00AC73B8"/>
    <w:rsid w:val="00AC7ECE"/>
    <w:rsid w:val="00AD07BF"/>
    <w:rsid w:val="00AD0EED"/>
    <w:rsid w:val="00AD0F0B"/>
    <w:rsid w:val="00AD11E0"/>
    <w:rsid w:val="00AD1302"/>
    <w:rsid w:val="00AD2102"/>
    <w:rsid w:val="00AD364F"/>
    <w:rsid w:val="00AD36D8"/>
    <w:rsid w:val="00AD399D"/>
    <w:rsid w:val="00AD3AC3"/>
    <w:rsid w:val="00AD3DFF"/>
    <w:rsid w:val="00AD4815"/>
    <w:rsid w:val="00AD4C0B"/>
    <w:rsid w:val="00AD50CE"/>
    <w:rsid w:val="00AD60E9"/>
    <w:rsid w:val="00AD6BE5"/>
    <w:rsid w:val="00AD7211"/>
    <w:rsid w:val="00AD7AB9"/>
    <w:rsid w:val="00AD7FCD"/>
    <w:rsid w:val="00AE09DC"/>
    <w:rsid w:val="00AE0D5E"/>
    <w:rsid w:val="00AE14CF"/>
    <w:rsid w:val="00AE1FF2"/>
    <w:rsid w:val="00AE2182"/>
    <w:rsid w:val="00AE2DE1"/>
    <w:rsid w:val="00AE318A"/>
    <w:rsid w:val="00AE36CC"/>
    <w:rsid w:val="00AE3B0B"/>
    <w:rsid w:val="00AE3D5B"/>
    <w:rsid w:val="00AE3FE9"/>
    <w:rsid w:val="00AE4217"/>
    <w:rsid w:val="00AE4CE3"/>
    <w:rsid w:val="00AE4EE0"/>
    <w:rsid w:val="00AE4F66"/>
    <w:rsid w:val="00AE5115"/>
    <w:rsid w:val="00AE5288"/>
    <w:rsid w:val="00AE5347"/>
    <w:rsid w:val="00AE62D1"/>
    <w:rsid w:val="00AE69BA"/>
    <w:rsid w:val="00AE6FE3"/>
    <w:rsid w:val="00AE758C"/>
    <w:rsid w:val="00AE762E"/>
    <w:rsid w:val="00AE7A45"/>
    <w:rsid w:val="00AE7C5D"/>
    <w:rsid w:val="00AF0356"/>
    <w:rsid w:val="00AF0A7F"/>
    <w:rsid w:val="00AF10A5"/>
    <w:rsid w:val="00AF14DB"/>
    <w:rsid w:val="00AF1F95"/>
    <w:rsid w:val="00AF22EE"/>
    <w:rsid w:val="00AF2789"/>
    <w:rsid w:val="00AF2C31"/>
    <w:rsid w:val="00AF312E"/>
    <w:rsid w:val="00AF3757"/>
    <w:rsid w:val="00AF3B7F"/>
    <w:rsid w:val="00AF4021"/>
    <w:rsid w:val="00AF44C7"/>
    <w:rsid w:val="00AF4F5D"/>
    <w:rsid w:val="00AF5188"/>
    <w:rsid w:val="00AF5FB3"/>
    <w:rsid w:val="00AF6796"/>
    <w:rsid w:val="00AF6E8A"/>
    <w:rsid w:val="00AF76FF"/>
    <w:rsid w:val="00AF7B40"/>
    <w:rsid w:val="00AF7E79"/>
    <w:rsid w:val="00B00987"/>
    <w:rsid w:val="00B011AE"/>
    <w:rsid w:val="00B01366"/>
    <w:rsid w:val="00B01636"/>
    <w:rsid w:val="00B02127"/>
    <w:rsid w:val="00B0270E"/>
    <w:rsid w:val="00B0273B"/>
    <w:rsid w:val="00B02EB6"/>
    <w:rsid w:val="00B033D3"/>
    <w:rsid w:val="00B04A9F"/>
    <w:rsid w:val="00B04FB0"/>
    <w:rsid w:val="00B05C7F"/>
    <w:rsid w:val="00B05F9D"/>
    <w:rsid w:val="00B06E6F"/>
    <w:rsid w:val="00B074F0"/>
    <w:rsid w:val="00B07D33"/>
    <w:rsid w:val="00B101BF"/>
    <w:rsid w:val="00B10D71"/>
    <w:rsid w:val="00B1202B"/>
    <w:rsid w:val="00B12920"/>
    <w:rsid w:val="00B133E9"/>
    <w:rsid w:val="00B13613"/>
    <w:rsid w:val="00B14675"/>
    <w:rsid w:val="00B14C6D"/>
    <w:rsid w:val="00B158BC"/>
    <w:rsid w:val="00B15C52"/>
    <w:rsid w:val="00B15CC9"/>
    <w:rsid w:val="00B15F13"/>
    <w:rsid w:val="00B16ACE"/>
    <w:rsid w:val="00B17251"/>
    <w:rsid w:val="00B17563"/>
    <w:rsid w:val="00B1787D"/>
    <w:rsid w:val="00B17DCA"/>
    <w:rsid w:val="00B20279"/>
    <w:rsid w:val="00B21550"/>
    <w:rsid w:val="00B2177E"/>
    <w:rsid w:val="00B21A74"/>
    <w:rsid w:val="00B222F0"/>
    <w:rsid w:val="00B22400"/>
    <w:rsid w:val="00B22CC6"/>
    <w:rsid w:val="00B2313C"/>
    <w:rsid w:val="00B23738"/>
    <w:rsid w:val="00B238A6"/>
    <w:rsid w:val="00B23AA5"/>
    <w:rsid w:val="00B24465"/>
    <w:rsid w:val="00B24540"/>
    <w:rsid w:val="00B24C95"/>
    <w:rsid w:val="00B24F3A"/>
    <w:rsid w:val="00B2511D"/>
    <w:rsid w:val="00B263B5"/>
    <w:rsid w:val="00B26409"/>
    <w:rsid w:val="00B26C40"/>
    <w:rsid w:val="00B27B29"/>
    <w:rsid w:val="00B27C1C"/>
    <w:rsid w:val="00B30178"/>
    <w:rsid w:val="00B30B3A"/>
    <w:rsid w:val="00B31088"/>
    <w:rsid w:val="00B3183C"/>
    <w:rsid w:val="00B31E56"/>
    <w:rsid w:val="00B32A99"/>
    <w:rsid w:val="00B3414E"/>
    <w:rsid w:val="00B343AF"/>
    <w:rsid w:val="00B34BAA"/>
    <w:rsid w:val="00B34F12"/>
    <w:rsid w:val="00B3512D"/>
    <w:rsid w:val="00B35EC3"/>
    <w:rsid w:val="00B35F23"/>
    <w:rsid w:val="00B368F3"/>
    <w:rsid w:val="00B370F4"/>
    <w:rsid w:val="00B37431"/>
    <w:rsid w:val="00B37930"/>
    <w:rsid w:val="00B41560"/>
    <w:rsid w:val="00B43A0E"/>
    <w:rsid w:val="00B43A90"/>
    <w:rsid w:val="00B43F38"/>
    <w:rsid w:val="00B445DC"/>
    <w:rsid w:val="00B451ED"/>
    <w:rsid w:val="00B461EB"/>
    <w:rsid w:val="00B469B1"/>
    <w:rsid w:val="00B46AAA"/>
    <w:rsid w:val="00B47A0B"/>
    <w:rsid w:val="00B47D9E"/>
    <w:rsid w:val="00B47FDC"/>
    <w:rsid w:val="00B50E20"/>
    <w:rsid w:val="00B515CE"/>
    <w:rsid w:val="00B52535"/>
    <w:rsid w:val="00B53BBA"/>
    <w:rsid w:val="00B53E0A"/>
    <w:rsid w:val="00B53E76"/>
    <w:rsid w:val="00B54000"/>
    <w:rsid w:val="00B5501E"/>
    <w:rsid w:val="00B55467"/>
    <w:rsid w:val="00B55EFC"/>
    <w:rsid w:val="00B569E2"/>
    <w:rsid w:val="00B575F3"/>
    <w:rsid w:val="00B57C70"/>
    <w:rsid w:val="00B60297"/>
    <w:rsid w:val="00B60E69"/>
    <w:rsid w:val="00B62AF4"/>
    <w:rsid w:val="00B63301"/>
    <w:rsid w:val="00B64014"/>
    <w:rsid w:val="00B64256"/>
    <w:rsid w:val="00B6442A"/>
    <w:rsid w:val="00B64973"/>
    <w:rsid w:val="00B66328"/>
    <w:rsid w:val="00B66B4E"/>
    <w:rsid w:val="00B66FD3"/>
    <w:rsid w:val="00B67271"/>
    <w:rsid w:val="00B67402"/>
    <w:rsid w:val="00B67DD9"/>
    <w:rsid w:val="00B70010"/>
    <w:rsid w:val="00B700D3"/>
    <w:rsid w:val="00B72120"/>
    <w:rsid w:val="00B73695"/>
    <w:rsid w:val="00B73918"/>
    <w:rsid w:val="00B73DE9"/>
    <w:rsid w:val="00B73F39"/>
    <w:rsid w:val="00B7401C"/>
    <w:rsid w:val="00B74EF3"/>
    <w:rsid w:val="00B74F2C"/>
    <w:rsid w:val="00B758F0"/>
    <w:rsid w:val="00B75DEC"/>
    <w:rsid w:val="00B76E77"/>
    <w:rsid w:val="00B77200"/>
    <w:rsid w:val="00B7724A"/>
    <w:rsid w:val="00B77CE2"/>
    <w:rsid w:val="00B80E09"/>
    <w:rsid w:val="00B80E9F"/>
    <w:rsid w:val="00B81791"/>
    <w:rsid w:val="00B81B57"/>
    <w:rsid w:val="00B81CC7"/>
    <w:rsid w:val="00B82033"/>
    <w:rsid w:val="00B8220A"/>
    <w:rsid w:val="00B824DF"/>
    <w:rsid w:val="00B8390D"/>
    <w:rsid w:val="00B83EF0"/>
    <w:rsid w:val="00B83FC8"/>
    <w:rsid w:val="00B8464D"/>
    <w:rsid w:val="00B84B8C"/>
    <w:rsid w:val="00B84D7E"/>
    <w:rsid w:val="00B865EE"/>
    <w:rsid w:val="00B87226"/>
    <w:rsid w:val="00B8770F"/>
    <w:rsid w:val="00B87969"/>
    <w:rsid w:val="00B90756"/>
    <w:rsid w:val="00B90984"/>
    <w:rsid w:val="00B90A70"/>
    <w:rsid w:val="00B90DC6"/>
    <w:rsid w:val="00B9104D"/>
    <w:rsid w:val="00B91AFD"/>
    <w:rsid w:val="00B92D82"/>
    <w:rsid w:val="00B93E2C"/>
    <w:rsid w:val="00B94537"/>
    <w:rsid w:val="00B946A6"/>
    <w:rsid w:val="00B94DC9"/>
    <w:rsid w:val="00B9545C"/>
    <w:rsid w:val="00B95775"/>
    <w:rsid w:val="00B96D3B"/>
    <w:rsid w:val="00B97054"/>
    <w:rsid w:val="00B97E6F"/>
    <w:rsid w:val="00BA0CD6"/>
    <w:rsid w:val="00BA0D35"/>
    <w:rsid w:val="00BA15C9"/>
    <w:rsid w:val="00BA189E"/>
    <w:rsid w:val="00BA2F76"/>
    <w:rsid w:val="00BA481B"/>
    <w:rsid w:val="00BA5E00"/>
    <w:rsid w:val="00BA6C89"/>
    <w:rsid w:val="00BA6DC2"/>
    <w:rsid w:val="00BB0098"/>
    <w:rsid w:val="00BB042C"/>
    <w:rsid w:val="00BB0D73"/>
    <w:rsid w:val="00BB0F0F"/>
    <w:rsid w:val="00BB100B"/>
    <w:rsid w:val="00BB13AB"/>
    <w:rsid w:val="00BB2A31"/>
    <w:rsid w:val="00BB3194"/>
    <w:rsid w:val="00BB3196"/>
    <w:rsid w:val="00BB3516"/>
    <w:rsid w:val="00BB39EC"/>
    <w:rsid w:val="00BB42DE"/>
    <w:rsid w:val="00BB46E0"/>
    <w:rsid w:val="00BB4936"/>
    <w:rsid w:val="00BB5E39"/>
    <w:rsid w:val="00BB6049"/>
    <w:rsid w:val="00BB6628"/>
    <w:rsid w:val="00BB697D"/>
    <w:rsid w:val="00BB6995"/>
    <w:rsid w:val="00BB6BD3"/>
    <w:rsid w:val="00BB7062"/>
    <w:rsid w:val="00BB76BB"/>
    <w:rsid w:val="00BB7D83"/>
    <w:rsid w:val="00BC0479"/>
    <w:rsid w:val="00BC099A"/>
    <w:rsid w:val="00BC09DD"/>
    <w:rsid w:val="00BC0E3D"/>
    <w:rsid w:val="00BC1393"/>
    <w:rsid w:val="00BC13D1"/>
    <w:rsid w:val="00BC1E90"/>
    <w:rsid w:val="00BC2FF1"/>
    <w:rsid w:val="00BC3A89"/>
    <w:rsid w:val="00BC3CE2"/>
    <w:rsid w:val="00BC4A56"/>
    <w:rsid w:val="00BC5F85"/>
    <w:rsid w:val="00BC649E"/>
    <w:rsid w:val="00BC6E30"/>
    <w:rsid w:val="00BC72EB"/>
    <w:rsid w:val="00BC7FE7"/>
    <w:rsid w:val="00BD0C60"/>
    <w:rsid w:val="00BD0D86"/>
    <w:rsid w:val="00BD254E"/>
    <w:rsid w:val="00BD2776"/>
    <w:rsid w:val="00BD27DE"/>
    <w:rsid w:val="00BD2B53"/>
    <w:rsid w:val="00BD3569"/>
    <w:rsid w:val="00BD378D"/>
    <w:rsid w:val="00BD3844"/>
    <w:rsid w:val="00BD3B3A"/>
    <w:rsid w:val="00BD3FC7"/>
    <w:rsid w:val="00BD4647"/>
    <w:rsid w:val="00BD5228"/>
    <w:rsid w:val="00BD539D"/>
    <w:rsid w:val="00BD6B7A"/>
    <w:rsid w:val="00BD76F1"/>
    <w:rsid w:val="00BD7ADE"/>
    <w:rsid w:val="00BE05F9"/>
    <w:rsid w:val="00BE1C83"/>
    <w:rsid w:val="00BE1DFB"/>
    <w:rsid w:val="00BE2393"/>
    <w:rsid w:val="00BE2686"/>
    <w:rsid w:val="00BE2D31"/>
    <w:rsid w:val="00BE3159"/>
    <w:rsid w:val="00BE3842"/>
    <w:rsid w:val="00BE49AD"/>
    <w:rsid w:val="00BE4AA1"/>
    <w:rsid w:val="00BE4ABD"/>
    <w:rsid w:val="00BE5505"/>
    <w:rsid w:val="00BE7BCB"/>
    <w:rsid w:val="00BE7C10"/>
    <w:rsid w:val="00BE7C68"/>
    <w:rsid w:val="00BE7D88"/>
    <w:rsid w:val="00BF028A"/>
    <w:rsid w:val="00BF064F"/>
    <w:rsid w:val="00BF17D3"/>
    <w:rsid w:val="00BF1D01"/>
    <w:rsid w:val="00BF2BCE"/>
    <w:rsid w:val="00BF318A"/>
    <w:rsid w:val="00BF37F6"/>
    <w:rsid w:val="00BF4DA3"/>
    <w:rsid w:val="00BF5BD3"/>
    <w:rsid w:val="00BF5D4D"/>
    <w:rsid w:val="00BF5E5E"/>
    <w:rsid w:val="00BF6877"/>
    <w:rsid w:val="00BF6909"/>
    <w:rsid w:val="00BF6A9E"/>
    <w:rsid w:val="00BF7E49"/>
    <w:rsid w:val="00C011FC"/>
    <w:rsid w:val="00C01A2D"/>
    <w:rsid w:val="00C021AD"/>
    <w:rsid w:val="00C02274"/>
    <w:rsid w:val="00C023B2"/>
    <w:rsid w:val="00C03539"/>
    <w:rsid w:val="00C03A73"/>
    <w:rsid w:val="00C04236"/>
    <w:rsid w:val="00C04B32"/>
    <w:rsid w:val="00C05026"/>
    <w:rsid w:val="00C0535F"/>
    <w:rsid w:val="00C05A25"/>
    <w:rsid w:val="00C06699"/>
    <w:rsid w:val="00C06841"/>
    <w:rsid w:val="00C0794A"/>
    <w:rsid w:val="00C07FFE"/>
    <w:rsid w:val="00C10E50"/>
    <w:rsid w:val="00C11624"/>
    <w:rsid w:val="00C118AC"/>
    <w:rsid w:val="00C12371"/>
    <w:rsid w:val="00C131A1"/>
    <w:rsid w:val="00C13753"/>
    <w:rsid w:val="00C137E6"/>
    <w:rsid w:val="00C13EC6"/>
    <w:rsid w:val="00C14166"/>
    <w:rsid w:val="00C14C29"/>
    <w:rsid w:val="00C15207"/>
    <w:rsid w:val="00C15BF7"/>
    <w:rsid w:val="00C15C60"/>
    <w:rsid w:val="00C20810"/>
    <w:rsid w:val="00C22057"/>
    <w:rsid w:val="00C2227F"/>
    <w:rsid w:val="00C2240D"/>
    <w:rsid w:val="00C22B93"/>
    <w:rsid w:val="00C24914"/>
    <w:rsid w:val="00C24E00"/>
    <w:rsid w:val="00C261E1"/>
    <w:rsid w:val="00C26836"/>
    <w:rsid w:val="00C273E8"/>
    <w:rsid w:val="00C27AC1"/>
    <w:rsid w:val="00C27CE6"/>
    <w:rsid w:val="00C3143B"/>
    <w:rsid w:val="00C32825"/>
    <w:rsid w:val="00C32924"/>
    <w:rsid w:val="00C32ADA"/>
    <w:rsid w:val="00C3368A"/>
    <w:rsid w:val="00C33758"/>
    <w:rsid w:val="00C3384C"/>
    <w:rsid w:val="00C33BFA"/>
    <w:rsid w:val="00C33C96"/>
    <w:rsid w:val="00C33F2C"/>
    <w:rsid w:val="00C340CA"/>
    <w:rsid w:val="00C34D55"/>
    <w:rsid w:val="00C34F06"/>
    <w:rsid w:val="00C368DF"/>
    <w:rsid w:val="00C36D05"/>
    <w:rsid w:val="00C37538"/>
    <w:rsid w:val="00C40C97"/>
    <w:rsid w:val="00C40E73"/>
    <w:rsid w:val="00C41BA8"/>
    <w:rsid w:val="00C41C0A"/>
    <w:rsid w:val="00C420CE"/>
    <w:rsid w:val="00C4290B"/>
    <w:rsid w:val="00C43099"/>
    <w:rsid w:val="00C4351E"/>
    <w:rsid w:val="00C4366C"/>
    <w:rsid w:val="00C43D52"/>
    <w:rsid w:val="00C43DD6"/>
    <w:rsid w:val="00C44011"/>
    <w:rsid w:val="00C4415C"/>
    <w:rsid w:val="00C443D3"/>
    <w:rsid w:val="00C44B38"/>
    <w:rsid w:val="00C44F5D"/>
    <w:rsid w:val="00C451B8"/>
    <w:rsid w:val="00C45475"/>
    <w:rsid w:val="00C465F0"/>
    <w:rsid w:val="00C46659"/>
    <w:rsid w:val="00C46DDA"/>
    <w:rsid w:val="00C508FA"/>
    <w:rsid w:val="00C51568"/>
    <w:rsid w:val="00C51573"/>
    <w:rsid w:val="00C51D70"/>
    <w:rsid w:val="00C52F0C"/>
    <w:rsid w:val="00C53355"/>
    <w:rsid w:val="00C5358D"/>
    <w:rsid w:val="00C54954"/>
    <w:rsid w:val="00C54CE8"/>
    <w:rsid w:val="00C55404"/>
    <w:rsid w:val="00C5545F"/>
    <w:rsid w:val="00C5732F"/>
    <w:rsid w:val="00C573A6"/>
    <w:rsid w:val="00C57EC3"/>
    <w:rsid w:val="00C60172"/>
    <w:rsid w:val="00C60CEA"/>
    <w:rsid w:val="00C622B2"/>
    <w:rsid w:val="00C624D2"/>
    <w:rsid w:val="00C634A8"/>
    <w:rsid w:val="00C636BA"/>
    <w:rsid w:val="00C64AA7"/>
    <w:rsid w:val="00C6596B"/>
    <w:rsid w:val="00C66CA3"/>
    <w:rsid w:val="00C70024"/>
    <w:rsid w:val="00C701F5"/>
    <w:rsid w:val="00C703B8"/>
    <w:rsid w:val="00C70D20"/>
    <w:rsid w:val="00C70EE5"/>
    <w:rsid w:val="00C71457"/>
    <w:rsid w:val="00C727C3"/>
    <w:rsid w:val="00C72827"/>
    <w:rsid w:val="00C72EAB"/>
    <w:rsid w:val="00C74A79"/>
    <w:rsid w:val="00C74AFD"/>
    <w:rsid w:val="00C75FCA"/>
    <w:rsid w:val="00C76D46"/>
    <w:rsid w:val="00C76D8D"/>
    <w:rsid w:val="00C8093A"/>
    <w:rsid w:val="00C81CCA"/>
    <w:rsid w:val="00C81F43"/>
    <w:rsid w:val="00C82C62"/>
    <w:rsid w:val="00C82ED8"/>
    <w:rsid w:val="00C83F45"/>
    <w:rsid w:val="00C84F43"/>
    <w:rsid w:val="00C84F8D"/>
    <w:rsid w:val="00C85120"/>
    <w:rsid w:val="00C85F25"/>
    <w:rsid w:val="00C85F70"/>
    <w:rsid w:val="00C86DFE"/>
    <w:rsid w:val="00C87156"/>
    <w:rsid w:val="00C8782D"/>
    <w:rsid w:val="00C91561"/>
    <w:rsid w:val="00C91EAF"/>
    <w:rsid w:val="00C92424"/>
    <w:rsid w:val="00C92724"/>
    <w:rsid w:val="00C93540"/>
    <w:rsid w:val="00C93B69"/>
    <w:rsid w:val="00C93D52"/>
    <w:rsid w:val="00C95354"/>
    <w:rsid w:val="00C95EA2"/>
    <w:rsid w:val="00C96D9A"/>
    <w:rsid w:val="00C973B0"/>
    <w:rsid w:val="00CA03BA"/>
    <w:rsid w:val="00CA056A"/>
    <w:rsid w:val="00CA0A8B"/>
    <w:rsid w:val="00CA1110"/>
    <w:rsid w:val="00CA1D43"/>
    <w:rsid w:val="00CA1DFD"/>
    <w:rsid w:val="00CA2654"/>
    <w:rsid w:val="00CA2BC5"/>
    <w:rsid w:val="00CA2BE8"/>
    <w:rsid w:val="00CA3582"/>
    <w:rsid w:val="00CA36C7"/>
    <w:rsid w:val="00CA3772"/>
    <w:rsid w:val="00CA3919"/>
    <w:rsid w:val="00CA39C8"/>
    <w:rsid w:val="00CA3C3F"/>
    <w:rsid w:val="00CA40BC"/>
    <w:rsid w:val="00CA42A0"/>
    <w:rsid w:val="00CA4781"/>
    <w:rsid w:val="00CA4C0E"/>
    <w:rsid w:val="00CA4E08"/>
    <w:rsid w:val="00CA577C"/>
    <w:rsid w:val="00CA5B83"/>
    <w:rsid w:val="00CA5D31"/>
    <w:rsid w:val="00CA6439"/>
    <w:rsid w:val="00CA68DE"/>
    <w:rsid w:val="00CA7B23"/>
    <w:rsid w:val="00CA7D77"/>
    <w:rsid w:val="00CB04D7"/>
    <w:rsid w:val="00CB05DA"/>
    <w:rsid w:val="00CB0876"/>
    <w:rsid w:val="00CB17AF"/>
    <w:rsid w:val="00CB1BD6"/>
    <w:rsid w:val="00CB4FBB"/>
    <w:rsid w:val="00CB64F5"/>
    <w:rsid w:val="00CB6A9F"/>
    <w:rsid w:val="00CB7107"/>
    <w:rsid w:val="00CB7697"/>
    <w:rsid w:val="00CB794E"/>
    <w:rsid w:val="00CC05A6"/>
    <w:rsid w:val="00CC099A"/>
    <w:rsid w:val="00CC1332"/>
    <w:rsid w:val="00CC150E"/>
    <w:rsid w:val="00CC2AB3"/>
    <w:rsid w:val="00CC2F9E"/>
    <w:rsid w:val="00CC2FB9"/>
    <w:rsid w:val="00CC34B0"/>
    <w:rsid w:val="00CC36D1"/>
    <w:rsid w:val="00CC3E6E"/>
    <w:rsid w:val="00CC3E90"/>
    <w:rsid w:val="00CC41D6"/>
    <w:rsid w:val="00CC45AB"/>
    <w:rsid w:val="00CC4983"/>
    <w:rsid w:val="00CC4B9E"/>
    <w:rsid w:val="00CC5762"/>
    <w:rsid w:val="00CC5ACB"/>
    <w:rsid w:val="00CC5EB2"/>
    <w:rsid w:val="00CC5F56"/>
    <w:rsid w:val="00CC67B8"/>
    <w:rsid w:val="00CC6DBF"/>
    <w:rsid w:val="00CC6FB8"/>
    <w:rsid w:val="00CC7E21"/>
    <w:rsid w:val="00CD03FF"/>
    <w:rsid w:val="00CD094D"/>
    <w:rsid w:val="00CD0E1E"/>
    <w:rsid w:val="00CD0F25"/>
    <w:rsid w:val="00CD1DAE"/>
    <w:rsid w:val="00CD2952"/>
    <w:rsid w:val="00CD3090"/>
    <w:rsid w:val="00CD31B0"/>
    <w:rsid w:val="00CD3E01"/>
    <w:rsid w:val="00CD43AC"/>
    <w:rsid w:val="00CD4DCA"/>
    <w:rsid w:val="00CD5C4F"/>
    <w:rsid w:val="00CD5D28"/>
    <w:rsid w:val="00CE1C40"/>
    <w:rsid w:val="00CE2540"/>
    <w:rsid w:val="00CE4D51"/>
    <w:rsid w:val="00CE50AE"/>
    <w:rsid w:val="00CE58A2"/>
    <w:rsid w:val="00CE5DED"/>
    <w:rsid w:val="00CE74FE"/>
    <w:rsid w:val="00CE7DD6"/>
    <w:rsid w:val="00CF1073"/>
    <w:rsid w:val="00CF1FD7"/>
    <w:rsid w:val="00CF2012"/>
    <w:rsid w:val="00CF2F1A"/>
    <w:rsid w:val="00CF2FB9"/>
    <w:rsid w:val="00CF385D"/>
    <w:rsid w:val="00CF643D"/>
    <w:rsid w:val="00CF66B3"/>
    <w:rsid w:val="00CF7498"/>
    <w:rsid w:val="00CF74EB"/>
    <w:rsid w:val="00CF7EB7"/>
    <w:rsid w:val="00D000BF"/>
    <w:rsid w:val="00D0116E"/>
    <w:rsid w:val="00D016F3"/>
    <w:rsid w:val="00D03791"/>
    <w:rsid w:val="00D03F75"/>
    <w:rsid w:val="00D04171"/>
    <w:rsid w:val="00D04219"/>
    <w:rsid w:val="00D04907"/>
    <w:rsid w:val="00D04AC0"/>
    <w:rsid w:val="00D051B0"/>
    <w:rsid w:val="00D0579D"/>
    <w:rsid w:val="00D063EE"/>
    <w:rsid w:val="00D067A4"/>
    <w:rsid w:val="00D06FA5"/>
    <w:rsid w:val="00D073A2"/>
    <w:rsid w:val="00D079A0"/>
    <w:rsid w:val="00D07EC1"/>
    <w:rsid w:val="00D07F61"/>
    <w:rsid w:val="00D12C49"/>
    <w:rsid w:val="00D14190"/>
    <w:rsid w:val="00D141A9"/>
    <w:rsid w:val="00D1440B"/>
    <w:rsid w:val="00D14B14"/>
    <w:rsid w:val="00D14BC0"/>
    <w:rsid w:val="00D151F2"/>
    <w:rsid w:val="00D153DB"/>
    <w:rsid w:val="00D15B1F"/>
    <w:rsid w:val="00D16443"/>
    <w:rsid w:val="00D179EE"/>
    <w:rsid w:val="00D17CE0"/>
    <w:rsid w:val="00D20B93"/>
    <w:rsid w:val="00D21268"/>
    <w:rsid w:val="00D213D9"/>
    <w:rsid w:val="00D21477"/>
    <w:rsid w:val="00D21FE4"/>
    <w:rsid w:val="00D220D2"/>
    <w:rsid w:val="00D22AE7"/>
    <w:rsid w:val="00D22FFA"/>
    <w:rsid w:val="00D23336"/>
    <w:rsid w:val="00D23DD6"/>
    <w:rsid w:val="00D23F58"/>
    <w:rsid w:val="00D25F21"/>
    <w:rsid w:val="00D276DC"/>
    <w:rsid w:val="00D3045F"/>
    <w:rsid w:val="00D30EC1"/>
    <w:rsid w:val="00D3175E"/>
    <w:rsid w:val="00D318AC"/>
    <w:rsid w:val="00D31A78"/>
    <w:rsid w:val="00D31C79"/>
    <w:rsid w:val="00D32CC4"/>
    <w:rsid w:val="00D32D6A"/>
    <w:rsid w:val="00D33A9E"/>
    <w:rsid w:val="00D345D2"/>
    <w:rsid w:val="00D34613"/>
    <w:rsid w:val="00D346D3"/>
    <w:rsid w:val="00D35017"/>
    <w:rsid w:val="00D355A3"/>
    <w:rsid w:val="00D36684"/>
    <w:rsid w:val="00D36DDE"/>
    <w:rsid w:val="00D3748E"/>
    <w:rsid w:val="00D37DBE"/>
    <w:rsid w:val="00D403E4"/>
    <w:rsid w:val="00D40410"/>
    <w:rsid w:val="00D41F86"/>
    <w:rsid w:val="00D422F2"/>
    <w:rsid w:val="00D42A70"/>
    <w:rsid w:val="00D43CFC"/>
    <w:rsid w:val="00D44B38"/>
    <w:rsid w:val="00D44D6E"/>
    <w:rsid w:val="00D44DDF"/>
    <w:rsid w:val="00D455BA"/>
    <w:rsid w:val="00D45729"/>
    <w:rsid w:val="00D46386"/>
    <w:rsid w:val="00D46963"/>
    <w:rsid w:val="00D46C15"/>
    <w:rsid w:val="00D4785F"/>
    <w:rsid w:val="00D479DE"/>
    <w:rsid w:val="00D50B70"/>
    <w:rsid w:val="00D522AE"/>
    <w:rsid w:val="00D52A97"/>
    <w:rsid w:val="00D52D15"/>
    <w:rsid w:val="00D52D79"/>
    <w:rsid w:val="00D53246"/>
    <w:rsid w:val="00D53655"/>
    <w:rsid w:val="00D5376D"/>
    <w:rsid w:val="00D539C8"/>
    <w:rsid w:val="00D53BD7"/>
    <w:rsid w:val="00D54BB6"/>
    <w:rsid w:val="00D54BCD"/>
    <w:rsid w:val="00D54E29"/>
    <w:rsid w:val="00D5596B"/>
    <w:rsid w:val="00D55C81"/>
    <w:rsid w:val="00D56492"/>
    <w:rsid w:val="00D57C76"/>
    <w:rsid w:val="00D616B1"/>
    <w:rsid w:val="00D61FFA"/>
    <w:rsid w:val="00D621BC"/>
    <w:rsid w:val="00D623CB"/>
    <w:rsid w:val="00D62500"/>
    <w:rsid w:val="00D62786"/>
    <w:rsid w:val="00D62F1F"/>
    <w:rsid w:val="00D63AE3"/>
    <w:rsid w:val="00D63E31"/>
    <w:rsid w:val="00D640ED"/>
    <w:rsid w:val="00D648A9"/>
    <w:rsid w:val="00D64A7F"/>
    <w:rsid w:val="00D6564A"/>
    <w:rsid w:val="00D65A6B"/>
    <w:rsid w:val="00D66031"/>
    <w:rsid w:val="00D661C5"/>
    <w:rsid w:val="00D66279"/>
    <w:rsid w:val="00D6647C"/>
    <w:rsid w:val="00D6691F"/>
    <w:rsid w:val="00D67FE2"/>
    <w:rsid w:val="00D70375"/>
    <w:rsid w:val="00D70377"/>
    <w:rsid w:val="00D705ED"/>
    <w:rsid w:val="00D70992"/>
    <w:rsid w:val="00D70FC3"/>
    <w:rsid w:val="00D71379"/>
    <w:rsid w:val="00D71DBF"/>
    <w:rsid w:val="00D720D2"/>
    <w:rsid w:val="00D7231E"/>
    <w:rsid w:val="00D724EA"/>
    <w:rsid w:val="00D72800"/>
    <w:rsid w:val="00D73251"/>
    <w:rsid w:val="00D74294"/>
    <w:rsid w:val="00D75C68"/>
    <w:rsid w:val="00D75C97"/>
    <w:rsid w:val="00D75EFF"/>
    <w:rsid w:val="00D76E15"/>
    <w:rsid w:val="00D77AED"/>
    <w:rsid w:val="00D77CCC"/>
    <w:rsid w:val="00D802A0"/>
    <w:rsid w:val="00D802AE"/>
    <w:rsid w:val="00D807F6"/>
    <w:rsid w:val="00D80C9D"/>
    <w:rsid w:val="00D815BB"/>
    <w:rsid w:val="00D81EBA"/>
    <w:rsid w:val="00D81F35"/>
    <w:rsid w:val="00D826C4"/>
    <w:rsid w:val="00D82B4E"/>
    <w:rsid w:val="00D831E5"/>
    <w:rsid w:val="00D837D2"/>
    <w:rsid w:val="00D837F1"/>
    <w:rsid w:val="00D83E63"/>
    <w:rsid w:val="00D84952"/>
    <w:rsid w:val="00D84F39"/>
    <w:rsid w:val="00D856DA"/>
    <w:rsid w:val="00D8656E"/>
    <w:rsid w:val="00D87CFA"/>
    <w:rsid w:val="00D90162"/>
    <w:rsid w:val="00D90483"/>
    <w:rsid w:val="00D9073C"/>
    <w:rsid w:val="00D91A5E"/>
    <w:rsid w:val="00D9295F"/>
    <w:rsid w:val="00D9388E"/>
    <w:rsid w:val="00D93EAD"/>
    <w:rsid w:val="00D9408A"/>
    <w:rsid w:val="00D95786"/>
    <w:rsid w:val="00D95B56"/>
    <w:rsid w:val="00D95D4E"/>
    <w:rsid w:val="00D97953"/>
    <w:rsid w:val="00D97F56"/>
    <w:rsid w:val="00DA025B"/>
    <w:rsid w:val="00DA0638"/>
    <w:rsid w:val="00DA073E"/>
    <w:rsid w:val="00DA0F80"/>
    <w:rsid w:val="00DA18C6"/>
    <w:rsid w:val="00DA1C78"/>
    <w:rsid w:val="00DA27DA"/>
    <w:rsid w:val="00DA28D6"/>
    <w:rsid w:val="00DA2BCE"/>
    <w:rsid w:val="00DA3534"/>
    <w:rsid w:val="00DA4565"/>
    <w:rsid w:val="00DA4DB3"/>
    <w:rsid w:val="00DA5D8C"/>
    <w:rsid w:val="00DA783A"/>
    <w:rsid w:val="00DA7E5A"/>
    <w:rsid w:val="00DA7E69"/>
    <w:rsid w:val="00DA7E76"/>
    <w:rsid w:val="00DA7FC8"/>
    <w:rsid w:val="00DB0515"/>
    <w:rsid w:val="00DB0591"/>
    <w:rsid w:val="00DB1899"/>
    <w:rsid w:val="00DB2FE0"/>
    <w:rsid w:val="00DB3678"/>
    <w:rsid w:val="00DB3B0B"/>
    <w:rsid w:val="00DB441A"/>
    <w:rsid w:val="00DB4922"/>
    <w:rsid w:val="00DB4991"/>
    <w:rsid w:val="00DB4CA4"/>
    <w:rsid w:val="00DB5772"/>
    <w:rsid w:val="00DB5CD2"/>
    <w:rsid w:val="00DB68A1"/>
    <w:rsid w:val="00DB75E2"/>
    <w:rsid w:val="00DC198E"/>
    <w:rsid w:val="00DC1DDD"/>
    <w:rsid w:val="00DC2C25"/>
    <w:rsid w:val="00DC2DFC"/>
    <w:rsid w:val="00DC3796"/>
    <w:rsid w:val="00DC3B69"/>
    <w:rsid w:val="00DC4127"/>
    <w:rsid w:val="00DC42F7"/>
    <w:rsid w:val="00DC556B"/>
    <w:rsid w:val="00DC5D1F"/>
    <w:rsid w:val="00DC65B9"/>
    <w:rsid w:val="00DC67C4"/>
    <w:rsid w:val="00DC6AFA"/>
    <w:rsid w:val="00DC6BBC"/>
    <w:rsid w:val="00DC6BF5"/>
    <w:rsid w:val="00DC706B"/>
    <w:rsid w:val="00DC7255"/>
    <w:rsid w:val="00DC72CF"/>
    <w:rsid w:val="00DC7BAF"/>
    <w:rsid w:val="00DC7F3C"/>
    <w:rsid w:val="00DD1231"/>
    <w:rsid w:val="00DD1409"/>
    <w:rsid w:val="00DD1414"/>
    <w:rsid w:val="00DD1E29"/>
    <w:rsid w:val="00DD29BE"/>
    <w:rsid w:val="00DD2A8A"/>
    <w:rsid w:val="00DD38F0"/>
    <w:rsid w:val="00DD396E"/>
    <w:rsid w:val="00DD3BD4"/>
    <w:rsid w:val="00DD446A"/>
    <w:rsid w:val="00DD5C88"/>
    <w:rsid w:val="00DD71D4"/>
    <w:rsid w:val="00DD7834"/>
    <w:rsid w:val="00DD786C"/>
    <w:rsid w:val="00DE0087"/>
    <w:rsid w:val="00DE017D"/>
    <w:rsid w:val="00DE0D25"/>
    <w:rsid w:val="00DE1B76"/>
    <w:rsid w:val="00DE2A5F"/>
    <w:rsid w:val="00DE3615"/>
    <w:rsid w:val="00DE3DB3"/>
    <w:rsid w:val="00DE411C"/>
    <w:rsid w:val="00DE4152"/>
    <w:rsid w:val="00DE427C"/>
    <w:rsid w:val="00DE48CF"/>
    <w:rsid w:val="00DE537F"/>
    <w:rsid w:val="00DE5520"/>
    <w:rsid w:val="00DE562F"/>
    <w:rsid w:val="00DE614E"/>
    <w:rsid w:val="00DE679D"/>
    <w:rsid w:val="00DE68E5"/>
    <w:rsid w:val="00DE6EDC"/>
    <w:rsid w:val="00DE71C4"/>
    <w:rsid w:val="00DE725E"/>
    <w:rsid w:val="00DE7902"/>
    <w:rsid w:val="00DE7D93"/>
    <w:rsid w:val="00DF088A"/>
    <w:rsid w:val="00DF102A"/>
    <w:rsid w:val="00DF19F9"/>
    <w:rsid w:val="00DF2CDE"/>
    <w:rsid w:val="00DF37AA"/>
    <w:rsid w:val="00DF4242"/>
    <w:rsid w:val="00DF4BA8"/>
    <w:rsid w:val="00DF4D47"/>
    <w:rsid w:val="00DF4FB2"/>
    <w:rsid w:val="00DF526C"/>
    <w:rsid w:val="00DF535E"/>
    <w:rsid w:val="00DF561B"/>
    <w:rsid w:val="00DF5FF6"/>
    <w:rsid w:val="00DF6004"/>
    <w:rsid w:val="00DF63E8"/>
    <w:rsid w:val="00DF6ED9"/>
    <w:rsid w:val="00DF76AA"/>
    <w:rsid w:val="00E005BF"/>
    <w:rsid w:val="00E00C68"/>
    <w:rsid w:val="00E01178"/>
    <w:rsid w:val="00E01FA9"/>
    <w:rsid w:val="00E02122"/>
    <w:rsid w:val="00E02FC9"/>
    <w:rsid w:val="00E03949"/>
    <w:rsid w:val="00E0460C"/>
    <w:rsid w:val="00E047AD"/>
    <w:rsid w:val="00E049E9"/>
    <w:rsid w:val="00E049EE"/>
    <w:rsid w:val="00E05802"/>
    <w:rsid w:val="00E05AFD"/>
    <w:rsid w:val="00E062B5"/>
    <w:rsid w:val="00E065B5"/>
    <w:rsid w:val="00E06B34"/>
    <w:rsid w:val="00E07881"/>
    <w:rsid w:val="00E07A9E"/>
    <w:rsid w:val="00E07AF8"/>
    <w:rsid w:val="00E07FC2"/>
    <w:rsid w:val="00E1042B"/>
    <w:rsid w:val="00E116A0"/>
    <w:rsid w:val="00E116ED"/>
    <w:rsid w:val="00E1260A"/>
    <w:rsid w:val="00E137C5"/>
    <w:rsid w:val="00E1482A"/>
    <w:rsid w:val="00E159E0"/>
    <w:rsid w:val="00E16212"/>
    <w:rsid w:val="00E16D95"/>
    <w:rsid w:val="00E1709C"/>
    <w:rsid w:val="00E17882"/>
    <w:rsid w:val="00E17D93"/>
    <w:rsid w:val="00E20009"/>
    <w:rsid w:val="00E20179"/>
    <w:rsid w:val="00E20E48"/>
    <w:rsid w:val="00E21245"/>
    <w:rsid w:val="00E21807"/>
    <w:rsid w:val="00E22273"/>
    <w:rsid w:val="00E22296"/>
    <w:rsid w:val="00E22861"/>
    <w:rsid w:val="00E230D4"/>
    <w:rsid w:val="00E24354"/>
    <w:rsid w:val="00E24DDD"/>
    <w:rsid w:val="00E24FD2"/>
    <w:rsid w:val="00E26D91"/>
    <w:rsid w:val="00E2744B"/>
    <w:rsid w:val="00E30664"/>
    <w:rsid w:val="00E30695"/>
    <w:rsid w:val="00E30BE3"/>
    <w:rsid w:val="00E315C1"/>
    <w:rsid w:val="00E31A16"/>
    <w:rsid w:val="00E31F14"/>
    <w:rsid w:val="00E3227C"/>
    <w:rsid w:val="00E327EF"/>
    <w:rsid w:val="00E329DF"/>
    <w:rsid w:val="00E32CDB"/>
    <w:rsid w:val="00E33389"/>
    <w:rsid w:val="00E33718"/>
    <w:rsid w:val="00E33D20"/>
    <w:rsid w:val="00E341D6"/>
    <w:rsid w:val="00E34A71"/>
    <w:rsid w:val="00E35530"/>
    <w:rsid w:val="00E35987"/>
    <w:rsid w:val="00E35C87"/>
    <w:rsid w:val="00E3618C"/>
    <w:rsid w:val="00E367DD"/>
    <w:rsid w:val="00E367E4"/>
    <w:rsid w:val="00E36C73"/>
    <w:rsid w:val="00E40703"/>
    <w:rsid w:val="00E4108F"/>
    <w:rsid w:val="00E416D2"/>
    <w:rsid w:val="00E418D9"/>
    <w:rsid w:val="00E422A5"/>
    <w:rsid w:val="00E42F28"/>
    <w:rsid w:val="00E431D2"/>
    <w:rsid w:val="00E434F7"/>
    <w:rsid w:val="00E4381E"/>
    <w:rsid w:val="00E44115"/>
    <w:rsid w:val="00E453CB"/>
    <w:rsid w:val="00E45A68"/>
    <w:rsid w:val="00E45B6B"/>
    <w:rsid w:val="00E464EC"/>
    <w:rsid w:val="00E46EEF"/>
    <w:rsid w:val="00E47143"/>
    <w:rsid w:val="00E47246"/>
    <w:rsid w:val="00E50162"/>
    <w:rsid w:val="00E509D5"/>
    <w:rsid w:val="00E51FD1"/>
    <w:rsid w:val="00E52379"/>
    <w:rsid w:val="00E52AE8"/>
    <w:rsid w:val="00E52BEE"/>
    <w:rsid w:val="00E52FB1"/>
    <w:rsid w:val="00E53308"/>
    <w:rsid w:val="00E5362C"/>
    <w:rsid w:val="00E5467C"/>
    <w:rsid w:val="00E555BB"/>
    <w:rsid w:val="00E55DAA"/>
    <w:rsid w:val="00E56620"/>
    <w:rsid w:val="00E5682A"/>
    <w:rsid w:val="00E569BD"/>
    <w:rsid w:val="00E56D08"/>
    <w:rsid w:val="00E57483"/>
    <w:rsid w:val="00E57C92"/>
    <w:rsid w:val="00E6021A"/>
    <w:rsid w:val="00E603D9"/>
    <w:rsid w:val="00E60BFC"/>
    <w:rsid w:val="00E6109B"/>
    <w:rsid w:val="00E61951"/>
    <w:rsid w:val="00E6206D"/>
    <w:rsid w:val="00E623DB"/>
    <w:rsid w:val="00E6284A"/>
    <w:rsid w:val="00E62B2C"/>
    <w:rsid w:val="00E62FE5"/>
    <w:rsid w:val="00E63687"/>
    <w:rsid w:val="00E63963"/>
    <w:rsid w:val="00E63E8D"/>
    <w:rsid w:val="00E63FAE"/>
    <w:rsid w:val="00E64F3C"/>
    <w:rsid w:val="00E64F99"/>
    <w:rsid w:val="00E65728"/>
    <w:rsid w:val="00E6640E"/>
    <w:rsid w:val="00E66709"/>
    <w:rsid w:val="00E66F02"/>
    <w:rsid w:val="00E674C4"/>
    <w:rsid w:val="00E67DA0"/>
    <w:rsid w:val="00E70AA1"/>
    <w:rsid w:val="00E71241"/>
    <w:rsid w:val="00E71341"/>
    <w:rsid w:val="00E71947"/>
    <w:rsid w:val="00E7416D"/>
    <w:rsid w:val="00E748B7"/>
    <w:rsid w:val="00E74E3E"/>
    <w:rsid w:val="00E750B8"/>
    <w:rsid w:val="00E750C1"/>
    <w:rsid w:val="00E75FA5"/>
    <w:rsid w:val="00E76A9F"/>
    <w:rsid w:val="00E76CE3"/>
    <w:rsid w:val="00E76DA0"/>
    <w:rsid w:val="00E77377"/>
    <w:rsid w:val="00E77CB5"/>
    <w:rsid w:val="00E80E7E"/>
    <w:rsid w:val="00E81073"/>
    <w:rsid w:val="00E8147D"/>
    <w:rsid w:val="00E81F33"/>
    <w:rsid w:val="00E822E1"/>
    <w:rsid w:val="00E83032"/>
    <w:rsid w:val="00E8346D"/>
    <w:rsid w:val="00E83955"/>
    <w:rsid w:val="00E83F2E"/>
    <w:rsid w:val="00E84023"/>
    <w:rsid w:val="00E856D2"/>
    <w:rsid w:val="00E85884"/>
    <w:rsid w:val="00E85C35"/>
    <w:rsid w:val="00E86166"/>
    <w:rsid w:val="00E861B4"/>
    <w:rsid w:val="00E86705"/>
    <w:rsid w:val="00E86B0F"/>
    <w:rsid w:val="00E86D83"/>
    <w:rsid w:val="00E872DD"/>
    <w:rsid w:val="00E90161"/>
    <w:rsid w:val="00E901CF"/>
    <w:rsid w:val="00E90C92"/>
    <w:rsid w:val="00E912E6"/>
    <w:rsid w:val="00E91424"/>
    <w:rsid w:val="00E9159D"/>
    <w:rsid w:val="00E916A7"/>
    <w:rsid w:val="00E92653"/>
    <w:rsid w:val="00E93502"/>
    <w:rsid w:val="00E942F3"/>
    <w:rsid w:val="00E94DDD"/>
    <w:rsid w:val="00E94EC6"/>
    <w:rsid w:val="00E96279"/>
    <w:rsid w:val="00E97401"/>
    <w:rsid w:val="00E9744E"/>
    <w:rsid w:val="00E974DD"/>
    <w:rsid w:val="00E9775A"/>
    <w:rsid w:val="00E9793C"/>
    <w:rsid w:val="00E979F4"/>
    <w:rsid w:val="00EA0B85"/>
    <w:rsid w:val="00EA2690"/>
    <w:rsid w:val="00EA2939"/>
    <w:rsid w:val="00EA2D33"/>
    <w:rsid w:val="00EA346E"/>
    <w:rsid w:val="00EA35DB"/>
    <w:rsid w:val="00EA3ADA"/>
    <w:rsid w:val="00EA4CC2"/>
    <w:rsid w:val="00EA592A"/>
    <w:rsid w:val="00EA6F4A"/>
    <w:rsid w:val="00EA7368"/>
    <w:rsid w:val="00EB0637"/>
    <w:rsid w:val="00EB08FB"/>
    <w:rsid w:val="00EB13AE"/>
    <w:rsid w:val="00EB1FDD"/>
    <w:rsid w:val="00EB2A56"/>
    <w:rsid w:val="00EB2CC8"/>
    <w:rsid w:val="00EB2F1D"/>
    <w:rsid w:val="00EB31DF"/>
    <w:rsid w:val="00EB33E5"/>
    <w:rsid w:val="00EB3584"/>
    <w:rsid w:val="00EB39E8"/>
    <w:rsid w:val="00EB3ADA"/>
    <w:rsid w:val="00EB3BC0"/>
    <w:rsid w:val="00EB3DD0"/>
    <w:rsid w:val="00EB44DB"/>
    <w:rsid w:val="00EB464C"/>
    <w:rsid w:val="00EB5585"/>
    <w:rsid w:val="00EB5B87"/>
    <w:rsid w:val="00EB6965"/>
    <w:rsid w:val="00EB78B3"/>
    <w:rsid w:val="00EB79FF"/>
    <w:rsid w:val="00EB7CF4"/>
    <w:rsid w:val="00EC0344"/>
    <w:rsid w:val="00EC0A22"/>
    <w:rsid w:val="00EC1649"/>
    <w:rsid w:val="00EC1EBA"/>
    <w:rsid w:val="00EC22E2"/>
    <w:rsid w:val="00EC2B45"/>
    <w:rsid w:val="00EC3097"/>
    <w:rsid w:val="00EC3B8B"/>
    <w:rsid w:val="00EC401E"/>
    <w:rsid w:val="00EC45EA"/>
    <w:rsid w:val="00EC4B03"/>
    <w:rsid w:val="00EC4CD4"/>
    <w:rsid w:val="00EC53B0"/>
    <w:rsid w:val="00EC5528"/>
    <w:rsid w:val="00EC68BF"/>
    <w:rsid w:val="00EC68EF"/>
    <w:rsid w:val="00EC6C8D"/>
    <w:rsid w:val="00EC6FE5"/>
    <w:rsid w:val="00EC7010"/>
    <w:rsid w:val="00EC740D"/>
    <w:rsid w:val="00EC7769"/>
    <w:rsid w:val="00EC77F7"/>
    <w:rsid w:val="00EC78F8"/>
    <w:rsid w:val="00ED0504"/>
    <w:rsid w:val="00ED0ED0"/>
    <w:rsid w:val="00ED1803"/>
    <w:rsid w:val="00ED1A3B"/>
    <w:rsid w:val="00ED1DD2"/>
    <w:rsid w:val="00ED1FDC"/>
    <w:rsid w:val="00ED21F0"/>
    <w:rsid w:val="00ED26C8"/>
    <w:rsid w:val="00ED2878"/>
    <w:rsid w:val="00ED4053"/>
    <w:rsid w:val="00ED46C1"/>
    <w:rsid w:val="00ED49DF"/>
    <w:rsid w:val="00ED4D58"/>
    <w:rsid w:val="00ED6D23"/>
    <w:rsid w:val="00ED730A"/>
    <w:rsid w:val="00ED73C1"/>
    <w:rsid w:val="00ED7449"/>
    <w:rsid w:val="00ED745E"/>
    <w:rsid w:val="00ED79F4"/>
    <w:rsid w:val="00ED7DC7"/>
    <w:rsid w:val="00EE1443"/>
    <w:rsid w:val="00EE1DE9"/>
    <w:rsid w:val="00EE2615"/>
    <w:rsid w:val="00EE479B"/>
    <w:rsid w:val="00EE57AE"/>
    <w:rsid w:val="00EE5B5A"/>
    <w:rsid w:val="00EE6F32"/>
    <w:rsid w:val="00EE75C2"/>
    <w:rsid w:val="00EE7B6D"/>
    <w:rsid w:val="00EE7E05"/>
    <w:rsid w:val="00EF03CD"/>
    <w:rsid w:val="00EF0B01"/>
    <w:rsid w:val="00EF16F9"/>
    <w:rsid w:val="00EF1F9D"/>
    <w:rsid w:val="00EF28BB"/>
    <w:rsid w:val="00EF33EE"/>
    <w:rsid w:val="00EF3C12"/>
    <w:rsid w:val="00EF4C3A"/>
    <w:rsid w:val="00EF4DD7"/>
    <w:rsid w:val="00EF573F"/>
    <w:rsid w:val="00EF5DD8"/>
    <w:rsid w:val="00EF6E88"/>
    <w:rsid w:val="00EF7032"/>
    <w:rsid w:val="00F008C4"/>
    <w:rsid w:val="00F009BC"/>
    <w:rsid w:val="00F01143"/>
    <w:rsid w:val="00F01466"/>
    <w:rsid w:val="00F01777"/>
    <w:rsid w:val="00F01CF2"/>
    <w:rsid w:val="00F01F17"/>
    <w:rsid w:val="00F02B1B"/>
    <w:rsid w:val="00F02E60"/>
    <w:rsid w:val="00F032A3"/>
    <w:rsid w:val="00F0424E"/>
    <w:rsid w:val="00F04AF5"/>
    <w:rsid w:val="00F04C6F"/>
    <w:rsid w:val="00F06A1E"/>
    <w:rsid w:val="00F076C7"/>
    <w:rsid w:val="00F07869"/>
    <w:rsid w:val="00F07AA1"/>
    <w:rsid w:val="00F07BFF"/>
    <w:rsid w:val="00F07E63"/>
    <w:rsid w:val="00F1013C"/>
    <w:rsid w:val="00F1044B"/>
    <w:rsid w:val="00F10E78"/>
    <w:rsid w:val="00F11BA6"/>
    <w:rsid w:val="00F124E2"/>
    <w:rsid w:val="00F12B24"/>
    <w:rsid w:val="00F12E77"/>
    <w:rsid w:val="00F13084"/>
    <w:rsid w:val="00F13659"/>
    <w:rsid w:val="00F14556"/>
    <w:rsid w:val="00F15507"/>
    <w:rsid w:val="00F15952"/>
    <w:rsid w:val="00F15EE6"/>
    <w:rsid w:val="00F163C8"/>
    <w:rsid w:val="00F163CD"/>
    <w:rsid w:val="00F165ED"/>
    <w:rsid w:val="00F16CD5"/>
    <w:rsid w:val="00F17EC4"/>
    <w:rsid w:val="00F20C6B"/>
    <w:rsid w:val="00F21467"/>
    <w:rsid w:val="00F21826"/>
    <w:rsid w:val="00F22DC7"/>
    <w:rsid w:val="00F23095"/>
    <w:rsid w:val="00F245FC"/>
    <w:rsid w:val="00F24E93"/>
    <w:rsid w:val="00F2504B"/>
    <w:rsid w:val="00F25D64"/>
    <w:rsid w:val="00F2615A"/>
    <w:rsid w:val="00F26FD9"/>
    <w:rsid w:val="00F271ED"/>
    <w:rsid w:val="00F276DA"/>
    <w:rsid w:val="00F27914"/>
    <w:rsid w:val="00F27C01"/>
    <w:rsid w:val="00F30820"/>
    <w:rsid w:val="00F30A82"/>
    <w:rsid w:val="00F30ED8"/>
    <w:rsid w:val="00F30FE7"/>
    <w:rsid w:val="00F314FD"/>
    <w:rsid w:val="00F3204C"/>
    <w:rsid w:val="00F32176"/>
    <w:rsid w:val="00F34619"/>
    <w:rsid w:val="00F35406"/>
    <w:rsid w:val="00F361BB"/>
    <w:rsid w:val="00F36ADB"/>
    <w:rsid w:val="00F36D9A"/>
    <w:rsid w:val="00F37C04"/>
    <w:rsid w:val="00F40114"/>
    <w:rsid w:val="00F4081D"/>
    <w:rsid w:val="00F41D0A"/>
    <w:rsid w:val="00F42746"/>
    <w:rsid w:val="00F42A3F"/>
    <w:rsid w:val="00F430C7"/>
    <w:rsid w:val="00F442D3"/>
    <w:rsid w:val="00F44905"/>
    <w:rsid w:val="00F44E99"/>
    <w:rsid w:val="00F450BC"/>
    <w:rsid w:val="00F45133"/>
    <w:rsid w:val="00F452FD"/>
    <w:rsid w:val="00F45AB2"/>
    <w:rsid w:val="00F45B34"/>
    <w:rsid w:val="00F461AB"/>
    <w:rsid w:val="00F463E8"/>
    <w:rsid w:val="00F46D56"/>
    <w:rsid w:val="00F47732"/>
    <w:rsid w:val="00F47BDC"/>
    <w:rsid w:val="00F50B41"/>
    <w:rsid w:val="00F51878"/>
    <w:rsid w:val="00F52F26"/>
    <w:rsid w:val="00F54041"/>
    <w:rsid w:val="00F54080"/>
    <w:rsid w:val="00F548D8"/>
    <w:rsid w:val="00F553FC"/>
    <w:rsid w:val="00F55858"/>
    <w:rsid w:val="00F55BA3"/>
    <w:rsid w:val="00F55DE0"/>
    <w:rsid w:val="00F55F44"/>
    <w:rsid w:val="00F5600A"/>
    <w:rsid w:val="00F570A9"/>
    <w:rsid w:val="00F5719E"/>
    <w:rsid w:val="00F57324"/>
    <w:rsid w:val="00F60126"/>
    <w:rsid w:val="00F60601"/>
    <w:rsid w:val="00F606EB"/>
    <w:rsid w:val="00F60985"/>
    <w:rsid w:val="00F60B6A"/>
    <w:rsid w:val="00F60C44"/>
    <w:rsid w:val="00F60EA2"/>
    <w:rsid w:val="00F61222"/>
    <w:rsid w:val="00F637C1"/>
    <w:rsid w:val="00F63BF8"/>
    <w:rsid w:val="00F64CF4"/>
    <w:rsid w:val="00F650BD"/>
    <w:rsid w:val="00F65243"/>
    <w:rsid w:val="00F6543D"/>
    <w:rsid w:val="00F65893"/>
    <w:rsid w:val="00F65906"/>
    <w:rsid w:val="00F65ED2"/>
    <w:rsid w:val="00F67645"/>
    <w:rsid w:val="00F679DD"/>
    <w:rsid w:val="00F7089F"/>
    <w:rsid w:val="00F70ECF"/>
    <w:rsid w:val="00F7156D"/>
    <w:rsid w:val="00F71DAD"/>
    <w:rsid w:val="00F71DC7"/>
    <w:rsid w:val="00F72A4F"/>
    <w:rsid w:val="00F72DAC"/>
    <w:rsid w:val="00F739CF"/>
    <w:rsid w:val="00F73BE9"/>
    <w:rsid w:val="00F73C5A"/>
    <w:rsid w:val="00F73ED1"/>
    <w:rsid w:val="00F743D8"/>
    <w:rsid w:val="00F7470F"/>
    <w:rsid w:val="00F7480B"/>
    <w:rsid w:val="00F75FAB"/>
    <w:rsid w:val="00F766B9"/>
    <w:rsid w:val="00F7716A"/>
    <w:rsid w:val="00F804C0"/>
    <w:rsid w:val="00F80709"/>
    <w:rsid w:val="00F80A9F"/>
    <w:rsid w:val="00F80D3A"/>
    <w:rsid w:val="00F81083"/>
    <w:rsid w:val="00F81845"/>
    <w:rsid w:val="00F83C89"/>
    <w:rsid w:val="00F842CA"/>
    <w:rsid w:val="00F84381"/>
    <w:rsid w:val="00F84837"/>
    <w:rsid w:val="00F84D5F"/>
    <w:rsid w:val="00F8501E"/>
    <w:rsid w:val="00F856BD"/>
    <w:rsid w:val="00F8623B"/>
    <w:rsid w:val="00F86557"/>
    <w:rsid w:val="00F867DC"/>
    <w:rsid w:val="00F8756E"/>
    <w:rsid w:val="00F906D4"/>
    <w:rsid w:val="00F9108E"/>
    <w:rsid w:val="00F91C11"/>
    <w:rsid w:val="00F923F2"/>
    <w:rsid w:val="00F93057"/>
    <w:rsid w:val="00F93323"/>
    <w:rsid w:val="00F93EBF"/>
    <w:rsid w:val="00F94D13"/>
    <w:rsid w:val="00F95A47"/>
    <w:rsid w:val="00F95DB1"/>
    <w:rsid w:val="00F97825"/>
    <w:rsid w:val="00F978C2"/>
    <w:rsid w:val="00FA25C0"/>
    <w:rsid w:val="00FA2847"/>
    <w:rsid w:val="00FA2D9E"/>
    <w:rsid w:val="00FA3379"/>
    <w:rsid w:val="00FA33B5"/>
    <w:rsid w:val="00FA3455"/>
    <w:rsid w:val="00FA380E"/>
    <w:rsid w:val="00FA433D"/>
    <w:rsid w:val="00FA4AA4"/>
    <w:rsid w:val="00FA4B4C"/>
    <w:rsid w:val="00FA55A7"/>
    <w:rsid w:val="00FA5D2D"/>
    <w:rsid w:val="00FA6A22"/>
    <w:rsid w:val="00FB0272"/>
    <w:rsid w:val="00FB0565"/>
    <w:rsid w:val="00FB064B"/>
    <w:rsid w:val="00FB06CA"/>
    <w:rsid w:val="00FB1A49"/>
    <w:rsid w:val="00FB1CA7"/>
    <w:rsid w:val="00FB339A"/>
    <w:rsid w:val="00FB4202"/>
    <w:rsid w:val="00FB4373"/>
    <w:rsid w:val="00FB4A2D"/>
    <w:rsid w:val="00FB4AB2"/>
    <w:rsid w:val="00FB61C0"/>
    <w:rsid w:val="00FB6CA7"/>
    <w:rsid w:val="00FC0FB3"/>
    <w:rsid w:val="00FC1775"/>
    <w:rsid w:val="00FC2057"/>
    <w:rsid w:val="00FC247F"/>
    <w:rsid w:val="00FC2504"/>
    <w:rsid w:val="00FC286C"/>
    <w:rsid w:val="00FC4362"/>
    <w:rsid w:val="00FC46A5"/>
    <w:rsid w:val="00FC4706"/>
    <w:rsid w:val="00FC488A"/>
    <w:rsid w:val="00FC4B4C"/>
    <w:rsid w:val="00FC4E5B"/>
    <w:rsid w:val="00FC531A"/>
    <w:rsid w:val="00FC6DCC"/>
    <w:rsid w:val="00FC6E3F"/>
    <w:rsid w:val="00FC70E2"/>
    <w:rsid w:val="00FD001A"/>
    <w:rsid w:val="00FD01EC"/>
    <w:rsid w:val="00FD0CAD"/>
    <w:rsid w:val="00FD1262"/>
    <w:rsid w:val="00FD1EE1"/>
    <w:rsid w:val="00FD2F90"/>
    <w:rsid w:val="00FD48A4"/>
    <w:rsid w:val="00FD4CC8"/>
    <w:rsid w:val="00FD5054"/>
    <w:rsid w:val="00FD5262"/>
    <w:rsid w:val="00FD59C5"/>
    <w:rsid w:val="00FD5B58"/>
    <w:rsid w:val="00FD5EC8"/>
    <w:rsid w:val="00FD5F91"/>
    <w:rsid w:val="00FD6B9E"/>
    <w:rsid w:val="00FD7B25"/>
    <w:rsid w:val="00FD7F6F"/>
    <w:rsid w:val="00FD7F9F"/>
    <w:rsid w:val="00FE0316"/>
    <w:rsid w:val="00FE09D4"/>
    <w:rsid w:val="00FE14E7"/>
    <w:rsid w:val="00FE1914"/>
    <w:rsid w:val="00FE19CB"/>
    <w:rsid w:val="00FE2AFD"/>
    <w:rsid w:val="00FE3048"/>
    <w:rsid w:val="00FE3577"/>
    <w:rsid w:val="00FE427D"/>
    <w:rsid w:val="00FE61A3"/>
    <w:rsid w:val="00FE6C89"/>
    <w:rsid w:val="00FE7412"/>
    <w:rsid w:val="00FE752E"/>
    <w:rsid w:val="00FE7781"/>
    <w:rsid w:val="00FE783E"/>
    <w:rsid w:val="00FF0410"/>
    <w:rsid w:val="00FF0C61"/>
    <w:rsid w:val="00FF1528"/>
    <w:rsid w:val="00FF1D4F"/>
    <w:rsid w:val="00FF2076"/>
    <w:rsid w:val="00FF239E"/>
    <w:rsid w:val="00FF2CA1"/>
    <w:rsid w:val="00FF3136"/>
    <w:rsid w:val="00FF37F7"/>
    <w:rsid w:val="00FF4C43"/>
    <w:rsid w:val="00FF540A"/>
    <w:rsid w:val="00FF7C18"/>
    <w:rsid w:val="01054EE7"/>
    <w:rsid w:val="01453751"/>
    <w:rsid w:val="01710C42"/>
    <w:rsid w:val="017F126E"/>
    <w:rsid w:val="018C6040"/>
    <w:rsid w:val="01967E71"/>
    <w:rsid w:val="01BF645F"/>
    <w:rsid w:val="01D0720E"/>
    <w:rsid w:val="01E925F2"/>
    <w:rsid w:val="01EE77BF"/>
    <w:rsid w:val="021F72B2"/>
    <w:rsid w:val="02366DA0"/>
    <w:rsid w:val="024971C1"/>
    <w:rsid w:val="024D5B94"/>
    <w:rsid w:val="026412FF"/>
    <w:rsid w:val="026818CF"/>
    <w:rsid w:val="026E0318"/>
    <w:rsid w:val="02A52145"/>
    <w:rsid w:val="02D26E72"/>
    <w:rsid w:val="02F41103"/>
    <w:rsid w:val="02F53E74"/>
    <w:rsid w:val="02FB7869"/>
    <w:rsid w:val="03315E11"/>
    <w:rsid w:val="03BC007F"/>
    <w:rsid w:val="03EB3FC7"/>
    <w:rsid w:val="040717CA"/>
    <w:rsid w:val="040E5C29"/>
    <w:rsid w:val="041600AC"/>
    <w:rsid w:val="043D69E1"/>
    <w:rsid w:val="044A7004"/>
    <w:rsid w:val="04671583"/>
    <w:rsid w:val="046A2703"/>
    <w:rsid w:val="04DB522D"/>
    <w:rsid w:val="050836B4"/>
    <w:rsid w:val="0510144C"/>
    <w:rsid w:val="052F698C"/>
    <w:rsid w:val="053805F8"/>
    <w:rsid w:val="05571533"/>
    <w:rsid w:val="055D4CB6"/>
    <w:rsid w:val="05A07FB5"/>
    <w:rsid w:val="05B70155"/>
    <w:rsid w:val="05CA4673"/>
    <w:rsid w:val="05D00854"/>
    <w:rsid w:val="05E86706"/>
    <w:rsid w:val="05EB3E85"/>
    <w:rsid w:val="05F626C2"/>
    <w:rsid w:val="06440003"/>
    <w:rsid w:val="06EE0FAD"/>
    <w:rsid w:val="06F4622C"/>
    <w:rsid w:val="07037896"/>
    <w:rsid w:val="071C1AB9"/>
    <w:rsid w:val="072A35FB"/>
    <w:rsid w:val="07673691"/>
    <w:rsid w:val="07675D60"/>
    <w:rsid w:val="079A234F"/>
    <w:rsid w:val="07BD350D"/>
    <w:rsid w:val="07BE76F9"/>
    <w:rsid w:val="07ED67BF"/>
    <w:rsid w:val="07FB5842"/>
    <w:rsid w:val="0810522F"/>
    <w:rsid w:val="08251C3E"/>
    <w:rsid w:val="086B433E"/>
    <w:rsid w:val="087C3235"/>
    <w:rsid w:val="089524A2"/>
    <w:rsid w:val="08A44134"/>
    <w:rsid w:val="08C32FB7"/>
    <w:rsid w:val="08C80360"/>
    <w:rsid w:val="094C130B"/>
    <w:rsid w:val="094D40F3"/>
    <w:rsid w:val="096E6557"/>
    <w:rsid w:val="097612D8"/>
    <w:rsid w:val="09776B1A"/>
    <w:rsid w:val="09870B6B"/>
    <w:rsid w:val="09D0632A"/>
    <w:rsid w:val="09D6522B"/>
    <w:rsid w:val="0A2E55C3"/>
    <w:rsid w:val="0A38598E"/>
    <w:rsid w:val="0A4F305E"/>
    <w:rsid w:val="0AAC140A"/>
    <w:rsid w:val="0ADC74B5"/>
    <w:rsid w:val="0AEB5D03"/>
    <w:rsid w:val="0AFF6A33"/>
    <w:rsid w:val="0B0A632C"/>
    <w:rsid w:val="0B1933FA"/>
    <w:rsid w:val="0B3A110D"/>
    <w:rsid w:val="0B64529C"/>
    <w:rsid w:val="0B762C6A"/>
    <w:rsid w:val="0B942AEA"/>
    <w:rsid w:val="0B9841B0"/>
    <w:rsid w:val="0B9F443A"/>
    <w:rsid w:val="0BAB2AC2"/>
    <w:rsid w:val="0BBF193C"/>
    <w:rsid w:val="0BFD257C"/>
    <w:rsid w:val="0BFE018D"/>
    <w:rsid w:val="0C2A396B"/>
    <w:rsid w:val="0C2D7D84"/>
    <w:rsid w:val="0C345149"/>
    <w:rsid w:val="0C6D10C4"/>
    <w:rsid w:val="0C6E7CC4"/>
    <w:rsid w:val="0C870841"/>
    <w:rsid w:val="0C8804C9"/>
    <w:rsid w:val="0CD4772C"/>
    <w:rsid w:val="0CEC71C9"/>
    <w:rsid w:val="0D8F691E"/>
    <w:rsid w:val="0DAC0FC0"/>
    <w:rsid w:val="0DBD6E33"/>
    <w:rsid w:val="0DC95DFB"/>
    <w:rsid w:val="0DCA67D5"/>
    <w:rsid w:val="0DE23BDC"/>
    <w:rsid w:val="0DEC2FD8"/>
    <w:rsid w:val="0DFC7201"/>
    <w:rsid w:val="0E5701F3"/>
    <w:rsid w:val="0E597024"/>
    <w:rsid w:val="0E5F1975"/>
    <w:rsid w:val="0E7712A1"/>
    <w:rsid w:val="0E9244A6"/>
    <w:rsid w:val="0F0C791F"/>
    <w:rsid w:val="0F591BF7"/>
    <w:rsid w:val="0F860A96"/>
    <w:rsid w:val="0FCA5173"/>
    <w:rsid w:val="0FCA7061"/>
    <w:rsid w:val="0FDC0328"/>
    <w:rsid w:val="0FF40D67"/>
    <w:rsid w:val="102B630D"/>
    <w:rsid w:val="105D2F0D"/>
    <w:rsid w:val="10610C1D"/>
    <w:rsid w:val="10674688"/>
    <w:rsid w:val="10955F12"/>
    <w:rsid w:val="10B15F44"/>
    <w:rsid w:val="10B80B26"/>
    <w:rsid w:val="10C831A7"/>
    <w:rsid w:val="10CB33F3"/>
    <w:rsid w:val="10CC44AD"/>
    <w:rsid w:val="110B142D"/>
    <w:rsid w:val="111609D1"/>
    <w:rsid w:val="111C6062"/>
    <w:rsid w:val="11374D2A"/>
    <w:rsid w:val="116A372A"/>
    <w:rsid w:val="118A2781"/>
    <w:rsid w:val="11AF7CB9"/>
    <w:rsid w:val="11CE6D9D"/>
    <w:rsid w:val="11E025C1"/>
    <w:rsid w:val="11F272DE"/>
    <w:rsid w:val="120664A5"/>
    <w:rsid w:val="1226602C"/>
    <w:rsid w:val="123D0E8B"/>
    <w:rsid w:val="123D5DA2"/>
    <w:rsid w:val="123E0B14"/>
    <w:rsid w:val="1261343A"/>
    <w:rsid w:val="12766890"/>
    <w:rsid w:val="128F38DC"/>
    <w:rsid w:val="12A31AFE"/>
    <w:rsid w:val="12CB2316"/>
    <w:rsid w:val="13054260"/>
    <w:rsid w:val="130C2A5B"/>
    <w:rsid w:val="13367C35"/>
    <w:rsid w:val="133A5DF2"/>
    <w:rsid w:val="134F6889"/>
    <w:rsid w:val="13566E1F"/>
    <w:rsid w:val="13727B81"/>
    <w:rsid w:val="138520A3"/>
    <w:rsid w:val="138A39C5"/>
    <w:rsid w:val="138E7456"/>
    <w:rsid w:val="13B804D9"/>
    <w:rsid w:val="1401311A"/>
    <w:rsid w:val="14204765"/>
    <w:rsid w:val="14302C19"/>
    <w:rsid w:val="1466570D"/>
    <w:rsid w:val="148A218C"/>
    <w:rsid w:val="148D1992"/>
    <w:rsid w:val="149543C8"/>
    <w:rsid w:val="14AF7C3F"/>
    <w:rsid w:val="14ED252C"/>
    <w:rsid w:val="14FF709F"/>
    <w:rsid w:val="15593C77"/>
    <w:rsid w:val="15776601"/>
    <w:rsid w:val="15782840"/>
    <w:rsid w:val="157E79BE"/>
    <w:rsid w:val="158A46FA"/>
    <w:rsid w:val="15A05276"/>
    <w:rsid w:val="15A10AA3"/>
    <w:rsid w:val="15A613ED"/>
    <w:rsid w:val="15B03EEA"/>
    <w:rsid w:val="15D54C31"/>
    <w:rsid w:val="15E52FAF"/>
    <w:rsid w:val="1604750E"/>
    <w:rsid w:val="1616746A"/>
    <w:rsid w:val="162168E1"/>
    <w:rsid w:val="16232E7E"/>
    <w:rsid w:val="162A06D0"/>
    <w:rsid w:val="167E01C7"/>
    <w:rsid w:val="16B2239E"/>
    <w:rsid w:val="16D74074"/>
    <w:rsid w:val="16F44210"/>
    <w:rsid w:val="17051E8C"/>
    <w:rsid w:val="17213F37"/>
    <w:rsid w:val="174A3117"/>
    <w:rsid w:val="175156BB"/>
    <w:rsid w:val="177535F3"/>
    <w:rsid w:val="17876CD8"/>
    <w:rsid w:val="17991F6C"/>
    <w:rsid w:val="17AB3003"/>
    <w:rsid w:val="17AD21DF"/>
    <w:rsid w:val="17DA5E62"/>
    <w:rsid w:val="18073366"/>
    <w:rsid w:val="18091368"/>
    <w:rsid w:val="181B5321"/>
    <w:rsid w:val="18296387"/>
    <w:rsid w:val="187A3F69"/>
    <w:rsid w:val="189F0600"/>
    <w:rsid w:val="18AB48E3"/>
    <w:rsid w:val="18F6567A"/>
    <w:rsid w:val="191B4248"/>
    <w:rsid w:val="19290BBF"/>
    <w:rsid w:val="19343A40"/>
    <w:rsid w:val="196D7F1B"/>
    <w:rsid w:val="1979726C"/>
    <w:rsid w:val="19A90B8D"/>
    <w:rsid w:val="19AB6351"/>
    <w:rsid w:val="19C37425"/>
    <w:rsid w:val="19DB0028"/>
    <w:rsid w:val="19DE5125"/>
    <w:rsid w:val="19F44735"/>
    <w:rsid w:val="19F9675D"/>
    <w:rsid w:val="1A176F1F"/>
    <w:rsid w:val="1A3112FC"/>
    <w:rsid w:val="1A3268EA"/>
    <w:rsid w:val="1A3D7353"/>
    <w:rsid w:val="1A4B3691"/>
    <w:rsid w:val="1A582845"/>
    <w:rsid w:val="1A5A434F"/>
    <w:rsid w:val="1A78107D"/>
    <w:rsid w:val="1AAD3841"/>
    <w:rsid w:val="1AB729F0"/>
    <w:rsid w:val="1AD2638C"/>
    <w:rsid w:val="1AD350C2"/>
    <w:rsid w:val="1AFC6CAA"/>
    <w:rsid w:val="1B003A3A"/>
    <w:rsid w:val="1B1C0FCD"/>
    <w:rsid w:val="1B1F290F"/>
    <w:rsid w:val="1B352E36"/>
    <w:rsid w:val="1B3E6055"/>
    <w:rsid w:val="1B62011E"/>
    <w:rsid w:val="1B82212A"/>
    <w:rsid w:val="1B8E3D13"/>
    <w:rsid w:val="1BC44BC3"/>
    <w:rsid w:val="1BDB0BB5"/>
    <w:rsid w:val="1BDC6CBF"/>
    <w:rsid w:val="1C1A2140"/>
    <w:rsid w:val="1C5546C9"/>
    <w:rsid w:val="1C5B3D52"/>
    <w:rsid w:val="1C65417E"/>
    <w:rsid w:val="1C715F47"/>
    <w:rsid w:val="1C8E2171"/>
    <w:rsid w:val="1CCB7B47"/>
    <w:rsid w:val="1CCF56FE"/>
    <w:rsid w:val="1CF9370A"/>
    <w:rsid w:val="1D1D282B"/>
    <w:rsid w:val="1D203231"/>
    <w:rsid w:val="1D216739"/>
    <w:rsid w:val="1D4F7665"/>
    <w:rsid w:val="1D5C4CAA"/>
    <w:rsid w:val="1D8553CF"/>
    <w:rsid w:val="1D937E42"/>
    <w:rsid w:val="1DC60FD4"/>
    <w:rsid w:val="1DE019AC"/>
    <w:rsid w:val="1DEE7632"/>
    <w:rsid w:val="1E193D15"/>
    <w:rsid w:val="1E3D0A3F"/>
    <w:rsid w:val="1E48161D"/>
    <w:rsid w:val="1E5D0DA8"/>
    <w:rsid w:val="1E6C0D71"/>
    <w:rsid w:val="1E7C4C85"/>
    <w:rsid w:val="1EF42A3F"/>
    <w:rsid w:val="1F017683"/>
    <w:rsid w:val="1F323B00"/>
    <w:rsid w:val="1F3A7109"/>
    <w:rsid w:val="1F4E720F"/>
    <w:rsid w:val="1F722094"/>
    <w:rsid w:val="1FA91432"/>
    <w:rsid w:val="1FCE3404"/>
    <w:rsid w:val="1FD27F61"/>
    <w:rsid w:val="1FE024EA"/>
    <w:rsid w:val="1FF446FA"/>
    <w:rsid w:val="202B7515"/>
    <w:rsid w:val="20476854"/>
    <w:rsid w:val="204A0D08"/>
    <w:rsid w:val="20796E60"/>
    <w:rsid w:val="207E3C6E"/>
    <w:rsid w:val="20850F2A"/>
    <w:rsid w:val="20AA0E15"/>
    <w:rsid w:val="20AC2ED5"/>
    <w:rsid w:val="20D55460"/>
    <w:rsid w:val="212B3875"/>
    <w:rsid w:val="21384777"/>
    <w:rsid w:val="213900B3"/>
    <w:rsid w:val="21402683"/>
    <w:rsid w:val="214E3C8D"/>
    <w:rsid w:val="21564609"/>
    <w:rsid w:val="2172075E"/>
    <w:rsid w:val="218F26EC"/>
    <w:rsid w:val="21970268"/>
    <w:rsid w:val="21B67E14"/>
    <w:rsid w:val="21DE511C"/>
    <w:rsid w:val="21F2725D"/>
    <w:rsid w:val="21F7407A"/>
    <w:rsid w:val="21FA0F0C"/>
    <w:rsid w:val="22443F52"/>
    <w:rsid w:val="22800F5B"/>
    <w:rsid w:val="22A6148F"/>
    <w:rsid w:val="22B068DF"/>
    <w:rsid w:val="22C11AA0"/>
    <w:rsid w:val="22C62F3A"/>
    <w:rsid w:val="22F912D1"/>
    <w:rsid w:val="2324394A"/>
    <w:rsid w:val="2328248D"/>
    <w:rsid w:val="2333099E"/>
    <w:rsid w:val="234647AA"/>
    <w:rsid w:val="23573815"/>
    <w:rsid w:val="2367752F"/>
    <w:rsid w:val="23753B32"/>
    <w:rsid w:val="2380657F"/>
    <w:rsid w:val="238621A3"/>
    <w:rsid w:val="23AD3F39"/>
    <w:rsid w:val="23D5432C"/>
    <w:rsid w:val="23F1591B"/>
    <w:rsid w:val="24051C87"/>
    <w:rsid w:val="24354C4F"/>
    <w:rsid w:val="24470B4A"/>
    <w:rsid w:val="24832ECC"/>
    <w:rsid w:val="248C46D2"/>
    <w:rsid w:val="24DB4E93"/>
    <w:rsid w:val="2509275D"/>
    <w:rsid w:val="250D0121"/>
    <w:rsid w:val="250D22FE"/>
    <w:rsid w:val="25172298"/>
    <w:rsid w:val="251972DF"/>
    <w:rsid w:val="25286633"/>
    <w:rsid w:val="253B4C73"/>
    <w:rsid w:val="254F344C"/>
    <w:rsid w:val="25672E21"/>
    <w:rsid w:val="256D11CB"/>
    <w:rsid w:val="2572129F"/>
    <w:rsid w:val="25A84F81"/>
    <w:rsid w:val="26017463"/>
    <w:rsid w:val="2620569F"/>
    <w:rsid w:val="26264CA5"/>
    <w:rsid w:val="26367B9D"/>
    <w:rsid w:val="263A13A7"/>
    <w:rsid w:val="264579D4"/>
    <w:rsid w:val="26570D9B"/>
    <w:rsid w:val="265B4A98"/>
    <w:rsid w:val="26680B82"/>
    <w:rsid w:val="267F7F34"/>
    <w:rsid w:val="26C458D9"/>
    <w:rsid w:val="26C6266E"/>
    <w:rsid w:val="26F96584"/>
    <w:rsid w:val="26FA043B"/>
    <w:rsid w:val="27270BA0"/>
    <w:rsid w:val="27292897"/>
    <w:rsid w:val="272A512B"/>
    <w:rsid w:val="273057C2"/>
    <w:rsid w:val="2736007B"/>
    <w:rsid w:val="27364029"/>
    <w:rsid w:val="27485B61"/>
    <w:rsid w:val="274B08D6"/>
    <w:rsid w:val="27572352"/>
    <w:rsid w:val="27A63803"/>
    <w:rsid w:val="27AA66DF"/>
    <w:rsid w:val="27DE54C8"/>
    <w:rsid w:val="27DF5F83"/>
    <w:rsid w:val="28065029"/>
    <w:rsid w:val="28181A49"/>
    <w:rsid w:val="2881192B"/>
    <w:rsid w:val="28A571BF"/>
    <w:rsid w:val="28BA0544"/>
    <w:rsid w:val="28C825D9"/>
    <w:rsid w:val="28CA538C"/>
    <w:rsid w:val="28CB2378"/>
    <w:rsid w:val="28CC1CA9"/>
    <w:rsid w:val="28CF33C4"/>
    <w:rsid w:val="292213A3"/>
    <w:rsid w:val="29244BC3"/>
    <w:rsid w:val="294444A6"/>
    <w:rsid w:val="29502024"/>
    <w:rsid w:val="29626D9C"/>
    <w:rsid w:val="2983444B"/>
    <w:rsid w:val="29AE4DCD"/>
    <w:rsid w:val="29CD7446"/>
    <w:rsid w:val="2A0C4A85"/>
    <w:rsid w:val="2A182384"/>
    <w:rsid w:val="2A471C5B"/>
    <w:rsid w:val="2A47667E"/>
    <w:rsid w:val="2A7D17D9"/>
    <w:rsid w:val="2A997F46"/>
    <w:rsid w:val="2AA720BD"/>
    <w:rsid w:val="2AB23553"/>
    <w:rsid w:val="2AC6544B"/>
    <w:rsid w:val="2AFB2465"/>
    <w:rsid w:val="2B0C5681"/>
    <w:rsid w:val="2B2379C3"/>
    <w:rsid w:val="2B6215F2"/>
    <w:rsid w:val="2BB875F8"/>
    <w:rsid w:val="2BCA7BD5"/>
    <w:rsid w:val="2BEE6654"/>
    <w:rsid w:val="2BF06118"/>
    <w:rsid w:val="2C082643"/>
    <w:rsid w:val="2C09361F"/>
    <w:rsid w:val="2C0B09FB"/>
    <w:rsid w:val="2C5F50E7"/>
    <w:rsid w:val="2C80640C"/>
    <w:rsid w:val="2CB044A6"/>
    <w:rsid w:val="2CD3475D"/>
    <w:rsid w:val="2CF471CC"/>
    <w:rsid w:val="2D2B1BF1"/>
    <w:rsid w:val="2D300C2A"/>
    <w:rsid w:val="2D9F4C9A"/>
    <w:rsid w:val="2DBB19C8"/>
    <w:rsid w:val="2E2A3C72"/>
    <w:rsid w:val="2E756EE4"/>
    <w:rsid w:val="2E7A6780"/>
    <w:rsid w:val="2E903AA6"/>
    <w:rsid w:val="2E990EE5"/>
    <w:rsid w:val="2EA74AB7"/>
    <w:rsid w:val="2EEA3EEB"/>
    <w:rsid w:val="2EFE3990"/>
    <w:rsid w:val="2F3474BC"/>
    <w:rsid w:val="2F376972"/>
    <w:rsid w:val="2F5510E8"/>
    <w:rsid w:val="2F915184"/>
    <w:rsid w:val="2FDB35FD"/>
    <w:rsid w:val="2FDB65AB"/>
    <w:rsid w:val="303655A9"/>
    <w:rsid w:val="30416A11"/>
    <w:rsid w:val="30513795"/>
    <w:rsid w:val="3053208E"/>
    <w:rsid w:val="308356D8"/>
    <w:rsid w:val="30EB1091"/>
    <w:rsid w:val="30FA2B83"/>
    <w:rsid w:val="31132AF6"/>
    <w:rsid w:val="31435308"/>
    <w:rsid w:val="316E7B6E"/>
    <w:rsid w:val="31777A59"/>
    <w:rsid w:val="31812D76"/>
    <w:rsid w:val="31875F31"/>
    <w:rsid w:val="31B43FAE"/>
    <w:rsid w:val="32073DFD"/>
    <w:rsid w:val="32566F80"/>
    <w:rsid w:val="326233D5"/>
    <w:rsid w:val="326B0EC2"/>
    <w:rsid w:val="326C44C8"/>
    <w:rsid w:val="32BA614A"/>
    <w:rsid w:val="32D1566D"/>
    <w:rsid w:val="32E5345D"/>
    <w:rsid w:val="32EA3EBA"/>
    <w:rsid w:val="330274F1"/>
    <w:rsid w:val="33142F7A"/>
    <w:rsid w:val="334F62FB"/>
    <w:rsid w:val="337335DF"/>
    <w:rsid w:val="337749FD"/>
    <w:rsid w:val="339D73B6"/>
    <w:rsid w:val="33AE4D73"/>
    <w:rsid w:val="33C91820"/>
    <w:rsid w:val="33D86AEF"/>
    <w:rsid w:val="33EC19CF"/>
    <w:rsid w:val="33FB1B8D"/>
    <w:rsid w:val="33FB32EE"/>
    <w:rsid w:val="33FF598D"/>
    <w:rsid w:val="34621545"/>
    <w:rsid w:val="348B0BD6"/>
    <w:rsid w:val="34AA0C12"/>
    <w:rsid w:val="34B2110A"/>
    <w:rsid w:val="34C22379"/>
    <w:rsid w:val="34C50876"/>
    <w:rsid w:val="353C6C05"/>
    <w:rsid w:val="355B21DB"/>
    <w:rsid w:val="355E734D"/>
    <w:rsid w:val="35A013B7"/>
    <w:rsid w:val="35B37EB6"/>
    <w:rsid w:val="35C72AF8"/>
    <w:rsid w:val="35D02BB2"/>
    <w:rsid w:val="35E51E53"/>
    <w:rsid w:val="35F6A475"/>
    <w:rsid w:val="364524C4"/>
    <w:rsid w:val="365D549E"/>
    <w:rsid w:val="366521B7"/>
    <w:rsid w:val="36757D1C"/>
    <w:rsid w:val="36826112"/>
    <w:rsid w:val="36A070EC"/>
    <w:rsid w:val="36B42A54"/>
    <w:rsid w:val="36B94722"/>
    <w:rsid w:val="36C81E78"/>
    <w:rsid w:val="36D143C2"/>
    <w:rsid w:val="36F44BA5"/>
    <w:rsid w:val="370C25EC"/>
    <w:rsid w:val="375D5EFF"/>
    <w:rsid w:val="3769177D"/>
    <w:rsid w:val="378C0C0A"/>
    <w:rsid w:val="379530C6"/>
    <w:rsid w:val="37995C56"/>
    <w:rsid w:val="37A02467"/>
    <w:rsid w:val="37AA2A2B"/>
    <w:rsid w:val="37E976EC"/>
    <w:rsid w:val="380D4B9D"/>
    <w:rsid w:val="38121C1A"/>
    <w:rsid w:val="381A0DF2"/>
    <w:rsid w:val="381D0A3E"/>
    <w:rsid w:val="388C1269"/>
    <w:rsid w:val="38986075"/>
    <w:rsid w:val="38A428D6"/>
    <w:rsid w:val="38AA65E7"/>
    <w:rsid w:val="38B00B27"/>
    <w:rsid w:val="38B4055C"/>
    <w:rsid w:val="38C45D4D"/>
    <w:rsid w:val="38EF702B"/>
    <w:rsid w:val="38FA1B06"/>
    <w:rsid w:val="390846BD"/>
    <w:rsid w:val="394542C6"/>
    <w:rsid w:val="394C2D4E"/>
    <w:rsid w:val="3983203B"/>
    <w:rsid w:val="39A63FD7"/>
    <w:rsid w:val="39BF5F6B"/>
    <w:rsid w:val="39C15FF9"/>
    <w:rsid w:val="39F51765"/>
    <w:rsid w:val="39FF6276"/>
    <w:rsid w:val="3A8B0BD2"/>
    <w:rsid w:val="3AB232E8"/>
    <w:rsid w:val="3AB43A4E"/>
    <w:rsid w:val="3AB914E9"/>
    <w:rsid w:val="3ABE2873"/>
    <w:rsid w:val="3AEB3CFC"/>
    <w:rsid w:val="3B30679B"/>
    <w:rsid w:val="3B7A345D"/>
    <w:rsid w:val="3B9F7C34"/>
    <w:rsid w:val="3BDF562E"/>
    <w:rsid w:val="3BE21CC8"/>
    <w:rsid w:val="3C18525E"/>
    <w:rsid w:val="3C332BE8"/>
    <w:rsid w:val="3C495BA9"/>
    <w:rsid w:val="3C601413"/>
    <w:rsid w:val="3C846DAF"/>
    <w:rsid w:val="3C8A2EAE"/>
    <w:rsid w:val="3CB96983"/>
    <w:rsid w:val="3D1F2F22"/>
    <w:rsid w:val="3D1F799D"/>
    <w:rsid w:val="3D271999"/>
    <w:rsid w:val="3D607867"/>
    <w:rsid w:val="3D7777D0"/>
    <w:rsid w:val="3D811E42"/>
    <w:rsid w:val="3D837D98"/>
    <w:rsid w:val="3D922A13"/>
    <w:rsid w:val="3D9E02C2"/>
    <w:rsid w:val="3DC106F4"/>
    <w:rsid w:val="3E2B3F62"/>
    <w:rsid w:val="3E396A25"/>
    <w:rsid w:val="3E4D46A5"/>
    <w:rsid w:val="3E52118C"/>
    <w:rsid w:val="3E91345E"/>
    <w:rsid w:val="3ECC2AD7"/>
    <w:rsid w:val="3EDE5E36"/>
    <w:rsid w:val="3EF43A44"/>
    <w:rsid w:val="3F361EF8"/>
    <w:rsid w:val="3F4C7A99"/>
    <w:rsid w:val="3F5E0CFB"/>
    <w:rsid w:val="3F6820E8"/>
    <w:rsid w:val="3F785E92"/>
    <w:rsid w:val="3F9000D1"/>
    <w:rsid w:val="3FA31F73"/>
    <w:rsid w:val="3FB32FC5"/>
    <w:rsid w:val="3FDF0148"/>
    <w:rsid w:val="3FE63E16"/>
    <w:rsid w:val="40252866"/>
    <w:rsid w:val="402F04A0"/>
    <w:rsid w:val="408840AB"/>
    <w:rsid w:val="409509DC"/>
    <w:rsid w:val="409E77BA"/>
    <w:rsid w:val="40A57984"/>
    <w:rsid w:val="40BE6BF1"/>
    <w:rsid w:val="415E2689"/>
    <w:rsid w:val="41643F29"/>
    <w:rsid w:val="41823BD3"/>
    <w:rsid w:val="419E1033"/>
    <w:rsid w:val="41D852BC"/>
    <w:rsid w:val="41ED7AF0"/>
    <w:rsid w:val="41F13BCE"/>
    <w:rsid w:val="41FB072E"/>
    <w:rsid w:val="420348D1"/>
    <w:rsid w:val="42097B6B"/>
    <w:rsid w:val="422D76F8"/>
    <w:rsid w:val="42394329"/>
    <w:rsid w:val="42436F15"/>
    <w:rsid w:val="424400E8"/>
    <w:rsid w:val="42BD7C58"/>
    <w:rsid w:val="42C306F7"/>
    <w:rsid w:val="42C813D6"/>
    <w:rsid w:val="42D00689"/>
    <w:rsid w:val="42E62E31"/>
    <w:rsid w:val="42FB44D6"/>
    <w:rsid w:val="42FC0E4A"/>
    <w:rsid w:val="42FE5507"/>
    <w:rsid w:val="432943E8"/>
    <w:rsid w:val="43373249"/>
    <w:rsid w:val="436B7E50"/>
    <w:rsid w:val="43954197"/>
    <w:rsid w:val="43B82D74"/>
    <w:rsid w:val="43CE2A24"/>
    <w:rsid w:val="43D60DB0"/>
    <w:rsid w:val="43DB6720"/>
    <w:rsid w:val="43E76BE2"/>
    <w:rsid w:val="440627D9"/>
    <w:rsid w:val="440858C5"/>
    <w:rsid w:val="44092AA1"/>
    <w:rsid w:val="440C3942"/>
    <w:rsid w:val="44135B78"/>
    <w:rsid w:val="442B0775"/>
    <w:rsid w:val="442B2299"/>
    <w:rsid w:val="44406369"/>
    <w:rsid w:val="44556E66"/>
    <w:rsid w:val="448122BC"/>
    <w:rsid w:val="44B03FEF"/>
    <w:rsid w:val="44B10046"/>
    <w:rsid w:val="44DF2AE7"/>
    <w:rsid w:val="44E93244"/>
    <w:rsid w:val="4504546D"/>
    <w:rsid w:val="4528670D"/>
    <w:rsid w:val="452A5D48"/>
    <w:rsid w:val="455276EB"/>
    <w:rsid w:val="45C32D56"/>
    <w:rsid w:val="45CC78C7"/>
    <w:rsid w:val="45FE7AE7"/>
    <w:rsid w:val="463020CF"/>
    <w:rsid w:val="46373BE9"/>
    <w:rsid w:val="46524D89"/>
    <w:rsid w:val="468A544C"/>
    <w:rsid w:val="468B1BCE"/>
    <w:rsid w:val="46AC19EA"/>
    <w:rsid w:val="46AD6653"/>
    <w:rsid w:val="46B74165"/>
    <w:rsid w:val="46CA4FFB"/>
    <w:rsid w:val="46DD6398"/>
    <w:rsid w:val="471B661C"/>
    <w:rsid w:val="472752D8"/>
    <w:rsid w:val="47541B92"/>
    <w:rsid w:val="47900390"/>
    <w:rsid w:val="47A348CC"/>
    <w:rsid w:val="47B82C9D"/>
    <w:rsid w:val="47F037D9"/>
    <w:rsid w:val="48384B20"/>
    <w:rsid w:val="483940A5"/>
    <w:rsid w:val="489719B6"/>
    <w:rsid w:val="489E512A"/>
    <w:rsid w:val="48BA25C3"/>
    <w:rsid w:val="48D56883"/>
    <w:rsid w:val="48EB281D"/>
    <w:rsid w:val="493F2F15"/>
    <w:rsid w:val="49532D21"/>
    <w:rsid w:val="49657F06"/>
    <w:rsid w:val="49764533"/>
    <w:rsid w:val="49925A51"/>
    <w:rsid w:val="49AB61D0"/>
    <w:rsid w:val="49C41488"/>
    <w:rsid w:val="49FF3F32"/>
    <w:rsid w:val="4A017DCC"/>
    <w:rsid w:val="4A0A565D"/>
    <w:rsid w:val="4A363203"/>
    <w:rsid w:val="4A363DB5"/>
    <w:rsid w:val="4A623E11"/>
    <w:rsid w:val="4A726792"/>
    <w:rsid w:val="4A7623AC"/>
    <w:rsid w:val="4A766CEB"/>
    <w:rsid w:val="4AA91E37"/>
    <w:rsid w:val="4AC55B2D"/>
    <w:rsid w:val="4B080189"/>
    <w:rsid w:val="4B0F5187"/>
    <w:rsid w:val="4B0F7A7D"/>
    <w:rsid w:val="4B1E68F4"/>
    <w:rsid w:val="4B212B07"/>
    <w:rsid w:val="4B3B2FAC"/>
    <w:rsid w:val="4B5B1DE9"/>
    <w:rsid w:val="4B8B10CA"/>
    <w:rsid w:val="4BA029BD"/>
    <w:rsid w:val="4BAA5015"/>
    <w:rsid w:val="4BB14D2D"/>
    <w:rsid w:val="4BB330D0"/>
    <w:rsid w:val="4BBD259D"/>
    <w:rsid w:val="4BE33A37"/>
    <w:rsid w:val="4BF04B51"/>
    <w:rsid w:val="4C09709F"/>
    <w:rsid w:val="4C3E2A39"/>
    <w:rsid w:val="4C4E3980"/>
    <w:rsid w:val="4C65207D"/>
    <w:rsid w:val="4C672411"/>
    <w:rsid w:val="4CC004FA"/>
    <w:rsid w:val="4CD27102"/>
    <w:rsid w:val="4CDB41B8"/>
    <w:rsid w:val="4CDD5E4B"/>
    <w:rsid w:val="4CDE0D61"/>
    <w:rsid w:val="4D0A770A"/>
    <w:rsid w:val="4D156FC5"/>
    <w:rsid w:val="4D6D77F9"/>
    <w:rsid w:val="4DA6502A"/>
    <w:rsid w:val="4DA76A63"/>
    <w:rsid w:val="4DC40A29"/>
    <w:rsid w:val="4E0A344B"/>
    <w:rsid w:val="4E6A36F3"/>
    <w:rsid w:val="4E93737E"/>
    <w:rsid w:val="4EA12770"/>
    <w:rsid w:val="4EC046F5"/>
    <w:rsid w:val="4EC93D5C"/>
    <w:rsid w:val="4ECA12B4"/>
    <w:rsid w:val="4EF0641F"/>
    <w:rsid w:val="4EF53B2A"/>
    <w:rsid w:val="4F0F4C4F"/>
    <w:rsid w:val="4F315A8C"/>
    <w:rsid w:val="4F3E3AE7"/>
    <w:rsid w:val="4F490370"/>
    <w:rsid w:val="4F544D29"/>
    <w:rsid w:val="4F5B7C85"/>
    <w:rsid w:val="4F635298"/>
    <w:rsid w:val="4F9454BF"/>
    <w:rsid w:val="4F9C52B7"/>
    <w:rsid w:val="4FC96B8B"/>
    <w:rsid w:val="4FDA6C8F"/>
    <w:rsid w:val="4FF74967"/>
    <w:rsid w:val="4FFF7151"/>
    <w:rsid w:val="50253FD1"/>
    <w:rsid w:val="502C1819"/>
    <w:rsid w:val="502E1606"/>
    <w:rsid w:val="503E4B73"/>
    <w:rsid w:val="503F546A"/>
    <w:rsid w:val="505A5C1E"/>
    <w:rsid w:val="50813B06"/>
    <w:rsid w:val="508654A4"/>
    <w:rsid w:val="509C25F0"/>
    <w:rsid w:val="50B271A1"/>
    <w:rsid w:val="50C81174"/>
    <w:rsid w:val="511C5162"/>
    <w:rsid w:val="513F29B7"/>
    <w:rsid w:val="517023EE"/>
    <w:rsid w:val="51813D34"/>
    <w:rsid w:val="519154EC"/>
    <w:rsid w:val="519A1758"/>
    <w:rsid w:val="51AF1B37"/>
    <w:rsid w:val="51C16DED"/>
    <w:rsid w:val="51C51E76"/>
    <w:rsid w:val="51CC39AC"/>
    <w:rsid w:val="51E51128"/>
    <w:rsid w:val="522937E0"/>
    <w:rsid w:val="522C3F9D"/>
    <w:rsid w:val="5238713E"/>
    <w:rsid w:val="52D34235"/>
    <w:rsid w:val="534B1A77"/>
    <w:rsid w:val="534B7672"/>
    <w:rsid w:val="536C1090"/>
    <w:rsid w:val="53737C03"/>
    <w:rsid w:val="539E5D3D"/>
    <w:rsid w:val="53EF5A68"/>
    <w:rsid w:val="540079CA"/>
    <w:rsid w:val="54027532"/>
    <w:rsid w:val="540C4F60"/>
    <w:rsid w:val="5419059C"/>
    <w:rsid w:val="54263A70"/>
    <w:rsid w:val="54501B0D"/>
    <w:rsid w:val="545337DB"/>
    <w:rsid w:val="545F479A"/>
    <w:rsid w:val="546D5136"/>
    <w:rsid w:val="54777114"/>
    <w:rsid w:val="54872B15"/>
    <w:rsid w:val="54915A97"/>
    <w:rsid w:val="549D6A7C"/>
    <w:rsid w:val="54C74AA6"/>
    <w:rsid w:val="54CE47AF"/>
    <w:rsid w:val="54D359CD"/>
    <w:rsid w:val="54F27669"/>
    <w:rsid w:val="553A5D2A"/>
    <w:rsid w:val="557425CC"/>
    <w:rsid w:val="5587746A"/>
    <w:rsid w:val="55B04437"/>
    <w:rsid w:val="55F01018"/>
    <w:rsid w:val="563665FD"/>
    <w:rsid w:val="56784506"/>
    <w:rsid w:val="56A936AC"/>
    <w:rsid w:val="56BA1C1B"/>
    <w:rsid w:val="56C83A42"/>
    <w:rsid w:val="56FA6D9E"/>
    <w:rsid w:val="57623859"/>
    <w:rsid w:val="5767274F"/>
    <w:rsid w:val="579E3DE8"/>
    <w:rsid w:val="57A17216"/>
    <w:rsid w:val="57D216E2"/>
    <w:rsid w:val="57D24171"/>
    <w:rsid w:val="57D60097"/>
    <w:rsid w:val="57D66949"/>
    <w:rsid w:val="57DC6A48"/>
    <w:rsid w:val="58156F93"/>
    <w:rsid w:val="5827352B"/>
    <w:rsid w:val="586056D5"/>
    <w:rsid w:val="587D6570"/>
    <w:rsid w:val="58826D4F"/>
    <w:rsid w:val="589128D7"/>
    <w:rsid w:val="58A65CBC"/>
    <w:rsid w:val="58B75BC6"/>
    <w:rsid w:val="58D5598B"/>
    <w:rsid w:val="58DA3893"/>
    <w:rsid w:val="58DF0B09"/>
    <w:rsid w:val="58FE149E"/>
    <w:rsid w:val="58FF682C"/>
    <w:rsid w:val="59074942"/>
    <w:rsid w:val="590B5F2B"/>
    <w:rsid w:val="591344BC"/>
    <w:rsid w:val="59362B30"/>
    <w:rsid w:val="593E2DF9"/>
    <w:rsid w:val="59467371"/>
    <w:rsid w:val="596E4C51"/>
    <w:rsid w:val="599B3797"/>
    <w:rsid w:val="59A71B88"/>
    <w:rsid w:val="59AE04C2"/>
    <w:rsid w:val="59AE4E80"/>
    <w:rsid w:val="59E86C16"/>
    <w:rsid w:val="59ED2DB1"/>
    <w:rsid w:val="59F8019B"/>
    <w:rsid w:val="5A0278DF"/>
    <w:rsid w:val="5A190E8E"/>
    <w:rsid w:val="5A23356B"/>
    <w:rsid w:val="5A487E05"/>
    <w:rsid w:val="5A53173B"/>
    <w:rsid w:val="5A943606"/>
    <w:rsid w:val="5AAA653F"/>
    <w:rsid w:val="5AB90D1D"/>
    <w:rsid w:val="5ACE62ED"/>
    <w:rsid w:val="5B1E17B1"/>
    <w:rsid w:val="5B2A40D0"/>
    <w:rsid w:val="5B627C79"/>
    <w:rsid w:val="5B651940"/>
    <w:rsid w:val="5B7752B2"/>
    <w:rsid w:val="5B9D3C91"/>
    <w:rsid w:val="5C284E5F"/>
    <w:rsid w:val="5C3C237D"/>
    <w:rsid w:val="5C513549"/>
    <w:rsid w:val="5C6E6E89"/>
    <w:rsid w:val="5C705231"/>
    <w:rsid w:val="5CA55B5B"/>
    <w:rsid w:val="5CAA1701"/>
    <w:rsid w:val="5CC92078"/>
    <w:rsid w:val="5CD50D73"/>
    <w:rsid w:val="5CEC60C7"/>
    <w:rsid w:val="5CF33B63"/>
    <w:rsid w:val="5D323CF7"/>
    <w:rsid w:val="5D5A3682"/>
    <w:rsid w:val="5D647EB1"/>
    <w:rsid w:val="5D9756B6"/>
    <w:rsid w:val="5DAB6C09"/>
    <w:rsid w:val="5DB47DAE"/>
    <w:rsid w:val="5DD62B9F"/>
    <w:rsid w:val="5DF529F6"/>
    <w:rsid w:val="5DFA4DF5"/>
    <w:rsid w:val="5DFD04B0"/>
    <w:rsid w:val="5E495643"/>
    <w:rsid w:val="5E5B734D"/>
    <w:rsid w:val="5E88771E"/>
    <w:rsid w:val="5EE50805"/>
    <w:rsid w:val="5F542679"/>
    <w:rsid w:val="5F683DAD"/>
    <w:rsid w:val="5F721E93"/>
    <w:rsid w:val="5F7B0384"/>
    <w:rsid w:val="5FBD661B"/>
    <w:rsid w:val="5FC82634"/>
    <w:rsid w:val="5FCE4DAE"/>
    <w:rsid w:val="600E5982"/>
    <w:rsid w:val="60187C5D"/>
    <w:rsid w:val="60192A4F"/>
    <w:rsid w:val="60196D73"/>
    <w:rsid w:val="602559E8"/>
    <w:rsid w:val="605F5644"/>
    <w:rsid w:val="607A7BA9"/>
    <w:rsid w:val="60952901"/>
    <w:rsid w:val="60A769D5"/>
    <w:rsid w:val="60AA1B42"/>
    <w:rsid w:val="60BA6E11"/>
    <w:rsid w:val="60CE5CE0"/>
    <w:rsid w:val="610D1DA7"/>
    <w:rsid w:val="610E08BB"/>
    <w:rsid w:val="610F2538"/>
    <w:rsid w:val="611A26C4"/>
    <w:rsid w:val="61236265"/>
    <w:rsid w:val="61424A9B"/>
    <w:rsid w:val="61487C66"/>
    <w:rsid w:val="615D2ABF"/>
    <w:rsid w:val="616E2687"/>
    <w:rsid w:val="61892938"/>
    <w:rsid w:val="61956448"/>
    <w:rsid w:val="61AD6848"/>
    <w:rsid w:val="61B22E46"/>
    <w:rsid w:val="61CD3E9E"/>
    <w:rsid w:val="61CE3444"/>
    <w:rsid w:val="61EB6F89"/>
    <w:rsid w:val="61F914DB"/>
    <w:rsid w:val="61FB1170"/>
    <w:rsid w:val="62340F33"/>
    <w:rsid w:val="62385B9D"/>
    <w:rsid w:val="624D7F7B"/>
    <w:rsid w:val="628E5793"/>
    <w:rsid w:val="62A24636"/>
    <w:rsid w:val="62AB50D5"/>
    <w:rsid w:val="62AB618D"/>
    <w:rsid w:val="62E10125"/>
    <w:rsid w:val="62E369AA"/>
    <w:rsid w:val="62E927C6"/>
    <w:rsid w:val="630A568F"/>
    <w:rsid w:val="63152ED4"/>
    <w:rsid w:val="631D691C"/>
    <w:rsid w:val="632A078C"/>
    <w:rsid w:val="63777206"/>
    <w:rsid w:val="637A2200"/>
    <w:rsid w:val="638915AD"/>
    <w:rsid w:val="63B10689"/>
    <w:rsid w:val="63B774D5"/>
    <w:rsid w:val="63FA115E"/>
    <w:rsid w:val="640A1FA5"/>
    <w:rsid w:val="64771B6A"/>
    <w:rsid w:val="648E755D"/>
    <w:rsid w:val="64CE3708"/>
    <w:rsid w:val="64DB4C47"/>
    <w:rsid w:val="64DE04C9"/>
    <w:rsid w:val="64EE150A"/>
    <w:rsid w:val="64FC6714"/>
    <w:rsid w:val="65005F10"/>
    <w:rsid w:val="65076735"/>
    <w:rsid w:val="65096DD2"/>
    <w:rsid w:val="65415492"/>
    <w:rsid w:val="65736522"/>
    <w:rsid w:val="65AB2B63"/>
    <w:rsid w:val="65BD4108"/>
    <w:rsid w:val="65C411ED"/>
    <w:rsid w:val="65CA13E4"/>
    <w:rsid w:val="65CB583A"/>
    <w:rsid w:val="65D02A4F"/>
    <w:rsid w:val="65EE47FE"/>
    <w:rsid w:val="65F46315"/>
    <w:rsid w:val="660233C9"/>
    <w:rsid w:val="661E20C0"/>
    <w:rsid w:val="662D29B4"/>
    <w:rsid w:val="663A5F3D"/>
    <w:rsid w:val="666E275C"/>
    <w:rsid w:val="669F0ADA"/>
    <w:rsid w:val="66AB017E"/>
    <w:rsid w:val="67053766"/>
    <w:rsid w:val="6746409B"/>
    <w:rsid w:val="675D5863"/>
    <w:rsid w:val="67643C12"/>
    <w:rsid w:val="67900263"/>
    <w:rsid w:val="679E3210"/>
    <w:rsid w:val="67B71080"/>
    <w:rsid w:val="67EA3A94"/>
    <w:rsid w:val="67FB2AE9"/>
    <w:rsid w:val="680A7FD6"/>
    <w:rsid w:val="68312EAF"/>
    <w:rsid w:val="683507BE"/>
    <w:rsid w:val="68451127"/>
    <w:rsid w:val="684C12C1"/>
    <w:rsid w:val="685F0CD2"/>
    <w:rsid w:val="68692E91"/>
    <w:rsid w:val="68692F69"/>
    <w:rsid w:val="689F5BD1"/>
    <w:rsid w:val="68AC3D57"/>
    <w:rsid w:val="68B63CD3"/>
    <w:rsid w:val="68CF7C43"/>
    <w:rsid w:val="68DF0EAB"/>
    <w:rsid w:val="69016A08"/>
    <w:rsid w:val="69D866C6"/>
    <w:rsid w:val="69F861E6"/>
    <w:rsid w:val="6A21309F"/>
    <w:rsid w:val="6A3D338C"/>
    <w:rsid w:val="6A454B85"/>
    <w:rsid w:val="6A482AAF"/>
    <w:rsid w:val="6A941E18"/>
    <w:rsid w:val="6A9D0F41"/>
    <w:rsid w:val="6AA113ED"/>
    <w:rsid w:val="6ACB3B1B"/>
    <w:rsid w:val="6AD42C9D"/>
    <w:rsid w:val="6AED1E34"/>
    <w:rsid w:val="6B0E62E1"/>
    <w:rsid w:val="6B2166BD"/>
    <w:rsid w:val="6B41702A"/>
    <w:rsid w:val="6B4E5A26"/>
    <w:rsid w:val="6B54748C"/>
    <w:rsid w:val="6B57179B"/>
    <w:rsid w:val="6B5C3188"/>
    <w:rsid w:val="6B617384"/>
    <w:rsid w:val="6B7B3DBF"/>
    <w:rsid w:val="6B882545"/>
    <w:rsid w:val="6BBA42EA"/>
    <w:rsid w:val="6BBE2563"/>
    <w:rsid w:val="6BF504BB"/>
    <w:rsid w:val="6BFC4560"/>
    <w:rsid w:val="6C023ED5"/>
    <w:rsid w:val="6C1437AA"/>
    <w:rsid w:val="6C851D38"/>
    <w:rsid w:val="6C8978CF"/>
    <w:rsid w:val="6C9169FC"/>
    <w:rsid w:val="6CCA3F84"/>
    <w:rsid w:val="6CE35E9B"/>
    <w:rsid w:val="6CF82CD9"/>
    <w:rsid w:val="6D5161E4"/>
    <w:rsid w:val="6D6502CE"/>
    <w:rsid w:val="6D9240B6"/>
    <w:rsid w:val="6DB419BD"/>
    <w:rsid w:val="6E0E1ECC"/>
    <w:rsid w:val="6E2957FB"/>
    <w:rsid w:val="6E6D51F2"/>
    <w:rsid w:val="6E7F2C6B"/>
    <w:rsid w:val="6EA2541F"/>
    <w:rsid w:val="6EAE3E73"/>
    <w:rsid w:val="6EC25185"/>
    <w:rsid w:val="6ED00439"/>
    <w:rsid w:val="6EF62EC0"/>
    <w:rsid w:val="6EFC5550"/>
    <w:rsid w:val="6F0D2199"/>
    <w:rsid w:val="6F0F7DCB"/>
    <w:rsid w:val="6F284C65"/>
    <w:rsid w:val="6F2F2F24"/>
    <w:rsid w:val="6F312DD8"/>
    <w:rsid w:val="6F421919"/>
    <w:rsid w:val="6F735E73"/>
    <w:rsid w:val="6F8D13C7"/>
    <w:rsid w:val="6FC3526C"/>
    <w:rsid w:val="6FC72A57"/>
    <w:rsid w:val="6FE20A31"/>
    <w:rsid w:val="6FE87B87"/>
    <w:rsid w:val="6FF7297A"/>
    <w:rsid w:val="6FFE1AE2"/>
    <w:rsid w:val="700F12CD"/>
    <w:rsid w:val="701428CE"/>
    <w:rsid w:val="70327E1E"/>
    <w:rsid w:val="704F7779"/>
    <w:rsid w:val="708F4923"/>
    <w:rsid w:val="70B25961"/>
    <w:rsid w:val="70B75B8D"/>
    <w:rsid w:val="70BF6591"/>
    <w:rsid w:val="70CC1BE0"/>
    <w:rsid w:val="711A18D2"/>
    <w:rsid w:val="712966A9"/>
    <w:rsid w:val="714D6817"/>
    <w:rsid w:val="71524046"/>
    <w:rsid w:val="71533ADD"/>
    <w:rsid w:val="717D1E65"/>
    <w:rsid w:val="7197401B"/>
    <w:rsid w:val="71A66CC4"/>
    <w:rsid w:val="720555E9"/>
    <w:rsid w:val="72193393"/>
    <w:rsid w:val="72331CBD"/>
    <w:rsid w:val="724701E1"/>
    <w:rsid w:val="725255EA"/>
    <w:rsid w:val="72BF19FC"/>
    <w:rsid w:val="72D9434B"/>
    <w:rsid w:val="72F82052"/>
    <w:rsid w:val="730C26C5"/>
    <w:rsid w:val="731C1EB6"/>
    <w:rsid w:val="733266A8"/>
    <w:rsid w:val="73495B13"/>
    <w:rsid w:val="735815B6"/>
    <w:rsid w:val="738A7EAD"/>
    <w:rsid w:val="739D7139"/>
    <w:rsid w:val="73D52A30"/>
    <w:rsid w:val="73DD0E3C"/>
    <w:rsid w:val="73DE16B0"/>
    <w:rsid w:val="74236B2B"/>
    <w:rsid w:val="74455D52"/>
    <w:rsid w:val="74531D63"/>
    <w:rsid w:val="747760CD"/>
    <w:rsid w:val="748F7B9E"/>
    <w:rsid w:val="74A84EFE"/>
    <w:rsid w:val="750A62DD"/>
    <w:rsid w:val="75277DE4"/>
    <w:rsid w:val="75322466"/>
    <w:rsid w:val="75610F5E"/>
    <w:rsid w:val="7564418B"/>
    <w:rsid w:val="757440DB"/>
    <w:rsid w:val="75762190"/>
    <w:rsid w:val="757A05DB"/>
    <w:rsid w:val="75816E28"/>
    <w:rsid w:val="759A5286"/>
    <w:rsid w:val="75ED33C8"/>
    <w:rsid w:val="76004CA4"/>
    <w:rsid w:val="76425EE2"/>
    <w:rsid w:val="7653072E"/>
    <w:rsid w:val="766E623E"/>
    <w:rsid w:val="76822B21"/>
    <w:rsid w:val="768C5471"/>
    <w:rsid w:val="769D58AC"/>
    <w:rsid w:val="76AA4B74"/>
    <w:rsid w:val="76B66965"/>
    <w:rsid w:val="76CA5D5C"/>
    <w:rsid w:val="77074F83"/>
    <w:rsid w:val="77220BD7"/>
    <w:rsid w:val="77414AC2"/>
    <w:rsid w:val="7748610F"/>
    <w:rsid w:val="775A38CC"/>
    <w:rsid w:val="776F67CD"/>
    <w:rsid w:val="77722FE6"/>
    <w:rsid w:val="777D2FED"/>
    <w:rsid w:val="7782689D"/>
    <w:rsid w:val="77976DFF"/>
    <w:rsid w:val="77A05771"/>
    <w:rsid w:val="77C21737"/>
    <w:rsid w:val="77E13603"/>
    <w:rsid w:val="77E77201"/>
    <w:rsid w:val="78116B04"/>
    <w:rsid w:val="78315D73"/>
    <w:rsid w:val="78336A8F"/>
    <w:rsid w:val="78355045"/>
    <w:rsid w:val="783D3E40"/>
    <w:rsid w:val="78716670"/>
    <w:rsid w:val="78965C28"/>
    <w:rsid w:val="78D953FA"/>
    <w:rsid w:val="78F37672"/>
    <w:rsid w:val="79345A3C"/>
    <w:rsid w:val="79372DC5"/>
    <w:rsid w:val="79374D5A"/>
    <w:rsid w:val="793A2AF8"/>
    <w:rsid w:val="793B28A6"/>
    <w:rsid w:val="796E5F2A"/>
    <w:rsid w:val="7974588C"/>
    <w:rsid w:val="79933EDD"/>
    <w:rsid w:val="799776C8"/>
    <w:rsid w:val="79A53549"/>
    <w:rsid w:val="79AB350C"/>
    <w:rsid w:val="79E403F0"/>
    <w:rsid w:val="79EB5BE8"/>
    <w:rsid w:val="79F227D0"/>
    <w:rsid w:val="79FC6EBF"/>
    <w:rsid w:val="7A065A32"/>
    <w:rsid w:val="7A481500"/>
    <w:rsid w:val="7A587B79"/>
    <w:rsid w:val="7A99482C"/>
    <w:rsid w:val="7ACC2E74"/>
    <w:rsid w:val="7ACC428D"/>
    <w:rsid w:val="7AF5295B"/>
    <w:rsid w:val="7B1607CA"/>
    <w:rsid w:val="7B3E05B4"/>
    <w:rsid w:val="7B6056F6"/>
    <w:rsid w:val="7B6E6A55"/>
    <w:rsid w:val="7B7E586C"/>
    <w:rsid w:val="7B8B0C38"/>
    <w:rsid w:val="7B9850A6"/>
    <w:rsid w:val="7BE032DA"/>
    <w:rsid w:val="7BF049EB"/>
    <w:rsid w:val="7C146461"/>
    <w:rsid w:val="7C221215"/>
    <w:rsid w:val="7C255323"/>
    <w:rsid w:val="7C377446"/>
    <w:rsid w:val="7C5A6DFB"/>
    <w:rsid w:val="7C6E35CD"/>
    <w:rsid w:val="7CA00D26"/>
    <w:rsid w:val="7CB623F6"/>
    <w:rsid w:val="7CC30BB4"/>
    <w:rsid w:val="7CD12BEF"/>
    <w:rsid w:val="7CD9506D"/>
    <w:rsid w:val="7D076221"/>
    <w:rsid w:val="7D144EB5"/>
    <w:rsid w:val="7D6D2AF7"/>
    <w:rsid w:val="7D713FBB"/>
    <w:rsid w:val="7D8A60E2"/>
    <w:rsid w:val="7E0A5B14"/>
    <w:rsid w:val="7E121FB6"/>
    <w:rsid w:val="7E2205D3"/>
    <w:rsid w:val="7E385C8F"/>
    <w:rsid w:val="7E3C6F26"/>
    <w:rsid w:val="7E5B31B8"/>
    <w:rsid w:val="7E6A484C"/>
    <w:rsid w:val="7E9D6F63"/>
    <w:rsid w:val="7EEB718E"/>
    <w:rsid w:val="7EFF380E"/>
    <w:rsid w:val="7F053BD5"/>
    <w:rsid w:val="7F47353B"/>
    <w:rsid w:val="7F555E1A"/>
    <w:rsid w:val="7F680ECA"/>
    <w:rsid w:val="7FAA326A"/>
    <w:rsid w:val="7FB76A3C"/>
    <w:rsid w:val="7FBF449C"/>
    <w:rsid w:val="7FD103CF"/>
    <w:rsid w:val="7FD6732C"/>
    <w:rsid w:val="7FE42AA2"/>
    <w:rsid w:val="7FEE41AB"/>
    <w:rsid w:val="7FFB67C7"/>
    <w:rsid w:val="A8FBB4DB"/>
    <w:rsid w:val="AB7B1409"/>
    <w:rsid w:val="EB9F7A9A"/>
    <w:rsid w:val="FF69A80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qFormat="1" w:unhideWhenUsed="0" w:uiPriority="0" w:semiHidden="0" w:name="index 9"/>
    <w:lsdException w:qFormat="1" w:unhideWhenUsed="0" w:uiPriority="39" w:semiHidden="0" w:name="toc 1"/>
    <w:lsdException w:qFormat="1" w:unhideWhenUsed="0"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28"/>
    <w:qFormat/>
    <w:uiPriority w:val="9"/>
    <w:pPr>
      <w:spacing w:line="590" w:lineRule="exact"/>
      <w:ind w:firstLine="880" w:firstLineChars="200"/>
      <w:outlineLvl w:val="0"/>
    </w:pPr>
    <w:rPr>
      <w:rFonts w:ascii="黑体" w:hAnsi="黑体" w:eastAsia="黑体"/>
      <w:bCs/>
      <w:kern w:val="44"/>
      <w:sz w:val="32"/>
      <w:szCs w:val="44"/>
    </w:rPr>
  </w:style>
  <w:style w:type="paragraph" w:styleId="4">
    <w:name w:val="heading 2"/>
    <w:basedOn w:val="1"/>
    <w:next w:val="1"/>
    <w:unhideWhenUsed/>
    <w:qFormat/>
    <w:uiPriority w:val="9"/>
    <w:pPr>
      <w:spacing w:line="590" w:lineRule="exact"/>
      <w:ind w:firstLine="880" w:firstLineChars="200"/>
      <w:jc w:val="left"/>
      <w:outlineLvl w:val="1"/>
    </w:pPr>
    <w:rPr>
      <w:rFonts w:hint="eastAsia" w:ascii="楷体_GB2312" w:hAnsi="楷体_GB2312" w:eastAsia="楷体_GB2312" w:cs="Times New Roman"/>
      <w:kern w:val="0"/>
      <w:sz w:val="32"/>
      <w:szCs w:val="36"/>
    </w:rPr>
  </w:style>
  <w:style w:type="paragraph" w:styleId="5">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paragraph" w:styleId="6">
    <w:name w:val="heading 4"/>
    <w:basedOn w:val="1"/>
    <w:next w:val="1"/>
    <w:qFormat/>
    <w:uiPriority w:val="9"/>
    <w:pPr>
      <w:numPr>
        <w:ilvl w:val="3"/>
        <w:numId w:val="1"/>
      </w:numPr>
      <w:adjustRightInd w:val="0"/>
      <w:snapToGrid w:val="0"/>
      <w:spacing w:afterLines="50" w:line="400" w:lineRule="exact"/>
      <w:outlineLvl w:val="3"/>
    </w:pPr>
    <w:rPr>
      <w:szCs w:val="28"/>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7">
    <w:name w:val="annotation text"/>
    <w:basedOn w:val="1"/>
    <w:link w:val="32"/>
    <w:semiHidden/>
    <w:unhideWhenUsed/>
    <w:qFormat/>
    <w:uiPriority w:val="99"/>
    <w:pPr>
      <w:jc w:val="left"/>
    </w:pPr>
  </w:style>
  <w:style w:type="paragraph" w:styleId="8">
    <w:name w:val="Body Text"/>
    <w:basedOn w:val="1"/>
    <w:next w:val="1"/>
    <w:qFormat/>
    <w:uiPriority w:val="1"/>
    <w:pPr>
      <w:ind w:left="119"/>
    </w:pPr>
    <w:rPr>
      <w:rFonts w:ascii="仿宋_GB2312" w:hAnsi="仿宋_GB2312" w:eastAsia="仿宋_GB2312" w:cs="Times New Roman"/>
      <w:sz w:val="30"/>
      <w:szCs w:val="30"/>
      <w:lang w:eastAsia="en-US"/>
    </w:rPr>
  </w:style>
  <w:style w:type="paragraph" w:styleId="9">
    <w:name w:val="toc 3"/>
    <w:basedOn w:val="1"/>
    <w:next w:val="1"/>
    <w:unhideWhenUsed/>
    <w:qFormat/>
    <w:uiPriority w:val="39"/>
    <w:pPr>
      <w:widowControl/>
      <w:spacing w:after="100" w:line="276" w:lineRule="auto"/>
      <w:ind w:left="440"/>
      <w:jc w:val="left"/>
    </w:pPr>
    <w:rPr>
      <w:kern w:val="0"/>
      <w:sz w:val="22"/>
    </w:rPr>
  </w:style>
  <w:style w:type="paragraph" w:styleId="10">
    <w:name w:val="Balloon Text"/>
    <w:basedOn w:val="1"/>
    <w:link w:val="30"/>
    <w:semiHidden/>
    <w:unhideWhenUsed/>
    <w:qFormat/>
    <w:uiPriority w:val="99"/>
    <w:rPr>
      <w:sz w:val="18"/>
      <w:szCs w:val="18"/>
    </w:rPr>
  </w:style>
  <w:style w:type="paragraph" w:styleId="11">
    <w:name w:val="footer"/>
    <w:basedOn w:val="1"/>
    <w:next w:val="12"/>
    <w:link w:val="27"/>
    <w:unhideWhenUsed/>
    <w:qFormat/>
    <w:uiPriority w:val="99"/>
    <w:pPr>
      <w:tabs>
        <w:tab w:val="center" w:pos="4153"/>
        <w:tab w:val="right" w:pos="8306"/>
      </w:tabs>
      <w:snapToGrid w:val="0"/>
      <w:jc w:val="left"/>
    </w:pPr>
    <w:rPr>
      <w:sz w:val="18"/>
      <w:szCs w:val="18"/>
    </w:rPr>
  </w:style>
  <w:style w:type="paragraph" w:styleId="12">
    <w:name w:val="Normal (Web)"/>
    <w:basedOn w:val="1"/>
    <w:next w:val="13"/>
    <w:semiHidden/>
    <w:unhideWhenUsed/>
    <w:qFormat/>
    <w:uiPriority w:val="99"/>
    <w:pPr>
      <w:spacing w:before="0" w:beforeAutospacing="1" w:after="0" w:afterAutospacing="1"/>
      <w:ind w:left="0" w:right="0"/>
      <w:jc w:val="left"/>
    </w:pPr>
    <w:rPr>
      <w:kern w:val="0"/>
      <w:sz w:val="24"/>
      <w:lang w:val="en-US" w:eastAsia="zh-CN" w:bidi="ar"/>
    </w:rPr>
  </w:style>
  <w:style w:type="paragraph" w:styleId="13">
    <w:name w:val="index 9"/>
    <w:basedOn w:val="1"/>
    <w:next w:val="1"/>
    <w:qFormat/>
    <w:uiPriority w:val="0"/>
    <w:pPr>
      <w:ind w:left="3360"/>
    </w:pPr>
  </w:style>
  <w:style w:type="paragraph" w:styleId="14">
    <w:name w:val="header"/>
    <w:basedOn w:val="1"/>
    <w:link w:val="26"/>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qFormat/>
    <w:uiPriority w:val="39"/>
    <w:pPr>
      <w:spacing w:line="540" w:lineRule="exact"/>
    </w:pPr>
    <w:rPr>
      <w:rFonts w:ascii="Times New Roman" w:hAnsi="Times New Roman" w:eastAsia="黑体" w:cs="Times New Roman"/>
      <w:sz w:val="28"/>
      <w:szCs w:val="24"/>
    </w:rPr>
  </w:style>
  <w:style w:type="paragraph" w:styleId="16">
    <w:name w:val="toc 2"/>
    <w:basedOn w:val="1"/>
    <w:next w:val="1"/>
    <w:qFormat/>
    <w:uiPriority w:val="39"/>
    <w:pPr>
      <w:spacing w:line="540" w:lineRule="exact"/>
      <w:ind w:left="420" w:leftChars="200"/>
    </w:pPr>
    <w:rPr>
      <w:rFonts w:ascii="Times New Roman" w:hAnsi="Times New Roman" w:eastAsia="楷体" w:cs="Times New Roman"/>
      <w:sz w:val="28"/>
      <w:szCs w:val="24"/>
    </w:rPr>
  </w:style>
  <w:style w:type="paragraph" w:styleId="17">
    <w:name w:val="annotation subject"/>
    <w:basedOn w:val="7"/>
    <w:next w:val="7"/>
    <w:link w:val="33"/>
    <w:semiHidden/>
    <w:unhideWhenUsed/>
    <w:qFormat/>
    <w:uiPriority w:val="99"/>
    <w:rPr>
      <w:b/>
      <w:bCs/>
    </w:rPr>
  </w:style>
  <w:style w:type="table" w:styleId="19">
    <w:name w:val="Table Grid"/>
    <w:basedOn w:val="18"/>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21">
    <w:name w:val="page number"/>
    <w:basedOn w:val="20"/>
    <w:qFormat/>
    <w:uiPriority w:val="0"/>
  </w:style>
  <w:style w:type="character" w:styleId="22">
    <w:name w:val="Emphasis"/>
    <w:qFormat/>
    <w:uiPriority w:val="0"/>
    <w:rPr>
      <w:rFonts w:ascii="Times New Roman" w:hAnsi="Times New Roman" w:eastAsia="黑体"/>
      <w:iCs/>
      <w:sz w:val="24"/>
    </w:rPr>
  </w:style>
  <w:style w:type="character" w:styleId="23">
    <w:name w:val="Hyperlink"/>
    <w:unhideWhenUsed/>
    <w:qFormat/>
    <w:uiPriority w:val="99"/>
    <w:rPr>
      <w:color w:val="0000FF"/>
      <w:u w:val="single"/>
    </w:rPr>
  </w:style>
  <w:style w:type="character" w:styleId="24">
    <w:name w:val="annotation reference"/>
    <w:basedOn w:val="20"/>
    <w:semiHidden/>
    <w:unhideWhenUsed/>
    <w:qFormat/>
    <w:uiPriority w:val="99"/>
    <w:rPr>
      <w:sz w:val="21"/>
      <w:szCs w:val="21"/>
    </w:rPr>
  </w:style>
  <w:style w:type="paragraph" w:customStyle="1" w:styleId="25">
    <w:name w:val="样式 左 行距: 最小值 28 磅"/>
    <w:basedOn w:val="1"/>
    <w:qFormat/>
    <w:uiPriority w:val="0"/>
    <w:pPr>
      <w:shd w:val="clear" w:color="auto" w:fill="FFFFFF"/>
      <w:spacing w:line="360" w:lineRule="atLeast"/>
    </w:pPr>
    <w:rPr>
      <w:rFonts w:ascii="Calibri" w:hAnsi="Calibri" w:eastAsia="仿宋_GB2312"/>
      <w:sz w:val="32"/>
      <w:szCs w:val="20"/>
    </w:rPr>
  </w:style>
  <w:style w:type="character" w:customStyle="1" w:styleId="26">
    <w:name w:val="页眉 字符"/>
    <w:basedOn w:val="20"/>
    <w:link w:val="14"/>
    <w:qFormat/>
    <w:uiPriority w:val="99"/>
    <w:rPr>
      <w:sz w:val="18"/>
      <w:szCs w:val="18"/>
    </w:rPr>
  </w:style>
  <w:style w:type="character" w:customStyle="1" w:styleId="27">
    <w:name w:val="页脚 字符"/>
    <w:basedOn w:val="20"/>
    <w:link w:val="11"/>
    <w:qFormat/>
    <w:uiPriority w:val="99"/>
    <w:rPr>
      <w:sz w:val="18"/>
      <w:szCs w:val="18"/>
    </w:rPr>
  </w:style>
  <w:style w:type="character" w:customStyle="1" w:styleId="28">
    <w:name w:val="标题 1 字符"/>
    <w:basedOn w:val="20"/>
    <w:link w:val="3"/>
    <w:qFormat/>
    <w:uiPriority w:val="9"/>
    <w:rPr>
      <w:rFonts w:ascii="黑体" w:hAnsi="黑体" w:eastAsia="黑体"/>
      <w:bCs/>
      <w:kern w:val="44"/>
      <w:sz w:val="32"/>
      <w:szCs w:val="44"/>
    </w:rPr>
  </w:style>
  <w:style w:type="paragraph" w:customStyle="1" w:styleId="29">
    <w:name w:val="TOC 标题1"/>
    <w:basedOn w:val="3"/>
    <w:next w:val="1"/>
    <w:semiHidden/>
    <w:unhideWhenUsed/>
    <w:qFormat/>
    <w:uiPriority w:val="39"/>
    <w:pPr>
      <w:widowControl/>
      <w:spacing w:before="48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0">
    <w:name w:val="批注框文本 字符"/>
    <w:basedOn w:val="20"/>
    <w:link w:val="10"/>
    <w:semiHidden/>
    <w:qFormat/>
    <w:uiPriority w:val="99"/>
    <w:rPr>
      <w:sz w:val="18"/>
      <w:szCs w:val="18"/>
    </w:rPr>
  </w:style>
  <w:style w:type="paragraph" w:styleId="31">
    <w:name w:val="List Paragraph"/>
    <w:basedOn w:val="1"/>
    <w:qFormat/>
    <w:uiPriority w:val="34"/>
    <w:pPr>
      <w:ind w:firstLine="420" w:firstLineChars="200"/>
    </w:pPr>
  </w:style>
  <w:style w:type="character" w:customStyle="1" w:styleId="32">
    <w:name w:val="批注文字 字符"/>
    <w:basedOn w:val="20"/>
    <w:link w:val="7"/>
    <w:semiHidden/>
    <w:qFormat/>
    <w:uiPriority w:val="99"/>
  </w:style>
  <w:style w:type="character" w:customStyle="1" w:styleId="33">
    <w:name w:val="批注主题 字符"/>
    <w:basedOn w:val="32"/>
    <w:link w:val="17"/>
    <w:semiHidden/>
    <w:qFormat/>
    <w:uiPriority w:val="99"/>
    <w:rPr>
      <w:b/>
      <w:bCs/>
    </w:rPr>
  </w:style>
  <w:style w:type="character" w:customStyle="1" w:styleId="34">
    <w:name w:val="font11"/>
    <w:basedOn w:val="20"/>
    <w:qFormat/>
    <w:uiPriority w:val="0"/>
    <w:rPr>
      <w:rFonts w:ascii="仿宋_GB2312" w:eastAsia="仿宋_GB2312" w:cs="仿宋_GB2312"/>
      <w:color w:val="000000"/>
      <w:sz w:val="22"/>
      <w:szCs w:val="22"/>
      <w:u w:val="none"/>
    </w:rPr>
  </w:style>
  <w:style w:type="character" w:customStyle="1" w:styleId="35">
    <w:name w:val="font81"/>
    <w:basedOn w:val="20"/>
    <w:qFormat/>
    <w:uiPriority w:val="0"/>
    <w:rPr>
      <w:rFonts w:hint="default" w:ascii="Times New Roman" w:hAnsi="Times New Roman" w:cs="Times New Roman"/>
      <w:b/>
      <w:color w:val="000000"/>
      <w:sz w:val="22"/>
      <w:szCs w:val="22"/>
      <w:u w:val="none"/>
    </w:rPr>
  </w:style>
  <w:style w:type="character" w:customStyle="1" w:styleId="36">
    <w:name w:val="font21"/>
    <w:basedOn w:val="20"/>
    <w:qFormat/>
    <w:uiPriority w:val="0"/>
    <w:rPr>
      <w:rFonts w:ascii="仿宋_GB2312" w:eastAsia="仿宋_GB2312" w:cs="仿宋_GB2312"/>
      <w:color w:val="000000"/>
      <w:sz w:val="22"/>
      <w:szCs w:val="22"/>
      <w:u w:val="none"/>
    </w:rPr>
  </w:style>
  <w:style w:type="character" w:customStyle="1" w:styleId="37">
    <w:name w:val="font31"/>
    <w:basedOn w:val="20"/>
    <w:qFormat/>
    <w:uiPriority w:val="0"/>
    <w:rPr>
      <w:rFonts w:ascii="仿宋_GB2312" w:eastAsia="仿宋_GB2312" w:cs="仿宋_GB2312"/>
      <w:color w:val="000000"/>
      <w:sz w:val="22"/>
      <w:szCs w:val="22"/>
      <w:u w:val="none"/>
    </w:rPr>
  </w:style>
  <w:style w:type="character" w:customStyle="1" w:styleId="38">
    <w:name w:val="font41"/>
    <w:basedOn w:val="20"/>
    <w:qFormat/>
    <w:uiPriority w:val="0"/>
    <w:rPr>
      <w:rFonts w:hint="default" w:ascii="Times New Roman" w:hAnsi="Times New Roman" w:cs="Times New Roman"/>
      <w:color w:val="000000"/>
      <w:sz w:val="22"/>
      <w:szCs w:val="22"/>
      <w:u w:val="none"/>
    </w:rPr>
  </w:style>
  <w:style w:type="character" w:customStyle="1" w:styleId="39">
    <w:name w:val="font01"/>
    <w:basedOn w:val="20"/>
    <w:qFormat/>
    <w:uiPriority w:val="0"/>
    <w:rPr>
      <w:rFonts w:hint="eastAsia" w:ascii="仿宋_GB2312" w:eastAsia="仿宋_GB2312" w:cs="仿宋_GB2312"/>
      <w:color w:val="000000"/>
      <w:sz w:val="22"/>
      <w:szCs w:val="22"/>
      <w:u w:val="none"/>
    </w:rPr>
  </w:style>
  <w:style w:type="paragraph" w:customStyle="1" w:styleId="40">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41">
    <w:name w:val="font91"/>
    <w:basedOn w:val="20"/>
    <w:qFormat/>
    <w:uiPriority w:val="0"/>
    <w:rPr>
      <w:rFonts w:hint="eastAsia" w:ascii="仿宋_GB2312" w:eastAsia="仿宋_GB2312" w:cs="仿宋_GB2312"/>
      <w:color w:val="000000"/>
      <w:sz w:val="22"/>
      <w:szCs w:val="22"/>
      <w:u w:val="none"/>
    </w:rPr>
  </w:style>
  <w:style w:type="character" w:customStyle="1" w:styleId="42">
    <w:name w:val="font61"/>
    <w:basedOn w:val="20"/>
    <w:qFormat/>
    <w:uiPriority w:val="0"/>
    <w:rPr>
      <w:rFonts w:ascii="仿宋_GB2312" w:eastAsia="仿宋_GB2312" w:cs="仿宋_GB2312"/>
      <w:b/>
      <w:color w:val="000000"/>
      <w:sz w:val="22"/>
      <w:szCs w:val="22"/>
      <w:u w:val="none"/>
    </w:rPr>
  </w:style>
  <w:style w:type="character" w:customStyle="1" w:styleId="43">
    <w:name w:val="font51"/>
    <w:basedOn w:val="20"/>
    <w:qFormat/>
    <w:uiPriority w:val="0"/>
    <w:rPr>
      <w:rFonts w:hint="eastAsia" w:ascii="仿宋_GB2312" w:eastAsia="仿宋_GB2312" w:cs="仿宋_GB2312"/>
      <w:b/>
      <w:color w:val="000000"/>
      <w:sz w:val="24"/>
      <w:szCs w:val="24"/>
      <w:u w:val="none"/>
    </w:rPr>
  </w:style>
  <w:style w:type="character" w:customStyle="1" w:styleId="44">
    <w:name w:val="font101"/>
    <w:basedOn w:val="20"/>
    <w:qFormat/>
    <w:uiPriority w:val="0"/>
    <w:rPr>
      <w:rFonts w:hint="default" w:ascii="Times New Roman" w:hAnsi="Times New Roman" w:cs="Times New Roman"/>
      <w:color w:val="000000"/>
      <w:sz w:val="24"/>
      <w:szCs w:val="24"/>
      <w:u w:val="none"/>
    </w:rPr>
  </w:style>
  <w:style w:type="character" w:customStyle="1" w:styleId="45">
    <w:name w:val="font71"/>
    <w:basedOn w:val="20"/>
    <w:qFormat/>
    <w:uiPriority w:val="0"/>
    <w:rPr>
      <w:rFonts w:hint="eastAsia" w:ascii="仿宋_GB2312" w:eastAsia="仿宋_GB2312" w:cs="仿宋_GB2312"/>
      <w:color w:val="000000"/>
      <w:sz w:val="24"/>
      <w:szCs w:val="24"/>
      <w:u w:val="none"/>
    </w:rPr>
  </w:style>
  <w:style w:type="character" w:customStyle="1" w:styleId="46">
    <w:name w:val="font112"/>
    <w:basedOn w:val="20"/>
    <w:qFormat/>
    <w:uiPriority w:val="0"/>
    <w:rPr>
      <w:rFonts w:hint="default" w:ascii="Times New Roman" w:hAnsi="Times New Roman" w:cs="Times New Roman"/>
      <w:color w:val="000000"/>
      <w:sz w:val="24"/>
      <w:szCs w:val="24"/>
      <w:u w:val="none"/>
    </w:rPr>
  </w:style>
  <w:style w:type="character" w:customStyle="1" w:styleId="47">
    <w:name w:val="font121"/>
    <w:basedOn w:val="20"/>
    <w:qFormat/>
    <w:uiPriority w:val="0"/>
    <w:rPr>
      <w:rFonts w:hint="eastAsia" w:ascii="仿宋_GB2312" w:eastAsia="仿宋_GB2312" w:cs="仿宋_GB2312"/>
      <w:b/>
      <w:color w:val="000000"/>
      <w:sz w:val="22"/>
      <w:szCs w:val="22"/>
      <w:u w:val="none"/>
    </w:rPr>
  </w:style>
  <w:style w:type="character" w:customStyle="1" w:styleId="48">
    <w:name w:val="font131"/>
    <w:basedOn w:val="20"/>
    <w:qFormat/>
    <w:uiPriority w:val="0"/>
    <w:rPr>
      <w:rFonts w:hint="eastAsia" w:ascii="仿宋_GB2312" w:eastAsia="仿宋_GB2312" w:cs="仿宋_GB2312"/>
      <w:b/>
      <w:color w:val="000000"/>
      <w:sz w:val="22"/>
      <w:szCs w:val="22"/>
      <w:u w:val="none"/>
    </w:rPr>
  </w:style>
  <w:style w:type="paragraph" w:customStyle="1" w:styleId="49">
    <w:name w:val="Revision"/>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50">
    <w:name w:val="表头"/>
    <w:basedOn w:val="1"/>
    <w:qFormat/>
    <w:uiPriority w:val="0"/>
    <w:pPr>
      <w:spacing w:line="240" w:lineRule="auto"/>
      <w:ind w:firstLine="0" w:firstLineChars="0"/>
      <w:jc w:val="center"/>
    </w:pPr>
    <w:rPr>
      <w:rFonts w:eastAsia="黑体"/>
      <w:sz w:val="24"/>
    </w:rPr>
  </w:style>
  <w:style w:type="table" w:customStyle="1" w:styleId="51">
    <w:name w:val="网格型11"/>
    <w:basedOn w:val="18"/>
    <w:qFormat/>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Microsoft</Company>
  <Pages>43</Pages>
  <Words>18991</Words>
  <Characters>21230</Characters>
  <Lines>1</Lines>
  <Paragraphs>1</Paragraphs>
  <TotalTime>7</TotalTime>
  <ScaleCrop>false</ScaleCrop>
  <LinksUpToDate>false</LinksUpToDate>
  <CharactersWithSpaces>21509</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2018-01-31T16:17:00Z</dcterms:created>
  <dc:creator>lenovo</dc:creator>
  <cp:lastModifiedBy>YYY</cp:lastModifiedBy>
  <cp:lastPrinted>2022-08-30T04:52:00Z</cp:lastPrinted>
  <dcterms:modified xsi:type="dcterms:W3CDTF">2023-04-26T03:13:00Z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625F9F55F30F4E598E05122D09410172</vt:lpwstr>
  </property>
</Properties>
</file>