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宋体" w:eastAsia="方正小标宋简体" w:cs="宋体"/>
          <w:bCs/>
          <w:sz w:val="44"/>
          <w:szCs w:val="44"/>
          <w:highlight w:val="none"/>
          <w:lang w:val="en-US" w:eastAsia="zh-CN"/>
        </w:rPr>
      </w:pPr>
    </w:p>
    <w:p>
      <w:pPr>
        <w:jc w:val="center"/>
        <w:rPr>
          <w:rFonts w:hint="eastAsia" w:ascii="方正小标宋简体" w:hAnsi="宋体" w:eastAsia="方正小标宋简体" w:cs="宋体"/>
          <w:bCs/>
          <w:sz w:val="44"/>
          <w:szCs w:val="44"/>
          <w:highlight w:val="none"/>
          <w:lang w:val="en-US" w:eastAsia="zh-CN"/>
        </w:rPr>
      </w:pPr>
    </w:p>
    <w:p>
      <w:pPr>
        <w:jc w:val="center"/>
        <w:rPr>
          <w:rFonts w:hint="default" w:ascii="方正小标宋简体" w:hAnsi="黑体" w:eastAsia="方正小标宋简体"/>
          <w:w w:val="98"/>
          <w:sz w:val="44"/>
          <w:szCs w:val="44"/>
          <w:lang w:val="en-US" w:eastAsia="zh-CN"/>
        </w:rPr>
      </w:pPr>
      <w:r>
        <w:rPr>
          <w:rFonts w:hint="eastAsia" w:ascii="方正小标宋简体" w:hAnsi="黑体" w:eastAsia="方正小标宋简体"/>
          <w:w w:val="98"/>
          <w:sz w:val="44"/>
          <w:szCs w:val="44"/>
        </w:rPr>
        <w:t>贵阳市</w:t>
      </w:r>
      <w:r>
        <w:rPr>
          <w:rFonts w:hint="eastAsia" w:ascii="方正小标宋简体" w:hAnsi="黑体" w:eastAsia="方正小标宋简体"/>
          <w:w w:val="98"/>
          <w:sz w:val="44"/>
          <w:szCs w:val="44"/>
          <w:lang w:val="en-US" w:eastAsia="zh-CN"/>
        </w:rPr>
        <w:t>云岩</w:t>
      </w:r>
      <w:r>
        <w:rPr>
          <w:rFonts w:hint="eastAsia" w:ascii="方正小标宋简体" w:hAnsi="黑体" w:eastAsia="方正小标宋简体"/>
          <w:w w:val="98"/>
          <w:sz w:val="44"/>
          <w:szCs w:val="44"/>
        </w:rPr>
        <w:t>区</w:t>
      </w:r>
      <w:r>
        <w:rPr>
          <w:rFonts w:hint="eastAsia" w:ascii="方正小标宋简体" w:hAnsi="黑体" w:eastAsia="方正小标宋简体"/>
          <w:w w:val="98"/>
          <w:sz w:val="44"/>
          <w:szCs w:val="44"/>
          <w:lang w:val="en-US" w:eastAsia="zh-CN"/>
        </w:rPr>
        <w:t>卫生健康局</w:t>
      </w:r>
    </w:p>
    <w:p>
      <w:pPr>
        <w:jc w:val="center"/>
        <w:rPr>
          <w:rFonts w:ascii="Times New Roman" w:hAnsi="黑体" w:eastAsia="黑体" w:cs="宋体"/>
          <w:kern w:val="0"/>
          <w:sz w:val="24"/>
          <w:szCs w:val="24"/>
          <w:highlight w:val="none"/>
        </w:rPr>
      </w:pPr>
      <w:r>
        <w:rPr>
          <w:rFonts w:hint="eastAsia" w:ascii="方正小标宋简体" w:hAnsi="黑体" w:eastAsia="方正小标宋简体"/>
          <w:w w:val="98"/>
          <w:sz w:val="44"/>
          <w:szCs w:val="44"/>
          <w:lang w:val="en-US" w:eastAsia="zh-CN"/>
        </w:rPr>
        <w:t>2021年全员核酸筛查物资及检测试剂经费项目</w:t>
      </w: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jc w:val="center"/>
        <w:rPr>
          <w:rFonts w:ascii="方正小标宋简体" w:hAnsi="黑体" w:eastAsia="方正小标宋简体" w:cs="宋体"/>
          <w:kern w:val="0"/>
          <w:sz w:val="72"/>
          <w:szCs w:val="72"/>
          <w:highlight w:val="none"/>
        </w:rPr>
      </w:pPr>
      <w:r>
        <w:rPr>
          <w:rFonts w:hint="eastAsia" w:ascii="方正小标宋简体" w:hAnsi="黑体" w:eastAsia="方正小标宋简体" w:cs="宋体"/>
          <w:kern w:val="0"/>
          <w:sz w:val="72"/>
          <w:szCs w:val="72"/>
          <w:highlight w:val="none"/>
          <w:lang w:eastAsia="zh-CN"/>
        </w:rPr>
        <w:t>绩效评价</w:t>
      </w:r>
      <w:r>
        <w:rPr>
          <w:rFonts w:hint="eastAsia" w:ascii="方正小标宋简体" w:hAnsi="黑体" w:eastAsia="方正小标宋简体" w:cs="宋体"/>
          <w:kern w:val="0"/>
          <w:sz w:val="72"/>
          <w:szCs w:val="72"/>
          <w:highlight w:val="none"/>
        </w:rPr>
        <w:t>报告</w:t>
      </w: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pStyle w:val="26"/>
        <w:rPr>
          <w:rFonts w:ascii="Times New Roman" w:hAnsi="黑体" w:eastAsia="黑体" w:cs="宋体"/>
          <w:kern w:val="0"/>
          <w:sz w:val="24"/>
          <w:szCs w:val="24"/>
          <w:highlight w:val="none"/>
        </w:rPr>
      </w:pPr>
    </w:p>
    <w:p>
      <w:pPr>
        <w:pStyle w:val="26"/>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spacing w:line="360" w:lineRule="auto"/>
        <w:ind w:firstLine="2240" w:firstLineChars="800"/>
        <w:jc w:val="left"/>
        <w:rPr>
          <w:rFonts w:hint="eastAsia" w:ascii="黑体" w:hAnsi="黑体" w:eastAsia="黑体" w:cs="宋体"/>
          <w:kern w:val="0"/>
          <w:sz w:val="28"/>
          <w:szCs w:val="28"/>
          <w:lang w:val="en-US" w:eastAsia="zh-CN"/>
        </w:rPr>
      </w:pPr>
      <w:r>
        <w:rPr>
          <w:rFonts w:hint="eastAsia" w:ascii="黑体" w:hAnsi="黑体" w:eastAsia="黑体" w:cs="宋体"/>
          <w:kern w:val="0"/>
          <w:sz w:val="28"/>
          <w:szCs w:val="28"/>
        </w:rPr>
        <w:t>报告编号：贵州黔元绩效字﹝202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﹞第</w:t>
      </w:r>
      <w:r>
        <w:rPr>
          <w:rFonts w:hint="eastAsia" w:ascii="黑体" w:hAnsi="黑体" w:eastAsia="黑体" w:cs="宋体"/>
          <w:kern w:val="0"/>
          <w:sz w:val="28"/>
          <w:szCs w:val="28"/>
          <w:lang w:val="en-US" w:eastAsia="zh-CN"/>
        </w:rPr>
        <w:t>36</w:t>
      </w:r>
      <w:r>
        <w:rPr>
          <w:rFonts w:hint="eastAsia" w:ascii="黑体" w:hAnsi="黑体" w:eastAsia="黑体" w:cs="宋体"/>
          <w:kern w:val="0"/>
          <w:sz w:val="28"/>
          <w:szCs w:val="28"/>
        </w:rPr>
        <w:t>号</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委托单位：贵阳市</w:t>
      </w:r>
      <w:r>
        <w:rPr>
          <w:rFonts w:hint="eastAsia" w:ascii="黑体" w:hAnsi="黑体" w:eastAsia="黑体" w:cs="宋体"/>
          <w:kern w:val="0"/>
          <w:sz w:val="28"/>
          <w:szCs w:val="28"/>
          <w:lang w:val="en-US" w:eastAsia="zh-CN"/>
        </w:rPr>
        <w:t>云岩</w:t>
      </w:r>
      <w:r>
        <w:rPr>
          <w:rFonts w:hint="eastAsia" w:ascii="黑体" w:hAnsi="黑体" w:eastAsia="黑体" w:cs="宋体"/>
          <w:kern w:val="0"/>
          <w:sz w:val="28"/>
          <w:szCs w:val="28"/>
        </w:rPr>
        <w:t>区财政</w:t>
      </w:r>
      <w:r>
        <w:rPr>
          <w:rFonts w:hint="eastAsia" w:ascii="黑体" w:hAnsi="黑体" w:eastAsia="黑体" w:cs="宋体"/>
          <w:kern w:val="0"/>
          <w:sz w:val="28"/>
          <w:szCs w:val="28"/>
          <w:lang w:val="en-US" w:eastAsia="zh-CN"/>
        </w:rPr>
        <w:t>局</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评价机构：贵州黔元会计师事务所有限公司</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报告时间：202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年</w:t>
      </w:r>
      <w:r>
        <w:rPr>
          <w:rFonts w:hint="eastAsia" w:ascii="黑体" w:hAnsi="黑体" w:eastAsia="黑体" w:cs="宋体"/>
          <w:kern w:val="0"/>
          <w:sz w:val="28"/>
          <w:szCs w:val="28"/>
          <w:lang w:val="en-US" w:eastAsia="zh-CN"/>
        </w:rPr>
        <w:t>12</w:t>
      </w:r>
      <w:r>
        <w:rPr>
          <w:rFonts w:hint="eastAsia" w:ascii="黑体" w:hAnsi="黑体" w:eastAsia="黑体" w:cs="宋体"/>
          <w:kern w:val="0"/>
          <w:sz w:val="28"/>
          <w:szCs w:val="28"/>
        </w:rPr>
        <w:t>月</w:t>
      </w:r>
      <w:r>
        <w:rPr>
          <w:rFonts w:hint="eastAsia" w:ascii="黑体" w:hAnsi="黑体" w:eastAsia="黑体" w:cs="宋体"/>
          <w:kern w:val="0"/>
          <w:sz w:val="28"/>
          <w:szCs w:val="28"/>
          <w:lang w:val="en-US" w:eastAsia="zh-CN"/>
        </w:rPr>
        <w:t>31</w:t>
      </w:r>
      <w:r>
        <w:rPr>
          <w:rFonts w:hint="eastAsia" w:ascii="黑体" w:hAnsi="黑体" w:eastAsia="黑体" w:cs="宋体"/>
          <w:kern w:val="0"/>
          <w:sz w:val="28"/>
          <w:szCs w:val="28"/>
        </w:rPr>
        <w:t>日</w:t>
      </w:r>
    </w:p>
    <w:p>
      <w:pPr>
        <w:spacing w:line="240" w:lineRule="auto"/>
        <w:ind w:firstLine="0" w:firstLineChars="0"/>
        <w:jc w:val="left"/>
        <w:rPr>
          <w:rFonts w:ascii="黑体" w:hAnsi="黑体" w:eastAsia="黑体" w:cs="宋体"/>
          <w:kern w:val="0"/>
          <w:sz w:val="24"/>
          <w:szCs w:val="24"/>
          <w:highlight w:val="none"/>
        </w:rPr>
      </w:pPr>
      <w:r>
        <w:rPr>
          <w:rFonts w:ascii="黑体" w:hAnsi="黑体" w:eastAsia="黑体" w:cs="宋体"/>
          <w:kern w:val="0"/>
          <w:sz w:val="24"/>
          <w:szCs w:val="24"/>
          <w:highlight w:val="none"/>
        </w:rPr>
        <w:br w:type="page"/>
      </w:r>
    </w:p>
    <w:p>
      <w:pPr>
        <w:rPr>
          <w:rFonts w:hint="eastAsia" w:ascii="黑体" w:hAnsi="宋体" w:eastAsia="黑体" w:cs="黑体"/>
          <w:color w:val="000000"/>
          <w:kern w:val="0"/>
          <w:sz w:val="24"/>
          <w:highlight w:val="none"/>
        </w:rPr>
        <w:sectPr>
          <w:pgSz w:w="11906" w:h="16838"/>
          <w:pgMar w:top="1985" w:right="1474" w:bottom="1871" w:left="1474" w:header="851" w:footer="1474" w:gutter="0"/>
          <w:pgBorders>
            <w:top w:val="none" w:sz="0" w:space="0"/>
            <w:left w:val="none" w:sz="0" w:space="0"/>
            <w:bottom w:val="none" w:sz="0" w:space="0"/>
            <w:right w:val="none" w:sz="0" w:space="0"/>
          </w:pgBorders>
          <w:pgNumType w:fmt="decimal" w:start="1"/>
          <w:cols w:space="425" w:num="1"/>
          <w:titlePg/>
          <w:docGrid w:type="lines" w:linePitch="312" w:charSpace="0"/>
        </w:sectPr>
      </w:pPr>
    </w:p>
    <w:tbl>
      <w:tblPr>
        <w:tblStyle w:val="19"/>
        <w:tblpPr w:leftFromText="180" w:rightFromText="180" w:vertAnchor="text" w:horzAnchor="margin" w:tblpY="-77"/>
        <w:tblOverlap w:val="never"/>
        <w:tblW w:w="8983" w:type="dxa"/>
        <w:tblInd w:w="0" w:type="dxa"/>
        <w:tblLayout w:type="fixed"/>
        <w:tblCellMar>
          <w:top w:w="17" w:type="dxa"/>
          <w:left w:w="17" w:type="dxa"/>
          <w:bottom w:w="17" w:type="dxa"/>
          <w:right w:w="17" w:type="dxa"/>
        </w:tblCellMar>
      </w:tblPr>
      <w:tblGrid>
        <w:gridCol w:w="1356"/>
        <w:gridCol w:w="751"/>
        <w:gridCol w:w="639"/>
        <w:gridCol w:w="492"/>
        <w:gridCol w:w="848"/>
        <w:gridCol w:w="854"/>
        <w:gridCol w:w="974"/>
        <w:gridCol w:w="1541"/>
        <w:gridCol w:w="1528"/>
      </w:tblGrid>
      <w:tr>
        <w:tblPrEx>
          <w:tblCellMar>
            <w:top w:w="17" w:type="dxa"/>
            <w:left w:w="17" w:type="dxa"/>
            <w:bottom w:w="17" w:type="dxa"/>
            <w:right w:w="17" w:type="dxa"/>
          </w:tblCellMar>
        </w:tblPrEx>
        <w:trPr>
          <w:trHeight w:val="90" w:hRule="atLeast"/>
        </w:trPr>
        <w:tc>
          <w:tcPr>
            <w:tcW w:w="8983" w:type="dxa"/>
            <w:gridSpan w:val="9"/>
            <w:noWrap w:val="0"/>
            <w:vAlign w:val="center"/>
          </w:tcPr>
          <w:p>
            <w:pPr>
              <w:rPr>
                <w:rFonts w:hint="eastAsia" w:ascii="黑体" w:hAnsi="宋体" w:eastAsia="黑体" w:cs="黑体"/>
                <w:color w:val="000000"/>
                <w:sz w:val="24"/>
                <w:highlight w:val="none"/>
                <w:lang w:val="en-US" w:eastAsia="zh-CN"/>
              </w:rPr>
            </w:pPr>
            <w:r>
              <w:rPr>
                <w:rFonts w:hint="eastAsia" w:ascii="黑体" w:hAnsi="宋体" w:eastAsia="黑体" w:cs="黑体"/>
                <w:color w:val="000000"/>
                <w:kern w:val="0"/>
                <w:sz w:val="24"/>
                <w:highlight w:val="none"/>
              </w:rPr>
              <w:t>评价分值：</w:t>
            </w:r>
            <w:r>
              <w:rPr>
                <w:rFonts w:hint="eastAsia" w:ascii="黑体" w:hAnsi="宋体" w:eastAsia="黑体" w:cs="黑体"/>
                <w:color w:val="000000"/>
                <w:kern w:val="0"/>
                <w:sz w:val="24"/>
                <w:highlight w:val="none"/>
                <w:lang w:val="en-US" w:eastAsia="zh-CN"/>
              </w:rPr>
              <w:t>94.5</w:t>
            </w:r>
            <w:r>
              <w:rPr>
                <w:rStyle w:val="39"/>
                <w:rFonts w:hint="eastAsia" w:hAnsi="宋体"/>
                <w:highlight w:val="none"/>
              </w:rPr>
              <w:t xml:space="preserve">      </w:t>
            </w:r>
            <w:r>
              <w:rPr>
                <w:rFonts w:hint="eastAsia" w:ascii="黑体" w:hAnsi="宋体" w:eastAsia="黑体" w:cs="黑体"/>
                <w:color w:val="000000"/>
                <w:kern w:val="0"/>
                <w:sz w:val="24"/>
                <w:highlight w:val="none"/>
              </w:rPr>
              <w:t>评价等级：</w:t>
            </w:r>
            <w:r>
              <w:rPr>
                <w:rFonts w:hint="eastAsia" w:ascii="黑体" w:hAnsi="宋体" w:eastAsia="黑体" w:cs="黑体"/>
                <w:color w:val="000000"/>
                <w:kern w:val="0"/>
                <w:sz w:val="24"/>
                <w:highlight w:val="none"/>
                <w:lang w:val="en-US" w:eastAsia="zh-CN"/>
              </w:rPr>
              <w:t>优</w:t>
            </w:r>
          </w:p>
        </w:tc>
      </w:tr>
      <w:tr>
        <w:tblPrEx>
          <w:tblCellMar>
            <w:top w:w="17" w:type="dxa"/>
            <w:left w:w="17" w:type="dxa"/>
            <w:bottom w:w="17" w:type="dxa"/>
            <w:right w:w="17" w:type="dxa"/>
          </w:tblCellMar>
        </w:tblPrEx>
        <w:trPr>
          <w:trHeight w:val="299" w:hRule="atLeast"/>
        </w:trPr>
        <w:tc>
          <w:tcPr>
            <w:tcW w:w="8983" w:type="dxa"/>
            <w:gridSpan w:val="9"/>
            <w:noWrap w:val="0"/>
            <w:vAlign w:val="center"/>
          </w:tcPr>
          <w:p>
            <w:pPr>
              <w:widowControl/>
              <w:jc w:val="center"/>
              <w:textAlignment w:val="center"/>
              <w:rPr>
                <w:rFonts w:ascii="黑体" w:hAnsi="宋体" w:eastAsia="黑体" w:cs="黑体"/>
                <w:b/>
                <w:color w:val="000000"/>
                <w:sz w:val="36"/>
                <w:szCs w:val="36"/>
                <w:highlight w:val="none"/>
              </w:rPr>
            </w:pPr>
            <w:r>
              <w:rPr>
                <w:rFonts w:hint="eastAsia" w:ascii="黑体" w:hAnsi="宋体" w:eastAsia="黑体" w:cs="黑体"/>
                <w:b/>
                <w:color w:val="000000"/>
                <w:kern w:val="0"/>
                <w:sz w:val="36"/>
                <w:szCs w:val="36"/>
                <w:highlight w:val="none"/>
              </w:rPr>
              <w:t>概   要</w:t>
            </w:r>
          </w:p>
        </w:tc>
      </w:tr>
      <w:tr>
        <w:tblPrEx>
          <w:tblCellMar>
            <w:top w:w="17" w:type="dxa"/>
            <w:left w:w="17" w:type="dxa"/>
            <w:bottom w:w="17" w:type="dxa"/>
            <w:right w:w="17" w:type="dxa"/>
          </w:tblCellMar>
        </w:tblPrEx>
        <w:trPr>
          <w:trHeight w:val="330" w:hRule="atLeast"/>
        </w:trPr>
        <w:tc>
          <w:tcPr>
            <w:tcW w:w="8983" w:type="dxa"/>
            <w:gridSpan w:val="9"/>
            <w:noWrap w:val="0"/>
            <w:vAlign w:val="center"/>
          </w:tcPr>
          <w:p>
            <w:pPr>
              <w:widowControl/>
              <w:jc w:val="left"/>
              <w:textAlignment w:val="center"/>
              <w:rPr>
                <w:rFonts w:ascii="黑体" w:hAnsi="黑体" w:eastAsia="黑体" w:cs="仿宋_GB2312"/>
                <w:color w:val="000000"/>
                <w:sz w:val="22"/>
                <w:highlight w:val="none"/>
              </w:rPr>
            </w:pPr>
            <w:r>
              <w:rPr>
                <w:rFonts w:hint="eastAsia" w:ascii="黑体" w:hAnsi="黑体" w:eastAsia="黑体" w:cs="仿宋_GB2312"/>
                <w:color w:val="000000"/>
                <w:kern w:val="0"/>
                <w:sz w:val="22"/>
                <w:highlight w:val="none"/>
              </w:rPr>
              <w:t>评价机构全称（盖章）：</w:t>
            </w:r>
            <w:r>
              <w:rPr>
                <w:rFonts w:hint="eastAsia" w:ascii="黑体" w:hAnsi="黑体" w:eastAsia="黑体" w:cs="仿宋_GB2312"/>
                <w:color w:val="000000"/>
                <w:kern w:val="0"/>
                <w:sz w:val="22"/>
                <w:highlight w:val="none"/>
                <w:lang w:val="en-US" w:eastAsia="zh-CN"/>
              </w:rPr>
              <w:t>贵州黔元会计师事务所有限公司</w:t>
            </w:r>
            <w:r>
              <w:rPr>
                <w:rFonts w:hint="eastAsia" w:ascii="黑体" w:hAnsi="黑体" w:eastAsia="黑体" w:cs="仿宋_GB2312"/>
                <w:color w:val="000000"/>
                <w:kern w:val="0"/>
                <w:sz w:val="22"/>
                <w:highlight w:val="none"/>
              </w:rPr>
              <w:t xml:space="preserve">                </w:t>
            </w:r>
            <w:r>
              <w:rPr>
                <w:rFonts w:hint="eastAsia" w:ascii="黑体" w:hAnsi="黑体" w:eastAsia="黑体" w:cs="仿宋_GB2312"/>
                <w:color w:val="000000"/>
                <w:kern w:val="0"/>
                <w:sz w:val="22"/>
                <w:highlight w:val="none"/>
                <w:lang w:val="en-US" w:eastAsia="zh-CN"/>
              </w:rPr>
              <w:t xml:space="preserve"> </w:t>
            </w:r>
            <w:r>
              <w:rPr>
                <w:rFonts w:hint="eastAsia" w:ascii="黑体" w:hAnsi="黑体" w:eastAsia="黑体" w:cs="仿宋_GB2312"/>
                <w:color w:val="000000"/>
                <w:kern w:val="0"/>
                <w:sz w:val="22"/>
                <w:highlight w:val="none"/>
              </w:rPr>
              <w:t>单位：万元、个</w:t>
            </w:r>
          </w:p>
        </w:tc>
      </w:tr>
      <w:tr>
        <w:tblPrEx>
          <w:tblCellMar>
            <w:top w:w="17" w:type="dxa"/>
            <w:left w:w="17" w:type="dxa"/>
            <w:bottom w:w="17" w:type="dxa"/>
            <w:right w:w="17" w:type="dxa"/>
          </w:tblCellMar>
        </w:tblPrEx>
        <w:trPr>
          <w:trHeight w:val="359"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项目名称</w:t>
            </w:r>
          </w:p>
        </w:tc>
        <w:tc>
          <w:tcPr>
            <w:tcW w:w="4558"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2021年云岩区全员核酸筛查物资及检测试剂经费项目</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评价年度</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2021年</w:t>
            </w:r>
          </w:p>
        </w:tc>
      </w:tr>
      <w:tr>
        <w:tblPrEx>
          <w:tblCellMar>
            <w:top w:w="17" w:type="dxa"/>
            <w:left w:w="17" w:type="dxa"/>
            <w:bottom w:w="17" w:type="dxa"/>
            <w:right w:w="17" w:type="dxa"/>
          </w:tblCellMar>
        </w:tblPrEx>
        <w:trPr>
          <w:trHeight w:val="510"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主管部门</w:t>
            </w:r>
          </w:p>
        </w:tc>
        <w:tc>
          <w:tcPr>
            <w:tcW w:w="2730"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eastAsia="zh-CN"/>
              </w:rPr>
              <w:t>云岩区</w:t>
            </w:r>
            <w:r>
              <w:rPr>
                <w:rFonts w:hint="eastAsia" w:ascii="仿宋_GB2312" w:hAnsi="宋体" w:eastAsia="仿宋_GB2312" w:cs="仿宋_GB2312"/>
                <w:color w:val="000000"/>
                <w:sz w:val="20"/>
                <w:szCs w:val="20"/>
                <w:highlight w:val="none"/>
                <w:lang w:val="en-US" w:eastAsia="zh-CN"/>
              </w:rPr>
              <w:t>卫生健康局</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联系人及联系方式</w:t>
            </w:r>
          </w:p>
        </w:tc>
        <w:tc>
          <w:tcPr>
            <w:tcW w:w="306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仿宋_GB2312" w:hAnsi="宋体" w:eastAsia="仿宋_GB2312" w:cs="仿宋_GB2312"/>
                <w:color w:val="000000"/>
                <w:sz w:val="20"/>
                <w:szCs w:val="20"/>
                <w:highlight w:val="none"/>
                <w:lang w:val="en-US"/>
              </w:rPr>
            </w:pPr>
            <w:r>
              <w:rPr>
                <w:rFonts w:hint="eastAsia" w:ascii="仿宋_GB2312" w:hAnsi="宋体" w:eastAsia="仿宋_GB2312" w:cs="仿宋_GB2312"/>
                <w:color w:val="000000"/>
                <w:sz w:val="20"/>
                <w:szCs w:val="20"/>
                <w:highlight w:val="none"/>
                <w:lang w:val="en-US" w:eastAsia="zh-CN"/>
              </w:rPr>
              <w:t>杨天天</w:t>
            </w:r>
            <w:r>
              <w:rPr>
                <w:rFonts w:hint="eastAsia" w:ascii="仿宋_GB2312" w:hAnsi="宋体" w:eastAsia="仿宋_GB2312" w:cs="仿宋_GB2312"/>
                <w:color w:val="000000"/>
                <w:sz w:val="20"/>
                <w:szCs w:val="20"/>
                <w:highlight w:val="none"/>
              </w:rPr>
              <w:t>：</w:t>
            </w:r>
            <w:r>
              <w:rPr>
                <w:rFonts w:hint="eastAsia" w:ascii="仿宋_GB2312" w:hAnsi="宋体" w:eastAsia="仿宋_GB2312" w:cs="仿宋_GB2312"/>
                <w:color w:val="000000"/>
                <w:sz w:val="20"/>
                <w:szCs w:val="20"/>
                <w:highlight w:val="none"/>
                <w:lang w:val="en-US" w:eastAsia="zh-CN"/>
              </w:rPr>
              <w:t>86679256</w:t>
            </w:r>
          </w:p>
        </w:tc>
      </w:tr>
      <w:tr>
        <w:tblPrEx>
          <w:tblCellMar>
            <w:top w:w="17" w:type="dxa"/>
            <w:left w:w="17" w:type="dxa"/>
            <w:bottom w:w="17" w:type="dxa"/>
            <w:right w:w="17" w:type="dxa"/>
          </w:tblCellMar>
        </w:tblPrEx>
        <w:trPr>
          <w:trHeight w:val="576"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自评方式</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自评</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自评分值</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100</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自评等级</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eastAsia="zh-CN"/>
              </w:rPr>
            </w:pPr>
            <w:r>
              <w:rPr>
                <w:rFonts w:hint="eastAsia" w:ascii="仿宋_GB2312" w:hAnsi="宋体" w:eastAsia="仿宋_GB2312" w:cs="仿宋_GB2312"/>
                <w:color w:val="000000"/>
                <w:sz w:val="20"/>
                <w:szCs w:val="20"/>
                <w:highlight w:val="none"/>
                <w:lang w:eastAsia="zh-CN"/>
              </w:rPr>
              <w:t>优</w:t>
            </w:r>
          </w:p>
        </w:tc>
      </w:tr>
      <w:tr>
        <w:tblPrEx>
          <w:tblCellMar>
            <w:top w:w="17" w:type="dxa"/>
            <w:left w:w="17" w:type="dxa"/>
            <w:bottom w:w="17" w:type="dxa"/>
            <w:right w:w="17" w:type="dxa"/>
          </w:tblCellMar>
        </w:tblPrEx>
        <w:trPr>
          <w:trHeight w:val="453"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val="en-US" w:eastAsia="zh-CN"/>
              </w:rPr>
            </w:pPr>
            <w:r>
              <w:rPr>
                <w:rFonts w:hint="eastAsia" w:ascii="黑体" w:hAnsi="宋体" w:eastAsia="黑体" w:cs="黑体"/>
                <w:color w:val="000000"/>
                <w:kern w:val="0"/>
                <w:sz w:val="20"/>
                <w:szCs w:val="20"/>
                <w:highlight w:val="none"/>
                <w:lang w:val="en-US" w:eastAsia="zh-CN"/>
              </w:rPr>
              <w:t>区级财政预算</w:t>
            </w:r>
          </w:p>
          <w:p>
            <w:pPr>
              <w:widowControl/>
              <w:jc w:val="center"/>
              <w:textAlignment w:val="center"/>
              <w:rPr>
                <w:rFonts w:hint="default"/>
                <w:lang w:val="en-US" w:eastAsia="zh-CN"/>
              </w:rPr>
            </w:pPr>
            <w:r>
              <w:rPr>
                <w:rFonts w:hint="default" w:ascii="黑体" w:hAnsi="宋体" w:eastAsia="黑体" w:cs="黑体"/>
                <w:color w:val="000000"/>
                <w:kern w:val="0"/>
                <w:sz w:val="20"/>
                <w:szCs w:val="20"/>
                <w:highlight w:val="none"/>
                <w:lang w:val="en-US" w:eastAsia="zh-CN"/>
              </w:rPr>
              <w:t>安排资金</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1,422.33</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抽查资金</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1,422.33</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r>
      <w:tr>
        <w:tblPrEx>
          <w:tblCellMar>
            <w:top w:w="17" w:type="dxa"/>
            <w:left w:w="17" w:type="dxa"/>
            <w:bottom w:w="17" w:type="dxa"/>
            <w:right w:w="17" w:type="dxa"/>
          </w:tblCellMar>
        </w:tblPrEx>
        <w:trPr>
          <w:trHeight w:val="453"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val="en-US" w:eastAsia="zh-CN"/>
              </w:rPr>
            </w:pPr>
            <w:r>
              <w:rPr>
                <w:rFonts w:ascii="Times New Roman" w:hAnsi="Times New Roman" w:eastAsia="黑体" w:cs="Times New Roman"/>
                <w:kern w:val="0"/>
                <w:sz w:val="20"/>
                <w:szCs w:val="20"/>
              </w:rPr>
              <w:t>项目类别</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仿宋_GB2312" w:eastAsia="仿宋_GB2312" w:cs="仿宋_GB2312"/>
                <w:sz w:val="20"/>
                <w:szCs w:val="20"/>
                <w:lang w:val="en-US" w:eastAsia="zh-CN"/>
              </w:rPr>
              <w:t>1</w:t>
            </w:r>
            <w:r>
              <w:rPr>
                <w:rFonts w:hint="eastAsia" w:ascii="仿宋_GB2312" w:hAnsi="仿宋_GB2312" w:eastAsia="仿宋_GB2312" w:cs="仿宋_GB2312"/>
                <w:sz w:val="20"/>
                <w:szCs w:val="20"/>
              </w:rPr>
              <w:t>类</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ascii="Times New Roman" w:hAnsi="Times New Roman" w:eastAsia="黑体" w:cs="Times New Roman"/>
                <w:kern w:val="0"/>
                <w:sz w:val="20"/>
                <w:szCs w:val="20"/>
              </w:rPr>
              <w:t>抽查类别</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 w:val="20"/>
                <w:szCs w:val="20"/>
                <w:highlight w:val="none"/>
                <w:lang w:val="en-US" w:eastAsia="zh-CN"/>
              </w:rPr>
            </w:pPr>
            <w:r>
              <w:rPr>
                <w:rFonts w:hint="eastAsia" w:ascii="仿宋_GB2312" w:hAnsi="仿宋_GB2312" w:eastAsia="仿宋_GB2312" w:cs="仿宋_GB2312"/>
                <w:sz w:val="20"/>
                <w:szCs w:val="20"/>
                <w:lang w:val="en-US" w:eastAsia="zh-CN"/>
              </w:rPr>
              <w:t>1</w:t>
            </w:r>
            <w:r>
              <w:rPr>
                <w:rFonts w:hint="eastAsia" w:ascii="仿宋_GB2312" w:hAnsi="仿宋_GB2312" w:eastAsia="仿宋_GB2312" w:cs="仿宋_GB2312"/>
                <w:sz w:val="20"/>
                <w:szCs w:val="20"/>
              </w:rPr>
              <w:t>类</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rPr>
            </w:pPr>
            <w:r>
              <w:rPr>
                <w:rFonts w:ascii="Times New Roman" w:hAnsi="Times New Roman" w:eastAsia="黑体" w:cs="Times New Roman"/>
                <w:kern w:val="0"/>
                <w:sz w:val="20"/>
                <w:szCs w:val="20"/>
              </w:rPr>
              <w:t>类别抽查占比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0"/>
                <w:szCs w:val="20"/>
                <w:highlight w:val="none"/>
                <w:lang w:val="en-US" w:eastAsia="zh-CN"/>
              </w:rPr>
            </w:pPr>
            <w:r>
              <w:rPr>
                <w:rFonts w:ascii="仿宋_GB2312" w:hAnsi="仿宋_GB2312" w:eastAsia="仿宋_GB2312" w:cs="仿宋_GB2312"/>
                <w:sz w:val="20"/>
                <w:szCs w:val="20"/>
              </w:rPr>
              <w:t>100%</w:t>
            </w:r>
          </w:p>
        </w:tc>
      </w:tr>
      <w:tr>
        <w:tblPrEx>
          <w:tblCellMar>
            <w:top w:w="17" w:type="dxa"/>
            <w:left w:w="17" w:type="dxa"/>
            <w:bottom w:w="17" w:type="dxa"/>
            <w:right w:w="17" w:type="dxa"/>
          </w:tblCellMar>
        </w:tblPrEx>
        <w:trPr>
          <w:trHeight w:val="453" w:hRule="atLeast"/>
        </w:trPr>
        <w:tc>
          <w:tcPr>
            <w:tcW w:w="13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黑体" w:hAnsi="宋体" w:eastAsia="黑体" w:cs="黑体"/>
                <w:color w:val="000000"/>
                <w:kern w:val="0"/>
                <w:sz w:val="20"/>
                <w:szCs w:val="20"/>
                <w:highlight w:val="none"/>
                <w:lang w:val="en-US" w:eastAsia="zh-CN"/>
              </w:rPr>
            </w:pPr>
            <w:r>
              <w:rPr>
                <w:rFonts w:hint="eastAsia" w:ascii="黑体" w:hAnsi="宋体" w:eastAsia="黑体" w:cs="黑体"/>
                <w:color w:val="000000"/>
                <w:kern w:val="0"/>
                <w:sz w:val="20"/>
                <w:szCs w:val="20"/>
                <w:highlight w:val="none"/>
                <w:lang w:val="en-US" w:eastAsia="zh-CN"/>
              </w:rPr>
              <w:t>项目数量</w:t>
            </w:r>
          </w:p>
        </w:tc>
        <w:tc>
          <w:tcPr>
            <w:tcW w:w="139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1个</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w:t>
            </w:r>
            <w:r>
              <w:rPr>
                <w:rFonts w:hint="eastAsia" w:ascii="黑体" w:hAnsi="宋体" w:eastAsia="黑体" w:cs="黑体"/>
                <w:color w:val="000000"/>
                <w:kern w:val="0"/>
                <w:sz w:val="20"/>
                <w:szCs w:val="20"/>
                <w:highlight w:val="none"/>
                <w:lang w:val="en-US" w:eastAsia="zh-CN"/>
              </w:rPr>
              <w:t>项目</w:t>
            </w:r>
            <w:r>
              <w:rPr>
                <w:rFonts w:hint="eastAsia" w:ascii="黑体" w:hAnsi="宋体" w:eastAsia="黑体" w:cs="黑体"/>
                <w:color w:val="000000"/>
                <w:kern w:val="0"/>
                <w:sz w:val="20"/>
                <w:szCs w:val="20"/>
                <w:highlight w:val="none"/>
                <w:lang w:eastAsia="zh-CN"/>
              </w:rPr>
              <w:t>数</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1个</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rPr>
              <w:t>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r>
      <w:tr>
        <w:tblPrEx>
          <w:tblCellMar>
            <w:top w:w="17" w:type="dxa"/>
            <w:left w:w="17" w:type="dxa"/>
            <w:bottom w:w="17" w:type="dxa"/>
            <w:right w:w="17" w:type="dxa"/>
          </w:tblCellMar>
        </w:tblPrEx>
        <w:trPr>
          <w:trHeight w:val="770" w:hRule="atLeast"/>
        </w:trPr>
        <w:tc>
          <w:tcPr>
            <w:tcW w:w="1356"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发放调查</w:t>
            </w:r>
          </w:p>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问卷</w:t>
            </w:r>
          </w:p>
        </w:tc>
        <w:tc>
          <w:tcPr>
            <w:tcW w:w="751"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441</w:t>
            </w:r>
          </w:p>
        </w:tc>
        <w:tc>
          <w:tcPr>
            <w:tcW w:w="1131"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有效调查</w:t>
            </w:r>
          </w:p>
          <w:p>
            <w:pPr>
              <w:widowControl/>
              <w:spacing w:line="320" w:lineRule="exact"/>
              <w:jc w:val="center"/>
              <w:textAlignment w:val="center"/>
              <w:rPr>
                <w:rFonts w:ascii="黑体" w:hAnsi="黑体" w:eastAsia="黑体" w:cs="仿宋_GB2312"/>
                <w:color w:val="000000"/>
                <w:kern w:val="0"/>
                <w:sz w:val="20"/>
                <w:szCs w:val="20"/>
                <w:highlight w:val="none"/>
              </w:rPr>
            </w:pPr>
            <w:r>
              <w:rPr>
                <w:rFonts w:hint="eastAsia" w:ascii="黑体" w:hAnsi="宋体" w:eastAsia="黑体" w:cs="黑体"/>
                <w:color w:val="000000"/>
                <w:kern w:val="0"/>
                <w:sz w:val="20"/>
                <w:szCs w:val="20"/>
                <w:highlight w:val="none"/>
              </w:rPr>
              <w:t>问卷</w:t>
            </w:r>
          </w:p>
        </w:tc>
        <w:tc>
          <w:tcPr>
            <w:tcW w:w="848"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432</w:t>
            </w:r>
          </w:p>
        </w:tc>
        <w:tc>
          <w:tcPr>
            <w:tcW w:w="854"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满意度</w:t>
            </w:r>
          </w:p>
          <w:p>
            <w:pPr>
              <w:widowControl/>
              <w:spacing w:line="320" w:lineRule="exact"/>
              <w:jc w:val="center"/>
              <w:textAlignment w:val="center"/>
              <w:rPr>
                <w:rFonts w:ascii="仿宋_GB2312" w:hAnsi="宋体" w:eastAsia="仿宋_GB2312" w:cs="仿宋_GB2312"/>
                <w:color w:val="000000"/>
                <w:kern w:val="0"/>
                <w:sz w:val="20"/>
                <w:szCs w:val="20"/>
                <w:highlight w:val="none"/>
              </w:rPr>
            </w:pPr>
            <w:r>
              <w:rPr>
                <w:rFonts w:hint="eastAsia" w:ascii="黑体" w:hAnsi="宋体" w:eastAsia="黑体" w:cs="黑体"/>
                <w:color w:val="000000"/>
                <w:kern w:val="0"/>
                <w:sz w:val="20"/>
                <w:szCs w:val="20"/>
                <w:highlight w:val="none"/>
              </w:rPr>
              <w:t>情况</w:t>
            </w:r>
          </w:p>
        </w:tc>
        <w:tc>
          <w:tcPr>
            <w:tcW w:w="4043" w:type="dxa"/>
            <w:gridSpan w:val="3"/>
            <w:tcBorders>
              <w:top w:val="single" w:color="000000" w:sz="4" w:space="0"/>
              <w:left w:val="single" w:color="000000" w:sz="4" w:space="0"/>
              <w:bottom w:val="single" w:color="auto" w:sz="4" w:space="0"/>
              <w:right w:val="single" w:color="000000" w:sz="4" w:space="0"/>
            </w:tcBorders>
            <w:noWrap w:val="0"/>
            <w:vAlign w:val="center"/>
          </w:tcPr>
          <w:p>
            <w:pPr>
              <w:widowControl/>
              <w:numPr>
                <w:ilvl w:val="0"/>
                <w:numId w:val="0"/>
              </w:numPr>
              <w:spacing w:line="320" w:lineRule="exact"/>
              <w:jc w:val="left"/>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（1）</w:t>
            </w:r>
            <w:r>
              <w:rPr>
                <w:rFonts w:hint="default" w:ascii="仿宋_GB2312" w:hAnsi="宋体" w:eastAsia="仿宋_GB2312" w:cs="仿宋_GB2312"/>
                <w:color w:val="000000"/>
                <w:kern w:val="0"/>
                <w:sz w:val="20"/>
                <w:szCs w:val="20"/>
                <w:highlight w:val="none"/>
                <w:lang w:val="en-US" w:eastAsia="zh-CN"/>
              </w:rPr>
              <w:t>群众对</w:t>
            </w:r>
            <w:r>
              <w:rPr>
                <w:rFonts w:hint="eastAsia" w:ascii="仿宋_GB2312" w:hAnsi="宋体" w:eastAsia="仿宋_GB2312" w:cs="仿宋_GB2312"/>
                <w:color w:val="000000"/>
                <w:kern w:val="0"/>
                <w:sz w:val="20"/>
                <w:szCs w:val="20"/>
                <w:highlight w:val="none"/>
                <w:lang w:val="en-US" w:eastAsia="zh-CN"/>
              </w:rPr>
              <w:t>全员核酸检测工作</w:t>
            </w:r>
            <w:r>
              <w:rPr>
                <w:rFonts w:hint="default" w:ascii="仿宋_GB2312" w:hAnsi="宋体" w:eastAsia="仿宋_GB2312" w:cs="仿宋_GB2312"/>
                <w:color w:val="000000"/>
                <w:kern w:val="0"/>
                <w:sz w:val="20"/>
                <w:szCs w:val="20"/>
                <w:highlight w:val="none"/>
                <w:lang w:val="en-US" w:eastAsia="zh-CN"/>
              </w:rPr>
              <w:t>的满意度</w:t>
            </w:r>
            <w:r>
              <w:rPr>
                <w:rFonts w:hint="eastAsia" w:ascii="仿宋_GB2312" w:hAnsi="宋体" w:eastAsia="仿宋_GB2312" w:cs="仿宋_GB2312"/>
                <w:color w:val="000000"/>
                <w:kern w:val="0"/>
                <w:sz w:val="20"/>
                <w:szCs w:val="20"/>
                <w:highlight w:val="none"/>
                <w:lang w:val="en-US" w:eastAsia="zh-CN"/>
              </w:rPr>
              <w:t>：98.71</w:t>
            </w:r>
            <w:r>
              <w:rPr>
                <w:rFonts w:hint="default" w:ascii="仿宋_GB2312" w:hAnsi="宋体" w:eastAsia="仿宋_GB2312" w:cs="仿宋_GB2312"/>
                <w:color w:val="000000"/>
                <w:kern w:val="0"/>
                <w:sz w:val="20"/>
                <w:szCs w:val="20"/>
                <w:highlight w:val="none"/>
                <w:lang w:val="en-US" w:eastAsia="zh-CN"/>
              </w:rPr>
              <w:t>%</w:t>
            </w:r>
            <w:r>
              <w:rPr>
                <w:rFonts w:hint="eastAsia" w:ascii="仿宋_GB2312" w:hAnsi="宋体" w:eastAsia="仿宋_GB2312" w:cs="仿宋_GB2312"/>
                <w:color w:val="000000"/>
                <w:kern w:val="0"/>
                <w:sz w:val="20"/>
                <w:szCs w:val="20"/>
                <w:highlight w:val="none"/>
                <w:lang w:val="en-US" w:eastAsia="zh-CN"/>
              </w:rPr>
              <w:t>；</w:t>
            </w:r>
          </w:p>
          <w:p>
            <w:pPr>
              <w:widowControl/>
              <w:numPr>
                <w:ilvl w:val="0"/>
                <w:numId w:val="0"/>
              </w:numPr>
              <w:spacing w:line="320" w:lineRule="exact"/>
              <w:jc w:val="left"/>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（2）</w:t>
            </w:r>
            <w:r>
              <w:rPr>
                <w:rFonts w:hint="default" w:ascii="仿宋_GB2312" w:hAnsi="宋体" w:eastAsia="仿宋_GB2312" w:cs="仿宋_GB2312"/>
                <w:color w:val="000000"/>
                <w:kern w:val="0"/>
                <w:sz w:val="20"/>
                <w:szCs w:val="20"/>
                <w:highlight w:val="none"/>
                <w:lang w:val="en-US" w:eastAsia="zh-CN"/>
              </w:rPr>
              <w:t>工作人员对</w:t>
            </w:r>
            <w:r>
              <w:rPr>
                <w:rFonts w:hint="eastAsia" w:ascii="仿宋_GB2312" w:hAnsi="宋体" w:eastAsia="仿宋_GB2312" w:cs="仿宋_GB2312"/>
                <w:color w:val="000000"/>
                <w:kern w:val="0"/>
                <w:sz w:val="20"/>
                <w:szCs w:val="20"/>
                <w:highlight w:val="none"/>
                <w:lang w:val="en-US" w:eastAsia="zh-CN"/>
              </w:rPr>
              <w:t>全员核酸检测工作</w:t>
            </w:r>
            <w:r>
              <w:rPr>
                <w:rFonts w:hint="default" w:ascii="仿宋_GB2312" w:hAnsi="宋体" w:eastAsia="仿宋_GB2312" w:cs="仿宋_GB2312"/>
                <w:color w:val="000000"/>
                <w:kern w:val="0"/>
                <w:sz w:val="20"/>
                <w:szCs w:val="20"/>
                <w:highlight w:val="none"/>
                <w:lang w:val="en-US" w:eastAsia="zh-CN"/>
              </w:rPr>
              <w:t>的满意度</w:t>
            </w:r>
            <w:r>
              <w:rPr>
                <w:rFonts w:hint="eastAsia" w:ascii="仿宋_GB2312" w:hAnsi="宋体" w:eastAsia="仿宋_GB2312" w:cs="仿宋_GB2312"/>
                <w:color w:val="000000"/>
                <w:kern w:val="0"/>
                <w:sz w:val="20"/>
                <w:szCs w:val="20"/>
                <w:highlight w:val="none"/>
                <w:lang w:val="en-US" w:eastAsia="zh-CN"/>
              </w:rPr>
              <w:t>：</w:t>
            </w:r>
            <w:r>
              <w:rPr>
                <w:rFonts w:hint="default" w:ascii="仿宋_GB2312" w:hAnsi="宋体" w:eastAsia="仿宋_GB2312" w:cs="仿宋_GB2312"/>
                <w:color w:val="000000"/>
                <w:kern w:val="0"/>
                <w:sz w:val="20"/>
                <w:szCs w:val="20"/>
                <w:highlight w:val="none"/>
                <w:lang w:val="en-US" w:eastAsia="zh-CN"/>
              </w:rPr>
              <w:t>9</w:t>
            </w:r>
            <w:r>
              <w:rPr>
                <w:rFonts w:hint="eastAsia" w:ascii="仿宋_GB2312" w:hAnsi="宋体" w:eastAsia="仿宋_GB2312" w:cs="仿宋_GB2312"/>
                <w:color w:val="000000"/>
                <w:kern w:val="0"/>
                <w:sz w:val="20"/>
                <w:szCs w:val="20"/>
                <w:highlight w:val="none"/>
                <w:lang w:val="en-US" w:eastAsia="zh-CN"/>
              </w:rPr>
              <w:t>5.68</w:t>
            </w:r>
            <w:r>
              <w:rPr>
                <w:rFonts w:hint="default" w:ascii="仿宋_GB2312" w:hAnsi="宋体" w:eastAsia="仿宋_GB2312" w:cs="仿宋_GB2312"/>
                <w:color w:val="000000"/>
                <w:kern w:val="0"/>
                <w:sz w:val="20"/>
                <w:szCs w:val="20"/>
                <w:highlight w:val="none"/>
                <w:lang w:val="en-US" w:eastAsia="zh-CN"/>
              </w:rPr>
              <w:t>%</w:t>
            </w:r>
            <w:r>
              <w:rPr>
                <w:rFonts w:hint="eastAsia" w:ascii="仿宋_GB2312" w:hAnsi="宋体" w:eastAsia="仿宋_GB2312" w:cs="仿宋_GB2312"/>
                <w:color w:val="000000"/>
                <w:kern w:val="0"/>
                <w:sz w:val="20"/>
                <w:szCs w:val="20"/>
                <w:highlight w:val="none"/>
                <w:lang w:val="en-US" w:eastAsia="zh-CN"/>
              </w:rPr>
              <w:t>。</w:t>
            </w:r>
          </w:p>
        </w:tc>
      </w:tr>
      <w:tr>
        <w:tblPrEx>
          <w:tblCellMar>
            <w:top w:w="17" w:type="dxa"/>
            <w:left w:w="17" w:type="dxa"/>
            <w:bottom w:w="17" w:type="dxa"/>
            <w:right w:w="17" w:type="dxa"/>
          </w:tblCellMar>
        </w:tblPrEx>
        <w:trPr>
          <w:trHeight w:val="90" w:hRule="atLeast"/>
        </w:trPr>
        <w:tc>
          <w:tcPr>
            <w:tcW w:w="1356"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绩效目标</w:t>
            </w:r>
          </w:p>
          <w:p>
            <w:pPr>
              <w:widowControl/>
              <w:spacing w:line="320" w:lineRule="exact"/>
              <w:jc w:val="center"/>
              <w:textAlignment w:val="center"/>
              <w:rPr>
                <w:rFonts w:hint="eastAsia"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实现情况</w:t>
            </w:r>
          </w:p>
        </w:tc>
        <w:tc>
          <w:tcPr>
            <w:tcW w:w="7627" w:type="dxa"/>
            <w:gridSpan w:val="8"/>
            <w:tcBorders>
              <w:top w:val="single" w:color="000000" w:sz="4" w:space="0"/>
              <w:left w:val="single" w:color="000000" w:sz="4" w:space="0"/>
              <w:bottom w:val="single" w:color="auto" w:sz="4" w:space="0"/>
              <w:right w:val="single" w:color="000000" w:sz="4" w:space="0"/>
            </w:tcBorders>
            <w:noWrap w:val="0"/>
            <w:vAlign w:val="center"/>
          </w:tcPr>
          <w:p>
            <w:pPr>
              <w:pStyle w:val="26"/>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2021年云岩区全员核酸筛查物资及检测试剂经费</w:t>
            </w:r>
            <w:r>
              <w:rPr>
                <w:rFonts w:hint="default" w:ascii="仿宋_GB2312" w:hAnsi="宋体" w:eastAsia="仿宋_GB2312" w:cs="仿宋_GB2312"/>
                <w:color w:val="000000"/>
                <w:sz w:val="20"/>
                <w:szCs w:val="20"/>
                <w:highlight w:val="none"/>
                <w:lang w:val="en-US" w:eastAsia="zh-CN"/>
              </w:rPr>
              <w:t>绩效目标</w:t>
            </w:r>
            <w:r>
              <w:rPr>
                <w:rFonts w:hint="eastAsia" w:ascii="仿宋_GB2312" w:hAnsi="宋体" w:cs="仿宋_GB2312"/>
                <w:color w:val="000000"/>
                <w:sz w:val="20"/>
                <w:szCs w:val="20"/>
                <w:highlight w:val="none"/>
                <w:lang w:val="en-US" w:eastAsia="zh-CN"/>
              </w:rPr>
              <w:t>共4</w:t>
            </w:r>
            <w:r>
              <w:rPr>
                <w:rFonts w:hint="default" w:ascii="仿宋_GB2312" w:hAnsi="宋体" w:eastAsia="仿宋_GB2312" w:cs="仿宋_GB2312"/>
                <w:color w:val="000000"/>
                <w:sz w:val="20"/>
                <w:szCs w:val="20"/>
                <w:highlight w:val="none"/>
                <w:lang w:val="en-US" w:eastAsia="zh-CN"/>
              </w:rPr>
              <w:t>个，已完成</w:t>
            </w:r>
            <w:r>
              <w:rPr>
                <w:rFonts w:hint="eastAsia" w:ascii="仿宋_GB2312" w:hAnsi="宋体" w:cs="仿宋_GB2312"/>
                <w:color w:val="000000"/>
                <w:sz w:val="20"/>
                <w:szCs w:val="20"/>
                <w:highlight w:val="none"/>
                <w:lang w:val="en-US" w:eastAsia="zh-CN"/>
              </w:rPr>
              <w:t>4</w:t>
            </w:r>
            <w:r>
              <w:rPr>
                <w:rFonts w:hint="default" w:ascii="仿宋_GB2312" w:hAnsi="宋体" w:eastAsia="仿宋_GB2312" w:cs="仿宋_GB2312"/>
                <w:color w:val="000000"/>
                <w:sz w:val="20"/>
                <w:szCs w:val="20"/>
                <w:highlight w:val="none"/>
                <w:lang w:val="en-US" w:eastAsia="zh-CN"/>
              </w:rPr>
              <w:t>个</w:t>
            </w:r>
            <w:r>
              <w:rPr>
                <w:rFonts w:hint="eastAsia" w:ascii="仿宋_GB2312" w:hAnsi="宋体" w:cs="仿宋_GB2312"/>
                <w:color w:val="000000"/>
                <w:sz w:val="20"/>
                <w:szCs w:val="20"/>
                <w:highlight w:val="none"/>
                <w:lang w:val="en-US" w:eastAsia="zh-CN"/>
              </w:rPr>
              <w:t>。</w:t>
            </w:r>
          </w:p>
        </w:tc>
      </w:tr>
      <w:tr>
        <w:tblPrEx>
          <w:tblCellMar>
            <w:top w:w="17" w:type="dxa"/>
            <w:left w:w="17" w:type="dxa"/>
            <w:bottom w:w="17" w:type="dxa"/>
            <w:right w:w="17" w:type="dxa"/>
          </w:tblCellMar>
        </w:tblPrEx>
        <w:trPr>
          <w:trHeight w:val="2304" w:hRule="atLeast"/>
        </w:trPr>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评价问题</w:t>
            </w:r>
          </w:p>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简要情况</w:t>
            </w:r>
          </w:p>
        </w:tc>
        <w:tc>
          <w:tcPr>
            <w:tcW w:w="7627"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r>
              <w:rPr>
                <w:rFonts w:hint="eastAsia" w:ascii="仿宋_GB2312" w:hAnsi="仿宋_GB2312" w:eastAsia="仿宋_GB2312" w:cs="仿宋_GB2312"/>
                <w:sz w:val="20"/>
                <w:szCs w:val="20"/>
                <w:lang w:val="en-US" w:eastAsia="zh-CN"/>
              </w:rPr>
              <w:t>一</w:t>
            </w:r>
            <w:r>
              <w:rPr>
                <w:rFonts w:hint="eastAsia" w:ascii="仿宋_GB2312" w:hAnsi="仿宋_GB2312" w:eastAsia="仿宋_GB2312" w:cs="仿宋_GB2312"/>
                <w:sz w:val="20"/>
                <w:szCs w:val="20"/>
              </w:rPr>
              <w:t>）</w:t>
            </w:r>
            <w:r>
              <w:rPr>
                <w:rFonts w:hint="eastAsia" w:ascii="仿宋_GB2312" w:hAnsi="仿宋_GB2312" w:eastAsia="仿宋_GB2312" w:cs="仿宋_GB2312"/>
                <w:sz w:val="20"/>
                <w:szCs w:val="20"/>
                <w:lang w:val="en-US" w:eastAsia="zh-CN"/>
              </w:rPr>
              <w:t>资金</w:t>
            </w:r>
            <w:r>
              <w:rPr>
                <w:rFonts w:hint="eastAsia" w:ascii="仿宋_GB2312" w:hAnsi="仿宋_GB2312" w:eastAsia="仿宋_GB2312" w:cs="仿宋_GB2312"/>
                <w:sz w:val="20"/>
                <w:szCs w:val="20"/>
              </w:rPr>
              <w:t>管理方面</w:t>
            </w:r>
          </w:p>
          <w:p>
            <w:pPr>
              <w:widowControl/>
              <w:spacing w:line="400" w:lineRule="exact"/>
              <w:jc w:val="left"/>
              <w:textAlignment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未编制项目预算。</w:t>
            </w:r>
          </w:p>
          <w:p>
            <w:pPr>
              <w:widowControl/>
              <w:spacing w:line="40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r>
              <w:rPr>
                <w:rFonts w:hint="eastAsia" w:ascii="仿宋_GB2312" w:hAnsi="仿宋_GB2312" w:eastAsia="仿宋_GB2312" w:cs="仿宋_GB2312"/>
                <w:sz w:val="20"/>
                <w:szCs w:val="20"/>
                <w:lang w:val="en-US" w:eastAsia="zh-CN"/>
              </w:rPr>
              <w:t>二</w:t>
            </w:r>
            <w:r>
              <w:rPr>
                <w:rFonts w:hint="eastAsia" w:ascii="仿宋_GB2312" w:hAnsi="仿宋_GB2312" w:eastAsia="仿宋_GB2312" w:cs="仿宋_GB2312"/>
                <w:sz w:val="20"/>
                <w:szCs w:val="20"/>
              </w:rPr>
              <w:t>）绩效管理方面</w:t>
            </w:r>
          </w:p>
          <w:p>
            <w:pPr>
              <w:keepNext w:val="0"/>
              <w:keepLines w:val="0"/>
              <w:pageBreakBefore w:val="0"/>
              <w:widowControl/>
              <w:kinsoku/>
              <w:wordWrap/>
              <w:overflowPunct/>
              <w:topLinePunct w:val="0"/>
              <w:autoSpaceDE/>
              <w:autoSpaceDN/>
              <w:bidi w:val="0"/>
              <w:adjustRightInd/>
              <w:snapToGrid/>
              <w:spacing w:line="400" w:lineRule="exact"/>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仿宋_GB2312" w:eastAsia="仿宋_GB2312" w:cs="仿宋_GB2312"/>
                <w:sz w:val="20"/>
                <w:szCs w:val="20"/>
                <w:lang w:val="zh-CN"/>
              </w:rPr>
              <w:t>绩效指标与项目计划数不对应，未设置根据项目预算设置成本指标；绩效指标未通过清晰、可衡量的指标值予以体现。</w:t>
            </w:r>
          </w:p>
        </w:tc>
      </w:tr>
      <w:tr>
        <w:tblPrEx>
          <w:tblCellMar>
            <w:top w:w="17" w:type="dxa"/>
            <w:left w:w="17" w:type="dxa"/>
            <w:bottom w:w="17" w:type="dxa"/>
            <w:right w:w="17" w:type="dxa"/>
          </w:tblCellMar>
        </w:tblPrEx>
        <w:trPr>
          <w:trHeight w:val="1758" w:hRule="atLeast"/>
        </w:trPr>
        <w:tc>
          <w:tcPr>
            <w:tcW w:w="1356" w:type="dxa"/>
            <w:tcBorders>
              <w:top w:val="single" w:color="auto"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评价问题</w:t>
            </w:r>
          </w:p>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简要建议</w:t>
            </w:r>
          </w:p>
        </w:tc>
        <w:tc>
          <w:tcPr>
            <w:tcW w:w="7627" w:type="dxa"/>
            <w:gridSpan w:val="8"/>
            <w:tcBorders>
              <w:top w:val="single" w:color="auto" w:sz="4" w:space="0"/>
              <w:left w:val="single" w:color="000000" w:sz="4" w:space="0"/>
              <w:bottom w:val="single" w:color="auto" w:sz="4" w:space="0"/>
              <w:right w:val="single" w:color="000000" w:sz="4" w:space="0"/>
            </w:tcBorders>
            <w:noWrap w:val="0"/>
            <w:vAlign w:val="center"/>
          </w:tcPr>
          <w:p>
            <w:pPr>
              <w:widowControl/>
              <w:spacing w:line="40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（一）</w:t>
            </w:r>
            <w:r>
              <w:rPr>
                <w:rFonts w:hint="eastAsia" w:ascii="仿宋_GB2312" w:hAnsi="仿宋_GB2312" w:eastAsia="仿宋_GB2312" w:cs="仿宋_GB2312"/>
                <w:sz w:val="20"/>
                <w:szCs w:val="20"/>
                <w:lang w:val="en-US" w:eastAsia="zh-CN"/>
              </w:rPr>
              <w:t>资金</w:t>
            </w:r>
            <w:r>
              <w:rPr>
                <w:rFonts w:hint="eastAsia" w:ascii="仿宋_GB2312" w:hAnsi="仿宋_GB2312" w:eastAsia="仿宋_GB2312" w:cs="仿宋_GB2312"/>
                <w:sz w:val="20"/>
                <w:szCs w:val="20"/>
              </w:rPr>
              <w:t>管理方面</w:t>
            </w:r>
          </w:p>
          <w:p>
            <w:pPr>
              <w:widowControl/>
              <w:spacing w:line="400" w:lineRule="exact"/>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加强预算编制培训工作，提高预算编制的科学性，完成预算编制工作。</w:t>
            </w:r>
          </w:p>
          <w:p>
            <w:pPr>
              <w:widowControl/>
              <w:spacing w:line="400" w:lineRule="exact"/>
              <w:jc w:val="left"/>
              <w:textAlignment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w:t>
            </w:r>
            <w:r>
              <w:rPr>
                <w:rFonts w:hint="eastAsia" w:ascii="仿宋_GB2312" w:hAnsi="仿宋_GB2312" w:eastAsia="仿宋_GB2312" w:cs="仿宋_GB2312"/>
                <w:sz w:val="20"/>
                <w:szCs w:val="20"/>
                <w:lang w:val="en-US" w:eastAsia="zh-CN"/>
              </w:rPr>
              <w:t>二</w:t>
            </w:r>
            <w:r>
              <w:rPr>
                <w:rFonts w:hint="eastAsia" w:ascii="仿宋_GB2312" w:hAnsi="仿宋_GB2312" w:eastAsia="仿宋_GB2312" w:cs="仿宋_GB2312"/>
                <w:sz w:val="20"/>
                <w:szCs w:val="20"/>
              </w:rPr>
              <w:t>）绩效管理方面</w:t>
            </w:r>
          </w:p>
          <w:p>
            <w:pPr>
              <w:widowControl/>
              <w:spacing w:line="400" w:lineRule="exact"/>
              <w:jc w:val="left"/>
              <w:textAlignment w:val="center"/>
              <w:rPr>
                <w:rFonts w:hint="eastAsia" w:ascii="仿宋_GB2312" w:hAnsi="宋体" w:eastAsia="仿宋_GB2312" w:cs="仿宋_GB2312"/>
                <w:color w:val="000000"/>
                <w:sz w:val="20"/>
                <w:szCs w:val="20"/>
                <w:highlight w:val="none"/>
              </w:rPr>
            </w:pPr>
            <w:r>
              <w:rPr>
                <w:rFonts w:hint="eastAsia" w:ascii="仿宋_GB2312" w:hAnsi="仿宋_GB2312" w:eastAsia="仿宋_GB2312" w:cs="仿宋_GB2312"/>
                <w:sz w:val="20"/>
                <w:szCs w:val="20"/>
              </w:rPr>
              <w:t>科学设置项目绩效指标。</w:t>
            </w:r>
          </w:p>
        </w:tc>
      </w:tr>
      <w:tr>
        <w:tblPrEx>
          <w:tblCellMar>
            <w:top w:w="17" w:type="dxa"/>
            <w:left w:w="17" w:type="dxa"/>
            <w:bottom w:w="17" w:type="dxa"/>
            <w:right w:w="17" w:type="dxa"/>
          </w:tblCellMar>
        </w:tblPrEx>
        <w:trPr>
          <w:trHeight w:val="0" w:hRule="atLeast"/>
        </w:trPr>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评价结果</w:t>
            </w:r>
          </w:p>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应用建议</w:t>
            </w:r>
          </w:p>
        </w:tc>
        <w:tc>
          <w:tcPr>
            <w:tcW w:w="7627" w:type="dxa"/>
            <w:gridSpan w:val="8"/>
            <w:tcBorders>
              <w:top w:val="single" w:color="auto" w:sz="4" w:space="0"/>
              <w:left w:val="single" w:color="auto" w:sz="4" w:space="0"/>
              <w:bottom w:val="single" w:color="auto" w:sz="4" w:space="0"/>
              <w:right w:val="single" w:color="auto" w:sz="4" w:space="0"/>
            </w:tcBorders>
            <w:noWrap w:val="0"/>
            <w:vAlign w:val="center"/>
          </w:tcPr>
          <w:p>
            <w:pPr>
              <w:widowControl/>
              <w:numPr>
                <w:ilvl w:val="-1"/>
                <w:numId w:val="0"/>
              </w:numPr>
              <w:spacing w:line="400" w:lineRule="exact"/>
              <w:ind w:firstLine="0" w:firstLineChars="0"/>
              <w:jc w:val="left"/>
              <w:textAlignment w:val="auto"/>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建议减少项目资金预算规模。目前防控工作平稳有序，“乙管乙类”措施落地有效，全国整体疫情已进入低流行水平，各地疫情保持稳步下降态势。</w:t>
            </w:r>
          </w:p>
        </w:tc>
      </w:tr>
    </w:tbl>
    <w:tbl>
      <w:tblPr>
        <w:tblStyle w:val="19"/>
        <w:tblpPr w:leftFromText="180" w:rightFromText="180" w:vertAnchor="text" w:horzAnchor="margin" w:tblpY="1"/>
        <w:tblOverlap w:val="never"/>
        <w:tblW w:w="8983" w:type="dxa"/>
        <w:tblInd w:w="0" w:type="dxa"/>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17" w:type="dxa"/>
          <w:bottom w:w="17" w:type="dxa"/>
          <w:right w:w="17" w:type="dxa"/>
        </w:tblCellMar>
      </w:tblPr>
      <w:tblGrid>
        <w:gridCol w:w="2059"/>
        <w:gridCol w:w="2252"/>
        <w:gridCol w:w="2238"/>
        <w:gridCol w:w="2434"/>
      </w:tblGrid>
      <w:tr>
        <w:tblPrEx>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7" w:type="dxa"/>
            <w:bottom w:w="17" w:type="dxa"/>
            <w:right w:w="17" w:type="dxa"/>
          </w:tblCellMar>
        </w:tblPrEx>
        <w:trPr>
          <w:trHeight w:val="1012" w:hRule="atLeast"/>
        </w:trPr>
        <w:tc>
          <w:tcPr>
            <w:tcW w:w="2059" w:type="dxa"/>
            <w:tcBorders>
              <w:bottom w:val="single" w:color="auto" w:sz="4" w:space="0"/>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评价时间</w:t>
            </w:r>
          </w:p>
        </w:tc>
        <w:tc>
          <w:tcPr>
            <w:tcW w:w="2252" w:type="dxa"/>
            <w:tcBorders>
              <w:bottom w:val="single" w:color="auto" w:sz="4" w:space="0"/>
              <w:tl2br w:val="nil"/>
              <w:tr2bl w:val="nil"/>
            </w:tcBorders>
            <w:noWrap w:val="0"/>
            <w:vAlign w:val="center"/>
          </w:tcPr>
          <w:p>
            <w:pPr>
              <w:widowControl/>
              <w:spacing w:line="320" w:lineRule="exact"/>
              <w:jc w:val="left"/>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20</w:t>
            </w:r>
            <w:r>
              <w:rPr>
                <w:rFonts w:hint="eastAsia" w:ascii="仿宋_GB2312" w:hAnsi="宋体" w:eastAsia="仿宋_GB2312" w:cs="仿宋_GB2312"/>
                <w:color w:val="000000"/>
                <w:sz w:val="20"/>
                <w:szCs w:val="20"/>
                <w:highlight w:val="none"/>
                <w:lang w:val="en-US" w:eastAsia="zh-CN"/>
              </w:rPr>
              <w:t>22</w:t>
            </w:r>
            <w:r>
              <w:rPr>
                <w:rFonts w:hint="eastAsia" w:ascii="仿宋_GB2312" w:hAnsi="宋体" w:eastAsia="仿宋_GB2312" w:cs="仿宋_GB2312"/>
                <w:color w:val="000000"/>
                <w:sz w:val="20"/>
                <w:szCs w:val="20"/>
                <w:highlight w:val="none"/>
              </w:rPr>
              <w:t>年</w:t>
            </w:r>
            <w:r>
              <w:rPr>
                <w:rFonts w:hint="eastAsia" w:ascii="仿宋_GB2312" w:hAnsi="宋体" w:eastAsia="仿宋_GB2312" w:cs="仿宋_GB2312"/>
                <w:color w:val="000000"/>
                <w:sz w:val="20"/>
                <w:szCs w:val="20"/>
                <w:highlight w:val="none"/>
                <w:lang w:val="en-US" w:eastAsia="zh-CN"/>
              </w:rPr>
              <w:t>8</w:t>
            </w:r>
            <w:r>
              <w:rPr>
                <w:rFonts w:hint="eastAsia" w:ascii="仿宋_GB2312" w:hAnsi="宋体" w:eastAsia="仿宋_GB2312" w:cs="仿宋_GB2312"/>
                <w:color w:val="000000"/>
                <w:sz w:val="20"/>
                <w:szCs w:val="20"/>
                <w:highlight w:val="none"/>
              </w:rPr>
              <w:t>月</w:t>
            </w:r>
            <w:r>
              <w:rPr>
                <w:rFonts w:hint="eastAsia" w:ascii="仿宋_GB2312" w:hAnsi="宋体" w:eastAsia="仿宋_GB2312" w:cs="仿宋_GB2312"/>
                <w:color w:val="000000"/>
                <w:sz w:val="20"/>
                <w:szCs w:val="20"/>
                <w:highlight w:val="none"/>
                <w:lang w:val="en-US" w:eastAsia="zh-CN"/>
              </w:rPr>
              <w:t>30</w:t>
            </w:r>
            <w:r>
              <w:rPr>
                <w:rFonts w:hint="eastAsia" w:ascii="仿宋_GB2312" w:hAnsi="宋体" w:eastAsia="仿宋_GB2312" w:cs="仿宋_GB2312"/>
                <w:color w:val="000000"/>
                <w:sz w:val="20"/>
                <w:szCs w:val="20"/>
                <w:highlight w:val="none"/>
              </w:rPr>
              <w:t>日—20</w:t>
            </w:r>
            <w:r>
              <w:rPr>
                <w:rFonts w:hint="eastAsia" w:ascii="仿宋_GB2312" w:hAnsi="宋体" w:eastAsia="仿宋_GB2312" w:cs="仿宋_GB2312"/>
                <w:color w:val="000000"/>
                <w:sz w:val="20"/>
                <w:szCs w:val="20"/>
                <w:highlight w:val="none"/>
                <w:lang w:val="en-US" w:eastAsia="zh-CN"/>
              </w:rPr>
              <w:t>22</w:t>
            </w:r>
            <w:r>
              <w:rPr>
                <w:rFonts w:hint="eastAsia" w:ascii="仿宋_GB2312" w:hAnsi="宋体" w:eastAsia="仿宋_GB2312" w:cs="仿宋_GB2312"/>
                <w:color w:val="000000"/>
                <w:sz w:val="20"/>
                <w:szCs w:val="20"/>
                <w:highlight w:val="none"/>
              </w:rPr>
              <w:t>年</w:t>
            </w:r>
            <w:r>
              <w:rPr>
                <w:rFonts w:hint="eastAsia" w:ascii="仿宋_GB2312" w:hAnsi="宋体" w:eastAsia="仿宋_GB2312" w:cs="仿宋_GB2312"/>
                <w:color w:val="000000"/>
                <w:sz w:val="20"/>
                <w:szCs w:val="20"/>
                <w:highlight w:val="none"/>
                <w:lang w:val="en-US" w:eastAsia="zh-CN"/>
              </w:rPr>
              <w:t>12</w:t>
            </w:r>
            <w:r>
              <w:rPr>
                <w:rFonts w:hint="eastAsia" w:ascii="仿宋_GB2312" w:hAnsi="宋体" w:eastAsia="仿宋_GB2312" w:cs="仿宋_GB2312"/>
                <w:color w:val="000000"/>
                <w:sz w:val="20"/>
                <w:szCs w:val="20"/>
                <w:highlight w:val="none"/>
              </w:rPr>
              <w:t>月</w:t>
            </w:r>
            <w:r>
              <w:rPr>
                <w:rFonts w:hint="eastAsia" w:ascii="仿宋_GB2312" w:hAnsi="宋体" w:eastAsia="仿宋_GB2312" w:cs="仿宋_GB2312"/>
                <w:color w:val="000000"/>
                <w:sz w:val="20"/>
                <w:szCs w:val="20"/>
                <w:highlight w:val="none"/>
                <w:lang w:val="en-US" w:eastAsia="zh-CN"/>
              </w:rPr>
              <w:t>31</w:t>
            </w:r>
            <w:r>
              <w:rPr>
                <w:rFonts w:hint="eastAsia" w:ascii="仿宋_GB2312" w:hAnsi="宋体" w:eastAsia="仿宋_GB2312" w:cs="仿宋_GB2312"/>
                <w:color w:val="000000"/>
                <w:sz w:val="20"/>
                <w:szCs w:val="20"/>
                <w:highlight w:val="none"/>
              </w:rPr>
              <w:t>日</w:t>
            </w:r>
          </w:p>
        </w:tc>
        <w:tc>
          <w:tcPr>
            <w:tcW w:w="2238" w:type="dxa"/>
            <w:tcBorders>
              <w:bottom w:val="single" w:color="auto" w:sz="4" w:space="0"/>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评价机构报告编号</w:t>
            </w:r>
          </w:p>
        </w:tc>
        <w:tc>
          <w:tcPr>
            <w:tcW w:w="2434" w:type="dxa"/>
            <w:tcBorders>
              <w:bottom w:val="single" w:color="auto" w:sz="4" w:space="0"/>
              <w:tl2br w:val="nil"/>
              <w:tr2bl w:val="nil"/>
            </w:tcBorders>
            <w:noWrap w:val="0"/>
            <w:vAlign w:val="center"/>
          </w:tcPr>
          <w:p>
            <w:pPr>
              <w:widowControl/>
              <w:spacing w:line="320" w:lineRule="exact"/>
              <w:jc w:val="center"/>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贵州黔元</w:t>
            </w:r>
          </w:p>
          <w:p>
            <w:pPr>
              <w:widowControl/>
              <w:spacing w:line="320" w:lineRule="exact"/>
              <w:jc w:val="center"/>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绩效字〔2022〕第</w:t>
            </w:r>
            <w:r>
              <w:rPr>
                <w:rFonts w:hint="eastAsia" w:ascii="仿宋_GB2312" w:hAnsi="宋体" w:eastAsia="仿宋_GB2312" w:cs="仿宋_GB2312"/>
                <w:color w:val="000000"/>
                <w:sz w:val="20"/>
                <w:szCs w:val="20"/>
                <w:highlight w:val="none"/>
                <w:lang w:val="en-US" w:eastAsia="zh-CN"/>
              </w:rPr>
              <w:t>36</w:t>
            </w:r>
            <w:r>
              <w:rPr>
                <w:rFonts w:hint="eastAsia" w:ascii="仿宋_GB2312" w:hAnsi="宋体" w:eastAsia="仿宋_GB2312" w:cs="仿宋_GB2312"/>
                <w:color w:val="000000"/>
                <w:sz w:val="20"/>
                <w:szCs w:val="20"/>
                <w:highlight w:val="none"/>
              </w:rPr>
              <w:t>号</w:t>
            </w:r>
          </w:p>
        </w:tc>
      </w:tr>
      <w:tr>
        <w:tblPrEx>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17" w:type="dxa"/>
            <w:bottom w:w="17" w:type="dxa"/>
            <w:right w:w="17" w:type="dxa"/>
          </w:tblCellMar>
        </w:tblPrEx>
        <w:trPr>
          <w:trHeight w:val="2234" w:hRule="atLeast"/>
        </w:trPr>
        <w:tc>
          <w:tcPr>
            <w:tcW w:w="205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lang w:eastAsia="zh-CN"/>
              </w:rPr>
              <w:t>项目主评人</w:t>
            </w:r>
            <w:r>
              <w:rPr>
                <w:rFonts w:hint="eastAsia" w:ascii="黑体" w:hAnsi="黑体" w:eastAsia="黑体" w:cs="仿宋_GB2312"/>
                <w:color w:val="000000"/>
                <w:sz w:val="20"/>
                <w:szCs w:val="20"/>
                <w:highlight w:val="none"/>
              </w:rPr>
              <w:t>（签字）</w:t>
            </w:r>
          </w:p>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及联系方式</w:t>
            </w:r>
          </w:p>
        </w:tc>
        <w:tc>
          <w:tcPr>
            <w:tcW w:w="225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320" w:lineRule="exact"/>
              <w:jc w:val="left"/>
              <w:textAlignment w:val="center"/>
              <w:rPr>
                <w:rFonts w:ascii="仿宋_GB2312" w:hAnsi="宋体" w:eastAsia="仿宋_GB2312" w:cs="仿宋_GB2312"/>
                <w:color w:val="000000"/>
                <w:sz w:val="20"/>
                <w:szCs w:val="20"/>
                <w:highlight w:val="none"/>
              </w:rPr>
            </w:pPr>
          </w:p>
          <w:p>
            <w:pPr>
              <w:pStyle w:val="26"/>
              <w:rPr>
                <w:rFonts w:ascii="仿宋_GB2312" w:hAnsi="宋体" w:eastAsia="仿宋_GB2312" w:cs="仿宋_GB2312"/>
                <w:color w:val="000000"/>
                <w:sz w:val="20"/>
                <w:szCs w:val="20"/>
                <w:highlight w:val="none"/>
              </w:rPr>
            </w:pPr>
          </w:p>
          <w:p>
            <w:pPr>
              <w:pStyle w:val="26"/>
              <w:rPr>
                <w:rFonts w:ascii="仿宋_GB2312" w:hAnsi="宋体" w:eastAsia="仿宋_GB2312" w:cs="仿宋_GB2312"/>
                <w:color w:val="000000"/>
                <w:sz w:val="20"/>
                <w:szCs w:val="20"/>
                <w:highlight w:val="none"/>
              </w:rPr>
            </w:pPr>
          </w:p>
          <w:p>
            <w:pPr>
              <w:widowControl/>
              <w:spacing w:line="320" w:lineRule="exact"/>
              <w:jc w:val="left"/>
              <w:textAlignment w:val="center"/>
              <w:rPr>
                <w:rFonts w:ascii="仿宋_GB2312" w:hAnsi="宋体" w:eastAsia="仿宋_GB2312" w:cs="仿宋_GB2312"/>
                <w:color w:val="000000"/>
                <w:sz w:val="20"/>
                <w:szCs w:val="20"/>
                <w:highlight w:val="none"/>
              </w:rPr>
            </w:pPr>
          </w:p>
          <w:p>
            <w:pPr>
              <w:widowControl/>
              <w:spacing w:line="320" w:lineRule="exact"/>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宫经全：13985455127</w:t>
            </w:r>
          </w:p>
        </w:tc>
        <w:tc>
          <w:tcPr>
            <w:tcW w:w="223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法定代表人（签字）</w:t>
            </w:r>
          </w:p>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及联系方式</w:t>
            </w:r>
          </w:p>
        </w:tc>
        <w:tc>
          <w:tcPr>
            <w:tcW w:w="2434"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320" w:lineRule="exact"/>
              <w:jc w:val="left"/>
              <w:textAlignment w:val="center"/>
              <w:rPr>
                <w:rFonts w:hint="eastAsia" w:ascii="仿宋_GB2312" w:hAnsi="仿宋_GB2312" w:eastAsia="仿宋_GB2312" w:cs="仿宋_GB2312"/>
                <w:sz w:val="20"/>
                <w:szCs w:val="20"/>
                <w:highlight w:val="none"/>
              </w:rPr>
            </w:pPr>
          </w:p>
          <w:p>
            <w:pPr>
              <w:pStyle w:val="26"/>
              <w:rPr>
                <w:rFonts w:hint="eastAsia" w:ascii="仿宋_GB2312" w:hAnsi="仿宋_GB2312" w:eastAsia="仿宋_GB2312" w:cs="仿宋_GB2312"/>
                <w:sz w:val="20"/>
                <w:szCs w:val="20"/>
                <w:highlight w:val="none"/>
              </w:rPr>
            </w:pPr>
          </w:p>
          <w:p>
            <w:pPr>
              <w:pStyle w:val="26"/>
              <w:rPr>
                <w:rFonts w:hint="eastAsia" w:ascii="仿宋_GB2312" w:hAnsi="仿宋_GB2312" w:eastAsia="仿宋_GB2312" w:cs="仿宋_GB2312"/>
                <w:sz w:val="20"/>
                <w:szCs w:val="20"/>
                <w:highlight w:val="none"/>
              </w:rPr>
            </w:pPr>
          </w:p>
          <w:p>
            <w:pPr>
              <w:widowControl/>
              <w:spacing w:line="320" w:lineRule="exact"/>
              <w:jc w:val="left"/>
              <w:textAlignment w:val="center"/>
              <w:rPr>
                <w:rFonts w:hint="eastAsia" w:ascii="仿宋_GB2312" w:hAnsi="仿宋_GB2312" w:eastAsia="仿宋_GB2312" w:cs="仿宋_GB2312"/>
                <w:sz w:val="20"/>
                <w:szCs w:val="20"/>
                <w:highlight w:val="none"/>
              </w:rPr>
            </w:pPr>
          </w:p>
          <w:p>
            <w:pPr>
              <w:widowControl/>
              <w:spacing w:line="320" w:lineRule="exact"/>
              <w:jc w:val="left"/>
              <w:textAlignment w:val="center"/>
              <w:rPr>
                <w:rFonts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陈万琪：</w:t>
            </w:r>
            <w:r>
              <w:rPr>
                <w:rFonts w:ascii="仿宋_GB2312" w:hAnsi="仿宋_GB2312" w:eastAsia="仿宋_GB2312" w:cs="仿宋_GB2312"/>
                <w:sz w:val="20"/>
                <w:szCs w:val="20"/>
                <w:highlight w:val="none"/>
              </w:rPr>
              <w:t>13985006396</w:t>
            </w:r>
          </w:p>
        </w:tc>
      </w:tr>
    </w:tbl>
    <w:p>
      <w:pPr>
        <w:rPr>
          <w:highlight w:val="none"/>
        </w:rPr>
      </w:pPr>
    </w:p>
    <w:p>
      <w:pPr>
        <w:rPr>
          <w:rFonts w:eastAsia="方正小标宋简体"/>
          <w:sz w:val="44"/>
          <w:szCs w:val="44"/>
          <w:highlight w:val="none"/>
        </w:rPr>
        <w:sectPr>
          <w:pgSz w:w="11906" w:h="16838"/>
          <w:pgMar w:top="1985" w:right="1474" w:bottom="1871" w:left="1474" w:header="851" w:footer="1474"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4"/>
        <w:keepNext w:val="0"/>
        <w:keepLines w:val="0"/>
        <w:pageBreakBefore w:val="0"/>
        <w:widowControl w:val="0"/>
        <w:kinsoku/>
        <w:wordWrap/>
        <w:overflowPunct/>
        <w:topLinePunct w:val="0"/>
        <w:autoSpaceDE/>
        <w:autoSpaceDN/>
        <w:bidi w:val="0"/>
        <w:adjustRightInd/>
        <w:snapToGrid/>
        <w:ind w:firstLine="664" w:firstLineChars="200"/>
        <w:textAlignment w:val="auto"/>
        <w:rPr>
          <w:spacing w:val="6"/>
          <w:highlight w:val="none"/>
        </w:rPr>
      </w:pPr>
      <w:bookmarkStart w:id="0" w:name="_Toc28719"/>
      <w:bookmarkStart w:id="1" w:name="_Toc12293"/>
      <w:bookmarkStart w:id="2" w:name="_Toc6327"/>
      <w:bookmarkStart w:id="3" w:name="_Toc12764"/>
      <w:bookmarkStart w:id="4" w:name="_Toc29412"/>
      <w:bookmarkStart w:id="5" w:name="_Toc12079"/>
      <w:bookmarkStart w:id="6" w:name="_Toc30987"/>
      <w:bookmarkStart w:id="7" w:name="_Toc8051"/>
      <w:bookmarkStart w:id="8" w:name="_Toc21015"/>
      <w:bookmarkStart w:id="9" w:name="_Toc9684"/>
      <w:bookmarkStart w:id="10" w:name="_Toc30388"/>
      <w:bookmarkStart w:id="11" w:name="_Toc9163"/>
      <w:bookmarkStart w:id="12" w:name="_Toc13207"/>
      <w:bookmarkStart w:id="13" w:name="_Toc22300"/>
      <w:bookmarkStart w:id="14" w:name="_Toc11919"/>
      <w:bookmarkStart w:id="15" w:name="_Toc23747"/>
      <w:bookmarkStart w:id="16" w:name="_Toc15338"/>
      <w:bookmarkStart w:id="17" w:name="_Toc1193"/>
      <w:bookmarkStart w:id="18" w:name="_Toc12290"/>
      <w:bookmarkStart w:id="19" w:name="_Toc16295"/>
      <w:bookmarkStart w:id="20" w:name="_Toc30498"/>
      <w:bookmarkStart w:id="21" w:name="_Toc6906"/>
      <w:bookmarkStart w:id="22" w:name="_Toc25748"/>
      <w:bookmarkStart w:id="23" w:name="_Toc15972"/>
      <w:bookmarkStart w:id="24" w:name="_Toc2662"/>
      <w:bookmarkStart w:id="25" w:name="_Toc15159"/>
      <w:bookmarkStart w:id="26" w:name="_Toc25305"/>
      <w:bookmarkStart w:id="27" w:name="_Toc14205"/>
      <w:bookmarkStart w:id="28" w:name="_Toc24329"/>
      <w:bookmarkStart w:id="29" w:name="_Toc12766"/>
      <w:bookmarkStart w:id="30" w:name="_Toc1391"/>
      <w:r>
        <w:rPr>
          <w:rFonts w:hint="eastAsia"/>
          <w:spacing w:val="6"/>
          <w:highlight w:val="none"/>
        </w:rPr>
        <w:t>一、</w:t>
      </w:r>
      <w:bookmarkStart w:id="317" w:name="_GoBack"/>
      <w:bookmarkEnd w:id="317"/>
      <w:r>
        <w:rPr>
          <w:rFonts w:hint="eastAsia"/>
          <w:spacing w:val="6"/>
          <w:highlight w:val="none"/>
        </w:rPr>
        <w:t>基本情况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pPr>
        <w:pStyle w:val="5"/>
        <w:keepNext w:val="0"/>
        <w:keepLines w:val="0"/>
        <w:pageBreakBefore w:val="0"/>
        <w:widowControl w:val="0"/>
        <w:kinsoku/>
        <w:wordWrap/>
        <w:overflowPunct/>
        <w:topLinePunct w:val="0"/>
        <w:autoSpaceDE/>
        <w:autoSpaceDN/>
        <w:bidi w:val="0"/>
        <w:adjustRightInd/>
        <w:snapToGrid/>
        <w:ind w:firstLine="664" w:firstLineChars="200"/>
        <w:textAlignment w:val="auto"/>
        <w:rPr>
          <w:rFonts w:hint="eastAsia" w:hAnsi="仿宋" w:eastAsia="楷体_GB2312"/>
          <w:spacing w:val="6"/>
          <w:szCs w:val="32"/>
          <w:highlight w:val="none"/>
          <w:lang w:val="en-US" w:eastAsia="zh-CN"/>
        </w:rPr>
      </w:pPr>
      <w:bookmarkStart w:id="31" w:name="_Toc2255"/>
      <w:bookmarkStart w:id="32" w:name="_Toc5632"/>
      <w:bookmarkStart w:id="33" w:name="_Toc22895"/>
      <w:bookmarkStart w:id="34" w:name="_Toc16625"/>
      <w:bookmarkStart w:id="35" w:name="_Toc28210"/>
      <w:bookmarkStart w:id="36" w:name="_Toc12643"/>
      <w:bookmarkStart w:id="37" w:name="_Toc11765"/>
      <w:bookmarkStart w:id="38" w:name="_Toc20737"/>
      <w:bookmarkStart w:id="39" w:name="_Toc24129"/>
      <w:bookmarkStart w:id="40" w:name="_Toc12996"/>
      <w:bookmarkStart w:id="41" w:name="_Toc28486"/>
      <w:bookmarkStart w:id="42" w:name="_Toc9213"/>
      <w:bookmarkStart w:id="43" w:name="_Toc13002"/>
      <w:bookmarkStart w:id="44" w:name="_Toc27289"/>
      <w:bookmarkStart w:id="45" w:name="_Toc31337"/>
      <w:bookmarkStart w:id="46" w:name="_Toc8687"/>
      <w:bookmarkStart w:id="47" w:name="_Toc32693"/>
      <w:bookmarkStart w:id="48" w:name="_Toc286"/>
      <w:bookmarkStart w:id="49" w:name="_Toc12975"/>
      <w:bookmarkStart w:id="50" w:name="_Toc29893"/>
      <w:bookmarkStart w:id="51" w:name="_Toc17123"/>
      <w:bookmarkStart w:id="52" w:name="_Toc12188"/>
      <w:bookmarkStart w:id="53" w:name="_Toc8811"/>
      <w:bookmarkStart w:id="54" w:name="_Toc4534"/>
      <w:bookmarkStart w:id="55" w:name="_Toc27860"/>
      <w:bookmarkStart w:id="56" w:name="_Toc29818"/>
      <w:bookmarkStart w:id="57" w:name="_Toc28451"/>
      <w:bookmarkStart w:id="58" w:name="_Toc11736"/>
      <w:bookmarkStart w:id="59" w:name="_Toc9859"/>
      <w:bookmarkStart w:id="60" w:name="_Toc30155"/>
      <w:bookmarkStart w:id="61" w:name="_Toc27433"/>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仿宋"/>
          <w:spacing w:val="6"/>
          <w:szCs w:val="32"/>
          <w:highlight w:val="none"/>
          <w:lang w:val="zh-CN"/>
        </w:rPr>
        <w:t>（一）</w:t>
      </w:r>
      <w:r>
        <w:rPr>
          <w:rFonts w:hAnsi="仿宋"/>
          <w:spacing w:val="6"/>
          <w:szCs w:val="32"/>
          <w:highlight w:val="none"/>
          <w:lang w:val="zh-CN"/>
        </w:rPr>
        <w:fldChar w:fldCharType="end"/>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hint="eastAsia" w:hAnsi="仿宋"/>
          <w:spacing w:val="6"/>
          <w:szCs w:val="32"/>
          <w:highlight w:val="none"/>
          <w:lang w:val="en-US" w:eastAsia="zh-CN"/>
        </w:rPr>
        <w:t>项目概况</w:t>
      </w:r>
      <w:bookmarkEnd w:id="56"/>
      <w:bookmarkEnd w:id="57"/>
      <w:bookmarkEnd w:id="58"/>
      <w:bookmarkEnd w:id="59"/>
      <w:bookmarkEnd w:id="60"/>
      <w:bookmarkEnd w:id="61"/>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outlineLvl w:val="9"/>
        <w:rPr>
          <w:rFonts w:hint="eastAsia" w:ascii="仿宋_GB2312" w:hAnsi="仿宋_GB2312" w:eastAsia="仿宋_GB2312" w:cs="仿宋_GB2312"/>
          <w:spacing w:val="6"/>
          <w:sz w:val="32"/>
          <w:szCs w:val="32"/>
          <w:highlight w:val="none"/>
          <w:lang w:val="en-US"/>
        </w:rPr>
      </w:pPr>
      <w:r>
        <w:rPr>
          <w:rFonts w:hint="eastAsia" w:ascii="仿宋_GB2312" w:hAnsi="仿宋_GB2312" w:eastAsia="仿宋_GB2312" w:cs="仿宋_GB2312"/>
          <w:spacing w:val="6"/>
          <w:sz w:val="32"/>
          <w:szCs w:val="32"/>
          <w:highlight w:val="none"/>
          <w:lang w:val="en-US" w:eastAsia="zh-CN"/>
        </w:rPr>
        <w:t>1</w:t>
      </w:r>
      <w:r>
        <w:rPr>
          <w:rFonts w:hint="eastAsia" w:ascii="仿宋_GB2312" w:hAnsi="仿宋_GB2312" w:eastAsia="仿宋_GB2312" w:cs="仿宋_GB2312"/>
          <w:spacing w:val="6"/>
          <w:sz w:val="32"/>
          <w:szCs w:val="32"/>
          <w:lang w:val="zh-CN"/>
        </w:rPr>
        <w:t>．</w:t>
      </w:r>
      <w:r>
        <w:rPr>
          <w:rFonts w:hint="eastAsia" w:ascii="仿宋_GB2312" w:hAnsi="仿宋_GB2312" w:eastAsia="仿宋_GB2312" w:cs="仿宋_GB2312"/>
          <w:spacing w:val="6"/>
          <w:sz w:val="32"/>
          <w:szCs w:val="32"/>
          <w:highlight w:val="none"/>
          <w:lang w:val="en-US" w:eastAsia="zh-CN"/>
        </w:rPr>
        <w:t>项目背景</w:t>
      </w:r>
    </w:p>
    <w:p>
      <w:pPr>
        <w:widowControl w:val="0"/>
        <w:spacing w:line="590" w:lineRule="exact"/>
        <w:ind w:firstLine="664" w:firstLineChars="200"/>
        <w:jc w:val="both"/>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在以习近平同志为核心的党中央坚强领导下，经过全国上下艰苦努力，我国新冠肺炎疫情防控向好态势进一步巩固，防控工作已从应急状态转为常态化。按照党中央关于抓紧抓实抓细常态化疫情防控工作的决策部署，为全面落实“外防输入、内防反弹”的总体防控策略，坚持及时发现、快速处置、精准管控、有效救治，有力保障人民群众生命安会和身体健康，有力保障经济社会秩序全面恢复。</w:t>
      </w:r>
    </w:p>
    <w:p>
      <w:pPr>
        <w:widowControl w:val="0"/>
        <w:spacing w:line="610" w:lineRule="exact"/>
        <w:ind w:firstLine="664" w:firstLineChars="200"/>
        <w:jc w:val="both"/>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为健全多渠道监测预警机制，提高信息实时分析、研判效能，根据《关于印发〈贵州省重点人群监测方案〉的通知》（黔府办发电〔2020〕326号）及《关于加强我省重点人员管控措施的通知》（黔府办发电〔2021〕5号）文件精神，为进一步做好贵阳市新冠肺炎常态化疫情防控工作，提升监测预警能力，结合贵阳市实际，实施本项目。</w:t>
      </w:r>
    </w:p>
    <w:p>
      <w:pPr>
        <w:widowControl w:val="0"/>
        <w:spacing w:line="610" w:lineRule="exact"/>
        <w:ind w:firstLine="664" w:firstLineChars="200"/>
        <w:jc w:val="both"/>
        <w:rPr>
          <w:rFonts w:hint="default" w:ascii="仿宋_GB2312" w:hAnsi="仿宋_GB2312" w:eastAsia="仿宋_GB2312" w:cs="仿宋_GB2312"/>
          <w:spacing w:val="6"/>
          <w:sz w:val="32"/>
          <w:szCs w:val="32"/>
          <w:highlight w:val="none"/>
          <w:lang w:val="en-US"/>
        </w:rPr>
      </w:pPr>
      <w:r>
        <w:rPr>
          <w:rFonts w:hint="eastAsia" w:ascii="仿宋_GB2312" w:hAnsi="仿宋_GB2312" w:eastAsia="仿宋_GB2312" w:cs="仿宋_GB2312"/>
          <w:spacing w:val="6"/>
          <w:sz w:val="32"/>
          <w:szCs w:val="32"/>
          <w:highlight w:val="none"/>
          <w:lang w:val="en-US" w:eastAsia="zh-CN"/>
        </w:rPr>
        <w:t>2</w:t>
      </w:r>
      <w:r>
        <w:rPr>
          <w:rFonts w:hint="eastAsia" w:ascii="仿宋_GB2312" w:hAnsi="仿宋_GB2312" w:eastAsia="仿宋_GB2312" w:cs="仿宋_GB2312"/>
          <w:spacing w:val="6"/>
          <w:sz w:val="32"/>
          <w:szCs w:val="32"/>
          <w:highlight w:val="none"/>
          <w:lang w:val="zh-CN"/>
        </w:rPr>
        <w:t>．</w:t>
      </w:r>
      <w:r>
        <w:rPr>
          <w:rFonts w:hint="eastAsia" w:ascii="仿宋_GB2312" w:hAnsi="仿宋_GB2312" w:eastAsia="仿宋_GB2312" w:cs="仿宋_GB2312"/>
          <w:spacing w:val="6"/>
          <w:sz w:val="32"/>
          <w:szCs w:val="32"/>
          <w:highlight w:val="none"/>
          <w:lang w:val="en-US" w:eastAsia="zh-CN"/>
        </w:rPr>
        <w:t>主要内容及实施情况</w:t>
      </w:r>
    </w:p>
    <w:p>
      <w:pPr>
        <w:widowControl w:val="0"/>
        <w:spacing w:line="59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区卫健局对新冠疫情密切接触相关人员、境外来（返）黔人员、非法偷渡人员、中高风险地区来（返）黔人员、重点人员以外的中高风险地区所在地（市、州）来（返）黔人员、发热门诊就诊患者、新住院患者、医疗机构陪护人员、医疗机构工作人员、口岸检疫和边防检查人员、监所人员、社会福利养老机构人员、冷链、农贸市场、快递、外卖、交通运输等特定行业从业人员、集中隔离点工作服务人员等重点人群进行全面核酸检测，有效保障了人民群众和基层医务人员的身体健康和生命安全，保障了疫情防控工作顺利开展。</w:t>
      </w:r>
    </w:p>
    <w:p>
      <w:pPr>
        <w:widowControl w:val="0"/>
        <w:spacing w:line="590" w:lineRule="exac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3．项目资金概况</w:t>
      </w:r>
    </w:p>
    <w:p>
      <w:pPr>
        <w:widowControl w:val="0"/>
        <w:spacing w:line="590" w:lineRule="exact"/>
        <w:ind w:firstLine="640" w:firstLineChars="200"/>
        <w:jc w:val="both"/>
        <w:rPr>
          <w:rFonts w:hint="eastAsia" w:ascii="仿宋_GB2312" w:hAnsi="仿宋_GB2312" w:eastAsia="仿宋_GB2312" w:cs="仿宋_GB2312"/>
          <w:sz w:val="32"/>
          <w:szCs w:val="32"/>
          <w:lang w:val="en-US" w:eastAsia="zh-CN"/>
        </w:rPr>
      </w:pPr>
      <w:bookmarkStart w:id="62" w:name="_Toc31686"/>
      <w:bookmarkStart w:id="63" w:name="_Toc30360"/>
      <w:bookmarkStart w:id="64" w:name="_Toc25907"/>
      <w:bookmarkStart w:id="65" w:name="_Toc7768"/>
      <w:bookmarkStart w:id="66" w:name="_Toc12227"/>
      <w:bookmarkStart w:id="67" w:name="_Toc22724"/>
      <w:bookmarkStart w:id="68" w:name="_Toc6292"/>
      <w:bookmarkStart w:id="69" w:name="_Toc14706"/>
      <w:bookmarkStart w:id="70" w:name="_Toc29235"/>
      <w:bookmarkStart w:id="71" w:name="_Toc5300"/>
      <w:bookmarkStart w:id="72" w:name="_Toc12683"/>
      <w:bookmarkStart w:id="73" w:name="_Toc22093"/>
      <w:bookmarkStart w:id="74" w:name="_Toc30573"/>
      <w:bookmarkStart w:id="75" w:name="_Toc30638"/>
      <w:bookmarkStart w:id="76" w:name="_Toc30276"/>
      <w:bookmarkStart w:id="77" w:name="_Toc13986"/>
      <w:bookmarkStart w:id="78" w:name="_Toc21623"/>
      <w:bookmarkStart w:id="79" w:name="_Toc28875"/>
      <w:bookmarkStart w:id="80" w:name="_Toc554"/>
      <w:bookmarkStart w:id="81" w:name="_Toc23233"/>
      <w:bookmarkStart w:id="82" w:name="_Toc3639"/>
      <w:bookmarkStart w:id="83" w:name="_Toc22749"/>
      <w:bookmarkStart w:id="84" w:name="_Toc23751"/>
      <w:bookmarkStart w:id="85" w:name="_Toc32675"/>
      <w:bookmarkStart w:id="86" w:name="_Toc3459"/>
      <w:bookmarkStart w:id="87" w:name="_Toc18218"/>
      <w:bookmarkStart w:id="88" w:name="_Toc22346"/>
      <w:bookmarkStart w:id="89" w:name="_Toc12077"/>
      <w:bookmarkStart w:id="90" w:name="_Toc10412"/>
      <w:bookmarkStart w:id="91" w:name="_Toc20306"/>
      <w:r>
        <w:rPr>
          <w:rFonts w:hint="eastAsia" w:ascii="仿宋_GB2312" w:hAnsi="仿宋_GB2312" w:eastAsia="仿宋_GB2312" w:cs="仿宋_GB2312"/>
          <w:sz w:val="32"/>
          <w:szCs w:val="32"/>
          <w:lang w:val="en-US" w:eastAsia="zh-CN"/>
        </w:rPr>
        <w:t>2021年云岩区全员核酸筛查物资及检测试剂经费实际到位1422.33万元，截止2021年12月31日，实际支出资金1422.33万元，资金使用率为100%。</w:t>
      </w:r>
    </w:p>
    <w:p>
      <w:pPr>
        <w:pStyle w:val="5"/>
        <w:keepNext w:val="0"/>
        <w:keepLines w:val="0"/>
        <w:pageBreakBefore w:val="0"/>
        <w:widowControl w:val="0"/>
        <w:kinsoku/>
        <w:wordWrap/>
        <w:overflowPunct/>
        <w:topLinePunct w:val="0"/>
        <w:autoSpaceDE/>
        <w:autoSpaceDN/>
        <w:bidi w:val="0"/>
        <w:adjustRightInd/>
        <w:snapToGrid/>
        <w:ind w:firstLine="664" w:firstLineChars="200"/>
        <w:textAlignment w:val="auto"/>
        <w:rPr>
          <w:rFonts w:hint="eastAsia" w:hAnsi="仿宋"/>
          <w:spacing w:val="6"/>
          <w:szCs w:val="32"/>
          <w:highlight w:val="none"/>
          <w:lang w:val="en-US" w:eastAsia="zh-CN"/>
        </w:rPr>
      </w:pPr>
      <w:bookmarkStart w:id="92" w:name="_Toc6295"/>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仿宋"/>
          <w:spacing w:val="6"/>
          <w:szCs w:val="32"/>
          <w:highlight w:val="none"/>
          <w:lang w:val="zh-CN"/>
        </w:rPr>
        <w:t>（</w:t>
      </w:r>
      <w:r>
        <w:rPr>
          <w:rFonts w:hint="eastAsia" w:hAnsi="仿宋"/>
          <w:spacing w:val="6"/>
          <w:szCs w:val="32"/>
          <w:highlight w:val="none"/>
          <w:lang w:val="en-US" w:eastAsia="zh-CN"/>
        </w:rPr>
        <w:t>二</w:t>
      </w:r>
      <w:r>
        <w:rPr>
          <w:rFonts w:hAnsi="仿宋"/>
          <w:spacing w:val="6"/>
          <w:szCs w:val="32"/>
          <w:highlight w:val="none"/>
          <w:lang w:val="zh-CN"/>
        </w:rPr>
        <w:t>）</w:t>
      </w:r>
      <w:r>
        <w:rPr>
          <w:rFonts w:hAnsi="仿宋"/>
          <w:spacing w:val="6"/>
          <w:szCs w:val="32"/>
          <w:highlight w:val="none"/>
          <w:lang w:val="zh-CN"/>
        </w:rPr>
        <w:fldChar w:fldCharType="end"/>
      </w:r>
      <w:r>
        <w:rPr>
          <w:rFonts w:hint="eastAsia" w:hAnsi="仿宋"/>
          <w:spacing w:val="6"/>
          <w:szCs w:val="32"/>
          <w:highlight w:val="none"/>
          <w:lang w:val="en-US" w:eastAsia="zh-CN"/>
        </w:rPr>
        <w:t>项目支出绩效目标及指标设立情况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pPr>
        <w:spacing w:line="590" w:lineRule="exact"/>
        <w:ind w:firstLine="664" w:firstLineChars="200"/>
        <w:rPr>
          <w:rFonts w:hint="default"/>
        </w:rPr>
      </w:pPr>
      <w:r>
        <w:rPr>
          <w:rFonts w:hint="eastAsia" w:ascii="仿宋_GB2312" w:hAnsi="仿宋_GB2312" w:eastAsia="仿宋_GB2312" w:cs="仿宋_GB2312"/>
          <w:spacing w:val="6"/>
          <w:sz w:val="32"/>
          <w:szCs w:val="32"/>
        </w:rPr>
        <w:t>我们在与</w:t>
      </w:r>
      <w:r>
        <w:rPr>
          <w:rFonts w:hint="eastAsia" w:ascii="仿宋_GB2312" w:hAnsi="仿宋_GB2312" w:eastAsia="仿宋_GB2312" w:cs="仿宋_GB2312"/>
          <w:spacing w:val="6"/>
          <w:sz w:val="32"/>
          <w:szCs w:val="32"/>
          <w:lang w:val="en-US" w:eastAsia="zh-CN"/>
        </w:rPr>
        <w:t>区卫健局</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财政</w:t>
      </w:r>
      <w:r>
        <w:rPr>
          <w:rFonts w:hint="eastAsia" w:ascii="仿宋_GB2312" w:hAnsi="仿宋_GB2312" w:eastAsia="仿宋_GB2312" w:cs="仿宋_GB2312"/>
          <w:spacing w:val="6"/>
          <w:sz w:val="32"/>
          <w:szCs w:val="32"/>
          <w:lang w:val="en-US" w:eastAsia="zh-CN"/>
        </w:rPr>
        <w:t>局</w:t>
      </w:r>
      <w:r>
        <w:rPr>
          <w:rFonts w:hint="eastAsia" w:ascii="仿宋_GB2312" w:hAnsi="仿宋_GB2312" w:eastAsia="仿宋_GB2312" w:cs="仿宋_GB2312"/>
          <w:spacing w:val="6"/>
          <w:sz w:val="32"/>
          <w:szCs w:val="32"/>
        </w:rPr>
        <w:t>业务处室充分沟通的基础上，根据</w:t>
      </w:r>
      <w:r>
        <w:rPr>
          <w:rFonts w:hint="eastAsia" w:ascii="仿宋_GB2312" w:hAnsi="仿宋_GB2312" w:eastAsia="仿宋_GB2312" w:cs="仿宋_GB2312"/>
          <w:spacing w:val="6"/>
          <w:kern w:val="0"/>
          <w:sz w:val="32"/>
          <w:szCs w:val="32"/>
          <w:lang w:eastAsia="zh-CN"/>
        </w:rPr>
        <w:t>《关于印发〈贵阳市、贵安新区重点人群监测方案〉的通知》(筑肺炎防控办〔2021〕2号)、《云岩区应对新冠肺炎疫情防控工作领导小组办公室关于印发〈云岩区重点人群检测方案〉的通知》(云肺炎防控办〔2021〕3号)</w:t>
      </w:r>
      <w:r>
        <w:rPr>
          <w:rFonts w:hint="eastAsia" w:ascii="仿宋_GB2312" w:hAnsi="仿宋_GB2312" w:eastAsia="仿宋_GB2312" w:cs="仿宋_GB2312"/>
          <w:spacing w:val="6"/>
          <w:sz w:val="32"/>
          <w:szCs w:val="32"/>
          <w:lang w:eastAsia="zh-CN"/>
        </w:rPr>
        <w:t>以及</w:t>
      </w:r>
      <w:r>
        <w:rPr>
          <w:rFonts w:hint="eastAsia" w:ascii="仿宋_GB2312" w:hAnsi="仿宋_GB2312" w:eastAsia="仿宋_GB2312" w:cs="仿宋_GB2312"/>
          <w:spacing w:val="6"/>
          <w:sz w:val="32"/>
          <w:szCs w:val="32"/>
          <w:lang w:val="en-US" w:eastAsia="zh-CN"/>
        </w:rPr>
        <w:t>区卫健局</w:t>
      </w:r>
      <w:r>
        <w:rPr>
          <w:rFonts w:hint="eastAsia" w:ascii="仿宋_GB2312" w:hAnsi="仿宋_GB2312" w:eastAsia="仿宋_GB2312" w:cs="仿宋_GB2312"/>
          <w:spacing w:val="6"/>
          <w:sz w:val="32"/>
          <w:szCs w:val="32"/>
        </w:rPr>
        <w:t>提供的项目绩效目标表等资料结合项目实际情况对项目绩效目标和绩效指标进行再次梳理。再次梳理的绩效目标</w:t>
      </w:r>
      <w:r>
        <w:rPr>
          <w:rFonts w:hint="eastAsia" w:ascii="仿宋_GB2312" w:hAnsi="仿宋_GB2312" w:eastAsia="仿宋_GB2312" w:cs="仿宋_GB2312"/>
          <w:spacing w:val="6"/>
          <w:sz w:val="32"/>
          <w:szCs w:val="32"/>
          <w:lang w:val="en-US" w:eastAsia="zh-CN"/>
        </w:rPr>
        <w:t>如下：一是</w:t>
      </w:r>
      <w:r>
        <w:rPr>
          <w:rStyle w:val="21"/>
          <w:rFonts w:hint="eastAsia" w:ascii="仿宋_GB2312" w:hAnsi="仿宋_GB2312" w:eastAsia="仿宋_GB2312" w:cs="仿宋_GB2312"/>
          <w:b w:val="0"/>
          <w:bCs w:val="0"/>
          <w:color w:val="auto"/>
          <w:spacing w:val="6"/>
          <w:kern w:val="2"/>
          <w:sz w:val="32"/>
          <w:szCs w:val="32"/>
          <w:lang w:bidi="ar-SA"/>
        </w:rPr>
        <w:t>对重点人群开展免费核酸检测，并提供设备及人员物资支持</w:t>
      </w:r>
      <w:r>
        <w:rPr>
          <w:rFonts w:hint="eastAsia"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bCs w:val="0"/>
          <w:spacing w:val="6"/>
          <w:kern w:val="2"/>
          <w:sz w:val="32"/>
          <w:szCs w:val="32"/>
          <w:lang w:val="en-US" w:eastAsia="zh-CN" w:bidi="ar-SA"/>
        </w:rPr>
        <w:t>二是及时完成资料报送以及核酸检测经费拨付工作</w:t>
      </w:r>
      <w:r>
        <w:rPr>
          <w:rStyle w:val="21"/>
          <w:rFonts w:hint="eastAsia" w:ascii="仿宋_GB2312" w:hAnsi="仿宋_GB2312" w:eastAsia="仿宋_GB2312" w:cs="仿宋_GB2312"/>
          <w:b w:val="0"/>
          <w:bCs w:val="0"/>
          <w:color w:val="auto"/>
          <w:spacing w:val="6"/>
          <w:kern w:val="2"/>
          <w:sz w:val="32"/>
          <w:szCs w:val="32"/>
          <w:lang w:eastAsia="zh-CN" w:bidi="ar-SA"/>
        </w:rPr>
        <w:t>；</w:t>
      </w:r>
      <w:r>
        <w:rPr>
          <w:rStyle w:val="21"/>
          <w:rFonts w:hint="eastAsia" w:ascii="仿宋_GB2312" w:hAnsi="仿宋_GB2312" w:eastAsia="仿宋_GB2312" w:cs="仿宋_GB2312"/>
          <w:b w:val="0"/>
          <w:bCs w:val="0"/>
          <w:color w:val="auto"/>
          <w:spacing w:val="6"/>
          <w:kern w:val="2"/>
          <w:sz w:val="32"/>
          <w:szCs w:val="32"/>
          <w:lang w:val="en-US" w:eastAsia="zh-CN" w:bidi="ar-SA"/>
        </w:rPr>
        <w:t>三</w:t>
      </w:r>
      <w:r>
        <w:rPr>
          <w:rStyle w:val="21"/>
          <w:rFonts w:hint="eastAsia" w:ascii="仿宋_GB2312" w:hAnsi="仿宋_GB2312" w:eastAsia="仿宋_GB2312" w:cs="仿宋_GB2312"/>
          <w:b w:val="0"/>
          <w:bCs w:val="0"/>
          <w:color w:val="auto"/>
          <w:spacing w:val="6"/>
          <w:kern w:val="2"/>
          <w:sz w:val="32"/>
          <w:szCs w:val="32"/>
          <w:lang w:eastAsia="zh-CN" w:bidi="ar-SA"/>
        </w:rPr>
        <w:t>是对重点人群进行全面核酸检测，提高信息实时分析、研判效能，提升监测预警能力；及时发现新冠肺炎传染源，防止疫情扩散</w:t>
      </w:r>
      <w:r>
        <w:rPr>
          <w:rFonts w:hint="eastAsia" w:ascii="仿宋_GB2312" w:hAnsi="仿宋_GB2312" w:eastAsia="仿宋_GB2312" w:cs="仿宋_GB2312"/>
          <w:b w:val="0"/>
          <w:bCs w:val="0"/>
          <w:spacing w:val="6"/>
          <w:kern w:val="2"/>
          <w:sz w:val="32"/>
          <w:szCs w:val="32"/>
          <w:lang w:val="en-US" w:eastAsia="zh-CN" w:bidi="ar-SA"/>
        </w:rPr>
        <w:t>；四是群众及工作人员满意度高于90%</w:t>
      </w:r>
      <w:r>
        <w:rPr>
          <w:rStyle w:val="21"/>
          <w:rFonts w:hint="eastAsia" w:ascii="仿宋_GB2312" w:hAnsi="仿宋_GB2312" w:eastAsia="仿宋_GB2312" w:cs="仿宋_GB2312"/>
          <w:b w:val="0"/>
          <w:bCs w:val="0"/>
          <w:color w:val="auto"/>
          <w:spacing w:val="6"/>
          <w:kern w:val="2"/>
          <w:sz w:val="32"/>
          <w:szCs w:val="32"/>
          <w:lang w:bidi="ar-SA"/>
        </w:rPr>
        <w:t>。</w:t>
      </w:r>
      <w:r>
        <w:rPr>
          <w:rFonts w:hint="eastAsia" w:ascii="仿宋_GB2312" w:hAnsi="仿宋_GB2312" w:eastAsia="仿宋_GB2312" w:cs="仿宋_GB2312"/>
          <w:spacing w:val="6"/>
          <w:sz w:val="32"/>
          <w:szCs w:val="32"/>
        </w:rPr>
        <w:t>再次梳理的绩效</w:t>
      </w:r>
      <w:r>
        <w:rPr>
          <w:rFonts w:hint="eastAsia" w:ascii="仿宋_GB2312" w:hAnsi="仿宋_GB2312" w:eastAsia="仿宋_GB2312" w:cs="仿宋_GB2312"/>
          <w:spacing w:val="6"/>
          <w:sz w:val="32"/>
          <w:szCs w:val="32"/>
          <w:lang w:val="en-US" w:eastAsia="zh-CN"/>
        </w:rPr>
        <w:t>指标详见附件1</w:t>
      </w:r>
      <w:r>
        <w:rPr>
          <w:rFonts w:hint="eastAsia" w:ascii="仿宋_GB2312" w:hAnsi="仿宋_GB2312" w:eastAsia="仿宋_GB2312" w:cs="仿宋_GB2312"/>
          <w:b w:val="0"/>
          <w:bCs w:val="0"/>
          <w:spacing w:val="6"/>
          <w:kern w:val="2"/>
          <w:sz w:val="32"/>
          <w:szCs w:val="32"/>
          <w:lang w:bidi="ar-SA"/>
        </w:rPr>
        <w:t>。</w:t>
      </w:r>
    </w:p>
    <w:p>
      <w:pPr>
        <w:pStyle w:val="4"/>
        <w:ind w:firstLine="640"/>
        <w:rPr>
          <w:rFonts w:hint="default" w:eastAsia="黑体"/>
          <w:highlight w:val="none"/>
          <w:lang w:val="en-US" w:eastAsia="zh-CN"/>
        </w:rPr>
      </w:pPr>
      <w:bookmarkStart w:id="93" w:name="_Toc32474"/>
      <w:bookmarkStart w:id="94" w:name="_Toc14131"/>
      <w:bookmarkStart w:id="95" w:name="_Toc1279"/>
      <w:bookmarkStart w:id="96" w:name="_Toc1312"/>
      <w:bookmarkStart w:id="97" w:name="_Toc8630"/>
      <w:bookmarkStart w:id="98" w:name="_Toc8780"/>
      <w:bookmarkStart w:id="99" w:name="_Toc19137"/>
      <w:bookmarkStart w:id="100" w:name="_Toc14"/>
      <w:bookmarkStart w:id="101" w:name="_Toc24126"/>
      <w:bookmarkStart w:id="102" w:name="_Toc15898"/>
      <w:bookmarkStart w:id="103" w:name="_Toc11796"/>
      <w:bookmarkStart w:id="104" w:name="_Toc3187"/>
      <w:bookmarkStart w:id="105" w:name="_Toc12695"/>
      <w:bookmarkStart w:id="106" w:name="_Toc17451"/>
      <w:bookmarkStart w:id="107" w:name="_Toc30546"/>
      <w:bookmarkStart w:id="108" w:name="_Toc26716"/>
      <w:bookmarkStart w:id="109" w:name="_Toc12994"/>
      <w:bookmarkStart w:id="110" w:name="_Toc14823"/>
      <w:bookmarkStart w:id="111" w:name="_Toc14235"/>
      <w:bookmarkStart w:id="112" w:name="_Toc18419"/>
      <w:bookmarkStart w:id="113" w:name="_Toc21902"/>
      <w:bookmarkStart w:id="114" w:name="_Toc32268"/>
      <w:bookmarkStart w:id="115" w:name="_Toc14372"/>
      <w:bookmarkStart w:id="116" w:name="_Toc9242"/>
      <w:bookmarkStart w:id="117" w:name="_Toc10633"/>
      <w:bookmarkStart w:id="118" w:name="_Toc14722"/>
      <w:bookmarkStart w:id="119" w:name="_Toc25973"/>
      <w:bookmarkStart w:id="120" w:name="_Toc12654"/>
      <w:bookmarkStart w:id="121" w:name="_Toc10404"/>
      <w:bookmarkStart w:id="122" w:name="_Toc15311"/>
      <w:bookmarkStart w:id="123" w:name="_Toc7504"/>
      <w:r>
        <w:rPr>
          <w:rFonts w:hint="eastAsia"/>
          <w:spacing w:val="6"/>
          <w:highlight w:val="none"/>
        </w:rPr>
        <w:t>二、</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Start w:id="124" w:name="_Toc15198"/>
      <w:bookmarkStart w:id="125" w:name="_Toc7100"/>
      <w:bookmarkStart w:id="126" w:name="_Toc4642"/>
      <w:bookmarkStart w:id="127" w:name="_Toc23269"/>
      <w:bookmarkStart w:id="128" w:name="_Toc11157"/>
      <w:bookmarkStart w:id="129" w:name="_Toc9928"/>
      <w:r>
        <w:rPr>
          <w:rFonts w:hint="eastAsia"/>
          <w:highlight w:val="none"/>
          <w:lang w:eastAsia="zh-CN"/>
        </w:rPr>
        <w:t>绩效评价</w:t>
      </w:r>
      <w:r>
        <w:rPr>
          <w:rFonts w:hint="eastAsia"/>
          <w:highlight w:val="none"/>
          <w:lang w:val="en-US" w:eastAsia="zh-CN"/>
        </w:rPr>
        <w:t>综合评价情况及评价结论</w:t>
      </w:r>
      <w:bookmarkEnd w:id="124"/>
      <w:bookmarkEnd w:id="125"/>
      <w:bookmarkEnd w:id="126"/>
      <w:bookmarkEnd w:id="127"/>
      <w:bookmarkEnd w:id="128"/>
      <w:bookmarkEnd w:id="129"/>
    </w:p>
    <w:p>
      <w:pPr>
        <w:pStyle w:val="5"/>
        <w:keepNext w:val="0"/>
        <w:keepLines w:val="0"/>
        <w:pageBreakBefore w:val="0"/>
        <w:widowControl w:val="0"/>
        <w:kinsoku/>
        <w:wordWrap/>
        <w:overflowPunct/>
        <w:topLinePunct w:val="0"/>
        <w:autoSpaceDE/>
        <w:autoSpaceDN/>
        <w:bidi w:val="0"/>
        <w:adjustRightInd/>
        <w:snapToGrid/>
        <w:ind w:firstLine="664" w:firstLineChars="200"/>
        <w:textAlignment w:val="auto"/>
        <w:rPr>
          <w:rFonts w:hint="default" w:hAnsi="Times New Roman"/>
          <w:spacing w:val="6"/>
          <w:szCs w:val="32"/>
          <w:highlight w:val="none"/>
        </w:rPr>
      </w:pPr>
      <w:bookmarkStart w:id="130" w:name="_Toc30540"/>
      <w:bookmarkStart w:id="131" w:name="_Toc10438"/>
      <w:bookmarkStart w:id="132" w:name="_Toc29698"/>
      <w:bookmarkStart w:id="133" w:name="_Toc4167"/>
      <w:bookmarkStart w:id="134" w:name="_Toc7449"/>
      <w:bookmarkStart w:id="135" w:name="_Toc20088"/>
      <w:bookmarkStart w:id="136" w:name="_Toc7253"/>
      <w:bookmarkStart w:id="137" w:name="_Toc4334"/>
      <w:bookmarkStart w:id="138" w:name="_Toc10355"/>
      <w:bookmarkStart w:id="139" w:name="_Toc3094"/>
      <w:bookmarkStart w:id="140" w:name="_Toc2067"/>
      <w:bookmarkStart w:id="141" w:name="_Toc22311"/>
      <w:bookmarkStart w:id="142" w:name="_Toc3326"/>
      <w:bookmarkStart w:id="143" w:name="_Toc5337"/>
      <w:bookmarkStart w:id="144" w:name="_Toc28788"/>
      <w:bookmarkStart w:id="145" w:name="_Toc14782"/>
      <w:bookmarkStart w:id="146" w:name="_Toc29986"/>
      <w:bookmarkStart w:id="147" w:name="_Toc26866"/>
      <w:bookmarkStart w:id="148" w:name="_Toc23292"/>
      <w:bookmarkStart w:id="149" w:name="_Toc20407"/>
      <w:bookmarkStart w:id="150" w:name="_Toc1628"/>
      <w:bookmarkStart w:id="151" w:name="_Toc2163"/>
      <w:bookmarkStart w:id="152" w:name="_Toc21342"/>
      <w:bookmarkStart w:id="153" w:name="_Toc28513"/>
      <w:bookmarkStart w:id="154" w:name="_Toc3501"/>
      <w:bookmarkStart w:id="155" w:name="_Toc6631"/>
      <w:bookmarkStart w:id="156" w:name="_Toc5056"/>
      <w:bookmarkStart w:id="157" w:name="_Toc31503"/>
      <w:bookmarkStart w:id="158" w:name="_Toc4287"/>
      <w:bookmarkStart w:id="159" w:name="_Toc5311"/>
      <w:bookmarkStart w:id="160" w:name="_Toc10476"/>
      <w:bookmarkStart w:id="161" w:name="_Toc12833"/>
      <w:bookmarkStart w:id="162" w:name="_Toc21209"/>
      <w:bookmarkStart w:id="163" w:name="_Toc10657"/>
      <w:bookmarkStart w:id="164" w:name="_Toc16718"/>
      <w:bookmarkStart w:id="165" w:name="_Toc8459"/>
      <w:bookmarkStart w:id="166" w:name="_Toc2590"/>
      <w:bookmarkStart w:id="167" w:name="_Toc12500"/>
      <w:bookmarkStart w:id="168" w:name="_Toc25448"/>
      <w:bookmarkStart w:id="169" w:name="_Toc11180"/>
      <w:bookmarkStart w:id="170" w:name="_Toc7700"/>
      <w:bookmarkStart w:id="171" w:name="_Toc6894"/>
      <w:bookmarkStart w:id="172" w:name="_Toc28"/>
      <w:bookmarkStart w:id="173" w:name="_Toc18864"/>
      <w:bookmarkStart w:id="174" w:name="_Toc23533"/>
      <w:bookmarkStart w:id="175" w:name="_Toc11753"/>
      <w:bookmarkStart w:id="176" w:name="_Toc29109"/>
      <w:bookmarkStart w:id="177" w:name="_Toc12057"/>
      <w:bookmarkStart w:id="178" w:name="_Toc29377"/>
      <w:bookmarkStart w:id="179" w:name="_Toc30654"/>
      <w:bookmarkStart w:id="180" w:name="_Toc26262"/>
      <w:bookmarkStart w:id="181" w:name="_Toc30397"/>
      <w:bookmarkStart w:id="182" w:name="_Toc26347"/>
      <w:bookmarkStart w:id="183" w:name="_Toc27933"/>
      <w:bookmarkStart w:id="184" w:name="_Hlk49420951"/>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Times New Roman"/>
          <w:spacing w:val="6"/>
          <w:szCs w:val="32"/>
          <w:highlight w:val="none"/>
          <w:lang w:val="zh-CN"/>
        </w:rPr>
        <w:t>（</w:t>
      </w:r>
      <w:r>
        <w:rPr>
          <w:rFonts w:hint="eastAsia" w:hAnsi="Times New Roman"/>
          <w:spacing w:val="6"/>
          <w:szCs w:val="32"/>
          <w:highlight w:val="none"/>
          <w:lang w:val="en-US" w:eastAsia="zh-CN"/>
        </w:rPr>
        <w:t>一</w:t>
      </w:r>
      <w:r>
        <w:rPr>
          <w:rFonts w:hAnsi="Times New Roman"/>
          <w:spacing w:val="6"/>
          <w:szCs w:val="32"/>
          <w:highlight w:val="none"/>
          <w:lang w:val="zh-CN"/>
        </w:rPr>
        <w:t>）</w:t>
      </w:r>
      <w:r>
        <w:rPr>
          <w:rFonts w:hint="eastAsia" w:hAnsi="Times New Roman"/>
          <w:spacing w:val="6"/>
          <w:szCs w:val="32"/>
          <w:highlight w:val="none"/>
          <w:lang w:val="en-US" w:eastAsia="zh-CN"/>
        </w:rPr>
        <w:t>绩效评价综合结论</w:t>
      </w:r>
      <w:r>
        <w:rPr>
          <w:rFonts w:hAnsi="Times New Roman"/>
          <w:spacing w:val="6"/>
          <w:szCs w:val="32"/>
          <w:highlight w:val="none"/>
          <w:lang w:val="zh-CN"/>
        </w:rPr>
        <w:fldChar w:fldCharType="end"/>
      </w:r>
      <w:bookmarkEnd w:id="130"/>
    </w:p>
    <w:p>
      <w:pPr>
        <w:spacing w:line="590" w:lineRule="exact"/>
        <w:ind w:firstLine="640" w:firstLineChars="200"/>
        <w:rPr>
          <w:rFonts w:ascii="仿宋_GB2312" w:hAnsi="仿宋_GB2312" w:eastAsia="仿宋_GB2312" w:cs="仿宋_GB2312"/>
          <w:spacing w:val="6"/>
          <w:sz w:val="32"/>
          <w:szCs w:val="32"/>
        </w:rPr>
      </w:pPr>
      <w:r>
        <w:rPr>
          <w:rFonts w:hint="eastAsia" w:ascii="仿宋_GB2312" w:hAnsi="仿宋_GB2312" w:eastAsia="仿宋_GB2312" w:cs="仿宋_GB2312"/>
          <w:sz w:val="32"/>
          <w:szCs w:val="32"/>
          <w:lang w:eastAsia="zh-CN"/>
        </w:rPr>
        <w:t>云岩区</w:t>
      </w:r>
      <w:r>
        <w:rPr>
          <w:rFonts w:hint="eastAsia" w:ascii="仿宋_GB2312" w:hAnsi="仿宋_GB2312" w:eastAsia="仿宋_GB2312" w:cs="仿宋_GB2312"/>
          <w:sz w:val="32"/>
          <w:szCs w:val="32"/>
          <w:lang w:val="en-US" w:eastAsia="zh-CN"/>
        </w:rPr>
        <w:t>2021年全员核酸筛查物资及检测试剂经费工作重点人群开展核酸检测，为疫情控制筑起免疫屏障，助推云岩区公共卫生高质量发展，及时有效地采取防控措施，控制疫情的传播蔓延，保障了广大就诊就医患者及本院医务人员的身体健康和生命安全。</w:t>
      </w:r>
      <w:r>
        <w:rPr>
          <w:rFonts w:hint="eastAsia" w:ascii="仿宋_GB2312" w:hAnsi="仿宋_GB2312" w:eastAsia="仿宋_GB2312" w:cs="仿宋_GB2312"/>
          <w:spacing w:val="6"/>
          <w:sz w:val="32"/>
          <w:szCs w:val="32"/>
          <w:lang w:val="en-US" w:eastAsia="zh-CN"/>
        </w:rPr>
        <w:t>通过问卷调查，群众以及工作人员的满意度均高于90%。</w:t>
      </w:r>
      <w:r>
        <w:rPr>
          <w:rFonts w:hint="eastAsia" w:ascii="仿宋_GB2312" w:hAnsi="仿宋_GB2312" w:eastAsia="仿宋_GB2312" w:cs="仿宋_GB2312"/>
          <w:sz w:val="32"/>
          <w:szCs w:val="32"/>
        </w:rPr>
        <w:t>但是存在</w:t>
      </w:r>
      <w:r>
        <w:rPr>
          <w:rFonts w:hint="eastAsia" w:ascii="仿宋_GB2312" w:hAnsi="仿宋_GB2312" w:eastAsia="仿宋_GB2312" w:cs="仿宋_GB2312"/>
          <w:sz w:val="32"/>
          <w:szCs w:val="32"/>
          <w:lang w:val="en-US" w:eastAsia="zh-CN"/>
        </w:rPr>
        <w:t>未编制</w:t>
      </w:r>
      <w:r>
        <w:rPr>
          <w:rFonts w:hint="eastAsia" w:ascii="仿宋_GB2312" w:hAnsi="仿宋_GB2312" w:eastAsia="仿宋_GB2312" w:cs="仿宋_GB2312"/>
          <w:sz w:val="32"/>
          <w:szCs w:val="32"/>
          <w:lang w:eastAsia="zh-CN"/>
        </w:rPr>
        <w:t>项目预算</w:t>
      </w:r>
      <w:r>
        <w:rPr>
          <w:rFonts w:hint="eastAsia" w:ascii="仿宋_GB2312" w:hAnsi="仿宋_GB2312" w:eastAsia="仿宋_GB2312" w:cs="仿宋_GB2312"/>
          <w:sz w:val="32"/>
          <w:szCs w:val="32"/>
        </w:rPr>
        <w:t>等情况</w:t>
      </w:r>
      <w:r>
        <w:rPr>
          <w:rFonts w:hint="eastAsia" w:ascii="仿宋_GB2312" w:hAnsi="仿宋_GB2312" w:eastAsia="仿宋_GB2312" w:cs="仿宋_GB2312"/>
          <w:spacing w:val="6"/>
          <w:sz w:val="32"/>
          <w:szCs w:val="32"/>
        </w:rPr>
        <w:t>。</w:t>
      </w:r>
    </w:p>
    <w:p>
      <w:pPr>
        <w:widowControl w:val="0"/>
        <w:spacing w:after="0" w:afterLines="0" w:line="590" w:lineRule="exact"/>
        <w:ind w:firstLine="640" w:firstLineChars="200"/>
        <w:jc w:val="both"/>
        <w:rPr>
          <w:rFonts w:hint="eastAsia" w:ascii="仿宋_GB2312" w:hAnsi="仿宋_GB2312" w:eastAsia="仿宋_GB2312" w:cs="仿宋_GB2312"/>
          <w:spacing w:val="6"/>
          <w:sz w:val="32"/>
          <w:szCs w:val="32"/>
          <w:highlight w:val="none"/>
          <w:lang w:val="zh-CN"/>
        </w:rPr>
      </w:pPr>
      <w:r>
        <w:rPr>
          <w:rFonts w:hint="eastAsia" w:ascii="仿宋_GB2312" w:hAnsi="仿宋_GB2312" w:eastAsia="仿宋_GB2312" w:cs="仿宋_GB2312"/>
          <w:sz w:val="32"/>
          <w:szCs w:val="32"/>
        </w:rPr>
        <w:t>经综合评定</w:t>
      </w:r>
      <w:r>
        <w:rPr>
          <w:rFonts w:hint="eastAsia" w:ascii="仿宋_GB2312" w:hAnsi="仿宋_GB2312" w:eastAsia="仿宋_GB2312" w:cs="仿宋_GB2312"/>
          <w:spacing w:val="6"/>
          <w:sz w:val="32"/>
          <w:szCs w:val="32"/>
          <w:lang w:val="zh-CN"/>
        </w:rPr>
        <w:t>，绩效评价得分为：</w:t>
      </w:r>
      <w:r>
        <w:rPr>
          <w:rFonts w:hint="eastAsia" w:ascii="仿宋_GB2312" w:hAnsi="仿宋_GB2312" w:eastAsia="仿宋_GB2312" w:cs="仿宋_GB2312"/>
          <w:spacing w:val="6"/>
          <w:sz w:val="32"/>
          <w:szCs w:val="32"/>
          <w:highlight w:val="none"/>
          <w:lang w:val="en-US" w:eastAsia="zh-CN"/>
        </w:rPr>
        <w:t>94.5</w:t>
      </w:r>
      <w:r>
        <w:rPr>
          <w:rFonts w:hint="eastAsia" w:ascii="仿宋_GB2312" w:hAnsi="仿宋_GB2312" w:eastAsia="仿宋_GB2312" w:cs="仿宋_GB2312"/>
          <w:spacing w:val="6"/>
          <w:sz w:val="32"/>
          <w:szCs w:val="32"/>
          <w:highlight w:val="none"/>
          <w:lang w:val="zh-CN"/>
        </w:rPr>
        <w:t>分，评定等级为：</w:t>
      </w:r>
      <w:r>
        <w:rPr>
          <w:rFonts w:hint="eastAsia" w:ascii="仿宋_GB2312" w:hAnsi="仿宋_GB2312" w:eastAsia="仿宋_GB2312" w:cs="仿宋_GB2312"/>
          <w:spacing w:val="6"/>
          <w:sz w:val="32"/>
          <w:szCs w:val="32"/>
          <w:highlight w:val="none"/>
          <w:lang w:val="en-US" w:eastAsia="zh-CN"/>
        </w:rPr>
        <w:t>优</w:t>
      </w:r>
      <w:r>
        <w:rPr>
          <w:rFonts w:hint="eastAsia" w:ascii="仿宋_GB2312" w:hAnsi="仿宋_GB2312" w:eastAsia="仿宋_GB2312" w:cs="仿宋_GB2312"/>
          <w:spacing w:val="6"/>
          <w:sz w:val="32"/>
          <w:szCs w:val="32"/>
          <w:highlight w:val="none"/>
          <w:lang w:val="zh-CN"/>
        </w:rPr>
        <w:t>。评价得分汇总情况详见下表：</w:t>
      </w:r>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1392"/>
        <w:gridCol w:w="2397"/>
        <w:gridCol w:w="2215"/>
        <w:gridCol w:w="1583"/>
        <w:gridCol w:w="15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82" w:hRule="atLeast"/>
          <w:tblHeader/>
        </w:trPr>
        <w:tc>
          <w:tcPr>
            <w:tcW w:w="13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序号</w:t>
            </w: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一级指标</w:t>
            </w:r>
          </w:p>
        </w:tc>
        <w:tc>
          <w:tcPr>
            <w:tcW w:w="221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指标分值</w:t>
            </w:r>
          </w:p>
        </w:tc>
        <w:tc>
          <w:tcPr>
            <w:tcW w:w="1583"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得分</w:t>
            </w:r>
          </w:p>
        </w:tc>
        <w:tc>
          <w:tcPr>
            <w:tcW w:w="158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宋体" w:eastAsia="仿宋_GB2312" w:cs="仿宋_GB2312"/>
                <w:b/>
                <w:bCs/>
                <w:i w:val="0"/>
                <w:iCs w:val="0"/>
                <w:color w:val="000000"/>
                <w:kern w:val="0"/>
                <w:sz w:val="28"/>
                <w:szCs w:val="28"/>
                <w:u w:val="none"/>
                <w:lang w:val="en-US" w:eastAsia="zh-CN" w:bidi="ar"/>
              </w:rPr>
              <w:t>得分率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13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w:t>
            </w: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决   策</w:t>
            </w:r>
          </w:p>
        </w:tc>
        <w:tc>
          <w:tcPr>
            <w:tcW w:w="2215" w:type="dxa"/>
            <w:tcBorders>
              <w:tl2br w:val="nil"/>
              <w:tr2bl w:val="nil"/>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等线" w:eastAsia="仿宋_GB2312" w:cs="仿宋_GB2312"/>
                <w:i w:val="0"/>
                <w:iCs w:val="0"/>
                <w:color w:val="000000"/>
                <w:kern w:val="0"/>
                <w:sz w:val="28"/>
                <w:szCs w:val="28"/>
                <w:u w:val="none"/>
                <w:lang w:val="en-US" w:eastAsia="zh-CN" w:bidi="ar"/>
              </w:rPr>
              <w:t xml:space="preserve">16.00 </w:t>
            </w:r>
          </w:p>
        </w:tc>
        <w:tc>
          <w:tcPr>
            <w:tcW w:w="1583"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等线" w:eastAsia="仿宋_GB2312" w:cs="仿宋_GB2312"/>
                <w:i w:val="0"/>
                <w:iCs w:val="0"/>
                <w:color w:val="000000"/>
                <w:kern w:val="0"/>
                <w:sz w:val="28"/>
                <w:szCs w:val="28"/>
                <w:u w:val="none"/>
                <w:lang w:val="en-US" w:eastAsia="zh-CN" w:bidi="ar"/>
              </w:rPr>
              <w:t xml:space="preserve">10.50 </w:t>
            </w:r>
          </w:p>
        </w:tc>
        <w:tc>
          <w:tcPr>
            <w:tcW w:w="1587"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等线" w:eastAsia="仿宋_GB2312" w:cs="仿宋_GB2312"/>
                <w:i w:val="0"/>
                <w:iCs w:val="0"/>
                <w:color w:val="000000"/>
                <w:kern w:val="0"/>
                <w:sz w:val="28"/>
                <w:szCs w:val="28"/>
                <w:u w:val="none"/>
                <w:lang w:val="en-US" w:eastAsia="zh-CN" w:bidi="ar"/>
              </w:rPr>
              <w:t>65.63%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139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2</w:t>
            </w: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过   程</w:t>
            </w:r>
          </w:p>
        </w:tc>
        <w:tc>
          <w:tcPr>
            <w:tcW w:w="221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等线" w:eastAsia="仿宋_GB2312" w:cs="仿宋_GB2312"/>
                <w:i w:val="0"/>
                <w:iCs w:val="0"/>
                <w:color w:val="000000"/>
                <w:kern w:val="0"/>
                <w:sz w:val="28"/>
                <w:szCs w:val="28"/>
                <w:u w:val="none"/>
                <w:lang w:val="en-US" w:eastAsia="zh-CN" w:bidi="ar"/>
              </w:rPr>
              <w:t xml:space="preserve">19.00 </w:t>
            </w:r>
          </w:p>
        </w:tc>
        <w:tc>
          <w:tcPr>
            <w:tcW w:w="1583"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等线" w:eastAsia="仿宋_GB2312" w:cs="仿宋_GB2312"/>
                <w:i w:val="0"/>
                <w:iCs w:val="0"/>
                <w:color w:val="000000"/>
                <w:kern w:val="0"/>
                <w:sz w:val="28"/>
                <w:szCs w:val="28"/>
                <w:u w:val="none"/>
                <w:lang w:val="en-US" w:eastAsia="zh-CN" w:bidi="ar"/>
              </w:rPr>
              <w:t xml:space="preserve">19.00 </w:t>
            </w:r>
          </w:p>
        </w:tc>
        <w:tc>
          <w:tcPr>
            <w:tcW w:w="1587"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等线" w:eastAsia="仿宋_GB2312" w:cs="仿宋_GB2312"/>
                <w:i w:val="0"/>
                <w:iCs w:val="0"/>
                <w:color w:val="000000"/>
                <w:kern w:val="0"/>
                <w:sz w:val="28"/>
                <w:szCs w:val="28"/>
                <w:u w:val="none"/>
                <w:lang w:val="en-US" w:eastAsia="zh-CN" w:bidi="ar"/>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1392"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3</w:t>
            </w: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产   出</w:t>
            </w:r>
          </w:p>
        </w:tc>
        <w:tc>
          <w:tcPr>
            <w:tcW w:w="221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等线" w:eastAsia="仿宋_GB2312" w:cs="仿宋_GB2312"/>
                <w:i w:val="0"/>
                <w:iCs w:val="0"/>
                <w:color w:val="000000"/>
                <w:kern w:val="0"/>
                <w:sz w:val="28"/>
                <w:szCs w:val="28"/>
                <w:u w:val="none"/>
                <w:lang w:val="en-US" w:eastAsia="zh-CN" w:bidi="ar"/>
              </w:rPr>
              <w:t xml:space="preserve">40.00 </w:t>
            </w:r>
          </w:p>
        </w:tc>
        <w:tc>
          <w:tcPr>
            <w:tcW w:w="1583"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等线" w:eastAsia="仿宋_GB2312" w:cs="仿宋_GB2312"/>
                <w:i w:val="0"/>
                <w:iCs w:val="0"/>
                <w:color w:val="000000"/>
                <w:kern w:val="0"/>
                <w:sz w:val="28"/>
                <w:szCs w:val="28"/>
                <w:u w:val="none"/>
                <w:lang w:val="en-US" w:eastAsia="zh-CN" w:bidi="ar"/>
              </w:rPr>
              <w:t xml:space="preserve">40.00 </w:t>
            </w:r>
          </w:p>
        </w:tc>
        <w:tc>
          <w:tcPr>
            <w:tcW w:w="1587"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等线" w:eastAsia="仿宋_GB2312" w:cs="仿宋_GB2312"/>
                <w:i w:val="0"/>
                <w:iCs w:val="0"/>
                <w:color w:val="000000"/>
                <w:kern w:val="0"/>
                <w:sz w:val="28"/>
                <w:szCs w:val="28"/>
                <w:u w:val="none"/>
                <w:lang w:val="en-US" w:eastAsia="zh-CN" w:bidi="ar"/>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139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4</w:t>
            </w: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效   益</w:t>
            </w:r>
          </w:p>
        </w:tc>
        <w:tc>
          <w:tcPr>
            <w:tcW w:w="2215" w:type="dxa"/>
            <w:tcBorders>
              <w:tl2br w:val="nil"/>
              <w:tr2bl w:val="nil"/>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等线" w:eastAsia="仿宋_GB2312" w:cs="仿宋_GB2312"/>
                <w:i w:val="0"/>
                <w:iCs w:val="0"/>
                <w:color w:val="000000"/>
                <w:kern w:val="0"/>
                <w:sz w:val="28"/>
                <w:szCs w:val="28"/>
                <w:u w:val="none"/>
                <w:lang w:val="en-US" w:eastAsia="zh-CN" w:bidi="ar"/>
              </w:rPr>
              <w:t xml:space="preserve">25.00 </w:t>
            </w:r>
          </w:p>
        </w:tc>
        <w:tc>
          <w:tcPr>
            <w:tcW w:w="1583"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r>
              <w:rPr>
                <w:rFonts w:hint="eastAsia" w:ascii="仿宋_GB2312" w:hAnsi="等线" w:eastAsia="仿宋_GB2312" w:cs="仿宋_GB2312"/>
                <w:i w:val="0"/>
                <w:iCs w:val="0"/>
                <w:color w:val="000000"/>
                <w:kern w:val="0"/>
                <w:sz w:val="28"/>
                <w:szCs w:val="28"/>
                <w:u w:val="none"/>
                <w:lang w:val="en-US" w:eastAsia="zh-CN" w:bidi="ar"/>
              </w:rPr>
              <w:t xml:space="preserve">25.00 </w:t>
            </w:r>
          </w:p>
        </w:tc>
        <w:tc>
          <w:tcPr>
            <w:tcW w:w="1587"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等线" w:eastAsia="仿宋_GB2312" w:cs="仿宋_GB2312"/>
                <w:i w:val="0"/>
                <w:iCs w:val="0"/>
                <w:color w:val="000000"/>
                <w:kern w:val="0"/>
                <w:sz w:val="28"/>
                <w:szCs w:val="28"/>
                <w:u w:val="none"/>
                <w:lang w:val="en-US" w:eastAsia="zh-CN" w:bidi="ar"/>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3789"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合计</w:t>
            </w:r>
          </w:p>
        </w:tc>
        <w:tc>
          <w:tcPr>
            <w:tcW w:w="221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等线" w:eastAsia="仿宋_GB2312" w:cs="仿宋_GB2312"/>
                <w:b/>
                <w:bCs/>
                <w:i w:val="0"/>
                <w:iCs w:val="0"/>
                <w:color w:val="000000"/>
                <w:kern w:val="0"/>
                <w:sz w:val="28"/>
                <w:szCs w:val="28"/>
                <w:u w:val="none"/>
                <w:lang w:val="en-US" w:eastAsia="zh-CN" w:bidi="ar"/>
              </w:rPr>
              <w:t xml:space="preserve">100.00 </w:t>
            </w:r>
          </w:p>
        </w:tc>
        <w:tc>
          <w:tcPr>
            <w:tcW w:w="1583"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等线" w:eastAsia="仿宋_GB2312" w:cs="仿宋_GB2312"/>
                <w:b/>
                <w:bCs/>
                <w:i w:val="0"/>
                <w:iCs w:val="0"/>
                <w:color w:val="000000"/>
                <w:kern w:val="0"/>
                <w:sz w:val="28"/>
                <w:szCs w:val="28"/>
                <w:u w:val="none"/>
                <w:lang w:val="en-US" w:eastAsia="zh-CN" w:bidi="ar"/>
              </w:rPr>
              <w:t xml:space="preserve">94.50 </w:t>
            </w:r>
          </w:p>
        </w:tc>
        <w:tc>
          <w:tcPr>
            <w:tcW w:w="1587"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等线" w:eastAsia="仿宋_GB2312" w:cs="仿宋_GB2312"/>
                <w:b/>
                <w:bCs/>
                <w:i w:val="0"/>
                <w:iCs w:val="0"/>
                <w:color w:val="000000"/>
                <w:kern w:val="0"/>
                <w:sz w:val="28"/>
                <w:szCs w:val="28"/>
                <w:u w:val="none"/>
                <w:lang w:val="en-US" w:eastAsia="zh-CN" w:bidi="ar"/>
              </w:rPr>
              <w:t>94.50%</w:t>
            </w:r>
          </w:p>
        </w:tc>
      </w:tr>
    </w:tbl>
    <w:p>
      <w:pPr>
        <w:pStyle w:val="5"/>
        <w:ind w:firstLine="664" w:firstLineChars="200"/>
        <w:rPr>
          <w:rFonts w:hint="default" w:hAnsi="Times New Roman" w:eastAsia="楷体_GB2312"/>
          <w:spacing w:val="6"/>
          <w:szCs w:val="32"/>
          <w:highlight w:val="none"/>
          <w:lang w:val="en-US" w:eastAsia="zh-CN"/>
        </w:rPr>
      </w:pPr>
      <w:bookmarkStart w:id="185" w:name="_Toc24349"/>
      <w:r>
        <w:rPr>
          <w:spacing w:val="6"/>
          <w:highlight w:val="none"/>
        </w:rPr>
        <w:fldChar w:fldCharType="begin"/>
      </w:r>
      <w:r>
        <w:rPr>
          <w:spacing w:val="6"/>
          <w:highlight w:val="none"/>
        </w:rPr>
        <w:instrText xml:space="preserve"> HYPERLINK \l "_Toc434746187" </w:instrText>
      </w:r>
      <w:r>
        <w:rPr>
          <w:spacing w:val="6"/>
          <w:highlight w:val="none"/>
        </w:rPr>
        <w:fldChar w:fldCharType="separate"/>
      </w:r>
      <w:r>
        <w:rPr>
          <w:rFonts w:hAnsi="Times New Roman"/>
          <w:spacing w:val="6"/>
          <w:szCs w:val="32"/>
          <w:highlight w:val="none"/>
          <w:lang w:val="zh-CN"/>
        </w:rPr>
        <w:t>（</w:t>
      </w:r>
      <w:r>
        <w:rPr>
          <w:rFonts w:hint="eastAsia" w:hAnsi="Times New Roman"/>
          <w:spacing w:val="6"/>
          <w:szCs w:val="32"/>
          <w:highlight w:val="none"/>
          <w:lang w:val="en-US" w:eastAsia="zh-CN"/>
        </w:rPr>
        <w:t>二</w:t>
      </w:r>
      <w:r>
        <w:rPr>
          <w:rFonts w:hAnsi="Times New Roman"/>
          <w:spacing w:val="6"/>
          <w:szCs w:val="32"/>
          <w:highlight w:val="none"/>
          <w:lang w:val="zh-CN"/>
        </w:rPr>
        <w:t>）</w:t>
      </w:r>
      <w:r>
        <w:rPr>
          <w:rFonts w:hAnsi="Times New Roman"/>
          <w:spacing w:val="6"/>
          <w:szCs w:val="32"/>
          <w:highlight w:val="none"/>
          <w:lang w:val="zh-CN"/>
        </w:rPr>
        <w:fldChar w:fldCharType="end"/>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Pr>
          <w:rFonts w:hint="eastAsia" w:hAnsi="Times New Roman"/>
          <w:spacing w:val="6"/>
          <w:szCs w:val="32"/>
          <w:highlight w:val="none"/>
          <w:lang w:val="en-US" w:eastAsia="zh-CN"/>
        </w:rPr>
        <w:t>绩效目标实现情况</w:t>
      </w:r>
      <w:bookmarkEnd w:id="153"/>
      <w:bookmarkEnd w:id="154"/>
      <w:bookmarkEnd w:id="155"/>
      <w:bookmarkEnd w:id="156"/>
      <w:bookmarkEnd w:id="157"/>
      <w:bookmarkEnd w:id="185"/>
    </w:p>
    <w:p>
      <w:pPr>
        <w:widowControl/>
        <w:spacing w:line="590" w:lineRule="exact"/>
        <w:ind w:firstLine="664" w:firstLineChars="200"/>
        <w:jc w:val="left"/>
        <w:rPr>
          <w:rFonts w:hint="default"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rPr>
        <w:t>结合项目实际情况，与</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lang w:eastAsia="zh-CN"/>
        </w:rPr>
        <w:t>卫健局</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区</w:t>
      </w:r>
      <w:r>
        <w:rPr>
          <w:rFonts w:hint="eastAsia" w:ascii="仿宋_GB2312" w:hAnsi="仿宋_GB2312" w:eastAsia="仿宋_GB2312" w:cs="仿宋_GB2312"/>
          <w:spacing w:val="6"/>
          <w:sz w:val="32"/>
          <w:szCs w:val="32"/>
        </w:rPr>
        <w:t>财政</w:t>
      </w:r>
      <w:r>
        <w:rPr>
          <w:rFonts w:hint="eastAsia" w:ascii="仿宋_GB2312" w:hAnsi="仿宋_GB2312" w:eastAsia="仿宋_GB2312" w:cs="仿宋_GB2312"/>
          <w:spacing w:val="6"/>
          <w:sz w:val="32"/>
          <w:szCs w:val="32"/>
          <w:lang w:val="en-US" w:eastAsia="zh-CN"/>
        </w:rPr>
        <w:t>局</w:t>
      </w:r>
      <w:r>
        <w:rPr>
          <w:rFonts w:hint="eastAsia" w:ascii="仿宋_GB2312" w:hAnsi="仿宋_GB2312" w:eastAsia="仿宋_GB2312" w:cs="仿宋_GB2312"/>
          <w:spacing w:val="6"/>
          <w:sz w:val="32"/>
          <w:szCs w:val="32"/>
        </w:rPr>
        <w:t>业务处室充分沟通后再次梳理的202</w:t>
      </w: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年</w:t>
      </w:r>
      <w:r>
        <w:rPr>
          <w:rFonts w:hint="eastAsia" w:ascii="仿宋_GB2312" w:hAnsi="仿宋_GB2312" w:eastAsia="仿宋_GB2312" w:cs="仿宋_GB2312"/>
          <w:spacing w:val="6"/>
          <w:sz w:val="32"/>
          <w:szCs w:val="32"/>
          <w:lang w:eastAsia="zh-CN"/>
        </w:rPr>
        <w:t>普法宣传工作</w:t>
      </w:r>
      <w:r>
        <w:rPr>
          <w:rFonts w:hint="eastAsia" w:ascii="仿宋_GB2312" w:hAnsi="仿宋_GB2312" w:eastAsia="仿宋_GB2312" w:cs="仿宋_GB2312"/>
          <w:spacing w:val="6"/>
          <w:sz w:val="32"/>
          <w:szCs w:val="32"/>
        </w:rPr>
        <w:t>资金绩效目标</w:t>
      </w:r>
      <w:r>
        <w:rPr>
          <w:rFonts w:hint="eastAsia" w:ascii="仿宋_GB2312" w:hAnsi="仿宋_GB2312" w:eastAsia="仿宋_GB2312" w:cs="仿宋_GB2312"/>
          <w:spacing w:val="6"/>
          <w:sz w:val="32"/>
          <w:szCs w:val="32"/>
          <w:lang w:val="en-US" w:eastAsia="zh-CN"/>
        </w:rPr>
        <w:t>共4</w:t>
      </w:r>
      <w:r>
        <w:rPr>
          <w:rFonts w:hint="eastAsia" w:ascii="仿宋_GB2312" w:hAnsi="仿宋_GB2312" w:eastAsia="仿宋_GB2312" w:cs="仿宋_GB2312"/>
          <w:spacing w:val="6"/>
          <w:sz w:val="32"/>
          <w:szCs w:val="32"/>
        </w:rPr>
        <w:t>个，已完成</w:t>
      </w:r>
      <w:r>
        <w:rPr>
          <w:rFonts w:hint="eastAsia" w:ascii="仿宋_GB2312" w:hAnsi="仿宋_GB2312" w:eastAsia="仿宋_GB2312" w:cs="仿宋_GB2312"/>
          <w:spacing w:val="6"/>
          <w:sz w:val="32"/>
          <w:szCs w:val="32"/>
          <w:lang w:val="en-US" w:eastAsia="zh-CN"/>
        </w:rPr>
        <w:t>4</w:t>
      </w:r>
      <w:r>
        <w:rPr>
          <w:rFonts w:hint="eastAsia" w:ascii="仿宋_GB2312" w:hAnsi="仿宋_GB2312" w:eastAsia="仿宋_GB2312" w:cs="仿宋_GB2312"/>
          <w:spacing w:val="6"/>
          <w:sz w:val="32"/>
          <w:szCs w:val="32"/>
        </w:rPr>
        <w:t>个；绩效指标合计</w:t>
      </w:r>
      <w:r>
        <w:rPr>
          <w:rFonts w:hint="eastAsia" w:ascii="仿宋_GB2312" w:hAnsi="仿宋_GB2312" w:eastAsia="仿宋_GB2312" w:cs="仿宋_GB2312"/>
          <w:spacing w:val="6"/>
          <w:sz w:val="32"/>
          <w:szCs w:val="32"/>
          <w:lang w:val="en-US" w:eastAsia="zh-CN"/>
        </w:rPr>
        <w:t>14</w:t>
      </w:r>
      <w:r>
        <w:rPr>
          <w:rFonts w:hint="eastAsia" w:ascii="仿宋_GB2312" w:hAnsi="仿宋_GB2312" w:eastAsia="仿宋_GB2312" w:cs="仿宋_GB2312"/>
          <w:spacing w:val="6"/>
          <w:sz w:val="32"/>
          <w:szCs w:val="32"/>
        </w:rPr>
        <w:t>个，已完成</w:t>
      </w:r>
      <w:r>
        <w:rPr>
          <w:rFonts w:hint="eastAsia" w:ascii="仿宋_GB2312" w:hAnsi="仿宋_GB2312" w:eastAsia="仿宋_GB2312" w:cs="仿宋_GB2312"/>
          <w:spacing w:val="6"/>
          <w:sz w:val="32"/>
          <w:szCs w:val="32"/>
          <w:lang w:val="en-US" w:eastAsia="zh-CN"/>
        </w:rPr>
        <w:t>14</w:t>
      </w:r>
      <w:r>
        <w:rPr>
          <w:rFonts w:hint="eastAsia" w:ascii="仿宋_GB2312" w:hAnsi="仿宋_GB2312" w:eastAsia="仿宋_GB2312" w:cs="仿宋_GB2312"/>
          <w:spacing w:val="6"/>
          <w:sz w:val="32"/>
          <w:szCs w:val="32"/>
        </w:rPr>
        <w:t>个。绩效目标及绩效指标完成情况详见下表：</w:t>
      </w:r>
    </w:p>
    <w:tbl>
      <w:tblPr>
        <w:tblStyle w:val="19"/>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740"/>
        <w:gridCol w:w="1396"/>
        <w:gridCol w:w="1524"/>
        <w:gridCol w:w="15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334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202</w:t>
            </w:r>
            <w:r>
              <w:rPr>
                <w:rFonts w:hint="eastAsia" w:ascii="Times New Roman" w:hAnsi="Times New Roman" w:eastAsia="仿宋_GB2312" w:cs="Times New Roman"/>
                <w:b/>
                <w:bCs/>
                <w:i w:val="0"/>
                <w:iCs w:val="0"/>
                <w:color w:val="000000"/>
                <w:kern w:val="0"/>
                <w:sz w:val="24"/>
                <w:szCs w:val="24"/>
                <w:u w:val="none"/>
                <w:lang w:val="en-US" w:eastAsia="zh-CN" w:bidi="ar"/>
              </w:rPr>
              <w:t>1</w:t>
            </w:r>
            <w:r>
              <w:rPr>
                <w:rFonts w:hint="default" w:ascii="Times New Roman" w:hAnsi="Times New Roman" w:eastAsia="仿宋_GB2312" w:cs="Times New Roman"/>
                <w:b/>
                <w:bCs/>
                <w:i w:val="0"/>
                <w:iCs w:val="0"/>
                <w:color w:val="000000"/>
                <w:kern w:val="0"/>
                <w:sz w:val="24"/>
                <w:szCs w:val="24"/>
                <w:u w:val="none"/>
                <w:lang w:val="en-US" w:eastAsia="zh-CN" w:bidi="ar"/>
              </w:rPr>
              <w:t>年总体目标</w:t>
            </w:r>
          </w:p>
        </w:tc>
        <w:tc>
          <w:tcPr>
            <w:tcW w:w="16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202</w:t>
            </w:r>
            <w:r>
              <w:rPr>
                <w:rFonts w:hint="eastAsia" w:ascii="Times New Roman" w:hAnsi="Times New Roman" w:eastAsia="仿宋_GB2312" w:cs="Times New Roman"/>
                <w:b/>
                <w:bCs/>
                <w:i w:val="0"/>
                <w:iCs w:val="0"/>
                <w:color w:val="000000"/>
                <w:kern w:val="0"/>
                <w:sz w:val="24"/>
                <w:szCs w:val="24"/>
                <w:u w:val="none"/>
                <w:lang w:val="en-US" w:eastAsia="zh-CN" w:bidi="ar"/>
              </w:rPr>
              <w:t>1</w:t>
            </w:r>
            <w:r>
              <w:rPr>
                <w:rFonts w:hint="default" w:ascii="Times New Roman" w:hAnsi="Times New Roman" w:eastAsia="仿宋_GB2312" w:cs="Times New Roman"/>
                <w:b/>
                <w:bCs/>
                <w:i w:val="0"/>
                <w:iCs w:val="0"/>
                <w:color w:val="000000"/>
                <w:kern w:val="0"/>
                <w:sz w:val="24"/>
                <w:szCs w:val="24"/>
                <w:u w:val="none"/>
                <w:lang w:val="en-US" w:eastAsia="zh-CN" w:bidi="ar"/>
              </w:rPr>
              <w:t>年总体目标完成情况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8" w:hRule="atLeast"/>
        </w:trPr>
        <w:tc>
          <w:tcPr>
            <w:tcW w:w="334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jc w:val="left"/>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目标1：对重点人群开展免费核酸检测，并提供设备及人员物资支持。</w:t>
            </w:r>
          </w:p>
          <w:p>
            <w:pPr>
              <w:keepNext w:val="0"/>
              <w:keepLines w:val="0"/>
              <w:widowControl/>
              <w:suppressLineNumbers w:val="0"/>
              <w:spacing w:line="400" w:lineRule="exact"/>
              <w:jc w:val="left"/>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目标2：及时完成资料报送以及核酸检测经费拨付工作。</w:t>
            </w:r>
          </w:p>
          <w:p>
            <w:pPr>
              <w:keepNext w:val="0"/>
              <w:keepLines w:val="0"/>
              <w:widowControl/>
              <w:suppressLineNumbers w:val="0"/>
              <w:spacing w:line="400" w:lineRule="exact"/>
              <w:jc w:val="left"/>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目标3：对重点人群进行全面核酸检测，提高信息实时分析、研判效能，提升监测预警能力；及时发现新冠肺炎传染源，防止疫情扩散。</w:t>
            </w:r>
          </w:p>
          <w:p>
            <w:pPr>
              <w:keepNext w:val="0"/>
              <w:keepLines w:val="0"/>
              <w:widowControl/>
              <w:suppressLineNumbers w:val="0"/>
              <w:spacing w:line="400" w:lineRule="exact"/>
              <w:jc w:val="left"/>
              <w:textAlignment w:val="center"/>
              <w:rPr>
                <w:rFonts w:hint="default" w:ascii="Times New Roman" w:hAnsi="Times New Roman" w:eastAsia="仿宋_GB2312" w:cs="Times New Roman"/>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目标4：群众及工作人员满意度高于90%。</w:t>
            </w:r>
          </w:p>
        </w:tc>
        <w:tc>
          <w:tcPr>
            <w:tcW w:w="16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jc w:val="center"/>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目标1：已完成。</w:t>
            </w:r>
          </w:p>
          <w:p>
            <w:pPr>
              <w:keepNext w:val="0"/>
              <w:keepLines w:val="0"/>
              <w:widowControl/>
              <w:suppressLineNumbers w:val="0"/>
              <w:spacing w:line="400" w:lineRule="exact"/>
              <w:jc w:val="center"/>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目标2：已完成。</w:t>
            </w:r>
          </w:p>
          <w:p>
            <w:pPr>
              <w:keepNext w:val="0"/>
              <w:keepLines w:val="0"/>
              <w:widowControl/>
              <w:suppressLineNumbers w:val="0"/>
              <w:spacing w:line="400" w:lineRule="exact"/>
              <w:jc w:val="center"/>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目标3：已完成。</w:t>
            </w:r>
          </w:p>
          <w:p>
            <w:pPr>
              <w:keepNext w:val="0"/>
              <w:keepLines w:val="0"/>
              <w:widowControl/>
              <w:suppressLineNumbers w:val="0"/>
              <w:spacing w:line="400" w:lineRule="exact"/>
              <w:jc w:val="center"/>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目标4：已完成。</w:t>
            </w:r>
          </w:p>
          <w:p>
            <w:pPr>
              <w:keepNext w:val="0"/>
              <w:keepLines w:val="0"/>
              <w:widowControl/>
              <w:suppressLineNumbers w:val="0"/>
              <w:spacing w:line="400" w:lineRule="exact"/>
              <w:jc w:val="center"/>
              <w:textAlignment w:val="center"/>
              <w:rPr>
                <w:rFonts w:hint="default" w:ascii="Times New Roman" w:hAnsi="Times New Roman" w:eastAsia="仿宋_GB2312"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Style w:val="52"/>
                <w:rFonts w:hint="default" w:ascii="Times New Roman" w:hAnsi="Times New Roman" w:eastAsia="仿宋_GB2312" w:cs="Times New Roman"/>
                <w:sz w:val="24"/>
                <w:szCs w:val="24"/>
                <w:lang w:val="en-US" w:eastAsia="zh-CN" w:bidi="ar"/>
              </w:rPr>
              <w:t>三级指标</w:t>
            </w:r>
          </w:p>
        </w:tc>
        <w:tc>
          <w:tcPr>
            <w:tcW w:w="7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Style w:val="52"/>
                <w:rFonts w:hint="default" w:ascii="Times New Roman" w:hAnsi="Times New Roman" w:eastAsia="仿宋_GB2312" w:cs="Times New Roman"/>
                <w:sz w:val="24"/>
                <w:szCs w:val="24"/>
                <w:lang w:val="en-US" w:eastAsia="zh-CN" w:bidi="ar"/>
              </w:rPr>
              <w:t>指标值</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Style w:val="52"/>
                <w:rFonts w:hint="default" w:ascii="Times New Roman" w:hAnsi="Times New Roman" w:eastAsia="仿宋_GB2312" w:cs="Times New Roman"/>
                <w:sz w:val="24"/>
                <w:szCs w:val="24"/>
                <w:lang w:val="en-US" w:eastAsia="zh-CN" w:bidi="ar"/>
              </w:rPr>
              <w:t>指标完成情况</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Style w:val="52"/>
                <w:rFonts w:hint="default" w:ascii="Times New Roman" w:hAnsi="Times New Roman" w:eastAsia="仿宋_GB2312" w:cs="Times New Roman"/>
                <w:sz w:val="24"/>
                <w:szCs w:val="24"/>
                <w:lang w:val="en-US" w:eastAsia="zh-CN" w:bidi="ar"/>
              </w:rPr>
              <w:t>完成情况说明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重点人群核酸检测完成率</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=100%</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购买全自动核酸提纯及荧光PCR分析系统数量</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≥2套</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=2套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医护人员核酸采样培训率</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=100%</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租赁办公楼面积</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=2186m²</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=2186m²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重点人群核酸检测覆盖率</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=100%</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租赁办公楼租金支付准确率</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=100%</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资料报送及时性</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=100%</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资金拨付及时性</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=100%</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新冠病毒核酸检测费用标准</w:t>
            </w:r>
          </w:p>
        </w:tc>
        <w:tc>
          <w:tcPr>
            <w:tcW w:w="7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满足标准</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满足标准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及时发现新冠肺炎传染源，防止疫情扩散</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有效防止</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有效防止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为新冠肺炎疫情提升监测预警能力</w:t>
            </w:r>
          </w:p>
        </w:tc>
        <w:tc>
          <w:tcPr>
            <w:tcW w:w="7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有效提升</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有效提升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为新冠肺炎疫情检测持续提供技术与设备支持</w:t>
            </w:r>
          </w:p>
        </w:tc>
        <w:tc>
          <w:tcPr>
            <w:tcW w:w="7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持续提供</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持续提供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群众满意度</w:t>
            </w:r>
          </w:p>
        </w:tc>
        <w:tc>
          <w:tcPr>
            <w:tcW w:w="7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≥90%</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98.71%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工作人员满意度</w:t>
            </w:r>
          </w:p>
        </w:tc>
        <w:tc>
          <w:tcPr>
            <w:tcW w:w="7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≥90%</w:t>
            </w:r>
          </w:p>
        </w:tc>
        <w:tc>
          <w:tcPr>
            <w:tcW w:w="8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已完成</w:t>
            </w:r>
          </w:p>
        </w:tc>
        <w:tc>
          <w:tcPr>
            <w:tcW w:w="8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95.68%</w:t>
            </w:r>
          </w:p>
        </w:tc>
      </w:t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tbl>
    <w:p>
      <w:pPr>
        <w:pStyle w:val="4"/>
        <w:keepNext w:val="0"/>
        <w:keepLines w:val="0"/>
        <w:widowControl w:val="0"/>
        <w:spacing w:before="0" w:after="0" w:line="590" w:lineRule="exact"/>
        <w:ind w:firstLine="640" w:firstLineChars="200"/>
        <w:rPr>
          <w:rFonts w:ascii="黑体" w:hAnsi="黑体" w:eastAsia="黑体"/>
          <w:b w:val="0"/>
          <w:sz w:val="32"/>
          <w:szCs w:val="32"/>
        </w:rPr>
      </w:pPr>
      <w:bookmarkStart w:id="186" w:name="_Toc17357"/>
      <w:bookmarkStart w:id="187" w:name="_Toc13636"/>
      <w:bookmarkStart w:id="188" w:name="_Toc24205"/>
      <w:bookmarkStart w:id="189" w:name="_Toc1865"/>
      <w:bookmarkStart w:id="190" w:name="_Toc8587"/>
      <w:bookmarkStart w:id="191" w:name="_Toc10089"/>
      <w:bookmarkStart w:id="192" w:name="_Toc16158"/>
      <w:bookmarkStart w:id="193" w:name="_Toc20691"/>
      <w:bookmarkStart w:id="194" w:name="_Toc41306289"/>
      <w:bookmarkStart w:id="195" w:name="_Toc3556"/>
      <w:bookmarkStart w:id="196" w:name="_Toc27524"/>
      <w:bookmarkStart w:id="197" w:name="_Toc27431"/>
      <w:bookmarkStart w:id="198" w:name="_Toc15702"/>
      <w:bookmarkStart w:id="199" w:name="_Toc31660"/>
      <w:bookmarkStart w:id="200" w:name="_Toc22862"/>
      <w:bookmarkStart w:id="201" w:name="_Toc31784"/>
      <w:bookmarkStart w:id="202" w:name="_Toc31962"/>
      <w:bookmarkStart w:id="203" w:name="_Toc4420"/>
      <w:bookmarkStart w:id="204" w:name="_Toc30285"/>
      <w:r>
        <w:rPr>
          <w:rFonts w:hint="eastAsia"/>
          <w:b w:val="0"/>
          <w:sz w:val="32"/>
          <w:szCs w:val="32"/>
          <w:lang w:eastAsia="zh-CN"/>
        </w:rPr>
        <w:t>三</w:t>
      </w:r>
      <w:r>
        <w:rPr>
          <w:rFonts w:hint="eastAsia" w:ascii="黑体" w:hAnsi="黑体" w:eastAsia="黑体"/>
          <w:b w:val="0"/>
          <w:sz w:val="32"/>
          <w:szCs w:val="32"/>
        </w:rPr>
        <w:t>、存在问题及</w:t>
      </w:r>
      <w:bookmarkEnd w:id="186"/>
      <w:bookmarkEnd w:id="187"/>
      <w:bookmarkEnd w:id="188"/>
      <w:bookmarkEnd w:id="189"/>
      <w:bookmarkEnd w:id="190"/>
      <w:bookmarkEnd w:id="191"/>
      <w:bookmarkEnd w:id="192"/>
      <w:bookmarkEnd w:id="193"/>
      <w:bookmarkEnd w:id="194"/>
      <w:r>
        <w:rPr>
          <w:rFonts w:hint="eastAsia" w:ascii="黑体" w:hAnsi="黑体" w:eastAsia="黑体"/>
          <w:b w:val="0"/>
          <w:sz w:val="32"/>
          <w:szCs w:val="32"/>
        </w:rPr>
        <w:t>原因分析</w:t>
      </w:r>
      <w:bookmarkEnd w:id="195"/>
      <w:bookmarkEnd w:id="196"/>
      <w:bookmarkEnd w:id="197"/>
      <w:bookmarkEnd w:id="198"/>
      <w:bookmarkEnd w:id="199"/>
      <w:bookmarkEnd w:id="200"/>
      <w:bookmarkEnd w:id="201"/>
      <w:bookmarkEnd w:id="202"/>
      <w:bookmarkEnd w:id="203"/>
      <w:bookmarkEnd w:id="204"/>
    </w:p>
    <w:p>
      <w:pPr>
        <w:widowControl w:val="0"/>
        <w:adjustRightInd w:val="0"/>
        <w:spacing w:beforeLines="0" w:line="590" w:lineRule="exact"/>
        <w:ind w:firstLine="640" w:firstLineChars="200"/>
        <w:jc w:val="both"/>
        <w:outlineLvl w:val="1"/>
        <w:rPr>
          <w:rFonts w:ascii="仿宋_GB2312" w:hAnsi="仿宋_GB2312" w:eastAsia="仿宋_GB2312" w:cs="仿宋_GB2312"/>
          <w:bCs/>
          <w:spacing w:val="6"/>
          <w:sz w:val="32"/>
          <w:szCs w:val="32"/>
        </w:rPr>
      </w:pPr>
      <w:bookmarkStart w:id="205" w:name="_Toc8324"/>
      <w:bookmarkStart w:id="206" w:name="_Toc32631"/>
      <w:bookmarkStart w:id="207" w:name="_Toc3939"/>
      <w:bookmarkStart w:id="208" w:name="_Toc19943"/>
      <w:bookmarkStart w:id="209" w:name="_Toc12532"/>
      <w:bookmarkStart w:id="210" w:name="_Toc150"/>
      <w:bookmarkStart w:id="211" w:name="_Toc531300200"/>
      <w:r>
        <w:rPr>
          <w:rFonts w:hint="eastAsia" w:ascii="楷体_GB2312" w:hAnsi="楷体_GB2312" w:eastAsia="楷体_GB2312" w:cs="楷体_GB2312"/>
          <w:sz w:val="32"/>
          <w:szCs w:val="32"/>
          <w:lang w:val="en-US" w:eastAsia="zh-CN"/>
        </w:rPr>
        <w:t>（一）资金管理</w:t>
      </w:r>
      <w:r>
        <w:rPr>
          <w:rFonts w:hint="eastAsia" w:ascii="楷体_GB2312" w:hAnsi="楷体_GB2312" w:eastAsia="楷体_GB2312" w:cs="楷体_GB2312"/>
          <w:sz w:val="32"/>
          <w:szCs w:val="32"/>
          <w:lang w:val="zh-CN" w:eastAsia="zh-CN"/>
        </w:rPr>
        <w:t>方面</w:t>
      </w:r>
      <w:bookmarkEnd w:id="205"/>
    </w:p>
    <w:p>
      <w:pPr>
        <w:widowControl w:val="0"/>
        <w:adjustRightInd w:val="0"/>
        <w:spacing w:line="590" w:lineRule="exact"/>
        <w:ind w:firstLine="664" w:firstLineChars="200"/>
        <w:jc w:val="both"/>
        <w:rPr>
          <w:rFonts w:hint="eastAsia" w:ascii="仿宋_GB2312" w:hAnsi="仿宋_GB2312" w:eastAsia="仿宋_GB2312" w:cs="仿宋_GB2312"/>
          <w:bCs w:val="0"/>
          <w:spacing w:val="6"/>
          <w:kern w:val="2"/>
          <w:sz w:val="32"/>
          <w:szCs w:val="32"/>
          <w:lang w:val="en-US" w:eastAsia="zh-CN"/>
        </w:rPr>
      </w:pPr>
      <w:r>
        <w:rPr>
          <w:rFonts w:hint="eastAsia" w:ascii="仿宋_GB2312" w:hAnsi="仿宋_GB2312" w:eastAsia="仿宋_GB2312" w:cs="仿宋_GB2312"/>
          <w:bCs w:val="0"/>
          <w:spacing w:val="6"/>
          <w:kern w:val="2"/>
          <w:sz w:val="32"/>
          <w:szCs w:val="32"/>
          <w:lang w:val="en-US" w:eastAsia="zh-CN"/>
        </w:rPr>
        <w:t>区卫健局2021年初未对本项目编制项目预算，主要原因系2021年区卫健局对疫情防控经费已编制整体预算，全员核酸筛查物资及检测试剂经费属于疫情防控经费中的一部分，故未对其再进行预算编制工作。</w:t>
      </w:r>
    </w:p>
    <w:p>
      <w:pPr>
        <w:widowControl w:val="0"/>
        <w:adjustRightInd w:val="0"/>
        <w:spacing w:beforeLines="0" w:line="590" w:lineRule="exact"/>
        <w:ind w:firstLine="640" w:firstLineChars="200"/>
        <w:jc w:val="both"/>
        <w:outlineLvl w:val="1"/>
        <w:rPr>
          <w:rFonts w:ascii="仿宋_GB2312" w:hAnsi="仿宋_GB2312" w:eastAsia="仿宋_GB2312" w:cs="仿宋_GB2312"/>
          <w:bCs/>
          <w:spacing w:val="6"/>
          <w:sz w:val="32"/>
          <w:szCs w:val="32"/>
        </w:rPr>
      </w:pPr>
      <w:bookmarkStart w:id="212" w:name="_Toc32636"/>
      <w:r>
        <w:rPr>
          <w:rFonts w:hint="eastAsia" w:ascii="楷体_GB2312" w:hAnsi="楷体_GB2312" w:eastAsia="楷体_GB2312" w:cs="楷体_GB2312"/>
          <w:sz w:val="32"/>
          <w:szCs w:val="32"/>
          <w:lang w:val="en-US" w:eastAsia="zh-CN"/>
        </w:rPr>
        <w:t>（二）绩效管理</w:t>
      </w:r>
      <w:r>
        <w:rPr>
          <w:rFonts w:hint="eastAsia" w:ascii="楷体_GB2312" w:hAnsi="楷体_GB2312" w:eastAsia="楷体_GB2312" w:cs="楷体_GB2312"/>
          <w:sz w:val="32"/>
          <w:szCs w:val="32"/>
          <w:lang w:val="zh-CN" w:eastAsia="zh-CN"/>
        </w:rPr>
        <w:t>方面</w:t>
      </w:r>
      <w:bookmarkEnd w:id="206"/>
      <w:bookmarkEnd w:id="207"/>
      <w:bookmarkEnd w:id="208"/>
      <w:bookmarkEnd w:id="209"/>
      <w:bookmarkEnd w:id="210"/>
      <w:bookmarkEnd w:id="212"/>
    </w:p>
    <w:p>
      <w:pPr>
        <w:widowControl w:val="0"/>
        <w:adjustRightInd w:val="0"/>
        <w:spacing w:line="590" w:lineRule="exact"/>
        <w:ind w:firstLine="664" w:firstLineChars="200"/>
        <w:jc w:val="both"/>
        <w:outlineLvl w:val="9"/>
        <w:rPr>
          <w:rFonts w:hint="eastAsia" w:ascii="仿宋_GB2312" w:hAnsi="仿宋_GB2312" w:eastAsia="仿宋_GB2312" w:cs="仿宋_GB2312"/>
          <w:bCs/>
          <w:spacing w:val="6"/>
          <w:sz w:val="32"/>
          <w:szCs w:val="32"/>
          <w:highlight w:val="none"/>
          <w:lang w:val="zh-CN" w:eastAsia="zh-CN"/>
        </w:rPr>
      </w:pPr>
      <w:bookmarkStart w:id="213" w:name="_Toc11161"/>
      <w:bookmarkStart w:id="214" w:name="_Toc8981"/>
      <w:bookmarkStart w:id="215" w:name="_Toc2626"/>
      <w:bookmarkStart w:id="216" w:name="_Toc14926"/>
      <w:bookmarkStart w:id="217" w:name="_Toc32484"/>
      <w:bookmarkStart w:id="218" w:name="_Toc18641"/>
      <w:bookmarkStart w:id="219" w:name="_Toc30801"/>
      <w:bookmarkStart w:id="220" w:name="_Toc41306291"/>
      <w:bookmarkStart w:id="221" w:name="_Toc12627"/>
      <w:bookmarkStart w:id="222" w:name="_Toc11877"/>
      <w:bookmarkStart w:id="223" w:name="_Toc1253"/>
      <w:r>
        <w:rPr>
          <w:rFonts w:hint="eastAsia" w:ascii="仿宋_GB2312" w:hAnsi="仿宋_GB2312" w:eastAsia="仿宋_GB2312" w:cs="仿宋_GB2312"/>
          <w:bCs/>
          <w:spacing w:val="6"/>
          <w:sz w:val="32"/>
          <w:szCs w:val="32"/>
          <w:highlight w:val="none"/>
          <w:lang w:val="zh-CN" w:eastAsia="zh-CN"/>
        </w:rPr>
        <w:t>一是绩效指标与项目计划数不对应，未设置根据项目预算设置成本指标；二是绩效指标未通过清晰、可衡量的指标值予以体现的情况，如质量指标中“达标”，经社会效益指标中“达标”。</w:t>
      </w:r>
    </w:p>
    <w:p>
      <w:pPr>
        <w:widowControl w:val="0"/>
        <w:adjustRightInd w:val="0"/>
        <w:spacing w:line="590" w:lineRule="exact"/>
        <w:ind w:firstLine="664" w:firstLineChars="200"/>
        <w:jc w:val="both"/>
        <w:outlineLvl w:val="9"/>
        <w:rPr>
          <w:rFonts w:hint="eastAsia" w:ascii="黑体" w:hAnsi="黑体" w:eastAsia="黑体" w:cs="黑体"/>
          <w:spacing w:val="6"/>
          <w:sz w:val="32"/>
          <w:szCs w:val="32"/>
          <w:lang w:val="en-US" w:eastAsia="zh-CN"/>
        </w:rPr>
      </w:pPr>
      <w:r>
        <w:rPr>
          <w:rFonts w:hint="default" w:ascii="仿宋_GB2312" w:hAnsi="仿宋_GB2312" w:eastAsia="仿宋_GB2312" w:cs="仿宋_GB2312"/>
          <w:bCs/>
          <w:spacing w:val="6"/>
          <w:sz w:val="32"/>
          <w:szCs w:val="32"/>
          <w:highlight w:val="none"/>
          <w:lang w:val="en-US" w:eastAsia="zh-CN"/>
        </w:rPr>
        <w:t>主要原因</w:t>
      </w:r>
      <w:r>
        <w:rPr>
          <w:rFonts w:hint="eastAsia" w:ascii="仿宋_GB2312" w:hAnsi="仿宋_GB2312" w:eastAsia="仿宋_GB2312" w:cs="仿宋_GB2312"/>
          <w:bCs/>
          <w:spacing w:val="6"/>
          <w:sz w:val="32"/>
          <w:szCs w:val="32"/>
          <w:highlight w:val="none"/>
          <w:lang w:val="en-US" w:eastAsia="zh-CN"/>
        </w:rPr>
        <w:t>系对《中共中央 国务院关于全面实施预算绩效管理的意见》（中发〔2018〕34号）和《省财政厅关于批复2018年度省级主管部门项目支出绩效目标的通知》（黔财绩〔2018〕1号）等文件学习不够深入，政策落实力度不够，对预算绩效管理政策制度及财政资金支出绩效指标体系研究不够深入、全面。</w:t>
      </w:r>
    </w:p>
    <w:p>
      <w:pPr>
        <w:widowControl w:val="0"/>
        <w:spacing w:beforeLines="0" w:line="590" w:lineRule="exact"/>
        <w:ind w:firstLine="664" w:firstLineChars="200"/>
        <w:jc w:val="both"/>
        <w:outlineLvl w:val="0"/>
        <w:rPr>
          <w:rFonts w:hint="eastAsia" w:ascii="黑体" w:hAnsi="黑体" w:eastAsia="黑体" w:cs="黑体"/>
          <w:spacing w:val="6"/>
          <w:sz w:val="32"/>
          <w:szCs w:val="32"/>
          <w:lang w:val="zh-CN"/>
        </w:rPr>
      </w:pPr>
      <w:bookmarkStart w:id="224" w:name="_Toc32595"/>
      <w:bookmarkStart w:id="225" w:name="_Toc17453"/>
      <w:bookmarkStart w:id="226" w:name="_Toc16529"/>
      <w:bookmarkStart w:id="227" w:name="_Toc8364"/>
      <w:bookmarkStart w:id="228" w:name="_Toc29093"/>
      <w:bookmarkStart w:id="229" w:name="_Toc750"/>
      <w:r>
        <w:rPr>
          <w:rFonts w:hint="eastAsia" w:ascii="黑体" w:hAnsi="黑体" w:eastAsia="黑体" w:cs="黑体"/>
          <w:spacing w:val="6"/>
          <w:sz w:val="32"/>
          <w:szCs w:val="32"/>
          <w:lang w:val="en-US" w:eastAsia="zh-CN"/>
        </w:rPr>
        <w:t>四、</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Pr>
          <w:rFonts w:hint="eastAsia" w:ascii="黑体" w:hAnsi="黑体" w:eastAsia="黑体" w:cs="黑体"/>
          <w:spacing w:val="6"/>
          <w:sz w:val="32"/>
          <w:szCs w:val="32"/>
          <w:lang w:val="en-US" w:eastAsia="zh-CN"/>
        </w:rPr>
        <w:t>针对问题提出的建议</w:t>
      </w:r>
      <w:bookmarkEnd w:id="229"/>
    </w:p>
    <w:p>
      <w:pPr>
        <w:widowControl w:val="0"/>
        <w:adjustRightInd/>
        <w:spacing w:beforeLines="0" w:line="590" w:lineRule="exact"/>
        <w:ind w:firstLine="640" w:firstLineChars="200"/>
        <w:jc w:val="both"/>
        <w:outlineLvl w:val="1"/>
        <w:rPr>
          <w:rFonts w:hint="eastAsia" w:ascii="仿宋_GB2312" w:hAnsi="仿宋_GB2312" w:eastAsia="仿宋_GB2312" w:cs="仿宋_GB2312"/>
          <w:spacing w:val="6"/>
          <w:sz w:val="32"/>
          <w:szCs w:val="32"/>
          <w:highlight w:val="none"/>
          <w:lang w:val="zh-CN" w:eastAsia="zh-CN"/>
        </w:rPr>
      </w:pPr>
      <w:bookmarkStart w:id="230" w:name="_Toc30520"/>
      <w:bookmarkStart w:id="231" w:name="_Toc20522"/>
      <w:bookmarkStart w:id="232" w:name="_Toc12003"/>
      <w:bookmarkStart w:id="233" w:name="_Toc11258"/>
      <w:bookmarkStart w:id="234" w:name="_Toc23092"/>
      <w:bookmarkStart w:id="235" w:name="_Toc8038"/>
      <w:r>
        <w:rPr>
          <w:rFonts w:hint="eastAsia" w:ascii="楷体_GB2312" w:hAnsi="楷体_GB2312" w:eastAsia="楷体_GB2312" w:cs="楷体_GB2312"/>
          <w:sz w:val="32"/>
          <w:szCs w:val="32"/>
          <w:lang w:val="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val="zh-CN"/>
        </w:rPr>
        <w:t>）</w:t>
      </w:r>
      <w:r>
        <w:rPr>
          <w:rFonts w:hint="eastAsia" w:ascii="楷体_GB2312" w:hAnsi="楷体_GB2312" w:eastAsia="楷体_GB2312" w:cs="楷体_GB2312"/>
          <w:sz w:val="32"/>
          <w:szCs w:val="32"/>
          <w:lang w:val="en-US" w:eastAsia="zh-CN"/>
        </w:rPr>
        <w:t>资金管理方面</w:t>
      </w:r>
      <w:bookmarkEnd w:id="230"/>
      <w:bookmarkEnd w:id="231"/>
      <w:bookmarkEnd w:id="232"/>
      <w:bookmarkEnd w:id="233"/>
    </w:p>
    <w:p>
      <w:pPr>
        <w:widowControl w:val="0"/>
        <w:adjustRightInd w:val="0"/>
        <w:spacing w:line="590" w:lineRule="exact"/>
        <w:ind w:firstLine="664" w:firstLineChars="200"/>
        <w:jc w:val="both"/>
        <w:outlineLvl w:val="9"/>
        <w:rPr>
          <w:rFonts w:hint="eastAsia" w:ascii="仿宋_GB2312" w:hAnsi="仿宋_GB2312" w:eastAsia="仿宋_GB2312" w:cs="仿宋_GB2312"/>
          <w:bCs/>
          <w:spacing w:val="6"/>
          <w:sz w:val="32"/>
          <w:szCs w:val="32"/>
          <w:highlight w:val="none"/>
          <w:lang w:val="en-US" w:eastAsia="zh-CN"/>
        </w:rPr>
      </w:pPr>
      <w:r>
        <w:rPr>
          <w:rFonts w:hint="default" w:ascii="仿宋_GB2312" w:hAnsi="仿宋_GB2312" w:eastAsia="仿宋_GB2312" w:cs="仿宋_GB2312"/>
          <w:bCs/>
          <w:spacing w:val="6"/>
          <w:sz w:val="32"/>
          <w:szCs w:val="32"/>
          <w:highlight w:val="none"/>
          <w:lang w:val="en-US" w:eastAsia="zh-CN"/>
        </w:rPr>
        <w:t>建议区</w:t>
      </w:r>
      <w:r>
        <w:rPr>
          <w:rFonts w:hint="eastAsia" w:ascii="仿宋_GB2312" w:hAnsi="仿宋_GB2312" w:eastAsia="仿宋_GB2312" w:cs="仿宋_GB2312"/>
          <w:bCs/>
          <w:spacing w:val="6"/>
          <w:sz w:val="32"/>
          <w:szCs w:val="32"/>
          <w:highlight w:val="none"/>
          <w:lang w:val="en-US" w:eastAsia="zh-CN"/>
        </w:rPr>
        <w:t>卫健局</w:t>
      </w:r>
      <w:r>
        <w:rPr>
          <w:rFonts w:hint="default" w:ascii="仿宋_GB2312" w:hAnsi="仿宋_GB2312" w:eastAsia="仿宋_GB2312" w:cs="仿宋_GB2312"/>
          <w:bCs/>
          <w:spacing w:val="6"/>
          <w:sz w:val="32"/>
          <w:szCs w:val="32"/>
          <w:highlight w:val="none"/>
          <w:lang w:val="en-US" w:eastAsia="zh-CN"/>
        </w:rPr>
        <w:t>在以后年度申报</w:t>
      </w:r>
      <w:r>
        <w:rPr>
          <w:rFonts w:hint="eastAsia" w:ascii="仿宋_GB2312" w:hAnsi="仿宋_GB2312" w:eastAsia="仿宋_GB2312" w:cs="仿宋_GB2312"/>
          <w:bCs/>
          <w:spacing w:val="6"/>
          <w:sz w:val="32"/>
          <w:szCs w:val="32"/>
          <w:highlight w:val="none"/>
          <w:lang w:val="en-US" w:eastAsia="zh-CN"/>
        </w:rPr>
        <w:t>项目</w:t>
      </w:r>
      <w:r>
        <w:rPr>
          <w:rFonts w:hint="default" w:ascii="仿宋_GB2312" w:hAnsi="仿宋_GB2312" w:eastAsia="仿宋_GB2312" w:cs="仿宋_GB2312"/>
          <w:bCs/>
          <w:spacing w:val="6"/>
          <w:sz w:val="32"/>
          <w:szCs w:val="32"/>
          <w:highlight w:val="none"/>
          <w:lang w:val="en-US" w:eastAsia="zh-CN"/>
        </w:rPr>
        <w:t>时，明确项目实际实施内容，并按照项目实际实施内容编制预算</w:t>
      </w:r>
      <w:r>
        <w:rPr>
          <w:rFonts w:hint="eastAsia" w:ascii="仿宋_GB2312" w:hAnsi="仿宋_GB2312" w:eastAsia="仿宋_GB2312" w:cs="仿宋_GB2312"/>
          <w:bCs/>
          <w:spacing w:val="6"/>
          <w:sz w:val="32"/>
          <w:szCs w:val="32"/>
          <w:highlight w:val="none"/>
          <w:lang w:val="en-US" w:eastAsia="zh-CN"/>
        </w:rPr>
        <w:t>。</w:t>
      </w:r>
      <w:r>
        <w:rPr>
          <w:rFonts w:hint="default" w:ascii="仿宋_GB2312" w:hAnsi="仿宋_GB2312" w:eastAsia="仿宋_GB2312" w:cs="仿宋_GB2312"/>
          <w:bCs/>
          <w:spacing w:val="6"/>
          <w:sz w:val="32"/>
          <w:szCs w:val="32"/>
          <w:highlight w:val="none"/>
          <w:lang w:val="en-US" w:eastAsia="zh-CN"/>
        </w:rPr>
        <w:t>同时，加强预算编制培训工作，提高预算编制的科学性</w:t>
      </w:r>
      <w:r>
        <w:rPr>
          <w:rFonts w:hint="eastAsia" w:ascii="仿宋_GB2312" w:hAnsi="仿宋_GB2312" w:eastAsia="仿宋_GB2312" w:cs="仿宋_GB2312"/>
          <w:bCs/>
          <w:spacing w:val="6"/>
          <w:sz w:val="32"/>
          <w:szCs w:val="32"/>
          <w:highlight w:val="none"/>
          <w:lang w:val="en-US" w:eastAsia="zh-CN"/>
        </w:rPr>
        <w:t>，完成预算编制工作</w:t>
      </w:r>
      <w:r>
        <w:rPr>
          <w:rFonts w:hint="default" w:ascii="仿宋_GB2312" w:hAnsi="仿宋_GB2312" w:eastAsia="仿宋_GB2312" w:cs="仿宋_GB2312"/>
          <w:bCs/>
          <w:spacing w:val="6"/>
          <w:sz w:val="32"/>
          <w:szCs w:val="32"/>
          <w:highlight w:val="none"/>
          <w:lang w:val="en-US" w:eastAsia="zh-CN"/>
        </w:rPr>
        <w:t>。</w:t>
      </w:r>
    </w:p>
    <w:p>
      <w:pPr>
        <w:widowControl w:val="0"/>
        <w:spacing w:line="590" w:lineRule="exact"/>
        <w:ind w:firstLine="664" w:firstLineChars="200"/>
        <w:jc w:val="both"/>
        <w:outlineLvl w:val="1"/>
        <w:rPr>
          <w:rFonts w:hint="eastAsia" w:ascii="仿宋_GB2312" w:hAnsi="仿宋_GB2312" w:eastAsia="仿宋_GB2312" w:cs="仿宋_GB2312"/>
          <w:spacing w:val="6"/>
          <w:sz w:val="32"/>
          <w:szCs w:val="32"/>
          <w:lang w:eastAsia="zh-CN"/>
        </w:rPr>
      </w:pPr>
      <w:bookmarkStart w:id="236" w:name="_Toc29654"/>
      <w:bookmarkStart w:id="237" w:name="_Toc9467"/>
      <w:bookmarkStart w:id="238" w:name="_Toc6499"/>
      <w:bookmarkStart w:id="239" w:name="_Toc602"/>
      <w:r>
        <w:rPr>
          <w:rFonts w:hint="eastAsia" w:ascii="楷体_GB2312" w:hAnsi="楷体_GB2312" w:eastAsia="楷体_GB2312" w:cs="楷体_GB2312"/>
          <w:spacing w:val="6"/>
          <w:sz w:val="32"/>
          <w:szCs w:val="32"/>
          <w:lang w:val="en-US" w:eastAsia="zh-CN"/>
        </w:rPr>
        <w:t>（二）</w:t>
      </w:r>
      <w:r>
        <w:rPr>
          <w:rFonts w:hint="eastAsia" w:ascii="楷体_GB2312" w:hAnsi="楷体_GB2312" w:eastAsia="楷体_GB2312" w:cs="楷体_GB2312"/>
          <w:spacing w:val="6"/>
          <w:sz w:val="32"/>
          <w:szCs w:val="32"/>
        </w:rPr>
        <w:t>绩效管理方面</w:t>
      </w:r>
      <w:bookmarkEnd w:id="234"/>
      <w:bookmarkEnd w:id="235"/>
      <w:bookmarkEnd w:id="236"/>
      <w:bookmarkEnd w:id="237"/>
      <w:bookmarkEnd w:id="238"/>
      <w:bookmarkEnd w:id="239"/>
    </w:p>
    <w:p>
      <w:pPr>
        <w:widowControl w:val="0"/>
        <w:adjustRightInd w:val="0"/>
        <w:spacing w:line="590" w:lineRule="exact"/>
        <w:ind w:firstLine="664" w:firstLineChars="200"/>
        <w:jc w:val="both"/>
        <w:outlineLvl w:val="9"/>
        <w:rPr>
          <w:rFonts w:hint="eastAsia" w:ascii="仿宋_GB2312" w:hAnsi="仿宋_GB2312" w:eastAsia="仿宋_GB2312" w:cs="仿宋_GB2312"/>
          <w:bCs/>
          <w:spacing w:val="6"/>
          <w:sz w:val="32"/>
          <w:szCs w:val="32"/>
          <w:highlight w:val="none"/>
          <w:lang w:val="en-US" w:eastAsia="zh-CN"/>
        </w:rPr>
      </w:pPr>
      <w:bookmarkStart w:id="240" w:name="_Toc11118"/>
      <w:bookmarkStart w:id="241" w:name="_Toc8689"/>
      <w:bookmarkStart w:id="242" w:name="_Toc41306292"/>
      <w:bookmarkStart w:id="243" w:name="_Toc15360"/>
      <w:bookmarkStart w:id="244" w:name="_Toc2462"/>
      <w:bookmarkStart w:id="245" w:name="_Toc26017"/>
      <w:bookmarkStart w:id="246" w:name="_Toc3549"/>
      <w:bookmarkStart w:id="247" w:name="_Toc16746"/>
      <w:bookmarkStart w:id="248" w:name="_Toc21954"/>
      <w:bookmarkStart w:id="249" w:name="_Toc15590"/>
      <w:bookmarkStart w:id="250" w:name="_Toc6701"/>
      <w:bookmarkStart w:id="251" w:name="_Toc21085"/>
      <w:bookmarkStart w:id="252" w:name="_Toc29135"/>
      <w:r>
        <w:rPr>
          <w:rFonts w:hint="default" w:ascii="仿宋_GB2312" w:hAnsi="仿宋_GB2312" w:eastAsia="仿宋_GB2312" w:cs="仿宋_GB2312"/>
          <w:bCs/>
          <w:spacing w:val="6"/>
          <w:sz w:val="32"/>
          <w:szCs w:val="32"/>
          <w:highlight w:val="none"/>
          <w:lang w:val="en-US" w:eastAsia="zh-CN"/>
        </w:rPr>
        <w:t>建议区</w:t>
      </w:r>
      <w:r>
        <w:rPr>
          <w:rFonts w:hint="eastAsia" w:ascii="仿宋_GB2312" w:hAnsi="仿宋_GB2312" w:eastAsia="仿宋_GB2312" w:cs="仿宋_GB2312"/>
          <w:bCs/>
          <w:spacing w:val="6"/>
          <w:sz w:val="32"/>
          <w:szCs w:val="32"/>
          <w:highlight w:val="none"/>
          <w:lang w:val="en-US" w:eastAsia="zh-CN"/>
        </w:rPr>
        <w:t>卫健局</w:t>
      </w:r>
      <w:r>
        <w:rPr>
          <w:rFonts w:hint="default" w:ascii="仿宋_GB2312" w:hAnsi="仿宋_GB2312" w:eastAsia="仿宋_GB2312" w:cs="仿宋_GB2312"/>
          <w:bCs/>
          <w:spacing w:val="6"/>
          <w:sz w:val="32"/>
          <w:szCs w:val="32"/>
          <w:highlight w:val="none"/>
          <w:lang w:val="en-US" w:eastAsia="zh-CN"/>
        </w:rPr>
        <w:t>在以后年度编制绩效目标时，加强部门内部相关工作人员绩效管理培训和学习，根据项目实际情况设置项目绩效目标，一是</w:t>
      </w:r>
      <w:r>
        <w:rPr>
          <w:rFonts w:hint="eastAsia" w:ascii="仿宋_GB2312" w:hAnsi="仿宋_GB2312" w:eastAsia="仿宋_GB2312" w:cs="仿宋_GB2312"/>
          <w:bCs/>
          <w:spacing w:val="6"/>
          <w:sz w:val="32"/>
          <w:szCs w:val="32"/>
          <w:highlight w:val="none"/>
          <w:lang w:val="en-US" w:eastAsia="zh-CN"/>
        </w:rPr>
        <w:t>结合</w:t>
      </w:r>
      <w:r>
        <w:rPr>
          <w:rFonts w:hint="default" w:ascii="仿宋_GB2312" w:hAnsi="仿宋_GB2312" w:eastAsia="仿宋_GB2312" w:cs="仿宋_GB2312"/>
          <w:bCs/>
          <w:spacing w:val="6"/>
          <w:sz w:val="32"/>
          <w:szCs w:val="32"/>
          <w:highlight w:val="none"/>
          <w:lang w:val="en-US" w:eastAsia="zh-CN"/>
        </w:rPr>
        <w:t>项目</w:t>
      </w:r>
      <w:r>
        <w:rPr>
          <w:rFonts w:hint="eastAsia" w:ascii="仿宋_GB2312" w:hAnsi="仿宋_GB2312" w:eastAsia="仿宋_GB2312" w:cs="仿宋_GB2312"/>
          <w:bCs/>
          <w:spacing w:val="6"/>
          <w:sz w:val="32"/>
          <w:szCs w:val="32"/>
          <w:highlight w:val="none"/>
          <w:lang w:val="en-US" w:eastAsia="zh-CN"/>
        </w:rPr>
        <w:t>预算实际情况设置相应成本指标</w:t>
      </w:r>
      <w:r>
        <w:rPr>
          <w:rFonts w:hint="default" w:ascii="仿宋_GB2312" w:hAnsi="仿宋_GB2312" w:eastAsia="仿宋_GB2312" w:cs="仿宋_GB2312"/>
          <w:bCs/>
          <w:spacing w:val="6"/>
          <w:sz w:val="32"/>
          <w:szCs w:val="32"/>
          <w:highlight w:val="none"/>
          <w:lang w:val="en-US" w:eastAsia="zh-CN"/>
        </w:rPr>
        <w:t>；二是</w:t>
      </w:r>
      <w:r>
        <w:rPr>
          <w:rFonts w:hint="eastAsia" w:ascii="仿宋_GB2312" w:hAnsi="仿宋_GB2312" w:eastAsia="仿宋_GB2312" w:cs="仿宋_GB2312"/>
          <w:bCs/>
          <w:spacing w:val="6"/>
          <w:sz w:val="32"/>
          <w:szCs w:val="32"/>
          <w:highlight w:val="none"/>
          <w:lang w:val="en-US" w:eastAsia="zh-CN"/>
        </w:rPr>
        <w:t>在编制绩效目标时，应细化产出数量，量化项目效益，将绩效目标以清晰、可衡量的形式予以体现。</w:t>
      </w:r>
    </w:p>
    <w:p>
      <w:pPr>
        <w:widowControl w:val="0"/>
        <w:spacing w:line="590" w:lineRule="exact"/>
        <w:ind w:firstLine="664" w:firstLineChars="200"/>
        <w:jc w:val="both"/>
        <w:outlineLvl w:val="0"/>
        <w:rPr>
          <w:rFonts w:ascii="黑体" w:hAnsi="黑体" w:eastAsia="黑体"/>
          <w:spacing w:val="6"/>
          <w:sz w:val="32"/>
          <w:szCs w:val="32"/>
        </w:rPr>
      </w:pPr>
      <w:bookmarkStart w:id="253" w:name="_Toc28812"/>
      <w:bookmarkStart w:id="254" w:name="_Toc22334"/>
      <w:bookmarkStart w:id="255" w:name="_Toc3004"/>
      <w:bookmarkStart w:id="256" w:name="_Toc1410"/>
      <w:bookmarkStart w:id="257" w:name="_Toc23986"/>
      <w:bookmarkStart w:id="258" w:name="_Toc20335"/>
      <w:r>
        <w:rPr>
          <w:rFonts w:hint="eastAsia" w:ascii="黑体" w:hAnsi="黑体" w:eastAsia="黑体"/>
          <w:spacing w:val="6"/>
          <w:sz w:val="32"/>
          <w:szCs w:val="32"/>
          <w:lang w:val="en-US" w:eastAsia="zh-CN"/>
        </w:rPr>
        <w:t>五</w:t>
      </w:r>
      <w:r>
        <w:rPr>
          <w:rFonts w:hint="eastAsia" w:ascii="黑体" w:hAnsi="黑体" w:eastAsia="黑体"/>
          <w:spacing w:val="6"/>
          <w:sz w:val="32"/>
          <w:szCs w:val="32"/>
        </w:rPr>
        <w:t>、绩效评价结果应用建议</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pPr>
        <w:widowControl w:val="0"/>
        <w:spacing w:line="590" w:lineRule="exact"/>
        <w:ind w:firstLine="577" w:firstLineChars="275"/>
        <w:jc w:val="both"/>
        <w:outlineLvl w:val="1"/>
        <w:rPr>
          <w:rFonts w:ascii="Times New Roman" w:hAnsi="Times New Roman" w:eastAsia="楷体_GB2312" w:cs="Times New Roman"/>
          <w:spacing w:val="6"/>
          <w:sz w:val="32"/>
          <w:szCs w:val="32"/>
          <w:lang w:val="zh-CN"/>
        </w:rPr>
      </w:pPr>
      <w:bookmarkStart w:id="259" w:name="_Toc830"/>
      <w:bookmarkStart w:id="260" w:name="_Toc16664"/>
      <w:bookmarkStart w:id="261" w:name="_Toc18208"/>
      <w:bookmarkStart w:id="262" w:name="_Toc17488"/>
      <w:bookmarkStart w:id="263" w:name="_Toc31593"/>
      <w:bookmarkStart w:id="264" w:name="_Toc10694"/>
      <w:bookmarkStart w:id="265" w:name="_Toc7921"/>
      <w:bookmarkStart w:id="266" w:name="_Toc26381"/>
      <w:bookmarkStart w:id="267" w:name="_Toc9129"/>
      <w:bookmarkStart w:id="268" w:name="_Toc27040"/>
      <w:bookmarkStart w:id="269" w:name="_Toc26169"/>
      <w:bookmarkStart w:id="270" w:name="_Toc22512"/>
      <w:bookmarkStart w:id="271" w:name="_Toc17769"/>
      <w:bookmarkStart w:id="272" w:name="_Toc32273"/>
      <w:bookmarkStart w:id="273" w:name="_Toc16542"/>
      <w:bookmarkStart w:id="274" w:name="_Toc25393"/>
      <w:bookmarkStart w:id="275" w:name="_Toc19107"/>
      <w:r>
        <w:fldChar w:fldCharType="begin"/>
      </w:r>
      <w:r>
        <w:instrText xml:space="preserve"> HYPERLINK \l "_Toc434746187" </w:instrText>
      </w:r>
      <w:r>
        <w:fldChar w:fldCharType="separate"/>
      </w:r>
      <w:bookmarkStart w:id="276" w:name="_Toc531300193"/>
      <w:bookmarkStart w:id="277" w:name="_Toc41306293"/>
      <w:r>
        <w:rPr>
          <w:rFonts w:hint="eastAsia" w:ascii="Times New Roman" w:hAnsi="Times New Roman" w:eastAsia="楷体_GB2312" w:cs="Times New Roman"/>
          <w:spacing w:val="6"/>
          <w:sz w:val="32"/>
          <w:szCs w:val="32"/>
          <w:lang w:val="zh-CN"/>
        </w:rPr>
        <w:t>（一）对发现的问题及时整改</w:t>
      </w:r>
      <w:bookmarkEnd w:id="276"/>
      <w:bookmarkEnd w:id="277"/>
      <w:r>
        <w:rPr>
          <w:rFonts w:hint="eastAsia" w:ascii="Times New Roman" w:hAnsi="Times New Roman" w:eastAsia="楷体_GB2312" w:cs="Times New Roman"/>
          <w:spacing w:val="6"/>
          <w:sz w:val="32"/>
          <w:szCs w:val="32"/>
          <w:lang w:val="zh-CN"/>
        </w:rPr>
        <w:fldChar w:fldCharType="end"/>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pPr>
        <w:widowControl w:val="0"/>
        <w:spacing w:line="590" w:lineRule="exact"/>
        <w:ind w:firstLine="664" w:firstLineChars="200"/>
        <w:jc w:val="both"/>
        <w:rPr>
          <w:rFonts w:hint="eastAsia" w:ascii="Times New Roman" w:hAnsi="Times New Roman" w:eastAsia="仿宋_GB2312" w:cs="Times New Roman"/>
          <w:spacing w:val="6"/>
          <w:sz w:val="32"/>
          <w:szCs w:val="32"/>
        </w:rPr>
      </w:pPr>
      <w:r>
        <w:rPr>
          <w:rFonts w:hint="eastAsia" w:ascii="Times New Roman" w:hAnsi="Times New Roman" w:eastAsia="仿宋_GB2312" w:cs="Times New Roman"/>
          <w:spacing w:val="6"/>
          <w:sz w:val="32"/>
          <w:szCs w:val="32"/>
        </w:rPr>
        <w:t>针对本次</w:t>
      </w:r>
      <w:r>
        <w:rPr>
          <w:rFonts w:hint="eastAsia" w:ascii="Times New Roman" w:hAnsi="Times New Roman" w:eastAsia="仿宋_GB2312" w:cs="Times New Roman"/>
          <w:spacing w:val="6"/>
          <w:sz w:val="32"/>
          <w:szCs w:val="32"/>
          <w:lang w:eastAsia="zh-CN"/>
        </w:rPr>
        <w:t>绩效评价</w:t>
      </w:r>
      <w:r>
        <w:rPr>
          <w:rFonts w:hint="eastAsia" w:ascii="Times New Roman" w:hAnsi="Times New Roman" w:eastAsia="仿宋_GB2312" w:cs="Times New Roman"/>
          <w:spacing w:val="6"/>
          <w:sz w:val="32"/>
          <w:szCs w:val="32"/>
        </w:rPr>
        <w:t>中发现的问题，建议</w:t>
      </w:r>
      <w:r>
        <w:rPr>
          <w:rFonts w:hint="default" w:ascii="仿宋_GB2312" w:hAnsi="仿宋_GB2312" w:eastAsia="仿宋_GB2312" w:cs="仿宋_GB2312"/>
          <w:bCs/>
          <w:spacing w:val="6"/>
          <w:sz w:val="32"/>
          <w:szCs w:val="32"/>
          <w:highlight w:val="none"/>
          <w:lang w:val="en-US" w:eastAsia="zh-CN"/>
        </w:rPr>
        <w:t>区</w:t>
      </w:r>
      <w:r>
        <w:rPr>
          <w:rFonts w:hint="eastAsia" w:ascii="仿宋_GB2312" w:hAnsi="仿宋_GB2312" w:eastAsia="仿宋_GB2312" w:cs="仿宋_GB2312"/>
          <w:bCs/>
          <w:spacing w:val="6"/>
          <w:sz w:val="32"/>
          <w:szCs w:val="32"/>
          <w:highlight w:val="none"/>
          <w:lang w:val="en-US" w:eastAsia="zh-CN"/>
        </w:rPr>
        <w:t>卫健局</w:t>
      </w:r>
      <w:r>
        <w:rPr>
          <w:rFonts w:hint="eastAsia" w:ascii="Times New Roman" w:hAnsi="Times New Roman" w:eastAsia="仿宋_GB2312" w:cs="Times New Roman"/>
          <w:spacing w:val="6"/>
          <w:sz w:val="32"/>
          <w:szCs w:val="32"/>
        </w:rPr>
        <w:t>对存在的问题及时进行整改，并将整改情况书面上报相关部门。</w:t>
      </w:r>
    </w:p>
    <w:p>
      <w:pPr>
        <w:widowControl w:val="0"/>
        <w:spacing w:line="590" w:lineRule="exact"/>
        <w:ind w:firstLine="577" w:firstLineChars="275"/>
        <w:jc w:val="both"/>
        <w:outlineLvl w:val="1"/>
        <w:rPr>
          <w:rFonts w:ascii="Times New Roman" w:hAnsi="Times New Roman" w:eastAsia="楷体_GB2312" w:cs="Times New Roman"/>
          <w:spacing w:val="6"/>
          <w:sz w:val="32"/>
          <w:szCs w:val="32"/>
          <w:lang w:val="zh-CN"/>
        </w:rPr>
      </w:pPr>
      <w:bookmarkStart w:id="278" w:name="_Toc2301"/>
      <w:bookmarkStart w:id="279" w:name="_Toc22196"/>
      <w:bookmarkStart w:id="280" w:name="_Toc25877"/>
      <w:bookmarkStart w:id="281" w:name="_Toc3617"/>
      <w:bookmarkStart w:id="282" w:name="_Toc25602"/>
      <w:bookmarkStart w:id="283" w:name="_Toc24672"/>
      <w:bookmarkStart w:id="284" w:name="_Toc8003"/>
      <w:bookmarkStart w:id="285" w:name="_Toc25099"/>
      <w:bookmarkStart w:id="286" w:name="_Toc22879"/>
      <w:bookmarkStart w:id="287" w:name="_Toc30834"/>
      <w:bookmarkStart w:id="288" w:name="_Toc8134"/>
      <w:bookmarkStart w:id="289" w:name="_Toc5225"/>
      <w:bookmarkStart w:id="290" w:name="_Toc8626"/>
      <w:bookmarkStart w:id="291" w:name="_Toc22016"/>
      <w:bookmarkStart w:id="292" w:name="_Toc8312"/>
      <w:bookmarkStart w:id="293" w:name="_Toc20068"/>
      <w:bookmarkStart w:id="294" w:name="_Toc2975"/>
      <w:bookmarkStart w:id="295" w:name="_Toc11904"/>
      <w:r>
        <w:fldChar w:fldCharType="begin"/>
      </w:r>
      <w:r>
        <w:instrText xml:space="preserve"> HYPERLINK \l "_Toc434746187" </w:instrText>
      </w:r>
      <w:r>
        <w:fldChar w:fldCharType="separate"/>
      </w:r>
      <w:bookmarkStart w:id="296" w:name="_Toc41306294"/>
      <w:bookmarkStart w:id="297" w:name="_Toc531300194"/>
      <w:r>
        <w:rPr>
          <w:rFonts w:hint="eastAsia" w:ascii="Times New Roman" w:hAnsi="Times New Roman" w:eastAsia="楷体_GB2312" w:cs="Times New Roman"/>
          <w:spacing w:val="6"/>
          <w:sz w:val="32"/>
          <w:szCs w:val="32"/>
          <w:lang w:val="zh-CN"/>
        </w:rPr>
        <w:t>（二）以后年度预算安排建议</w:t>
      </w:r>
      <w:bookmarkEnd w:id="296"/>
      <w:bookmarkEnd w:id="297"/>
      <w:r>
        <w:rPr>
          <w:rFonts w:hint="eastAsia" w:ascii="Times New Roman" w:hAnsi="Times New Roman" w:eastAsia="楷体_GB2312" w:cs="Times New Roman"/>
          <w:spacing w:val="6"/>
          <w:sz w:val="32"/>
          <w:szCs w:val="32"/>
          <w:lang w:val="zh-CN"/>
        </w:rPr>
        <w:fldChar w:fldCharType="end"/>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pPr>
        <w:widowControl w:val="0"/>
        <w:spacing w:line="590" w:lineRule="exact"/>
        <w:ind w:firstLine="640" w:firstLineChars="200"/>
        <w:jc w:val="both"/>
        <w:rPr>
          <w:rFonts w:hint="eastAsia" w:ascii="仿宋_GB2312" w:hAnsi="仿宋_GB2312" w:eastAsia="仿宋_GB2312" w:cs="仿宋_GB2312"/>
          <w:sz w:val="32"/>
          <w:szCs w:val="32"/>
          <w:lang w:val="en-US" w:eastAsia="zh-CN"/>
        </w:rPr>
      </w:pPr>
      <w:bookmarkStart w:id="298" w:name="_Toc7965"/>
      <w:bookmarkStart w:id="299" w:name="_Toc1008"/>
      <w:bookmarkStart w:id="300" w:name="_Toc20621"/>
      <w:bookmarkStart w:id="301" w:name="_Toc32250"/>
      <w:bookmarkStart w:id="302" w:name="_Toc12311"/>
      <w:bookmarkStart w:id="303" w:name="_Toc4018"/>
      <w:bookmarkStart w:id="304" w:name="_Toc1721"/>
      <w:bookmarkStart w:id="305" w:name="_Toc21950"/>
      <w:bookmarkStart w:id="306" w:name="_Toc7187"/>
      <w:bookmarkStart w:id="307" w:name="_Toc7046"/>
      <w:bookmarkStart w:id="308" w:name="_Toc24868"/>
      <w:bookmarkStart w:id="309" w:name="_Toc548"/>
      <w:bookmarkStart w:id="310" w:name="_Toc20085"/>
      <w:bookmarkStart w:id="311" w:name="_Toc31702"/>
      <w:bookmarkStart w:id="312" w:name="_Toc11627"/>
      <w:bookmarkStart w:id="313" w:name="_Toc32066"/>
      <w:r>
        <w:rPr>
          <w:rFonts w:hint="eastAsia" w:ascii="仿宋_GB2312" w:hAnsi="仿宋_GB2312" w:eastAsia="仿宋_GB2312" w:cs="仿宋_GB2312"/>
          <w:sz w:val="32"/>
          <w:szCs w:val="32"/>
          <w:lang w:val="en-US" w:eastAsia="zh-CN"/>
        </w:rPr>
        <w:t>2021年区卫健局对重点人群进行全面核酸检测，有效保障了人民群众和基层医务人员的身体健康和生命安全，保障了疫情防控工作顺利开展。</w:t>
      </w:r>
    </w:p>
    <w:p>
      <w:pPr>
        <w:widowControl w:val="0"/>
        <w:spacing w:line="590" w:lineRule="exact"/>
        <w:ind w:firstLine="664" w:firstLineChars="200"/>
        <w:jc w:val="both"/>
        <w:rPr>
          <w:rFonts w:hint="default" w:eastAsia="仿宋_GB2312"/>
          <w:lang w:val="en-US" w:eastAsia="zh-CN"/>
        </w:rPr>
      </w:pPr>
      <w:r>
        <w:rPr>
          <w:rFonts w:hint="eastAsia" w:ascii="仿宋_GB2312" w:hAnsi="仿宋_GB2312" w:eastAsia="仿宋_GB2312" w:cs="仿宋_GB2312"/>
          <w:spacing w:val="6"/>
          <w:sz w:val="32"/>
          <w:szCs w:val="32"/>
        </w:rPr>
        <w:t>建议</w:t>
      </w:r>
      <w:r>
        <w:rPr>
          <w:rFonts w:hint="eastAsia" w:ascii="仿宋_GB2312" w:hAnsi="仿宋_GB2312" w:eastAsia="仿宋_GB2312" w:cs="仿宋_GB2312"/>
          <w:spacing w:val="6"/>
          <w:sz w:val="32"/>
          <w:szCs w:val="32"/>
          <w:lang w:val="en-US" w:eastAsia="zh-CN"/>
        </w:rPr>
        <w:t>减少</w:t>
      </w:r>
      <w:r>
        <w:rPr>
          <w:rFonts w:hint="eastAsia" w:ascii="仿宋_GB2312" w:hAnsi="仿宋_GB2312" w:eastAsia="仿宋_GB2312" w:cs="仿宋_GB2312"/>
          <w:spacing w:val="6"/>
          <w:sz w:val="32"/>
          <w:szCs w:val="32"/>
        </w:rPr>
        <w:t>项目资金预算规模。</w:t>
      </w:r>
      <w:r>
        <w:rPr>
          <w:rFonts w:hint="eastAsia" w:ascii="仿宋_GB2312" w:hAnsi="仿宋_GB2312" w:eastAsia="仿宋_GB2312" w:cs="仿宋_GB2312"/>
          <w:spacing w:val="6"/>
          <w:sz w:val="32"/>
          <w:szCs w:val="32"/>
          <w:lang w:val="en-US" w:eastAsia="zh-CN"/>
        </w:rPr>
        <w:t>目前防控工作平稳有序，“乙管乙类”措施落地有效，全国整体疫情已进入低流行水平，各地疫情保持稳步下降态势。</w:t>
      </w:r>
    </w:p>
    <w:p>
      <w:pPr>
        <w:widowControl w:val="0"/>
        <w:spacing w:line="590" w:lineRule="exact"/>
        <w:ind w:firstLine="577" w:firstLineChars="275"/>
        <w:jc w:val="both"/>
        <w:outlineLvl w:val="1"/>
        <w:rPr>
          <w:rFonts w:ascii="仿宋_GB2312" w:hAnsi="仿宋" w:eastAsia="楷体_GB2312" w:cs="Times New Roman"/>
          <w:spacing w:val="6"/>
          <w:sz w:val="32"/>
          <w:szCs w:val="32"/>
          <w:lang w:val="zh-CN"/>
        </w:rPr>
      </w:pPr>
      <w:bookmarkStart w:id="314" w:name="_Toc27251"/>
      <w:r>
        <w:fldChar w:fldCharType="begin"/>
      </w:r>
      <w:r>
        <w:instrText xml:space="preserve"> HYPERLINK \l "_Toc434746187" </w:instrText>
      </w:r>
      <w:r>
        <w:fldChar w:fldCharType="separate"/>
      </w:r>
      <w:bookmarkStart w:id="315" w:name="_Toc531300195"/>
      <w:bookmarkStart w:id="316" w:name="_Toc41306295"/>
      <w:r>
        <w:rPr>
          <w:rFonts w:hint="eastAsia" w:ascii="仿宋_GB2312" w:hAnsi="仿宋" w:eastAsia="楷体_GB2312" w:cs="Times New Roman"/>
          <w:spacing w:val="6"/>
          <w:sz w:val="32"/>
          <w:szCs w:val="32"/>
          <w:lang w:val="zh-CN"/>
        </w:rPr>
        <w:t>（三）评价结果公开</w:t>
      </w:r>
      <w:bookmarkEnd w:id="315"/>
      <w:bookmarkEnd w:id="316"/>
      <w:r>
        <w:rPr>
          <w:rFonts w:hint="eastAsia" w:ascii="仿宋_GB2312" w:hAnsi="仿宋" w:eastAsia="楷体_GB2312" w:cs="Times New Roman"/>
          <w:spacing w:val="6"/>
          <w:sz w:val="32"/>
          <w:szCs w:val="32"/>
          <w:lang w:val="zh-CN"/>
        </w:rPr>
        <w:fldChar w:fldCharType="end"/>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bookmarkEnd w:id="211"/>
    <w:p>
      <w:pPr>
        <w:widowControl w:val="0"/>
        <w:spacing w:line="590" w:lineRule="exact"/>
        <w:ind w:firstLine="640" w:firstLineChars="200"/>
        <w:jc w:val="both"/>
        <w:outlineLvl w:val="9"/>
        <w:rPr>
          <w:rFonts w:hint="default"/>
          <w:lang w:val="en-US" w:eastAsia="zh-CN"/>
        </w:rPr>
      </w:pPr>
      <w:r>
        <w:rPr>
          <w:rFonts w:hint="eastAsia" w:ascii="仿宋_GB2312" w:hAnsi="仿宋_GB2312" w:eastAsia="仿宋_GB2312" w:cs="仿宋_GB2312"/>
          <w:sz w:val="32"/>
          <w:szCs w:val="32"/>
        </w:rPr>
        <w:t>建议按照中共中央 国务院《关于全面实施预算绩效管理的意见》（中发〔2018〕34号）和《中共贵州省委 贵州省人民政府关于全面实施预算绩效管理的实施意见》（黔党发〔2019〕29号）等文件规定，大力推进绩效信息公开透明，回应社会关切，自觉接受人大和社会各界监督。</w:t>
      </w:r>
      <w:bookmarkEnd w:id="184"/>
    </w:p>
    <w:sectPr>
      <w:footerReference r:id="rId3" w:type="default"/>
      <w:footerReference r:id="rId4" w:type="even"/>
      <w:pgSz w:w="11906" w:h="16838"/>
      <w:pgMar w:top="1985" w:right="1474" w:bottom="1871" w:left="1474" w:header="851" w:footer="1474"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040" w:firstLineChars="1800"/>
      <w:rPr>
        <w:rStyle w:val="22"/>
        <w:rFonts w:ascii="仿宋" w:hAnsi="仿宋" w:eastAsia="仿宋"/>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13"/>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ascii="仿宋" w:hAnsi="仿宋" w:eastAsia="仿宋"/>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t xml:space="preserve">— </w:t>
                          </w:r>
                          <w:r>
                            <w:fldChar w:fldCharType="begin"/>
                          </w:r>
                          <w:r>
                            <w:instrText xml:space="preserve"> PAGE  \* MERGEFORMAT </w:instrText>
                          </w:r>
                          <w:r>
                            <w:fldChar w:fldCharType="separate"/>
                          </w:r>
                          <w:r>
                            <w:t>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7Kn4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Xb/M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CjsqfhQCAAAVBAAADgAAAAAAAAAB&#10;ACAAAAAfAQAAZHJzL2Uyb0RvYy54bWxQSwUGAAAAAAYABgBZAQAApQUAAAAA&#10;">
              <v:fill on="f" focussize="0,0"/>
              <v:stroke on="f" weight="0.5pt"/>
              <v:imagedata o:title=""/>
              <o:lock v:ext="edit" aspectratio="f"/>
              <v:textbox inset="0mm,0mm,0mm,0mm" style="mso-fit-shape-to-text:t;">
                <w:txbxContent>
                  <w:p>
                    <w:pPr>
                      <w:pStyle w:val="13"/>
                    </w:pPr>
                    <w:r>
                      <w:t xml:space="preserve">— </w:t>
                    </w:r>
                    <w:r>
                      <w:fldChar w:fldCharType="begin"/>
                    </w:r>
                    <w:r>
                      <w:instrText xml:space="preserve"> PAGE  \* MERGEFORMAT </w:instrText>
                    </w:r>
                    <w:r>
                      <w:fldChar w:fldCharType="separate"/>
                    </w:r>
                    <w:r>
                      <w:t>4</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lNmVhNmRiYTg4NTMwYzVjZmQ3MjYyMzA5YjUyNjgifQ=="/>
  </w:docVars>
  <w:rsids>
    <w:rsidRoot w:val="00172A27"/>
    <w:rsid w:val="0000037D"/>
    <w:rsid w:val="0000072F"/>
    <w:rsid w:val="0000082F"/>
    <w:rsid w:val="00001555"/>
    <w:rsid w:val="00001A18"/>
    <w:rsid w:val="00001A5B"/>
    <w:rsid w:val="00002476"/>
    <w:rsid w:val="00002BCD"/>
    <w:rsid w:val="00002EEA"/>
    <w:rsid w:val="00003932"/>
    <w:rsid w:val="00003A74"/>
    <w:rsid w:val="00004107"/>
    <w:rsid w:val="00005223"/>
    <w:rsid w:val="00006E8C"/>
    <w:rsid w:val="000070C9"/>
    <w:rsid w:val="0001066A"/>
    <w:rsid w:val="00012128"/>
    <w:rsid w:val="000135F1"/>
    <w:rsid w:val="000149DF"/>
    <w:rsid w:val="00015283"/>
    <w:rsid w:val="000157DE"/>
    <w:rsid w:val="00016EBC"/>
    <w:rsid w:val="000171A8"/>
    <w:rsid w:val="000176B4"/>
    <w:rsid w:val="000178D7"/>
    <w:rsid w:val="00017A66"/>
    <w:rsid w:val="00017C13"/>
    <w:rsid w:val="00017FA4"/>
    <w:rsid w:val="0002170E"/>
    <w:rsid w:val="00022276"/>
    <w:rsid w:val="0002262B"/>
    <w:rsid w:val="00022670"/>
    <w:rsid w:val="00022679"/>
    <w:rsid w:val="000227F3"/>
    <w:rsid w:val="00023740"/>
    <w:rsid w:val="00023C57"/>
    <w:rsid w:val="00023F85"/>
    <w:rsid w:val="00024263"/>
    <w:rsid w:val="00024294"/>
    <w:rsid w:val="0002587B"/>
    <w:rsid w:val="00026439"/>
    <w:rsid w:val="0002678E"/>
    <w:rsid w:val="000270DB"/>
    <w:rsid w:val="00027EBC"/>
    <w:rsid w:val="0003000D"/>
    <w:rsid w:val="000303D4"/>
    <w:rsid w:val="00030D3E"/>
    <w:rsid w:val="0003158B"/>
    <w:rsid w:val="0003169C"/>
    <w:rsid w:val="00031881"/>
    <w:rsid w:val="00031B1C"/>
    <w:rsid w:val="000325BF"/>
    <w:rsid w:val="00032DC9"/>
    <w:rsid w:val="00032F7E"/>
    <w:rsid w:val="000338E8"/>
    <w:rsid w:val="00035259"/>
    <w:rsid w:val="00035CCC"/>
    <w:rsid w:val="00035E15"/>
    <w:rsid w:val="00036B90"/>
    <w:rsid w:val="000375CE"/>
    <w:rsid w:val="00037645"/>
    <w:rsid w:val="00037977"/>
    <w:rsid w:val="00037B1C"/>
    <w:rsid w:val="00037CD6"/>
    <w:rsid w:val="00037F2A"/>
    <w:rsid w:val="00040298"/>
    <w:rsid w:val="00041258"/>
    <w:rsid w:val="00042047"/>
    <w:rsid w:val="00042240"/>
    <w:rsid w:val="000422ED"/>
    <w:rsid w:val="000428AB"/>
    <w:rsid w:val="00042BF2"/>
    <w:rsid w:val="00042D0C"/>
    <w:rsid w:val="00042F98"/>
    <w:rsid w:val="00043067"/>
    <w:rsid w:val="000433F2"/>
    <w:rsid w:val="000436D8"/>
    <w:rsid w:val="00043E83"/>
    <w:rsid w:val="00044485"/>
    <w:rsid w:val="00045A95"/>
    <w:rsid w:val="00050678"/>
    <w:rsid w:val="000506D2"/>
    <w:rsid w:val="00050B2A"/>
    <w:rsid w:val="00050F66"/>
    <w:rsid w:val="0005135B"/>
    <w:rsid w:val="00051521"/>
    <w:rsid w:val="00051FF7"/>
    <w:rsid w:val="000525F7"/>
    <w:rsid w:val="0005280B"/>
    <w:rsid w:val="0005301C"/>
    <w:rsid w:val="0005362F"/>
    <w:rsid w:val="00054668"/>
    <w:rsid w:val="000547F0"/>
    <w:rsid w:val="00055029"/>
    <w:rsid w:val="000552A4"/>
    <w:rsid w:val="0005533E"/>
    <w:rsid w:val="00055AC1"/>
    <w:rsid w:val="00055E93"/>
    <w:rsid w:val="00056401"/>
    <w:rsid w:val="00056485"/>
    <w:rsid w:val="000568D1"/>
    <w:rsid w:val="00056DF2"/>
    <w:rsid w:val="000572C4"/>
    <w:rsid w:val="000579E6"/>
    <w:rsid w:val="000602F1"/>
    <w:rsid w:val="00060317"/>
    <w:rsid w:val="0006085C"/>
    <w:rsid w:val="00060B2C"/>
    <w:rsid w:val="0006141E"/>
    <w:rsid w:val="00061CBB"/>
    <w:rsid w:val="00062079"/>
    <w:rsid w:val="000620B6"/>
    <w:rsid w:val="000635A2"/>
    <w:rsid w:val="000639B6"/>
    <w:rsid w:val="000641D9"/>
    <w:rsid w:val="0006435A"/>
    <w:rsid w:val="0006509A"/>
    <w:rsid w:val="000659D2"/>
    <w:rsid w:val="00065AF8"/>
    <w:rsid w:val="0006656D"/>
    <w:rsid w:val="0006720E"/>
    <w:rsid w:val="00067354"/>
    <w:rsid w:val="00067607"/>
    <w:rsid w:val="000676E7"/>
    <w:rsid w:val="00067D07"/>
    <w:rsid w:val="00067D4C"/>
    <w:rsid w:val="0007032B"/>
    <w:rsid w:val="00070520"/>
    <w:rsid w:val="000708C3"/>
    <w:rsid w:val="0007169A"/>
    <w:rsid w:val="00071888"/>
    <w:rsid w:val="000724BE"/>
    <w:rsid w:val="00072ABB"/>
    <w:rsid w:val="000733F6"/>
    <w:rsid w:val="00073A7C"/>
    <w:rsid w:val="000741F3"/>
    <w:rsid w:val="00074B16"/>
    <w:rsid w:val="00075C2F"/>
    <w:rsid w:val="00075CE5"/>
    <w:rsid w:val="00076506"/>
    <w:rsid w:val="0007772D"/>
    <w:rsid w:val="000818C7"/>
    <w:rsid w:val="0008197F"/>
    <w:rsid w:val="00082512"/>
    <w:rsid w:val="000829E0"/>
    <w:rsid w:val="00082B99"/>
    <w:rsid w:val="00082DDE"/>
    <w:rsid w:val="00084E15"/>
    <w:rsid w:val="00085DAF"/>
    <w:rsid w:val="00085EA5"/>
    <w:rsid w:val="0008629B"/>
    <w:rsid w:val="000867BC"/>
    <w:rsid w:val="00086F23"/>
    <w:rsid w:val="000907DC"/>
    <w:rsid w:val="00090A0E"/>
    <w:rsid w:val="00091295"/>
    <w:rsid w:val="000915AC"/>
    <w:rsid w:val="000919B9"/>
    <w:rsid w:val="0009210F"/>
    <w:rsid w:val="00092398"/>
    <w:rsid w:val="00092D8E"/>
    <w:rsid w:val="0009358B"/>
    <w:rsid w:val="00094343"/>
    <w:rsid w:val="0009492A"/>
    <w:rsid w:val="00094B51"/>
    <w:rsid w:val="000950AD"/>
    <w:rsid w:val="000953A5"/>
    <w:rsid w:val="000955CC"/>
    <w:rsid w:val="00095A91"/>
    <w:rsid w:val="00095FC3"/>
    <w:rsid w:val="000964A6"/>
    <w:rsid w:val="0009695D"/>
    <w:rsid w:val="00097DCB"/>
    <w:rsid w:val="000A0626"/>
    <w:rsid w:val="000A08ED"/>
    <w:rsid w:val="000A0AA1"/>
    <w:rsid w:val="000A1D1C"/>
    <w:rsid w:val="000A2748"/>
    <w:rsid w:val="000A2793"/>
    <w:rsid w:val="000A3B90"/>
    <w:rsid w:val="000A5611"/>
    <w:rsid w:val="000A59CC"/>
    <w:rsid w:val="000A5AD0"/>
    <w:rsid w:val="000A5BA7"/>
    <w:rsid w:val="000A6A45"/>
    <w:rsid w:val="000B00E6"/>
    <w:rsid w:val="000B04B7"/>
    <w:rsid w:val="000B14E3"/>
    <w:rsid w:val="000B1818"/>
    <w:rsid w:val="000B2240"/>
    <w:rsid w:val="000B3C39"/>
    <w:rsid w:val="000B3D75"/>
    <w:rsid w:val="000B4197"/>
    <w:rsid w:val="000B4521"/>
    <w:rsid w:val="000B4611"/>
    <w:rsid w:val="000B4870"/>
    <w:rsid w:val="000B48DF"/>
    <w:rsid w:val="000B6E67"/>
    <w:rsid w:val="000B712A"/>
    <w:rsid w:val="000B7B6E"/>
    <w:rsid w:val="000C044C"/>
    <w:rsid w:val="000C16B3"/>
    <w:rsid w:val="000C188A"/>
    <w:rsid w:val="000C18B5"/>
    <w:rsid w:val="000C2941"/>
    <w:rsid w:val="000C3015"/>
    <w:rsid w:val="000C3C78"/>
    <w:rsid w:val="000C3D93"/>
    <w:rsid w:val="000C3DA1"/>
    <w:rsid w:val="000C3F70"/>
    <w:rsid w:val="000C4836"/>
    <w:rsid w:val="000C4BC9"/>
    <w:rsid w:val="000C57A3"/>
    <w:rsid w:val="000C5C5E"/>
    <w:rsid w:val="000C60D9"/>
    <w:rsid w:val="000C6A1F"/>
    <w:rsid w:val="000C6E40"/>
    <w:rsid w:val="000C7194"/>
    <w:rsid w:val="000C72F3"/>
    <w:rsid w:val="000D0366"/>
    <w:rsid w:val="000D19A5"/>
    <w:rsid w:val="000D1B8A"/>
    <w:rsid w:val="000D1C3B"/>
    <w:rsid w:val="000D22A3"/>
    <w:rsid w:val="000D26F4"/>
    <w:rsid w:val="000D35AA"/>
    <w:rsid w:val="000D3ACE"/>
    <w:rsid w:val="000D3F24"/>
    <w:rsid w:val="000D426F"/>
    <w:rsid w:val="000D4D0F"/>
    <w:rsid w:val="000D4D5A"/>
    <w:rsid w:val="000D5575"/>
    <w:rsid w:val="000D5B6F"/>
    <w:rsid w:val="000D67F0"/>
    <w:rsid w:val="000D6818"/>
    <w:rsid w:val="000D752A"/>
    <w:rsid w:val="000D7BC2"/>
    <w:rsid w:val="000E0065"/>
    <w:rsid w:val="000E06F4"/>
    <w:rsid w:val="000E0821"/>
    <w:rsid w:val="000E08C4"/>
    <w:rsid w:val="000E1BE2"/>
    <w:rsid w:val="000E2083"/>
    <w:rsid w:val="000E2BF1"/>
    <w:rsid w:val="000E3373"/>
    <w:rsid w:val="000E346C"/>
    <w:rsid w:val="000E3519"/>
    <w:rsid w:val="000E4447"/>
    <w:rsid w:val="000E446F"/>
    <w:rsid w:val="000E480B"/>
    <w:rsid w:val="000E48B0"/>
    <w:rsid w:val="000E4F46"/>
    <w:rsid w:val="000E5EDE"/>
    <w:rsid w:val="000E646A"/>
    <w:rsid w:val="000E7821"/>
    <w:rsid w:val="000E7891"/>
    <w:rsid w:val="000F095F"/>
    <w:rsid w:val="000F0E55"/>
    <w:rsid w:val="000F153C"/>
    <w:rsid w:val="000F21C6"/>
    <w:rsid w:val="000F2EA4"/>
    <w:rsid w:val="000F4AF4"/>
    <w:rsid w:val="000F4D81"/>
    <w:rsid w:val="000F5889"/>
    <w:rsid w:val="000F5EDB"/>
    <w:rsid w:val="000F66D7"/>
    <w:rsid w:val="000F6AD4"/>
    <w:rsid w:val="000F723D"/>
    <w:rsid w:val="000F78B7"/>
    <w:rsid w:val="000F79B7"/>
    <w:rsid w:val="000F7DBC"/>
    <w:rsid w:val="0010025D"/>
    <w:rsid w:val="001002B0"/>
    <w:rsid w:val="00100766"/>
    <w:rsid w:val="0010076C"/>
    <w:rsid w:val="00100FAF"/>
    <w:rsid w:val="001010DB"/>
    <w:rsid w:val="0010233B"/>
    <w:rsid w:val="00103648"/>
    <w:rsid w:val="001040FC"/>
    <w:rsid w:val="001051A1"/>
    <w:rsid w:val="001058F7"/>
    <w:rsid w:val="00106765"/>
    <w:rsid w:val="00106B23"/>
    <w:rsid w:val="0010724D"/>
    <w:rsid w:val="001100AF"/>
    <w:rsid w:val="001104C1"/>
    <w:rsid w:val="0011063F"/>
    <w:rsid w:val="001115A1"/>
    <w:rsid w:val="00112693"/>
    <w:rsid w:val="00113395"/>
    <w:rsid w:val="001139A3"/>
    <w:rsid w:val="00114198"/>
    <w:rsid w:val="00115911"/>
    <w:rsid w:val="001164E8"/>
    <w:rsid w:val="0011779F"/>
    <w:rsid w:val="00117815"/>
    <w:rsid w:val="00117B38"/>
    <w:rsid w:val="00120337"/>
    <w:rsid w:val="00120E09"/>
    <w:rsid w:val="0012157D"/>
    <w:rsid w:val="0012429E"/>
    <w:rsid w:val="00124A15"/>
    <w:rsid w:val="00124B85"/>
    <w:rsid w:val="00124D54"/>
    <w:rsid w:val="00125133"/>
    <w:rsid w:val="00125997"/>
    <w:rsid w:val="00125ACA"/>
    <w:rsid w:val="0012668F"/>
    <w:rsid w:val="001271BC"/>
    <w:rsid w:val="001273F9"/>
    <w:rsid w:val="001274EB"/>
    <w:rsid w:val="00127CB4"/>
    <w:rsid w:val="0013002F"/>
    <w:rsid w:val="00130B87"/>
    <w:rsid w:val="00131901"/>
    <w:rsid w:val="0013268A"/>
    <w:rsid w:val="00132899"/>
    <w:rsid w:val="00132995"/>
    <w:rsid w:val="0013530A"/>
    <w:rsid w:val="00135830"/>
    <w:rsid w:val="00135C8F"/>
    <w:rsid w:val="00136842"/>
    <w:rsid w:val="00137074"/>
    <w:rsid w:val="00137B0D"/>
    <w:rsid w:val="00137DD6"/>
    <w:rsid w:val="00140A67"/>
    <w:rsid w:val="00140B8A"/>
    <w:rsid w:val="00141235"/>
    <w:rsid w:val="00143708"/>
    <w:rsid w:val="00144C61"/>
    <w:rsid w:val="00145C83"/>
    <w:rsid w:val="00145F7A"/>
    <w:rsid w:val="00146F86"/>
    <w:rsid w:val="00147321"/>
    <w:rsid w:val="001502EA"/>
    <w:rsid w:val="00150614"/>
    <w:rsid w:val="001511AB"/>
    <w:rsid w:val="001513E1"/>
    <w:rsid w:val="00151574"/>
    <w:rsid w:val="001517B1"/>
    <w:rsid w:val="00151A01"/>
    <w:rsid w:val="001523E7"/>
    <w:rsid w:val="00152A45"/>
    <w:rsid w:val="00152D16"/>
    <w:rsid w:val="00152D8B"/>
    <w:rsid w:val="00154EEB"/>
    <w:rsid w:val="001553E8"/>
    <w:rsid w:val="00155F93"/>
    <w:rsid w:val="00156468"/>
    <w:rsid w:val="00157352"/>
    <w:rsid w:val="00157B53"/>
    <w:rsid w:val="00160D9A"/>
    <w:rsid w:val="00161110"/>
    <w:rsid w:val="00161C69"/>
    <w:rsid w:val="001623B1"/>
    <w:rsid w:val="0016267F"/>
    <w:rsid w:val="00162727"/>
    <w:rsid w:val="00162B0E"/>
    <w:rsid w:val="00162FAD"/>
    <w:rsid w:val="00163C1F"/>
    <w:rsid w:val="001641A9"/>
    <w:rsid w:val="001653F3"/>
    <w:rsid w:val="00166429"/>
    <w:rsid w:val="0016683D"/>
    <w:rsid w:val="00166F1D"/>
    <w:rsid w:val="00167287"/>
    <w:rsid w:val="00167402"/>
    <w:rsid w:val="00167410"/>
    <w:rsid w:val="00167D7E"/>
    <w:rsid w:val="00167E0D"/>
    <w:rsid w:val="00170060"/>
    <w:rsid w:val="0017009E"/>
    <w:rsid w:val="00170F73"/>
    <w:rsid w:val="001718A1"/>
    <w:rsid w:val="00171D24"/>
    <w:rsid w:val="00171EE3"/>
    <w:rsid w:val="001725F8"/>
    <w:rsid w:val="0017261A"/>
    <w:rsid w:val="00172643"/>
    <w:rsid w:val="00172A27"/>
    <w:rsid w:val="001731DD"/>
    <w:rsid w:val="00173A7C"/>
    <w:rsid w:val="00173F8D"/>
    <w:rsid w:val="00174836"/>
    <w:rsid w:val="0017497A"/>
    <w:rsid w:val="001758CD"/>
    <w:rsid w:val="00176226"/>
    <w:rsid w:val="0017728A"/>
    <w:rsid w:val="00177E14"/>
    <w:rsid w:val="00180944"/>
    <w:rsid w:val="00180963"/>
    <w:rsid w:val="0018099E"/>
    <w:rsid w:val="00180F99"/>
    <w:rsid w:val="0018126F"/>
    <w:rsid w:val="001812EB"/>
    <w:rsid w:val="00181CB6"/>
    <w:rsid w:val="0018241F"/>
    <w:rsid w:val="00182514"/>
    <w:rsid w:val="001844A5"/>
    <w:rsid w:val="0018489F"/>
    <w:rsid w:val="00184AAD"/>
    <w:rsid w:val="00185230"/>
    <w:rsid w:val="001853DC"/>
    <w:rsid w:val="00185421"/>
    <w:rsid w:val="0018568C"/>
    <w:rsid w:val="00185C7B"/>
    <w:rsid w:val="00186F5F"/>
    <w:rsid w:val="001871D4"/>
    <w:rsid w:val="00187450"/>
    <w:rsid w:val="00187F4E"/>
    <w:rsid w:val="0019025B"/>
    <w:rsid w:val="001904FF"/>
    <w:rsid w:val="00190AD1"/>
    <w:rsid w:val="00191B31"/>
    <w:rsid w:val="00193470"/>
    <w:rsid w:val="001935AC"/>
    <w:rsid w:val="001939BB"/>
    <w:rsid w:val="00194608"/>
    <w:rsid w:val="00194CA2"/>
    <w:rsid w:val="00194F47"/>
    <w:rsid w:val="00195163"/>
    <w:rsid w:val="00195532"/>
    <w:rsid w:val="0019590E"/>
    <w:rsid w:val="00195C6B"/>
    <w:rsid w:val="001961DE"/>
    <w:rsid w:val="001963EA"/>
    <w:rsid w:val="00196C48"/>
    <w:rsid w:val="00197DCE"/>
    <w:rsid w:val="001A1906"/>
    <w:rsid w:val="001A2674"/>
    <w:rsid w:val="001A3F1F"/>
    <w:rsid w:val="001A4EC9"/>
    <w:rsid w:val="001A513B"/>
    <w:rsid w:val="001A5D33"/>
    <w:rsid w:val="001A6117"/>
    <w:rsid w:val="001A6891"/>
    <w:rsid w:val="001A6E49"/>
    <w:rsid w:val="001A74D2"/>
    <w:rsid w:val="001A78A4"/>
    <w:rsid w:val="001A794D"/>
    <w:rsid w:val="001B0618"/>
    <w:rsid w:val="001B07B3"/>
    <w:rsid w:val="001B0BB5"/>
    <w:rsid w:val="001B1785"/>
    <w:rsid w:val="001B1AEB"/>
    <w:rsid w:val="001B30AB"/>
    <w:rsid w:val="001B3A21"/>
    <w:rsid w:val="001B4458"/>
    <w:rsid w:val="001B47FB"/>
    <w:rsid w:val="001B49A5"/>
    <w:rsid w:val="001B4A43"/>
    <w:rsid w:val="001B4EC5"/>
    <w:rsid w:val="001B5BBE"/>
    <w:rsid w:val="001B6EBE"/>
    <w:rsid w:val="001B773A"/>
    <w:rsid w:val="001B7A37"/>
    <w:rsid w:val="001B7A58"/>
    <w:rsid w:val="001B7DD3"/>
    <w:rsid w:val="001B7F66"/>
    <w:rsid w:val="001C0607"/>
    <w:rsid w:val="001C06A9"/>
    <w:rsid w:val="001C0DC8"/>
    <w:rsid w:val="001C104B"/>
    <w:rsid w:val="001C1286"/>
    <w:rsid w:val="001C20E6"/>
    <w:rsid w:val="001C2CFF"/>
    <w:rsid w:val="001C2EE3"/>
    <w:rsid w:val="001C332A"/>
    <w:rsid w:val="001C34BB"/>
    <w:rsid w:val="001C5AE6"/>
    <w:rsid w:val="001C5F00"/>
    <w:rsid w:val="001C766C"/>
    <w:rsid w:val="001C7CD7"/>
    <w:rsid w:val="001C7F50"/>
    <w:rsid w:val="001D033B"/>
    <w:rsid w:val="001D0396"/>
    <w:rsid w:val="001D10CC"/>
    <w:rsid w:val="001D1287"/>
    <w:rsid w:val="001D16AD"/>
    <w:rsid w:val="001D234E"/>
    <w:rsid w:val="001D288B"/>
    <w:rsid w:val="001D2907"/>
    <w:rsid w:val="001D2B6B"/>
    <w:rsid w:val="001D30D7"/>
    <w:rsid w:val="001D35DC"/>
    <w:rsid w:val="001D4104"/>
    <w:rsid w:val="001D43C1"/>
    <w:rsid w:val="001D4626"/>
    <w:rsid w:val="001D5D81"/>
    <w:rsid w:val="001D6210"/>
    <w:rsid w:val="001D64B8"/>
    <w:rsid w:val="001D6595"/>
    <w:rsid w:val="001D6A91"/>
    <w:rsid w:val="001D6CD5"/>
    <w:rsid w:val="001D6EC1"/>
    <w:rsid w:val="001D710A"/>
    <w:rsid w:val="001E041F"/>
    <w:rsid w:val="001E080D"/>
    <w:rsid w:val="001E09F1"/>
    <w:rsid w:val="001E0C46"/>
    <w:rsid w:val="001E0F38"/>
    <w:rsid w:val="001E1863"/>
    <w:rsid w:val="001E1E07"/>
    <w:rsid w:val="001E362A"/>
    <w:rsid w:val="001E3872"/>
    <w:rsid w:val="001E3BFB"/>
    <w:rsid w:val="001E4094"/>
    <w:rsid w:val="001E43B4"/>
    <w:rsid w:val="001E4958"/>
    <w:rsid w:val="001E49E9"/>
    <w:rsid w:val="001E5233"/>
    <w:rsid w:val="001E567C"/>
    <w:rsid w:val="001E5817"/>
    <w:rsid w:val="001E6874"/>
    <w:rsid w:val="001F16FD"/>
    <w:rsid w:val="001F1B04"/>
    <w:rsid w:val="001F29BA"/>
    <w:rsid w:val="001F3A67"/>
    <w:rsid w:val="001F472E"/>
    <w:rsid w:val="001F4927"/>
    <w:rsid w:val="001F4D06"/>
    <w:rsid w:val="001F6098"/>
    <w:rsid w:val="001F6BE9"/>
    <w:rsid w:val="001F7089"/>
    <w:rsid w:val="002002EA"/>
    <w:rsid w:val="00200930"/>
    <w:rsid w:val="00201037"/>
    <w:rsid w:val="002029C7"/>
    <w:rsid w:val="0020397E"/>
    <w:rsid w:val="0020413D"/>
    <w:rsid w:val="002041E3"/>
    <w:rsid w:val="00204484"/>
    <w:rsid w:val="002045B8"/>
    <w:rsid w:val="00204A19"/>
    <w:rsid w:val="002061AD"/>
    <w:rsid w:val="00206BAB"/>
    <w:rsid w:val="00206BAF"/>
    <w:rsid w:val="0020753C"/>
    <w:rsid w:val="00210274"/>
    <w:rsid w:val="002102EF"/>
    <w:rsid w:val="00211448"/>
    <w:rsid w:val="00211A63"/>
    <w:rsid w:val="00211E5C"/>
    <w:rsid w:val="002139F4"/>
    <w:rsid w:val="00213A6D"/>
    <w:rsid w:val="00214937"/>
    <w:rsid w:val="00215394"/>
    <w:rsid w:val="00215CF1"/>
    <w:rsid w:val="002161A4"/>
    <w:rsid w:val="002175BB"/>
    <w:rsid w:val="002178A8"/>
    <w:rsid w:val="00217AEA"/>
    <w:rsid w:val="00220C6B"/>
    <w:rsid w:val="002232BA"/>
    <w:rsid w:val="00224552"/>
    <w:rsid w:val="00224F3F"/>
    <w:rsid w:val="00225932"/>
    <w:rsid w:val="002261A8"/>
    <w:rsid w:val="00226C0F"/>
    <w:rsid w:val="00226EA6"/>
    <w:rsid w:val="002271F1"/>
    <w:rsid w:val="00227365"/>
    <w:rsid w:val="00227724"/>
    <w:rsid w:val="00227E04"/>
    <w:rsid w:val="00227E2C"/>
    <w:rsid w:val="00230CC7"/>
    <w:rsid w:val="002313DB"/>
    <w:rsid w:val="00231D7F"/>
    <w:rsid w:val="0023221D"/>
    <w:rsid w:val="0023227E"/>
    <w:rsid w:val="0023331B"/>
    <w:rsid w:val="002337EC"/>
    <w:rsid w:val="002338AD"/>
    <w:rsid w:val="0023396D"/>
    <w:rsid w:val="00233C15"/>
    <w:rsid w:val="00233EFF"/>
    <w:rsid w:val="0023424C"/>
    <w:rsid w:val="00234F6E"/>
    <w:rsid w:val="00235A07"/>
    <w:rsid w:val="00235CD0"/>
    <w:rsid w:val="00235D7E"/>
    <w:rsid w:val="0023696C"/>
    <w:rsid w:val="00237BD9"/>
    <w:rsid w:val="002407D1"/>
    <w:rsid w:val="00240C78"/>
    <w:rsid w:val="00240F46"/>
    <w:rsid w:val="0024161B"/>
    <w:rsid w:val="0024192D"/>
    <w:rsid w:val="00242098"/>
    <w:rsid w:val="002425B7"/>
    <w:rsid w:val="002434D8"/>
    <w:rsid w:val="00243AF3"/>
    <w:rsid w:val="002441BB"/>
    <w:rsid w:val="00245168"/>
    <w:rsid w:val="0024530A"/>
    <w:rsid w:val="002453B7"/>
    <w:rsid w:val="00246D9E"/>
    <w:rsid w:val="00247056"/>
    <w:rsid w:val="002470B6"/>
    <w:rsid w:val="00247616"/>
    <w:rsid w:val="002478EB"/>
    <w:rsid w:val="00247969"/>
    <w:rsid w:val="00247A8A"/>
    <w:rsid w:val="002509D5"/>
    <w:rsid w:val="00250EB8"/>
    <w:rsid w:val="002523CD"/>
    <w:rsid w:val="00252621"/>
    <w:rsid w:val="00253224"/>
    <w:rsid w:val="00253A4E"/>
    <w:rsid w:val="00253DF3"/>
    <w:rsid w:val="00253EF1"/>
    <w:rsid w:val="002544A7"/>
    <w:rsid w:val="00254887"/>
    <w:rsid w:val="00254EAD"/>
    <w:rsid w:val="00254FD9"/>
    <w:rsid w:val="002550DB"/>
    <w:rsid w:val="0025533A"/>
    <w:rsid w:val="00256234"/>
    <w:rsid w:val="0025641B"/>
    <w:rsid w:val="002566F0"/>
    <w:rsid w:val="00256F76"/>
    <w:rsid w:val="00257121"/>
    <w:rsid w:val="00257880"/>
    <w:rsid w:val="00260090"/>
    <w:rsid w:val="002619E1"/>
    <w:rsid w:val="00261B24"/>
    <w:rsid w:val="002627F5"/>
    <w:rsid w:val="00263CB2"/>
    <w:rsid w:val="00264679"/>
    <w:rsid w:val="00264832"/>
    <w:rsid w:val="00265007"/>
    <w:rsid w:val="0026564E"/>
    <w:rsid w:val="00265989"/>
    <w:rsid w:val="00265D1F"/>
    <w:rsid w:val="00267047"/>
    <w:rsid w:val="002676C0"/>
    <w:rsid w:val="00267FDC"/>
    <w:rsid w:val="002702B7"/>
    <w:rsid w:val="00270A75"/>
    <w:rsid w:val="00270AE3"/>
    <w:rsid w:val="00271142"/>
    <w:rsid w:val="00271461"/>
    <w:rsid w:val="002714A4"/>
    <w:rsid w:val="00272698"/>
    <w:rsid w:val="002727CF"/>
    <w:rsid w:val="00272964"/>
    <w:rsid w:val="00272D68"/>
    <w:rsid w:val="00272F2C"/>
    <w:rsid w:val="00273600"/>
    <w:rsid w:val="00273AC2"/>
    <w:rsid w:val="00273E9C"/>
    <w:rsid w:val="0027401C"/>
    <w:rsid w:val="002745F3"/>
    <w:rsid w:val="0027464B"/>
    <w:rsid w:val="002753A4"/>
    <w:rsid w:val="00275976"/>
    <w:rsid w:val="00275C90"/>
    <w:rsid w:val="002764B3"/>
    <w:rsid w:val="00276A28"/>
    <w:rsid w:val="00276BF3"/>
    <w:rsid w:val="00277246"/>
    <w:rsid w:val="00277369"/>
    <w:rsid w:val="00277FEA"/>
    <w:rsid w:val="00280A6F"/>
    <w:rsid w:val="002812A7"/>
    <w:rsid w:val="00283022"/>
    <w:rsid w:val="002832E3"/>
    <w:rsid w:val="00284336"/>
    <w:rsid w:val="00284510"/>
    <w:rsid w:val="00285190"/>
    <w:rsid w:val="002854C5"/>
    <w:rsid w:val="00285ADC"/>
    <w:rsid w:val="00286368"/>
    <w:rsid w:val="00286398"/>
    <w:rsid w:val="00286C98"/>
    <w:rsid w:val="00286EAD"/>
    <w:rsid w:val="00287668"/>
    <w:rsid w:val="002900F9"/>
    <w:rsid w:val="00290702"/>
    <w:rsid w:val="00290932"/>
    <w:rsid w:val="0029093F"/>
    <w:rsid w:val="0029094E"/>
    <w:rsid w:val="00290BBD"/>
    <w:rsid w:val="00290CBC"/>
    <w:rsid w:val="002920D2"/>
    <w:rsid w:val="002929D2"/>
    <w:rsid w:val="002931AE"/>
    <w:rsid w:val="00293610"/>
    <w:rsid w:val="002942C3"/>
    <w:rsid w:val="00294B9B"/>
    <w:rsid w:val="00294B9F"/>
    <w:rsid w:val="002950F9"/>
    <w:rsid w:val="00295374"/>
    <w:rsid w:val="002954B6"/>
    <w:rsid w:val="00296A2F"/>
    <w:rsid w:val="00296A72"/>
    <w:rsid w:val="00296AE7"/>
    <w:rsid w:val="002A0533"/>
    <w:rsid w:val="002A09F8"/>
    <w:rsid w:val="002A1D17"/>
    <w:rsid w:val="002A22BF"/>
    <w:rsid w:val="002A39EB"/>
    <w:rsid w:val="002A3AB5"/>
    <w:rsid w:val="002A3C9A"/>
    <w:rsid w:val="002A3E13"/>
    <w:rsid w:val="002A4A95"/>
    <w:rsid w:val="002A67D2"/>
    <w:rsid w:val="002B0D5D"/>
    <w:rsid w:val="002B142C"/>
    <w:rsid w:val="002B19D5"/>
    <w:rsid w:val="002B2AD6"/>
    <w:rsid w:val="002B2EBA"/>
    <w:rsid w:val="002B34DF"/>
    <w:rsid w:val="002B387F"/>
    <w:rsid w:val="002B3B24"/>
    <w:rsid w:val="002B3D7C"/>
    <w:rsid w:val="002B53AC"/>
    <w:rsid w:val="002B5C98"/>
    <w:rsid w:val="002B617B"/>
    <w:rsid w:val="002B6658"/>
    <w:rsid w:val="002B6B5A"/>
    <w:rsid w:val="002B7255"/>
    <w:rsid w:val="002B72A2"/>
    <w:rsid w:val="002C0D01"/>
    <w:rsid w:val="002C0EA8"/>
    <w:rsid w:val="002C21E2"/>
    <w:rsid w:val="002C2F47"/>
    <w:rsid w:val="002C3ABB"/>
    <w:rsid w:val="002C4399"/>
    <w:rsid w:val="002C4E20"/>
    <w:rsid w:val="002C4E95"/>
    <w:rsid w:val="002C4F75"/>
    <w:rsid w:val="002C4FB1"/>
    <w:rsid w:val="002C51E1"/>
    <w:rsid w:val="002C6909"/>
    <w:rsid w:val="002C6BF4"/>
    <w:rsid w:val="002C6CA2"/>
    <w:rsid w:val="002C7EC8"/>
    <w:rsid w:val="002C7F36"/>
    <w:rsid w:val="002C7F49"/>
    <w:rsid w:val="002D06D2"/>
    <w:rsid w:val="002D11B1"/>
    <w:rsid w:val="002D131E"/>
    <w:rsid w:val="002D13EF"/>
    <w:rsid w:val="002D161C"/>
    <w:rsid w:val="002D1756"/>
    <w:rsid w:val="002D1C71"/>
    <w:rsid w:val="002D1C80"/>
    <w:rsid w:val="002D22A8"/>
    <w:rsid w:val="002D28FA"/>
    <w:rsid w:val="002D31DB"/>
    <w:rsid w:val="002D3772"/>
    <w:rsid w:val="002D42F5"/>
    <w:rsid w:val="002D4403"/>
    <w:rsid w:val="002D6914"/>
    <w:rsid w:val="002D6B72"/>
    <w:rsid w:val="002D6BC0"/>
    <w:rsid w:val="002D75AC"/>
    <w:rsid w:val="002E03E8"/>
    <w:rsid w:val="002E0424"/>
    <w:rsid w:val="002E0978"/>
    <w:rsid w:val="002E29A1"/>
    <w:rsid w:val="002E2D0E"/>
    <w:rsid w:val="002E307D"/>
    <w:rsid w:val="002E3194"/>
    <w:rsid w:val="002E3D0A"/>
    <w:rsid w:val="002E4444"/>
    <w:rsid w:val="002E452B"/>
    <w:rsid w:val="002E4942"/>
    <w:rsid w:val="002E5351"/>
    <w:rsid w:val="002E5B83"/>
    <w:rsid w:val="002E5EB5"/>
    <w:rsid w:val="002E689A"/>
    <w:rsid w:val="002E6A3E"/>
    <w:rsid w:val="002E6C52"/>
    <w:rsid w:val="002E73AC"/>
    <w:rsid w:val="002E73E0"/>
    <w:rsid w:val="002E7B49"/>
    <w:rsid w:val="002F0A59"/>
    <w:rsid w:val="002F1CA7"/>
    <w:rsid w:val="002F1E6B"/>
    <w:rsid w:val="002F315B"/>
    <w:rsid w:val="002F3A3D"/>
    <w:rsid w:val="002F4B56"/>
    <w:rsid w:val="002F5B14"/>
    <w:rsid w:val="002F5D21"/>
    <w:rsid w:val="002F656A"/>
    <w:rsid w:val="002F72E1"/>
    <w:rsid w:val="002F7B4D"/>
    <w:rsid w:val="00300115"/>
    <w:rsid w:val="003005A0"/>
    <w:rsid w:val="003013D5"/>
    <w:rsid w:val="003018FB"/>
    <w:rsid w:val="00302064"/>
    <w:rsid w:val="003020EB"/>
    <w:rsid w:val="00302493"/>
    <w:rsid w:val="00302A5F"/>
    <w:rsid w:val="0030360F"/>
    <w:rsid w:val="00303C3B"/>
    <w:rsid w:val="0030431A"/>
    <w:rsid w:val="0030463A"/>
    <w:rsid w:val="00304B43"/>
    <w:rsid w:val="00304E5D"/>
    <w:rsid w:val="00305B0D"/>
    <w:rsid w:val="003068E2"/>
    <w:rsid w:val="00306B31"/>
    <w:rsid w:val="00307018"/>
    <w:rsid w:val="0030705B"/>
    <w:rsid w:val="00307460"/>
    <w:rsid w:val="00307905"/>
    <w:rsid w:val="003102CA"/>
    <w:rsid w:val="003103A5"/>
    <w:rsid w:val="00310438"/>
    <w:rsid w:val="00310CA6"/>
    <w:rsid w:val="00311000"/>
    <w:rsid w:val="0031117F"/>
    <w:rsid w:val="003114D6"/>
    <w:rsid w:val="003118DD"/>
    <w:rsid w:val="00311EDE"/>
    <w:rsid w:val="003135B5"/>
    <w:rsid w:val="00313C87"/>
    <w:rsid w:val="00313CA1"/>
    <w:rsid w:val="00314FD6"/>
    <w:rsid w:val="00315B1F"/>
    <w:rsid w:val="00315CEA"/>
    <w:rsid w:val="003162A8"/>
    <w:rsid w:val="00317963"/>
    <w:rsid w:val="00317D75"/>
    <w:rsid w:val="00317E4F"/>
    <w:rsid w:val="00317FBE"/>
    <w:rsid w:val="0032069D"/>
    <w:rsid w:val="00320F92"/>
    <w:rsid w:val="00322A4B"/>
    <w:rsid w:val="00322ABA"/>
    <w:rsid w:val="00322D5A"/>
    <w:rsid w:val="00322E3B"/>
    <w:rsid w:val="00323FFA"/>
    <w:rsid w:val="003247A4"/>
    <w:rsid w:val="0032494F"/>
    <w:rsid w:val="00324BE3"/>
    <w:rsid w:val="003256F2"/>
    <w:rsid w:val="00325D48"/>
    <w:rsid w:val="00326908"/>
    <w:rsid w:val="00326992"/>
    <w:rsid w:val="0032724E"/>
    <w:rsid w:val="003300A5"/>
    <w:rsid w:val="00330F43"/>
    <w:rsid w:val="00331314"/>
    <w:rsid w:val="00331C60"/>
    <w:rsid w:val="0033216E"/>
    <w:rsid w:val="00332B41"/>
    <w:rsid w:val="00332B59"/>
    <w:rsid w:val="00332C9D"/>
    <w:rsid w:val="00332E93"/>
    <w:rsid w:val="00334CE4"/>
    <w:rsid w:val="003352DB"/>
    <w:rsid w:val="0033583D"/>
    <w:rsid w:val="00335993"/>
    <w:rsid w:val="00336052"/>
    <w:rsid w:val="0033651E"/>
    <w:rsid w:val="003366D8"/>
    <w:rsid w:val="003374EF"/>
    <w:rsid w:val="00337AF7"/>
    <w:rsid w:val="00337C7C"/>
    <w:rsid w:val="0034119C"/>
    <w:rsid w:val="00341238"/>
    <w:rsid w:val="0034269E"/>
    <w:rsid w:val="00342884"/>
    <w:rsid w:val="003430BA"/>
    <w:rsid w:val="003433F5"/>
    <w:rsid w:val="00343FD4"/>
    <w:rsid w:val="00344AD4"/>
    <w:rsid w:val="00344ECB"/>
    <w:rsid w:val="00346ED9"/>
    <w:rsid w:val="0034706E"/>
    <w:rsid w:val="00347767"/>
    <w:rsid w:val="003477A8"/>
    <w:rsid w:val="003479EA"/>
    <w:rsid w:val="00350696"/>
    <w:rsid w:val="00350D8A"/>
    <w:rsid w:val="003515DC"/>
    <w:rsid w:val="00351BDA"/>
    <w:rsid w:val="003522C7"/>
    <w:rsid w:val="0035250F"/>
    <w:rsid w:val="0035330F"/>
    <w:rsid w:val="0035378E"/>
    <w:rsid w:val="00353BC0"/>
    <w:rsid w:val="00354166"/>
    <w:rsid w:val="003554F3"/>
    <w:rsid w:val="00355625"/>
    <w:rsid w:val="00355905"/>
    <w:rsid w:val="00356E45"/>
    <w:rsid w:val="003570D3"/>
    <w:rsid w:val="003576D3"/>
    <w:rsid w:val="00357CF4"/>
    <w:rsid w:val="00360A42"/>
    <w:rsid w:val="00360DFC"/>
    <w:rsid w:val="00360E16"/>
    <w:rsid w:val="00360F67"/>
    <w:rsid w:val="003613FB"/>
    <w:rsid w:val="00362531"/>
    <w:rsid w:val="003625AD"/>
    <w:rsid w:val="00362A57"/>
    <w:rsid w:val="003632B6"/>
    <w:rsid w:val="003637B5"/>
    <w:rsid w:val="0036417D"/>
    <w:rsid w:val="00364238"/>
    <w:rsid w:val="003644AC"/>
    <w:rsid w:val="003645B1"/>
    <w:rsid w:val="00364A78"/>
    <w:rsid w:val="00364CC2"/>
    <w:rsid w:val="00365A5D"/>
    <w:rsid w:val="0036634E"/>
    <w:rsid w:val="003677E8"/>
    <w:rsid w:val="003679A7"/>
    <w:rsid w:val="00370761"/>
    <w:rsid w:val="0037147A"/>
    <w:rsid w:val="003715C5"/>
    <w:rsid w:val="003723FB"/>
    <w:rsid w:val="00372ADB"/>
    <w:rsid w:val="003730FD"/>
    <w:rsid w:val="00373D60"/>
    <w:rsid w:val="003744D5"/>
    <w:rsid w:val="00375192"/>
    <w:rsid w:val="003751A5"/>
    <w:rsid w:val="003754E2"/>
    <w:rsid w:val="00375ABC"/>
    <w:rsid w:val="00376AE7"/>
    <w:rsid w:val="00376B3D"/>
    <w:rsid w:val="00377DA7"/>
    <w:rsid w:val="00380554"/>
    <w:rsid w:val="0038058C"/>
    <w:rsid w:val="0038129D"/>
    <w:rsid w:val="00381368"/>
    <w:rsid w:val="00382480"/>
    <w:rsid w:val="00382DB1"/>
    <w:rsid w:val="00382EC6"/>
    <w:rsid w:val="00383836"/>
    <w:rsid w:val="0038427C"/>
    <w:rsid w:val="00384325"/>
    <w:rsid w:val="003849B5"/>
    <w:rsid w:val="0038523C"/>
    <w:rsid w:val="00385457"/>
    <w:rsid w:val="00386056"/>
    <w:rsid w:val="0038704B"/>
    <w:rsid w:val="00387819"/>
    <w:rsid w:val="0038790D"/>
    <w:rsid w:val="00387DF3"/>
    <w:rsid w:val="003901AD"/>
    <w:rsid w:val="0039099F"/>
    <w:rsid w:val="00390A86"/>
    <w:rsid w:val="00390F9E"/>
    <w:rsid w:val="00391369"/>
    <w:rsid w:val="00391BD5"/>
    <w:rsid w:val="00391D0A"/>
    <w:rsid w:val="00391FE8"/>
    <w:rsid w:val="00392143"/>
    <w:rsid w:val="00392810"/>
    <w:rsid w:val="00393407"/>
    <w:rsid w:val="0039356D"/>
    <w:rsid w:val="00393A05"/>
    <w:rsid w:val="003942D8"/>
    <w:rsid w:val="003952DA"/>
    <w:rsid w:val="00395417"/>
    <w:rsid w:val="003957F7"/>
    <w:rsid w:val="003957FB"/>
    <w:rsid w:val="00397320"/>
    <w:rsid w:val="00397552"/>
    <w:rsid w:val="00397735"/>
    <w:rsid w:val="003A0193"/>
    <w:rsid w:val="003A0AB3"/>
    <w:rsid w:val="003A1570"/>
    <w:rsid w:val="003A16D2"/>
    <w:rsid w:val="003A20F8"/>
    <w:rsid w:val="003A2331"/>
    <w:rsid w:val="003A2F74"/>
    <w:rsid w:val="003A3763"/>
    <w:rsid w:val="003A3836"/>
    <w:rsid w:val="003A40CF"/>
    <w:rsid w:val="003A43CD"/>
    <w:rsid w:val="003A503C"/>
    <w:rsid w:val="003A5214"/>
    <w:rsid w:val="003A58C8"/>
    <w:rsid w:val="003A5B39"/>
    <w:rsid w:val="003A6242"/>
    <w:rsid w:val="003A6B11"/>
    <w:rsid w:val="003A6DA9"/>
    <w:rsid w:val="003A76C3"/>
    <w:rsid w:val="003B0AEB"/>
    <w:rsid w:val="003B15A4"/>
    <w:rsid w:val="003B19CC"/>
    <w:rsid w:val="003B1CDE"/>
    <w:rsid w:val="003B1EF8"/>
    <w:rsid w:val="003B240C"/>
    <w:rsid w:val="003B2B51"/>
    <w:rsid w:val="003B2E3C"/>
    <w:rsid w:val="003B3D80"/>
    <w:rsid w:val="003B523A"/>
    <w:rsid w:val="003B57F1"/>
    <w:rsid w:val="003B6981"/>
    <w:rsid w:val="003B7CA1"/>
    <w:rsid w:val="003C0336"/>
    <w:rsid w:val="003C0382"/>
    <w:rsid w:val="003C0539"/>
    <w:rsid w:val="003C0FFF"/>
    <w:rsid w:val="003C1FA5"/>
    <w:rsid w:val="003C2A47"/>
    <w:rsid w:val="003C2F8A"/>
    <w:rsid w:val="003C3CA5"/>
    <w:rsid w:val="003C4FF2"/>
    <w:rsid w:val="003C5AF6"/>
    <w:rsid w:val="003C616E"/>
    <w:rsid w:val="003C7A62"/>
    <w:rsid w:val="003D0C7E"/>
    <w:rsid w:val="003D1300"/>
    <w:rsid w:val="003D1866"/>
    <w:rsid w:val="003D2BCC"/>
    <w:rsid w:val="003D2E7F"/>
    <w:rsid w:val="003D306F"/>
    <w:rsid w:val="003D387A"/>
    <w:rsid w:val="003D38B3"/>
    <w:rsid w:val="003D41CC"/>
    <w:rsid w:val="003D41D9"/>
    <w:rsid w:val="003D471D"/>
    <w:rsid w:val="003D5C3F"/>
    <w:rsid w:val="003D5F70"/>
    <w:rsid w:val="003D6360"/>
    <w:rsid w:val="003D7512"/>
    <w:rsid w:val="003D7880"/>
    <w:rsid w:val="003E047A"/>
    <w:rsid w:val="003E089E"/>
    <w:rsid w:val="003E1013"/>
    <w:rsid w:val="003E1240"/>
    <w:rsid w:val="003E1949"/>
    <w:rsid w:val="003E201B"/>
    <w:rsid w:val="003E2423"/>
    <w:rsid w:val="003E24A4"/>
    <w:rsid w:val="003E26A4"/>
    <w:rsid w:val="003E3812"/>
    <w:rsid w:val="003E45AB"/>
    <w:rsid w:val="003E49B3"/>
    <w:rsid w:val="003E5757"/>
    <w:rsid w:val="003E588A"/>
    <w:rsid w:val="003E58EF"/>
    <w:rsid w:val="003E65BA"/>
    <w:rsid w:val="003E722A"/>
    <w:rsid w:val="003F0AC7"/>
    <w:rsid w:val="003F0E03"/>
    <w:rsid w:val="003F0E42"/>
    <w:rsid w:val="003F11CF"/>
    <w:rsid w:val="003F1640"/>
    <w:rsid w:val="003F2267"/>
    <w:rsid w:val="003F2280"/>
    <w:rsid w:val="003F36D0"/>
    <w:rsid w:val="003F3713"/>
    <w:rsid w:val="003F3CD1"/>
    <w:rsid w:val="003F471A"/>
    <w:rsid w:val="003F4FC4"/>
    <w:rsid w:val="003F5018"/>
    <w:rsid w:val="003F604C"/>
    <w:rsid w:val="00400653"/>
    <w:rsid w:val="0040069A"/>
    <w:rsid w:val="0040079A"/>
    <w:rsid w:val="004010F6"/>
    <w:rsid w:val="00401404"/>
    <w:rsid w:val="0040220F"/>
    <w:rsid w:val="004027D3"/>
    <w:rsid w:val="00403595"/>
    <w:rsid w:val="004037FF"/>
    <w:rsid w:val="00404149"/>
    <w:rsid w:val="00404500"/>
    <w:rsid w:val="00404592"/>
    <w:rsid w:val="00405238"/>
    <w:rsid w:val="004055FE"/>
    <w:rsid w:val="00405B0F"/>
    <w:rsid w:val="00406678"/>
    <w:rsid w:val="004076C5"/>
    <w:rsid w:val="004079DE"/>
    <w:rsid w:val="00410B01"/>
    <w:rsid w:val="00411DEB"/>
    <w:rsid w:val="00411EFF"/>
    <w:rsid w:val="004121A0"/>
    <w:rsid w:val="0041243D"/>
    <w:rsid w:val="00412834"/>
    <w:rsid w:val="004141D8"/>
    <w:rsid w:val="00414B59"/>
    <w:rsid w:val="00415265"/>
    <w:rsid w:val="00415D32"/>
    <w:rsid w:val="00416351"/>
    <w:rsid w:val="004164B9"/>
    <w:rsid w:val="00416D09"/>
    <w:rsid w:val="00417196"/>
    <w:rsid w:val="004176F8"/>
    <w:rsid w:val="00417902"/>
    <w:rsid w:val="00420886"/>
    <w:rsid w:val="00420988"/>
    <w:rsid w:val="00420BBF"/>
    <w:rsid w:val="00421185"/>
    <w:rsid w:val="00421314"/>
    <w:rsid w:val="00421576"/>
    <w:rsid w:val="00422147"/>
    <w:rsid w:val="00422411"/>
    <w:rsid w:val="00422770"/>
    <w:rsid w:val="00422884"/>
    <w:rsid w:val="00422BD2"/>
    <w:rsid w:val="00422C2B"/>
    <w:rsid w:val="00423C72"/>
    <w:rsid w:val="00424F31"/>
    <w:rsid w:val="004258B8"/>
    <w:rsid w:val="00426697"/>
    <w:rsid w:val="00426BB7"/>
    <w:rsid w:val="00430259"/>
    <w:rsid w:val="0043111B"/>
    <w:rsid w:val="0043190D"/>
    <w:rsid w:val="00432A56"/>
    <w:rsid w:val="00432F57"/>
    <w:rsid w:val="00434589"/>
    <w:rsid w:val="00435C64"/>
    <w:rsid w:val="0043619A"/>
    <w:rsid w:val="00436486"/>
    <w:rsid w:val="00436909"/>
    <w:rsid w:val="004414B3"/>
    <w:rsid w:val="00441523"/>
    <w:rsid w:val="00441958"/>
    <w:rsid w:val="0044295A"/>
    <w:rsid w:val="00442E81"/>
    <w:rsid w:val="004431D8"/>
    <w:rsid w:val="00443AC5"/>
    <w:rsid w:val="00443CB8"/>
    <w:rsid w:val="00443DF3"/>
    <w:rsid w:val="00443E5E"/>
    <w:rsid w:val="00443E78"/>
    <w:rsid w:val="00443F47"/>
    <w:rsid w:val="00444014"/>
    <w:rsid w:val="0044498D"/>
    <w:rsid w:val="00445207"/>
    <w:rsid w:val="00445BE8"/>
    <w:rsid w:val="00445F32"/>
    <w:rsid w:val="0044657C"/>
    <w:rsid w:val="00446688"/>
    <w:rsid w:val="00446CDA"/>
    <w:rsid w:val="004472D7"/>
    <w:rsid w:val="00447805"/>
    <w:rsid w:val="00450B24"/>
    <w:rsid w:val="00451492"/>
    <w:rsid w:val="004521DD"/>
    <w:rsid w:val="0045243A"/>
    <w:rsid w:val="00452B01"/>
    <w:rsid w:val="0045322E"/>
    <w:rsid w:val="00454325"/>
    <w:rsid w:val="00455444"/>
    <w:rsid w:val="004555A0"/>
    <w:rsid w:val="00455743"/>
    <w:rsid w:val="00455ACB"/>
    <w:rsid w:val="00457291"/>
    <w:rsid w:val="004579D0"/>
    <w:rsid w:val="00457DAE"/>
    <w:rsid w:val="00460451"/>
    <w:rsid w:val="00460DFE"/>
    <w:rsid w:val="00462689"/>
    <w:rsid w:val="00462E06"/>
    <w:rsid w:val="004630D1"/>
    <w:rsid w:val="00463BAD"/>
    <w:rsid w:val="00464018"/>
    <w:rsid w:val="00464112"/>
    <w:rsid w:val="00464C60"/>
    <w:rsid w:val="00465F85"/>
    <w:rsid w:val="00466CF6"/>
    <w:rsid w:val="00467E08"/>
    <w:rsid w:val="00467EF0"/>
    <w:rsid w:val="00467F52"/>
    <w:rsid w:val="0047085F"/>
    <w:rsid w:val="00470D66"/>
    <w:rsid w:val="00470FA8"/>
    <w:rsid w:val="00472800"/>
    <w:rsid w:val="00472884"/>
    <w:rsid w:val="004729D7"/>
    <w:rsid w:val="00472E7C"/>
    <w:rsid w:val="00473A69"/>
    <w:rsid w:val="0047450D"/>
    <w:rsid w:val="004750D9"/>
    <w:rsid w:val="00475264"/>
    <w:rsid w:val="00475B0E"/>
    <w:rsid w:val="00475D5D"/>
    <w:rsid w:val="00476E67"/>
    <w:rsid w:val="004774BC"/>
    <w:rsid w:val="00477844"/>
    <w:rsid w:val="004778C3"/>
    <w:rsid w:val="00477C72"/>
    <w:rsid w:val="00480476"/>
    <w:rsid w:val="004811BC"/>
    <w:rsid w:val="004813F1"/>
    <w:rsid w:val="00481E78"/>
    <w:rsid w:val="00482522"/>
    <w:rsid w:val="00483AE9"/>
    <w:rsid w:val="00484783"/>
    <w:rsid w:val="00484A20"/>
    <w:rsid w:val="004850B4"/>
    <w:rsid w:val="004850F5"/>
    <w:rsid w:val="00485FEF"/>
    <w:rsid w:val="004869FE"/>
    <w:rsid w:val="00486AF8"/>
    <w:rsid w:val="004873D8"/>
    <w:rsid w:val="00487838"/>
    <w:rsid w:val="00490060"/>
    <w:rsid w:val="00490563"/>
    <w:rsid w:val="004915C6"/>
    <w:rsid w:val="00491C09"/>
    <w:rsid w:val="004924B9"/>
    <w:rsid w:val="00492C52"/>
    <w:rsid w:val="00493200"/>
    <w:rsid w:val="00493268"/>
    <w:rsid w:val="004934DF"/>
    <w:rsid w:val="0049356B"/>
    <w:rsid w:val="00493745"/>
    <w:rsid w:val="00494021"/>
    <w:rsid w:val="004942DB"/>
    <w:rsid w:val="00494E82"/>
    <w:rsid w:val="00495751"/>
    <w:rsid w:val="00495AAA"/>
    <w:rsid w:val="00495E8B"/>
    <w:rsid w:val="00496D3C"/>
    <w:rsid w:val="004975AF"/>
    <w:rsid w:val="0049796C"/>
    <w:rsid w:val="004A009E"/>
    <w:rsid w:val="004A11DA"/>
    <w:rsid w:val="004A1F19"/>
    <w:rsid w:val="004A3E18"/>
    <w:rsid w:val="004A4100"/>
    <w:rsid w:val="004A415B"/>
    <w:rsid w:val="004A45AB"/>
    <w:rsid w:val="004A4CBD"/>
    <w:rsid w:val="004A57F5"/>
    <w:rsid w:val="004A5F0F"/>
    <w:rsid w:val="004A7176"/>
    <w:rsid w:val="004A742B"/>
    <w:rsid w:val="004A7538"/>
    <w:rsid w:val="004B08B6"/>
    <w:rsid w:val="004B194F"/>
    <w:rsid w:val="004B1EE4"/>
    <w:rsid w:val="004B3131"/>
    <w:rsid w:val="004B316E"/>
    <w:rsid w:val="004B343D"/>
    <w:rsid w:val="004B3A70"/>
    <w:rsid w:val="004B3DBD"/>
    <w:rsid w:val="004B41E7"/>
    <w:rsid w:val="004B4BD3"/>
    <w:rsid w:val="004B5182"/>
    <w:rsid w:val="004B51ED"/>
    <w:rsid w:val="004B52AC"/>
    <w:rsid w:val="004B6477"/>
    <w:rsid w:val="004B6638"/>
    <w:rsid w:val="004B6EB3"/>
    <w:rsid w:val="004B6F7D"/>
    <w:rsid w:val="004B79CE"/>
    <w:rsid w:val="004B7E1A"/>
    <w:rsid w:val="004C0160"/>
    <w:rsid w:val="004C03E2"/>
    <w:rsid w:val="004C158A"/>
    <w:rsid w:val="004C1F2B"/>
    <w:rsid w:val="004C263E"/>
    <w:rsid w:val="004C4477"/>
    <w:rsid w:val="004C4DA7"/>
    <w:rsid w:val="004C4F3A"/>
    <w:rsid w:val="004C54F8"/>
    <w:rsid w:val="004C58E9"/>
    <w:rsid w:val="004C5D51"/>
    <w:rsid w:val="004C5F7B"/>
    <w:rsid w:val="004C687B"/>
    <w:rsid w:val="004C68B4"/>
    <w:rsid w:val="004C6A76"/>
    <w:rsid w:val="004C7B65"/>
    <w:rsid w:val="004D0552"/>
    <w:rsid w:val="004D06F1"/>
    <w:rsid w:val="004D0798"/>
    <w:rsid w:val="004D1489"/>
    <w:rsid w:val="004D18B5"/>
    <w:rsid w:val="004D1D11"/>
    <w:rsid w:val="004D2324"/>
    <w:rsid w:val="004D277A"/>
    <w:rsid w:val="004D372B"/>
    <w:rsid w:val="004D3D6B"/>
    <w:rsid w:val="004D4516"/>
    <w:rsid w:val="004D46D1"/>
    <w:rsid w:val="004D4B8B"/>
    <w:rsid w:val="004D50C5"/>
    <w:rsid w:val="004D54BC"/>
    <w:rsid w:val="004D6373"/>
    <w:rsid w:val="004D6C7C"/>
    <w:rsid w:val="004D797E"/>
    <w:rsid w:val="004E01E5"/>
    <w:rsid w:val="004E095D"/>
    <w:rsid w:val="004E10A2"/>
    <w:rsid w:val="004E10EF"/>
    <w:rsid w:val="004E218D"/>
    <w:rsid w:val="004E26E9"/>
    <w:rsid w:val="004E2C9A"/>
    <w:rsid w:val="004E5195"/>
    <w:rsid w:val="004E5A69"/>
    <w:rsid w:val="004E637A"/>
    <w:rsid w:val="004E63D8"/>
    <w:rsid w:val="004E66F2"/>
    <w:rsid w:val="004E7272"/>
    <w:rsid w:val="004F012C"/>
    <w:rsid w:val="004F0C48"/>
    <w:rsid w:val="004F122B"/>
    <w:rsid w:val="004F183C"/>
    <w:rsid w:val="004F1D58"/>
    <w:rsid w:val="004F2DFA"/>
    <w:rsid w:val="004F309C"/>
    <w:rsid w:val="004F329C"/>
    <w:rsid w:val="004F381B"/>
    <w:rsid w:val="004F3BC7"/>
    <w:rsid w:val="004F3F7E"/>
    <w:rsid w:val="004F41AA"/>
    <w:rsid w:val="004F46FA"/>
    <w:rsid w:val="004F4B52"/>
    <w:rsid w:val="004F51D5"/>
    <w:rsid w:val="004F533D"/>
    <w:rsid w:val="004F53A2"/>
    <w:rsid w:val="004F5879"/>
    <w:rsid w:val="004F58D7"/>
    <w:rsid w:val="004F6ACD"/>
    <w:rsid w:val="004F7829"/>
    <w:rsid w:val="004F7BFE"/>
    <w:rsid w:val="0050028F"/>
    <w:rsid w:val="00500653"/>
    <w:rsid w:val="00501B83"/>
    <w:rsid w:val="005029E5"/>
    <w:rsid w:val="00503184"/>
    <w:rsid w:val="00503631"/>
    <w:rsid w:val="005039F5"/>
    <w:rsid w:val="00503D06"/>
    <w:rsid w:val="005048A9"/>
    <w:rsid w:val="00504CD9"/>
    <w:rsid w:val="00505AB5"/>
    <w:rsid w:val="00506311"/>
    <w:rsid w:val="005068F8"/>
    <w:rsid w:val="00506FB0"/>
    <w:rsid w:val="0050705E"/>
    <w:rsid w:val="005102CD"/>
    <w:rsid w:val="005102D7"/>
    <w:rsid w:val="0051056F"/>
    <w:rsid w:val="00510AE3"/>
    <w:rsid w:val="00510F35"/>
    <w:rsid w:val="00510F7A"/>
    <w:rsid w:val="0051249D"/>
    <w:rsid w:val="005126C7"/>
    <w:rsid w:val="0051343F"/>
    <w:rsid w:val="005140FE"/>
    <w:rsid w:val="00515201"/>
    <w:rsid w:val="005153F7"/>
    <w:rsid w:val="0051632D"/>
    <w:rsid w:val="00516F69"/>
    <w:rsid w:val="0051780B"/>
    <w:rsid w:val="00517DAF"/>
    <w:rsid w:val="0052071F"/>
    <w:rsid w:val="00520E24"/>
    <w:rsid w:val="00521026"/>
    <w:rsid w:val="00521119"/>
    <w:rsid w:val="005224CC"/>
    <w:rsid w:val="00522A86"/>
    <w:rsid w:val="00523165"/>
    <w:rsid w:val="00523289"/>
    <w:rsid w:val="00523C9E"/>
    <w:rsid w:val="005240D5"/>
    <w:rsid w:val="00524D59"/>
    <w:rsid w:val="00526078"/>
    <w:rsid w:val="00526C8E"/>
    <w:rsid w:val="00526ED0"/>
    <w:rsid w:val="00527511"/>
    <w:rsid w:val="005311F1"/>
    <w:rsid w:val="005314CB"/>
    <w:rsid w:val="005317D3"/>
    <w:rsid w:val="00532146"/>
    <w:rsid w:val="0053269F"/>
    <w:rsid w:val="00533480"/>
    <w:rsid w:val="0053349F"/>
    <w:rsid w:val="005335C3"/>
    <w:rsid w:val="00534C37"/>
    <w:rsid w:val="005351F9"/>
    <w:rsid w:val="005361A8"/>
    <w:rsid w:val="0053661A"/>
    <w:rsid w:val="00536C3B"/>
    <w:rsid w:val="00536F1D"/>
    <w:rsid w:val="0053792D"/>
    <w:rsid w:val="0054019C"/>
    <w:rsid w:val="005406BB"/>
    <w:rsid w:val="00540D09"/>
    <w:rsid w:val="00541F9B"/>
    <w:rsid w:val="00542059"/>
    <w:rsid w:val="005421C8"/>
    <w:rsid w:val="005422B7"/>
    <w:rsid w:val="005426CE"/>
    <w:rsid w:val="0054299E"/>
    <w:rsid w:val="00542C7A"/>
    <w:rsid w:val="00543262"/>
    <w:rsid w:val="00543450"/>
    <w:rsid w:val="005444A9"/>
    <w:rsid w:val="0054453F"/>
    <w:rsid w:val="00544DA7"/>
    <w:rsid w:val="00544F1E"/>
    <w:rsid w:val="0054689B"/>
    <w:rsid w:val="00546A66"/>
    <w:rsid w:val="005470C9"/>
    <w:rsid w:val="0055101E"/>
    <w:rsid w:val="005513F3"/>
    <w:rsid w:val="00551ACE"/>
    <w:rsid w:val="00552C97"/>
    <w:rsid w:val="00553753"/>
    <w:rsid w:val="00553A01"/>
    <w:rsid w:val="00554822"/>
    <w:rsid w:val="00555192"/>
    <w:rsid w:val="00555810"/>
    <w:rsid w:val="005560F1"/>
    <w:rsid w:val="0055638C"/>
    <w:rsid w:val="00557E31"/>
    <w:rsid w:val="00560355"/>
    <w:rsid w:val="00560483"/>
    <w:rsid w:val="00560EAB"/>
    <w:rsid w:val="0056131C"/>
    <w:rsid w:val="005618F9"/>
    <w:rsid w:val="00561E75"/>
    <w:rsid w:val="0056206C"/>
    <w:rsid w:val="005634DD"/>
    <w:rsid w:val="00563645"/>
    <w:rsid w:val="00563F2E"/>
    <w:rsid w:val="005643EB"/>
    <w:rsid w:val="00565340"/>
    <w:rsid w:val="0056560B"/>
    <w:rsid w:val="00565637"/>
    <w:rsid w:val="0056573B"/>
    <w:rsid w:val="00565A95"/>
    <w:rsid w:val="00567318"/>
    <w:rsid w:val="00567F4A"/>
    <w:rsid w:val="00570C87"/>
    <w:rsid w:val="00573465"/>
    <w:rsid w:val="00573619"/>
    <w:rsid w:val="00573710"/>
    <w:rsid w:val="00573B52"/>
    <w:rsid w:val="00573E0A"/>
    <w:rsid w:val="00573E21"/>
    <w:rsid w:val="00573F0D"/>
    <w:rsid w:val="00574265"/>
    <w:rsid w:val="00575211"/>
    <w:rsid w:val="00575784"/>
    <w:rsid w:val="00575BF1"/>
    <w:rsid w:val="0057634A"/>
    <w:rsid w:val="005771B8"/>
    <w:rsid w:val="0057721C"/>
    <w:rsid w:val="005778E9"/>
    <w:rsid w:val="005779CB"/>
    <w:rsid w:val="005809FD"/>
    <w:rsid w:val="00580C46"/>
    <w:rsid w:val="005815EB"/>
    <w:rsid w:val="00581A42"/>
    <w:rsid w:val="00581A90"/>
    <w:rsid w:val="00582EE7"/>
    <w:rsid w:val="00583A81"/>
    <w:rsid w:val="00585378"/>
    <w:rsid w:val="0058543C"/>
    <w:rsid w:val="00585476"/>
    <w:rsid w:val="005863B8"/>
    <w:rsid w:val="005871CB"/>
    <w:rsid w:val="00587CAD"/>
    <w:rsid w:val="00587E7E"/>
    <w:rsid w:val="005906D6"/>
    <w:rsid w:val="005914E5"/>
    <w:rsid w:val="005916C3"/>
    <w:rsid w:val="0059218C"/>
    <w:rsid w:val="005929E2"/>
    <w:rsid w:val="00592ABC"/>
    <w:rsid w:val="00592E74"/>
    <w:rsid w:val="00593241"/>
    <w:rsid w:val="00593260"/>
    <w:rsid w:val="00594781"/>
    <w:rsid w:val="00595A9C"/>
    <w:rsid w:val="00596133"/>
    <w:rsid w:val="0059650B"/>
    <w:rsid w:val="00596B13"/>
    <w:rsid w:val="00596BB5"/>
    <w:rsid w:val="00597485"/>
    <w:rsid w:val="005A0B32"/>
    <w:rsid w:val="005A11C0"/>
    <w:rsid w:val="005A3019"/>
    <w:rsid w:val="005A3040"/>
    <w:rsid w:val="005A30DD"/>
    <w:rsid w:val="005A3140"/>
    <w:rsid w:val="005A3E4B"/>
    <w:rsid w:val="005A530F"/>
    <w:rsid w:val="005A5444"/>
    <w:rsid w:val="005A74BC"/>
    <w:rsid w:val="005A74F1"/>
    <w:rsid w:val="005A786D"/>
    <w:rsid w:val="005A7E84"/>
    <w:rsid w:val="005B0204"/>
    <w:rsid w:val="005B0A11"/>
    <w:rsid w:val="005B1530"/>
    <w:rsid w:val="005B18A6"/>
    <w:rsid w:val="005B28E2"/>
    <w:rsid w:val="005B2EAF"/>
    <w:rsid w:val="005B2EBC"/>
    <w:rsid w:val="005B3433"/>
    <w:rsid w:val="005B379D"/>
    <w:rsid w:val="005B4412"/>
    <w:rsid w:val="005B4A9A"/>
    <w:rsid w:val="005B5D79"/>
    <w:rsid w:val="005B71DC"/>
    <w:rsid w:val="005B7263"/>
    <w:rsid w:val="005B754B"/>
    <w:rsid w:val="005B77A8"/>
    <w:rsid w:val="005B7CDB"/>
    <w:rsid w:val="005C04E3"/>
    <w:rsid w:val="005C0779"/>
    <w:rsid w:val="005C11F3"/>
    <w:rsid w:val="005C18AA"/>
    <w:rsid w:val="005C2773"/>
    <w:rsid w:val="005C2C1F"/>
    <w:rsid w:val="005C2F6A"/>
    <w:rsid w:val="005C569C"/>
    <w:rsid w:val="005C5FE4"/>
    <w:rsid w:val="005C71C5"/>
    <w:rsid w:val="005C7AF4"/>
    <w:rsid w:val="005D0A1B"/>
    <w:rsid w:val="005D0DA0"/>
    <w:rsid w:val="005D223B"/>
    <w:rsid w:val="005D25FA"/>
    <w:rsid w:val="005D2BF7"/>
    <w:rsid w:val="005D308B"/>
    <w:rsid w:val="005D3339"/>
    <w:rsid w:val="005D3536"/>
    <w:rsid w:val="005D3CEB"/>
    <w:rsid w:val="005D41A5"/>
    <w:rsid w:val="005D5A9D"/>
    <w:rsid w:val="005D5D71"/>
    <w:rsid w:val="005D6CE2"/>
    <w:rsid w:val="005E071D"/>
    <w:rsid w:val="005E11CD"/>
    <w:rsid w:val="005E32EE"/>
    <w:rsid w:val="005E4112"/>
    <w:rsid w:val="005E4725"/>
    <w:rsid w:val="005E4BC1"/>
    <w:rsid w:val="005E4BC4"/>
    <w:rsid w:val="005E5EC3"/>
    <w:rsid w:val="005E6553"/>
    <w:rsid w:val="005E74A3"/>
    <w:rsid w:val="005F00FE"/>
    <w:rsid w:val="005F04F6"/>
    <w:rsid w:val="005F0613"/>
    <w:rsid w:val="005F0B9F"/>
    <w:rsid w:val="005F39F8"/>
    <w:rsid w:val="005F5070"/>
    <w:rsid w:val="005F5429"/>
    <w:rsid w:val="005F55CD"/>
    <w:rsid w:val="005F5F42"/>
    <w:rsid w:val="005F69E8"/>
    <w:rsid w:val="006002DF"/>
    <w:rsid w:val="00600E71"/>
    <w:rsid w:val="00601FAC"/>
    <w:rsid w:val="006021ED"/>
    <w:rsid w:val="006024EC"/>
    <w:rsid w:val="00602CFC"/>
    <w:rsid w:val="00602D21"/>
    <w:rsid w:val="00603AB1"/>
    <w:rsid w:val="00603E62"/>
    <w:rsid w:val="00604B87"/>
    <w:rsid w:val="00605089"/>
    <w:rsid w:val="0060550C"/>
    <w:rsid w:val="006063B9"/>
    <w:rsid w:val="006065A9"/>
    <w:rsid w:val="00607702"/>
    <w:rsid w:val="006079CD"/>
    <w:rsid w:val="00607B41"/>
    <w:rsid w:val="00611113"/>
    <w:rsid w:val="0061230F"/>
    <w:rsid w:val="006127B4"/>
    <w:rsid w:val="00612857"/>
    <w:rsid w:val="00612B75"/>
    <w:rsid w:val="00612CEC"/>
    <w:rsid w:val="0061310C"/>
    <w:rsid w:val="00613879"/>
    <w:rsid w:val="006138E5"/>
    <w:rsid w:val="0061422C"/>
    <w:rsid w:val="00614844"/>
    <w:rsid w:val="00615856"/>
    <w:rsid w:val="006159AC"/>
    <w:rsid w:val="00615C7C"/>
    <w:rsid w:val="00615C89"/>
    <w:rsid w:val="00616356"/>
    <w:rsid w:val="00616860"/>
    <w:rsid w:val="00616BCA"/>
    <w:rsid w:val="00616F58"/>
    <w:rsid w:val="0062039E"/>
    <w:rsid w:val="00620CCF"/>
    <w:rsid w:val="0062149C"/>
    <w:rsid w:val="006216C3"/>
    <w:rsid w:val="00622004"/>
    <w:rsid w:val="00623B3E"/>
    <w:rsid w:val="0062422F"/>
    <w:rsid w:val="00625001"/>
    <w:rsid w:val="00625653"/>
    <w:rsid w:val="00626046"/>
    <w:rsid w:val="00626088"/>
    <w:rsid w:val="00626263"/>
    <w:rsid w:val="00626524"/>
    <w:rsid w:val="006303C7"/>
    <w:rsid w:val="00630EF4"/>
    <w:rsid w:val="00631067"/>
    <w:rsid w:val="00631BB5"/>
    <w:rsid w:val="00631CFC"/>
    <w:rsid w:val="00631DB5"/>
    <w:rsid w:val="00632D2A"/>
    <w:rsid w:val="00632D36"/>
    <w:rsid w:val="00633E03"/>
    <w:rsid w:val="006340DA"/>
    <w:rsid w:val="006343B3"/>
    <w:rsid w:val="00634535"/>
    <w:rsid w:val="00634AE7"/>
    <w:rsid w:val="0063543C"/>
    <w:rsid w:val="00635612"/>
    <w:rsid w:val="00636363"/>
    <w:rsid w:val="00636E71"/>
    <w:rsid w:val="006373A4"/>
    <w:rsid w:val="00637C1C"/>
    <w:rsid w:val="00637E2E"/>
    <w:rsid w:val="00640421"/>
    <w:rsid w:val="00640648"/>
    <w:rsid w:val="0064295C"/>
    <w:rsid w:val="006435EB"/>
    <w:rsid w:val="00643B82"/>
    <w:rsid w:val="00643EFA"/>
    <w:rsid w:val="00644056"/>
    <w:rsid w:val="00644CD7"/>
    <w:rsid w:val="00644D97"/>
    <w:rsid w:val="00646612"/>
    <w:rsid w:val="00646FBA"/>
    <w:rsid w:val="00647B3A"/>
    <w:rsid w:val="00650691"/>
    <w:rsid w:val="006506A1"/>
    <w:rsid w:val="00651FB8"/>
    <w:rsid w:val="00652152"/>
    <w:rsid w:val="00652884"/>
    <w:rsid w:val="006530EA"/>
    <w:rsid w:val="00655089"/>
    <w:rsid w:val="0065548C"/>
    <w:rsid w:val="0065582B"/>
    <w:rsid w:val="00655843"/>
    <w:rsid w:val="00655B4E"/>
    <w:rsid w:val="0066013F"/>
    <w:rsid w:val="00660183"/>
    <w:rsid w:val="00660392"/>
    <w:rsid w:val="00660647"/>
    <w:rsid w:val="00660A23"/>
    <w:rsid w:val="00661E96"/>
    <w:rsid w:val="00662136"/>
    <w:rsid w:val="006636A1"/>
    <w:rsid w:val="00663C1D"/>
    <w:rsid w:val="00663FE7"/>
    <w:rsid w:val="006650DD"/>
    <w:rsid w:val="00666470"/>
    <w:rsid w:val="00667BFC"/>
    <w:rsid w:val="0067066D"/>
    <w:rsid w:val="00672602"/>
    <w:rsid w:val="00672657"/>
    <w:rsid w:val="0067296B"/>
    <w:rsid w:val="006734FA"/>
    <w:rsid w:val="0067394F"/>
    <w:rsid w:val="00673F96"/>
    <w:rsid w:val="0067403F"/>
    <w:rsid w:val="0067438E"/>
    <w:rsid w:val="0067565C"/>
    <w:rsid w:val="006756F0"/>
    <w:rsid w:val="00675730"/>
    <w:rsid w:val="00675841"/>
    <w:rsid w:val="00675A73"/>
    <w:rsid w:val="00676256"/>
    <w:rsid w:val="006762A3"/>
    <w:rsid w:val="00676FA0"/>
    <w:rsid w:val="00676FF4"/>
    <w:rsid w:val="0067707E"/>
    <w:rsid w:val="006771FE"/>
    <w:rsid w:val="00677455"/>
    <w:rsid w:val="006800DD"/>
    <w:rsid w:val="00680821"/>
    <w:rsid w:val="006816CC"/>
    <w:rsid w:val="00681A3F"/>
    <w:rsid w:val="0068230B"/>
    <w:rsid w:val="00682BAD"/>
    <w:rsid w:val="00683B09"/>
    <w:rsid w:val="00684368"/>
    <w:rsid w:val="00684998"/>
    <w:rsid w:val="00685FE0"/>
    <w:rsid w:val="006863EA"/>
    <w:rsid w:val="00686A7D"/>
    <w:rsid w:val="00686EF9"/>
    <w:rsid w:val="006874AE"/>
    <w:rsid w:val="00687C4B"/>
    <w:rsid w:val="00687D35"/>
    <w:rsid w:val="00690740"/>
    <w:rsid w:val="00690E2E"/>
    <w:rsid w:val="006917D3"/>
    <w:rsid w:val="00691CF7"/>
    <w:rsid w:val="00691D29"/>
    <w:rsid w:val="006922EB"/>
    <w:rsid w:val="00692CA8"/>
    <w:rsid w:val="00692E17"/>
    <w:rsid w:val="0069335D"/>
    <w:rsid w:val="0069388F"/>
    <w:rsid w:val="00693D69"/>
    <w:rsid w:val="00694611"/>
    <w:rsid w:val="00694D79"/>
    <w:rsid w:val="0069543B"/>
    <w:rsid w:val="00696264"/>
    <w:rsid w:val="0069650E"/>
    <w:rsid w:val="0069660D"/>
    <w:rsid w:val="00696960"/>
    <w:rsid w:val="00696996"/>
    <w:rsid w:val="00697CB3"/>
    <w:rsid w:val="006A00B0"/>
    <w:rsid w:val="006A00E2"/>
    <w:rsid w:val="006A05A0"/>
    <w:rsid w:val="006A0EBC"/>
    <w:rsid w:val="006A18CE"/>
    <w:rsid w:val="006A22B2"/>
    <w:rsid w:val="006A234D"/>
    <w:rsid w:val="006A280F"/>
    <w:rsid w:val="006A2D88"/>
    <w:rsid w:val="006A2E56"/>
    <w:rsid w:val="006A38E7"/>
    <w:rsid w:val="006A3DE4"/>
    <w:rsid w:val="006A42E7"/>
    <w:rsid w:val="006A43BB"/>
    <w:rsid w:val="006A5FEA"/>
    <w:rsid w:val="006A6628"/>
    <w:rsid w:val="006A7388"/>
    <w:rsid w:val="006A77E4"/>
    <w:rsid w:val="006A7DDF"/>
    <w:rsid w:val="006B0061"/>
    <w:rsid w:val="006B022E"/>
    <w:rsid w:val="006B08F7"/>
    <w:rsid w:val="006B1605"/>
    <w:rsid w:val="006B207A"/>
    <w:rsid w:val="006B2526"/>
    <w:rsid w:val="006B2B77"/>
    <w:rsid w:val="006B44FF"/>
    <w:rsid w:val="006B458C"/>
    <w:rsid w:val="006B45C0"/>
    <w:rsid w:val="006B484E"/>
    <w:rsid w:val="006B4E84"/>
    <w:rsid w:val="006B576E"/>
    <w:rsid w:val="006B5F57"/>
    <w:rsid w:val="006B614B"/>
    <w:rsid w:val="006B7A83"/>
    <w:rsid w:val="006B7B1E"/>
    <w:rsid w:val="006B7D3F"/>
    <w:rsid w:val="006C04C2"/>
    <w:rsid w:val="006C0F62"/>
    <w:rsid w:val="006C14B4"/>
    <w:rsid w:val="006C1C61"/>
    <w:rsid w:val="006C2194"/>
    <w:rsid w:val="006C37E7"/>
    <w:rsid w:val="006C39D0"/>
    <w:rsid w:val="006C46E0"/>
    <w:rsid w:val="006C4A9D"/>
    <w:rsid w:val="006C4FFA"/>
    <w:rsid w:val="006C5576"/>
    <w:rsid w:val="006C6922"/>
    <w:rsid w:val="006C6CB1"/>
    <w:rsid w:val="006C70A2"/>
    <w:rsid w:val="006C77BD"/>
    <w:rsid w:val="006C7FC4"/>
    <w:rsid w:val="006D071B"/>
    <w:rsid w:val="006D0803"/>
    <w:rsid w:val="006D0BBE"/>
    <w:rsid w:val="006D146E"/>
    <w:rsid w:val="006D1DAD"/>
    <w:rsid w:val="006D21DA"/>
    <w:rsid w:val="006D3057"/>
    <w:rsid w:val="006D669E"/>
    <w:rsid w:val="006D67D3"/>
    <w:rsid w:val="006D6C52"/>
    <w:rsid w:val="006D71C9"/>
    <w:rsid w:val="006E0064"/>
    <w:rsid w:val="006E0335"/>
    <w:rsid w:val="006E05F8"/>
    <w:rsid w:val="006E0657"/>
    <w:rsid w:val="006E065E"/>
    <w:rsid w:val="006E0694"/>
    <w:rsid w:val="006E0B2D"/>
    <w:rsid w:val="006E18E8"/>
    <w:rsid w:val="006E224C"/>
    <w:rsid w:val="006E267F"/>
    <w:rsid w:val="006E26AD"/>
    <w:rsid w:val="006E32DB"/>
    <w:rsid w:val="006E3EFF"/>
    <w:rsid w:val="006E48FF"/>
    <w:rsid w:val="006E499D"/>
    <w:rsid w:val="006E5DB0"/>
    <w:rsid w:val="006E6391"/>
    <w:rsid w:val="006E66D2"/>
    <w:rsid w:val="006E6DCE"/>
    <w:rsid w:val="006E7BA0"/>
    <w:rsid w:val="006E7CDD"/>
    <w:rsid w:val="006F03FD"/>
    <w:rsid w:val="006F05EC"/>
    <w:rsid w:val="006F32CD"/>
    <w:rsid w:val="006F406E"/>
    <w:rsid w:val="006F4132"/>
    <w:rsid w:val="006F494B"/>
    <w:rsid w:val="006F50F6"/>
    <w:rsid w:val="006F5634"/>
    <w:rsid w:val="006F58BE"/>
    <w:rsid w:val="006F5B7D"/>
    <w:rsid w:val="006F6016"/>
    <w:rsid w:val="006F6E3E"/>
    <w:rsid w:val="006F72FA"/>
    <w:rsid w:val="006F7745"/>
    <w:rsid w:val="006F7B7B"/>
    <w:rsid w:val="00700EF4"/>
    <w:rsid w:val="0070142E"/>
    <w:rsid w:val="00701475"/>
    <w:rsid w:val="00701AF0"/>
    <w:rsid w:val="00702570"/>
    <w:rsid w:val="00702A2E"/>
    <w:rsid w:val="00702F35"/>
    <w:rsid w:val="00703654"/>
    <w:rsid w:val="00703889"/>
    <w:rsid w:val="00703CB0"/>
    <w:rsid w:val="00703CCF"/>
    <w:rsid w:val="0070439B"/>
    <w:rsid w:val="00704AF3"/>
    <w:rsid w:val="00705958"/>
    <w:rsid w:val="00705A19"/>
    <w:rsid w:val="00706000"/>
    <w:rsid w:val="00706381"/>
    <w:rsid w:val="0070679A"/>
    <w:rsid w:val="00707B62"/>
    <w:rsid w:val="00707E48"/>
    <w:rsid w:val="00710DCB"/>
    <w:rsid w:val="007120EB"/>
    <w:rsid w:val="00712291"/>
    <w:rsid w:val="00712681"/>
    <w:rsid w:val="007126F0"/>
    <w:rsid w:val="007127F3"/>
    <w:rsid w:val="00712C31"/>
    <w:rsid w:val="00712EEC"/>
    <w:rsid w:val="007138C7"/>
    <w:rsid w:val="00714BDE"/>
    <w:rsid w:val="00714DE0"/>
    <w:rsid w:val="00714F30"/>
    <w:rsid w:val="007153A0"/>
    <w:rsid w:val="00715659"/>
    <w:rsid w:val="0071602A"/>
    <w:rsid w:val="00716945"/>
    <w:rsid w:val="00717302"/>
    <w:rsid w:val="00717A8F"/>
    <w:rsid w:val="00717F96"/>
    <w:rsid w:val="00720698"/>
    <w:rsid w:val="00720A5A"/>
    <w:rsid w:val="00720CD3"/>
    <w:rsid w:val="0072175B"/>
    <w:rsid w:val="00722D1B"/>
    <w:rsid w:val="0072344E"/>
    <w:rsid w:val="00723C56"/>
    <w:rsid w:val="00723F13"/>
    <w:rsid w:val="00725485"/>
    <w:rsid w:val="00725801"/>
    <w:rsid w:val="007265A7"/>
    <w:rsid w:val="00726A28"/>
    <w:rsid w:val="0073009A"/>
    <w:rsid w:val="007309F7"/>
    <w:rsid w:val="00730AFB"/>
    <w:rsid w:val="007312A2"/>
    <w:rsid w:val="00731894"/>
    <w:rsid w:val="00731954"/>
    <w:rsid w:val="00731A7F"/>
    <w:rsid w:val="007337A0"/>
    <w:rsid w:val="007348D8"/>
    <w:rsid w:val="00735060"/>
    <w:rsid w:val="00735F82"/>
    <w:rsid w:val="00736C6C"/>
    <w:rsid w:val="00736E8A"/>
    <w:rsid w:val="00737205"/>
    <w:rsid w:val="0073728F"/>
    <w:rsid w:val="00737E8A"/>
    <w:rsid w:val="00740EB2"/>
    <w:rsid w:val="00741878"/>
    <w:rsid w:val="00741D60"/>
    <w:rsid w:val="007420D5"/>
    <w:rsid w:val="00742B26"/>
    <w:rsid w:val="0074439A"/>
    <w:rsid w:val="00744409"/>
    <w:rsid w:val="007446AE"/>
    <w:rsid w:val="00744A15"/>
    <w:rsid w:val="00745ABE"/>
    <w:rsid w:val="00745D16"/>
    <w:rsid w:val="0074721B"/>
    <w:rsid w:val="0074788B"/>
    <w:rsid w:val="00750456"/>
    <w:rsid w:val="00750586"/>
    <w:rsid w:val="007516B2"/>
    <w:rsid w:val="007518A1"/>
    <w:rsid w:val="00751CF2"/>
    <w:rsid w:val="007520B0"/>
    <w:rsid w:val="00752512"/>
    <w:rsid w:val="00753423"/>
    <w:rsid w:val="00753661"/>
    <w:rsid w:val="00753B35"/>
    <w:rsid w:val="00753E1A"/>
    <w:rsid w:val="0075404F"/>
    <w:rsid w:val="0075438E"/>
    <w:rsid w:val="00754C34"/>
    <w:rsid w:val="00754D9B"/>
    <w:rsid w:val="007550B5"/>
    <w:rsid w:val="007556A7"/>
    <w:rsid w:val="0075667C"/>
    <w:rsid w:val="007566BE"/>
    <w:rsid w:val="00756A41"/>
    <w:rsid w:val="00756C62"/>
    <w:rsid w:val="007570F6"/>
    <w:rsid w:val="007572AD"/>
    <w:rsid w:val="0075741D"/>
    <w:rsid w:val="0075742E"/>
    <w:rsid w:val="007574DC"/>
    <w:rsid w:val="0075775B"/>
    <w:rsid w:val="00760E8E"/>
    <w:rsid w:val="00761270"/>
    <w:rsid w:val="0076192F"/>
    <w:rsid w:val="00762054"/>
    <w:rsid w:val="0076234B"/>
    <w:rsid w:val="00763097"/>
    <w:rsid w:val="00763131"/>
    <w:rsid w:val="00763D72"/>
    <w:rsid w:val="00764694"/>
    <w:rsid w:val="00764DDA"/>
    <w:rsid w:val="007651A7"/>
    <w:rsid w:val="007654C4"/>
    <w:rsid w:val="00765E85"/>
    <w:rsid w:val="00766B32"/>
    <w:rsid w:val="0076737F"/>
    <w:rsid w:val="00770552"/>
    <w:rsid w:val="00770BD6"/>
    <w:rsid w:val="00771967"/>
    <w:rsid w:val="00771CCF"/>
    <w:rsid w:val="007728EC"/>
    <w:rsid w:val="00773296"/>
    <w:rsid w:val="0077437F"/>
    <w:rsid w:val="007760B6"/>
    <w:rsid w:val="007760D5"/>
    <w:rsid w:val="007763C8"/>
    <w:rsid w:val="00777076"/>
    <w:rsid w:val="00777937"/>
    <w:rsid w:val="00777DCF"/>
    <w:rsid w:val="00777E33"/>
    <w:rsid w:val="007802E7"/>
    <w:rsid w:val="00780E44"/>
    <w:rsid w:val="00781827"/>
    <w:rsid w:val="00781F08"/>
    <w:rsid w:val="007821AD"/>
    <w:rsid w:val="007827B8"/>
    <w:rsid w:val="0078343F"/>
    <w:rsid w:val="007837A5"/>
    <w:rsid w:val="00783C0F"/>
    <w:rsid w:val="0078416C"/>
    <w:rsid w:val="0078426C"/>
    <w:rsid w:val="00785311"/>
    <w:rsid w:val="00785576"/>
    <w:rsid w:val="007856C9"/>
    <w:rsid w:val="00785B89"/>
    <w:rsid w:val="00785BEA"/>
    <w:rsid w:val="007865F3"/>
    <w:rsid w:val="007867E6"/>
    <w:rsid w:val="00786B7C"/>
    <w:rsid w:val="0078759B"/>
    <w:rsid w:val="00787D11"/>
    <w:rsid w:val="007915E4"/>
    <w:rsid w:val="00791620"/>
    <w:rsid w:val="00791D09"/>
    <w:rsid w:val="00791DC2"/>
    <w:rsid w:val="0079299A"/>
    <w:rsid w:val="0079375D"/>
    <w:rsid w:val="0079467F"/>
    <w:rsid w:val="00794BAD"/>
    <w:rsid w:val="00795C93"/>
    <w:rsid w:val="00795E54"/>
    <w:rsid w:val="0079678D"/>
    <w:rsid w:val="0079688A"/>
    <w:rsid w:val="00797203"/>
    <w:rsid w:val="007A03B7"/>
    <w:rsid w:val="007A07B4"/>
    <w:rsid w:val="007A0D53"/>
    <w:rsid w:val="007A0DC2"/>
    <w:rsid w:val="007A1B48"/>
    <w:rsid w:val="007A1EB9"/>
    <w:rsid w:val="007A2004"/>
    <w:rsid w:val="007A2237"/>
    <w:rsid w:val="007A2826"/>
    <w:rsid w:val="007A2F83"/>
    <w:rsid w:val="007A3088"/>
    <w:rsid w:val="007A423B"/>
    <w:rsid w:val="007A5208"/>
    <w:rsid w:val="007A5576"/>
    <w:rsid w:val="007A5994"/>
    <w:rsid w:val="007A5A53"/>
    <w:rsid w:val="007A61B3"/>
    <w:rsid w:val="007A6284"/>
    <w:rsid w:val="007A72EB"/>
    <w:rsid w:val="007A77B6"/>
    <w:rsid w:val="007A77E9"/>
    <w:rsid w:val="007B050E"/>
    <w:rsid w:val="007B0C27"/>
    <w:rsid w:val="007B137D"/>
    <w:rsid w:val="007B1775"/>
    <w:rsid w:val="007B1AC8"/>
    <w:rsid w:val="007B1EE1"/>
    <w:rsid w:val="007B21BC"/>
    <w:rsid w:val="007B2768"/>
    <w:rsid w:val="007B2E08"/>
    <w:rsid w:val="007B3171"/>
    <w:rsid w:val="007B32F7"/>
    <w:rsid w:val="007B374D"/>
    <w:rsid w:val="007B3EBB"/>
    <w:rsid w:val="007B404A"/>
    <w:rsid w:val="007B4B56"/>
    <w:rsid w:val="007B5BAA"/>
    <w:rsid w:val="007B6005"/>
    <w:rsid w:val="007B6966"/>
    <w:rsid w:val="007C01A9"/>
    <w:rsid w:val="007C0F24"/>
    <w:rsid w:val="007C16E6"/>
    <w:rsid w:val="007C1AD2"/>
    <w:rsid w:val="007C1FEB"/>
    <w:rsid w:val="007C22ED"/>
    <w:rsid w:val="007C2380"/>
    <w:rsid w:val="007C2496"/>
    <w:rsid w:val="007C2BAB"/>
    <w:rsid w:val="007C35C2"/>
    <w:rsid w:val="007C3664"/>
    <w:rsid w:val="007C4372"/>
    <w:rsid w:val="007C43A6"/>
    <w:rsid w:val="007C4467"/>
    <w:rsid w:val="007C4507"/>
    <w:rsid w:val="007C52B6"/>
    <w:rsid w:val="007C6401"/>
    <w:rsid w:val="007C6A65"/>
    <w:rsid w:val="007C6DA5"/>
    <w:rsid w:val="007C7E42"/>
    <w:rsid w:val="007D01DC"/>
    <w:rsid w:val="007D0F81"/>
    <w:rsid w:val="007D100C"/>
    <w:rsid w:val="007D121F"/>
    <w:rsid w:val="007D1668"/>
    <w:rsid w:val="007D1D6A"/>
    <w:rsid w:val="007D1F77"/>
    <w:rsid w:val="007D2E34"/>
    <w:rsid w:val="007D2F1F"/>
    <w:rsid w:val="007D33B5"/>
    <w:rsid w:val="007D47D6"/>
    <w:rsid w:val="007D50DE"/>
    <w:rsid w:val="007D53EA"/>
    <w:rsid w:val="007D5946"/>
    <w:rsid w:val="007D6468"/>
    <w:rsid w:val="007D785D"/>
    <w:rsid w:val="007E0EFD"/>
    <w:rsid w:val="007E14C3"/>
    <w:rsid w:val="007E14CC"/>
    <w:rsid w:val="007E20CB"/>
    <w:rsid w:val="007E25F3"/>
    <w:rsid w:val="007E2616"/>
    <w:rsid w:val="007E2A6F"/>
    <w:rsid w:val="007E2B85"/>
    <w:rsid w:val="007E327A"/>
    <w:rsid w:val="007E35B0"/>
    <w:rsid w:val="007E3DCD"/>
    <w:rsid w:val="007E44F5"/>
    <w:rsid w:val="007E50A7"/>
    <w:rsid w:val="007E5232"/>
    <w:rsid w:val="007E5495"/>
    <w:rsid w:val="007E5BDE"/>
    <w:rsid w:val="007E7169"/>
    <w:rsid w:val="007F00E5"/>
    <w:rsid w:val="007F01D5"/>
    <w:rsid w:val="007F0B81"/>
    <w:rsid w:val="007F16C7"/>
    <w:rsid w:val="007F1B44"/>
    <w:rsid w:val="007F2A44"/>
    <w:rsid w:val="007F3DCA"/>
    <w:rsid w:val="007F4057"/>
    <w:rsid w:val="007F4444"/>
    <w:rsid w:val="007F4D36"/>
    <w:rsid w:val="007F5057"/>
    <w:rsid w:val="007F524C"/>
    <w:rsid w:val="007F57EF"/>
    <w:rsid w:val="007F664E"/>
    <w:rsid w:val="007F777A"/>
    <w:rsid w:val="007F7976"/>
    <w:rsid w:val="00800028"/>
    <w:rsid w:val="008008A1"/>
    <w:rsid w:val="008011E9"/>
    <w:rsid w:val="00801FC6"/>
    <w:rsid w:val="00802373"/>
    <w:rsid w:val="00802B94"/>
    <w:rsid w:val="00802E55"/>
    <w:rsid w:val="0080450A"/>
    <w:rsid w:val="00804B63"/>
    <w:rsid w:val="0080535A"/>
    <w:rsid w:val="00805A41"/>
    <w:rsid w:val="00805BA3"/>
    <w:rsid w:val="00806887"/>
    <w:rsid w:val="00807220"/>
    <w:rsid w:val="00807C1C"/>
    <w:rsid w:val="008116D2"/>
    <w:rsid w:val="00811792"/>
    <w:rsid w:val="008117BE"/>
    <w:rsid w:val="008118E8"/>
    <w:rsid w:val="00811C93"/>
    <w:rsid w:val="00812406"/>
    <w:rsid w:val="00812979"/>
    <w:rsid w:val="00812FB9"/>
    <w:rsid w:val="008138F2"/>
    <w:rsid w:val="00814A79"/>
    <w:rsid w:val="0081585E"/>
    <w:rsid w:val="00815D6B"/>
    <w:rsid w:val="008166C2"/>
    <w:rsid w:val="008172FB"/>
    <w:rsid w:val="00817971"/>
    <w:rsid w:val="00820195"/>
    <w:rsid w:val="00820584"/>
    <w:rsid w:val="0082170D"/>
    <w:rsid w:val="00822374"/>
    <w:rsid w:val="00822679"/>
    <w:rsid w:val="00823253"/>
    <w:rsid w:val="008232C3"/>
    <w:rsid w:val="00823967"/>
    <w:rsid w:val="00823BF9"/>
    <w:rsid w:val="0082414C"/>
    <w:rsid w:val="00824700"/>
    <w:rsid w:val="008247FF"/>
    <w:rsid w:val="00824FF4"/>
    <w:rsid w:val="00826238"/>
    <w:rsid w:val="00827096"/>
    <w:rsid w:val="00827BF0"/>
    <w:rsid w:val="00827C6E"/>
    <w:rsid w:val="008302D9"/>
    <w:rsid w:val="00830D8E"/>
    <w:rsid w:val="00830EDA"/>
    <w:rsid w:val="00830F4D"/>
    <w:rsid w:val="008312CB"/>
    <w:rsid w:val="00832C41"/>
    <w:rsid w:val="0083393C"/>
    <w:rsid w:val="00833AED"/>
    <w:rsid w:val="00834408"/>
    <w:rsid w:val="0083473F"/>
    <w:rsid w:val="00834B6C"/>
    <w:rsid w:val="008356D5"/>
    <w:rsid w:val="008361C4"/>
    <w:rsid w:val="00836588"/>
    <w:rsid w:val="0083661A"/>
    <w:rsid w:val="0083689D"/>
    <w:rsid w:val="00836F25"/>
    <w:rsid w:val="00837525"/>
    <w:rsid w:val="00837EE1"/>
    <w:rsid w:val="00840868"/>
    <w:rsid w:val="00841545"/>
    <w:rsid w:val="00842BB1"/>
    <w:rsid w:val="008431D3"/>
    <w:rsid w:val="00843C1A"/>
    <w:rsid w:val="00843CDD"/>
    <w:rsid w:val="00843F5A"/>
    <w:rsid w:val="008448A4"/>
    <w:rsid w:val="00845311"/>
    <w:rsid w:val="00846F3A"/>
    <w:rsid w:val="00847110"/>
    <w:rsid w:val="0084764E"/>
    <w:rsid w:val="00847775"/>
    <w:rsid w:val="0085020E"/>
    <w:rsid w:val="00850331"/>
    <w:rsid w:val="008504B9"/>
    <w:rsid w:val="00851570"/>
    <w:rsid w:val="0085210B"/>
    <w:rsid w:val="00852189"/>
    <w:rsid w:val="00853598"/>
    <w:rsid w:val="00853B0C"/>
    <w:rsid w:val="00853DC0"/>
    <w:rsid w:val="00853FE1"/>
    <w:rsid w:val="00854087"/>
    <w:rsid w:val="00854537"/>
    <w:rsid w:val="00854B1A"/>
    <w:rsid w:val="00854FAD"/>
    <w:rsid w:val="00855296"/>
    <w:rsid w:val="0085575E"/>
    <w:rsid w:val="0085584E"/>
    <w:rsid w:val="00856F28"/>
    <w:rsid w:val="00860CAD"/>
    <w:rsid w:val="008610EE"/>
    <w:rsid w:val="00861167"/>
    <w:rsid w:val="008615BA"/>
    <w:rsid w:val="008617BC"/>
    <w:rsid w:val="00861C0B"/>
    <w:rsid w:val="00862B06"/>
    <w:rsid w:val="00862D19"/>
    <w:rsid w:val="008631C1"/>
    <w:rsid w:val="00863C21"/>
    <w:rsid w:val="0086465F"/>
    <w:rsid w:val="008647D1"/>
    <w:rsid w:val="008647DF"/>
    <w:rsid w:val="00865553"/>
    <w:rsid w:val="00865577"/>
    <w:rsid w:val="00866395"/>
    <w:rsid w:val="0087061B"/>
    <w:rsid w:val="0087091E"/>
    <w:rsid w:val="00870DE2"/>
    <w:rsid w:val="0087101D"/>
    <w:rsid w:val="00872E30"/>
    <w:rsid w:val="00873105"/>
    <w:rsid w:val="008734D7"/>
    <w:rsid w:val="0087361F"/>
    <w:rsid w:val="00873786"/>
    <w:rsid w:val="0087486B"/>
    <w:rsid w:val="00875239"/>
    <w:rsid w:val="008753FE"/>
    <w:rsid w:val="00875B9C"/>
    <w:rsid w:val="00875BAE"/>
    <w:rsid w:val="00876097"/>
    <w:rsid w:val="008762AE"/>
    <w:rsid w:val="0087652D"/>
    <w:rsid w:val="008767B7"/>
    <w:rsid w:val="00876853"/>
    <w:rsid w:val="00876912"/>
    <w:rsid w:val="00876AE3"/>
    <w:rsid w:val="00876B0E"/>
    <w:rsid w:val="0087719D"/>
    <w:rsid w:val="008776A6"/>
    <w:rsid w:val="00877A60"/>
    <w:rsid w:val="008802B6"/>
    <w:rsid w:val="008811C1"/>
    <w:rsid w:val="00881AD0"/>
    <w:rsid w:val="0088333C"/>
    <w:rsid w:val="008838ED"/>
    <w:rsid w:val="00883E6F"/>
    <w:rsid w:val="00884282"/>
    <w:rsid w:val="00884F30"/>
    <w:rsid w:val="00886044"/>
    <w:rsid w:val="008862BD"/>
    <w:rsid w:val="0088647F"/>
    <w:rsid w:val="0088652F"/>
    <w:rsid w:val="008868AB"/>
    <w:rsid w:val="00890F6C"/>
    <w:rsid w:val="0089134B"/>
    <w:rsid w:val="008915A4"/>
    <w:rsid w:val="00891781"/>
    <w:rsid w:val="00891889"/>
    <w:rsid w:val="008925DB"/>
    <w:rsid w:val="008926DD"/>
    <w:rsid w:val="00892987"/>
    <w:rsid w:val="00893B74"/>
    <w:rsid w:val="00894A29"/>
    <w:rsid w:val="00894CF5"/>
    <w:rsid w:val="00897752"/>
    <w:rsid w:val="00897B67"/>
    <w:rsid w:val="00897C4F"/>
    <w:rsid w:val="00897CFB"/>
    <w:rsid w:val="008A003A"/>
    <w:rsid w:val="008A05CF"/>
    <w:rsid w:val="008A0C9E"/>
    <w:rsid w:val="008A18B1"/>
    <w:rsid w:val="008A18F5"/>
    <w:rsid w:val="008A249D"/>
    <w:rsid w:val="008A2A26"/>
    <w:rsid w:val="008A2BCC"/>
    <w:rsid w:val="008A2F54"/>
    <w:rsid w:val="008A3054"/>
    <w:rsid w:val="008A3585"/>
    <w:rsid w:val="008A3BB1"/>
    <w:rsid w:val="008A4255"/>
    <w:rsid w:val="008A46C8"/>
    <w:rsid w:val="008A4EE7"/>
    <w:rsid w:val="008A56D5"/>
    <w:rsid w:val="008B0D6A"/>
    <w:rsid w:val="008B1515"/>
    <w:rsid w:val="008B1AB0"/>
    <w:rsid w:val="008B1C88"/>
    <w:rsid w:val="008B1DE7"/>
    <w:rsid w:val="008B21B8"/>
    <w:rsid w:val="008B2B17"/>
    <w:rsid w:val="008B2C9A"/>
    <w:rsid w:val="008B356F"/>
    <w:rsid w:val="008B36D3"/>
    <w:rsid w:val="008B38AF"/>
    <w:rsid w:val="008B38E1"/>
    <w:rsid w:val="008B3CDB"/>
    <w:rsid w:val="008B3F75"/>
    <w:rsid w:val="008B43CF"/>
    <w:rsid w:val="008B445F"/>
    <w:rsid w:val="008B4CD5"/>
    <w:rsid w:val="008B4F52"/>
    <w:rsid w:val="008B6103"/>
    <w:rsid w:val="008B615C"/>
    <w:rsid w:val="008B642A"/>
    <w:rsid w:val="008C089C"/>
    <w:rsid w:val="008C097C"/>
    <w:rsid w:val="008C0A4B"/>
    <w:rsid w:val="008C0AD0"/>
    <w:rsid w:val="008C0C6D"/>
    <w:rsid w:val="008C0FDC"/>
    <w:rsid w:val="008C1624"/>
    <w:rsid w:val="008C1C7E"/>
    <w:rsid w:val="008C209F"/>
    <w:rsid w:val="008C3506"/>
    <w:rsid w:val="008C3705"/>
    <w:rsid w:val="008C42E8"/>
    <w:rsid w:val="008C4F84"/>
    <w:rsid w:val="008C6E06"/>
    <w:rsid w:val="008C726A"/>
    <w:rsid w:val="008C7466"/>
    <w:rsid w:val="008C764C"/>
    <w:rsid w:val="008D0F16"/>
    <w:rsid w:val="008D1D2C"/>
    <w:rsid w:val="008D1D4B"/>
    <w:rsid w:val="008D2003"/>
    <w:rsid w:val="008D229B"/>
    <w:rsid w:val="008D22EF"/>
    <w:rsid w:val="008D2D41"/>
    <w:rsid w:val="008D2F2D"/>
    <w:rsid w:val="008D33DC"/>
    <w:rsid w:val="008D355D"/>
    <w:rsid w:val="008D3938"/>
    <w:rsid w:val="008D40AE"/>
    <w:rsid w:val="008D420B"/>
    <w:rsid w:val="008D4E4C"/>
    <w:rsid w:val="008D5B10"/>
    <w:rsid w:val="008D64F5"/>
    <w:rsid w:val="008D7072"/>
    <w:rsid w:val="008D7B80"/>
    <w:rsid w:val="008E0110"/>
    <w:rsid w:val="008E0445"/>
    <w:rsid w:val="008E095C"/>
    <w:rsid w:val="008E09BB"/>
    <w:rsid w:val="008E0E6C"/>
    <w:rsid w:val="008E2191"/>
    <w:rsid w:val="008E2F2B"/>
    <w:rsid w:val="008E35F6"/>
    <w:rsid w:val="008E3BF7"/>
    <w:rsid w:val="008E41DB"/>
    <w:rsid w:val="008E46FD"/>
    <w:rsid w:val="008E4C9A"/>
    <w:rsid w:val="008E5A45"/>
    <w:rsid w:val="008E6D66"/>
    <w:rsid w:val="008E73BE"/>
    <w:rsid w:val="008E7C4F"/>
    <w:rsid w:val="008E7F8B"/>
    <w:rsid w:val="008F097C"/>
    <w:rsid w:val="008F0BA3"/>
    <w:rsid w:val="008F1301"/>
    <w:rsid w:val="008F173A"/>
    <w:rsid w:val="008F1951"/>
    <w:rsid w:val="008F19EC"/>
    <w:rsid w:val="008F26BD"/>
    <w:rsid w:val="008F39DF"/>
    <w:rsid w:val="008F4023"/>
    <w:rsid w:val="008F48FE"/>
    <w:rsid w:val="008F5562"/>
    <w:rsid w:val="008F58F4"/>
    <w:rsid w:val="008F61AE"/>
    <w:rsid w:val="008F63A6"/>
    <w:rsid w:val="008F6559"/>
    <w:rsid w:val="008F6644"/>
    <w:rsid w:val="008F6EF6"/>
    <w:rsid w:val="008F724B"/>
    <w:rsid w:val="00900BB5"/>
    <w:rsid w:val="0090174F"/>
    <w:rsid w:val="00901BB7"/>
    <w:rsid w:val="00902092"/>
    <w:rsid w:val="0090210B"/>
    <w:rsid w:val="0090226E"/>
    <w:rsid w:val="00902C6F"/>
    <w:rsid w:val="00902CFE"/>
    <w:rsid w:val="00903041"/>
    <w:rsid w:val="00903186"/>
    <w:rsid w:val="0090389D"/>
    <w:rsid w:val="009045FD"/>
    <w:rsid w:val="0090482A"/>
    <w:rsid w:val="0090482F"/>
    <w:rsid w:val="00904837"/>
    <w:rsid w:val="0090627B"/>
    <w:rsid w:val="00906944"/>
    <w:rsid w:val="00907209"/>
    <w:rsid w:val="00907650"/>
    <w:rsid w:val="00907BF1"/>
    <w:rsid w:val="00910BCC"/>
    <w:rsid w:val="009117E9"/>
    <w:rsid w:val="00911D9A"/>
    <w:rsid w:val="00911F90"/>
    <w:rsid w:val="009120EF"/>
    <w:rsid w:val="0091214D"/>
    <w:rsid w:val="00912531"/>
    <w:rsid w:val="00912946"/>
    <w:rsid w:val="00913D98"/>
    <w:rsid w:val="009144B7"/>
    <w:rsid w:val="00914C8C"/>
    <w:rsid w:val="00915536"/>
    <w:rsid w:val="009158B1"/>
    <w:rsid w:val="00915C21"/>
    <w:rsid w:val="00915F06"/>
    <w:rsid w:val="00916B33"/>
    <w:rsid w:val="00916E7B"/>
    <w:rsid w:val="009172C9"/>
    <w:rsid w:val="00917653"/>
    <w:rsid w:val="00917B3F"/>
    <w:rsid w:val="00917C23"/>
    <w:rsid w:val="009201C2"/>
    <w:rsid w:val="00920268"/>
    <w:rsid w:val="00920B0A"/>
    <w:rsid w:val="009234D3"/>
    <w:rsid w:val="009235A7"/>
    <w:rsid w:val="00923A35"/>
    <w:rsid w:val="00923B1D"/>
    <w:rsid w:val="00923D48"/>
    <w:rsid w:val="00924653"/>
    <w:rsid w:val="00925119"/>
    <w:rsid w:val="00925365"/>
    <w:rsid w:val="009257EF"/>
    <w:rsid w:val="0092599B"/>
    <w:rsid w:val="00926932"/>
    <w:rsid w:val="00926A02"/>
    <w:rsid w:val="009272C8"/>
    <w:rsid w:val="009279EB"/>
    <w:rsid w:val="009300E0"/>
    <w:rsid w:val="00931E1D"/>
    <w:rsid w:val="009322B3"/>
    <w:rsid w:val="009326B5"/>
    <w:rsid w:val="00932E60"/>
    <w:rsid w:val="009332B4"/>
    <w:rsid w:val="0093343D"/>
    <w:rsid w:val="00934773"/>
    <w:rsid w:val="009354EA"/>
    <w:rsid w:val="0093660E"/>
    <w:rsid w:val="00936D10"/>
    <w:rsid w:val="0093731A"/>
    <w:rsid w:val="00937703"/>
    <w:rsid w:val="00937CC3"/>
    <w:rsid w:val="009401E4"/>
    <w:rsid w:val="0094033A"/>
    <w:rsid w:val="0094042E"/>
    <w:rsid w:val="00940A4B"/>
    <w:rsid w:val="00940CF6"/>
    <w:rsid w:val="00941124"/>
    <w:rsid w:val="00941F5D"/>
    <w:rsid w:val="00942603"/>
    <w:rsid w:val="0094313F"/>
    <w:rsid w:val="00943F47"/>
    <w:rsid w:val="009442C0"/>
    <w:rsid w:val="0094456B"/>
    <w:rsid w:val="0094500C"/>
    <w:rsid w:val="00945340"/>
    <w:rsid w:val="00945D6B"/>
    <w:rsid w:val="00945E3B"/>
    <w:rsid w:val="00946444"/>
    <w:rsid w:val="00951C10"/>
    <w:rsid w:val="00951E45"/>
    <w:rsid w:val="00952423"/>
    <w:rsid w:val="00952775"/>
    <w:rsid w:val="00952A4F"/>
    <w:rsid w:val="00953397"/>
    <w:rsid w:val="00953955"/>
    <w:rsid w:val="00954063"/>
    <w:rsid w:val="00954110"/>
    <w:rsid w:val="0095435E"/>
    <w:rsid w:val="00954873"/>
    <w:rsid w:val="00954B4D"/>
    <w:rsid w:val="00954D17"/>
    <w:rsid w:val="00955DF0"/>
    <w:rsid w:val="0095688E"/>
    <w:rsid w:val="00956DCE"/>
    <w:rsid w:val="00957669"/>
    <w:rsid w:val="009577E9"/>
    <w:rsid w:val="00957967"/>
    <w:rsid w:val="00957F6A"/>
    <w:rsid w:val="00960111"/>
    <w:rsid w:val="009601A9"/>
    <w:rsid w:val="00960BCC"/>
    <w:rsid w:val="00961072"/>
    <w:rsid w:val="00961D75"/>
    <w:rsid w:val="00963F06"/>
    <w:rsid w:val="00965D75"/>
    <w:rsid w:val="0096606A"/>
    <w:rsid w:val="00966120"/>
    <w:rsid w:val="009661BC"/>
    <w:rsid w:val="00966BDD"/>
    <w:rsid w:val="00967AFC"/>
    <w:rsid w:val="00967FC3"/>
    <w:rsid w:val="009701B1"/>
    <w:rsid w:val="0097030A"/>
    <w:rsid w:val="00970A15"/>
    <w:rsid w:val="00970EA4"/>
    <w:rsid w:val="0097212A"/>
    <w:rsid w:val="0097240F"/>
    <w:rsid w:val="0097415C"/>
    <w:rsid w:val="009750BF"/>
    <w:rsid w:val="0097515B"/>
    <w:rsid w:val="009759D7"/>
    <w:rsid w:val="00975AD9"/>
    <w:rsid w:val="00975E37"/>
    <w:rsid w:val="00976604"/>
    <w:rsid w:val="00977E6B"/>
    <w:rsid w:val="009819A0"/>
    <w:rsid w:val="00983B4D"/>
    <w:rsid w:val="00984140"/>
    <w:rsid w:val="00984CFA"/>
    <w:rsid w:val="00984D04"/>
    <w:rsid w:val="00984EBF"/>
    <w:rsid w:val="009854C1"/>
    <w:rsid w:val="0098571B"/>
    <w:rsid w:val="009863FF"/>
    <w:rsid w:val="0098704E"/>
    <w:rsid w:val="009905CB"/>
    <w:rsid w:val="0099124A"/>
    <w:rsid w:val="009921B9"/>
    <w:rsid w:val="0099316B"/>
    <w:rsid w:val="009939A2"/>
    <w:rsid w:val="00993F1B"/>
    <w:rsid w:val="00993FF0"/>
    <w:rsid w:val="009940E9"/>
    <w:rsid w:val="00995010"/>
    <w:rsid w:val="00995B50"/>
    <w:rsid w:val="00995E78"/>
    <w:rsid w:val="0099647A"/>
    <w:rsid w:val="00996764"/>
    <w:rsid w:val="00997191"/>
    <w:rsid w:val="009974FD"/>
    <w:rsid w:val="00997BE8"/>
    <w:rsid w:val="009A06D8"/>
    <w:rsid w:val="009A07D7"/>
    <w:rsid w:val="009A11A4"/>
    <w:rsid w:val="009A2A98"/>
    <w:rsid w:val="009A2C5D"/>
    <w:rsid w:val="009A3622"/>
    <w:rsid w:val="009A3856"/>
    <w:rsid w:val="009A4C8A"/>
    <w:rsid w:val="009A5203"/>
    <w:rsid w:val="009A5B1B"/>
    <w:rsid w:val="009A6F74"/>
    <w:rsid w:val="009B04F8"/>
    <w:rsid w:val="009B1365"/>
    <w:rsid w:val="009B1738"/>
    <w:rsid w:val="009B1C1C"/>
    <w:rsid w:val="009B2EF2"/>
    <w:rsid w:val="009B3514"/>
    <w:rsid w:val="009B4A1D"/>
    <w:rsid w:val="009B551E"/>
    <w:rsid w:val="009B6C11"/>
    <w:rsid w:val="009B72C0"/>
    <w:rsid w:val="009B75F6"/>
    <w:rsid w:val="009B7B74"/>
    <w:rsid w:val="009B7F66"/>
    <w:rsid w:val="009C0AF1"/>
    <w:rsid w:val="009C0E21"/>
    <w:rsid w:val="009C1298"/>
    <w:rsid w:val="009C1BC4"/>
    <w:rsid w:val="009C1E6E"/>
    <w:rsid w:val="009C296A"/>
    <w:rsid w:val="009C34BA"/>
    <w:rsid w:val="009C47BD"/>
    <w:rsid w:val="009C50DF"/>
    <w:rsid w:val="009C52F4"/>
    <w:rsid w:val="009C549E"/>
    <w:rsid w:val="009C5FC8"/>
    <w:rsid w:val="009C674C"/>
    <w:rsid w:val="009C6BB6"/>
    <w:rsid w:val="009C6FE8"/>
    <w:rsid w:val="009C78A4"/>
    <w:rsid w:val="009D08EF"/>
    <w:rsid w:val="009D0C89"/>
    <w:rsid w:val="009D202D"/>
    <w:rsid w:val="009D219A"/>
    <w:rsid w:val="009D3400"/>
    <w:rsid w:val="009D3549"/>
    <w:rsid w:val="009D36CE"/>
    <w:rsid w:val="009D44DB"/>
    <w:rsid w:val="009D4541"/>
    <w:rsid w:val="009D4D76"/>
    <w:rsid w:val="009D546D"/>
    <w:rsid w:val="009D58B1"/>
    <w:rsid w:val="009D6854"/>
    <w:rsid w:val="009D6BE0"/>
    <w:rsid w:val="009D752F"/>
    <w:rsid w:val="009D7604"/>
    <w:rsid w:val="009D79D8"/>
    <w:rsid w:val="009E0A3A"/>
    <w:rsid w:val="009E0B3E"/>
    <w:rsid w:val="009E10C4"/>
    <w:rsid w:val="009E120E"/>
    <w:rsid w:val="009E2226"/>
    <w:rsid w:val="009E2387"/>
    <w:rsid w:val="009E2A34"/>
    <w:rsid w:val="009E2AE1"/>
    <w:rsid w:val="009E3470"/>
    <w:rsid w:val="009E401D"/>
    <w:rsid w:val="009E64DC"/>
    <w:rsid w:val="009E68F3"/>
    <w:rsid w:val="009E7549"/>
    <w:rsid w:val="009E7C4D"/>
    <w:rsid w:val="009E7EF3"/>
    <w:rsid w:val="009F05C4"/>
    <w:rsid w:val="009F061D"/>
    <w:rsid w:val="009F1365"/>
    <w:rsid w:val="009F1435"/>
    <w:rsid w:val="009F2D36"/>
    <w:rsid w:val="009F3C2D"/>
    <w:rsid w:val="009F3F93"/>
    <w:rsid w:val="009F422D"/>
    <w:rsid w:val="009F468E"/>
    <w:rsid w:val="009F4929"/>
    <w:rsid w:val="009F4C70"/>
    <w:rsid w:val="009F584B"/>
    <w:rsid w:val="009F662C"/>
    <w:rsid w:val="009F69B6"/>
    <w:rsid w:val="009F6D4E"/>
    <w:rsid w:val="009F72F7"/>
    <w:rsid w:val="009F751E"/>
    <w:rsid w:val="009F7533"/>
    <w:rsid w:val="009F7A79"/>
    <w:rsid w:val="00A00627"/>
    <w:rsid w:val="00A0077C"/>
    <w:rsid w:val="00A0156C"/>
    <w:rsid w:val="00A01812"/>
    <w:rsid w:val="00A018E8"/>
    <w:rsid w:val="00A01CFD"/>
    <w:rsid w:val="00A01FB4"/>
    <w:rsid w:val="00A02840"/>
    <w:rsid w:val="00A03AD2"/>
    <w:rsid w:val="00A04665"/>
    <w:rsid w:val="00A04D9F"/>
    <w:rsid w:val="00A05774"/>
    <w:rsid w:val="00A05DF8"/>
    <w:rsid w:val="00A07FAF"/>
    <w:rsid w:val="00A1064E"/>
    <w:rsid w:val="00A11059"/>
    <w:rsid w:val="00A112E6"/>
    <w:rsid w:val="00A12576"/>
    <w:rsid w:val="00A13196"/>
    <w:rsid w:val="00A13CED"/>
    <w:rsid w:val="00A13E21"/>
    <w:rsid w:val="00A14508"/>
    <w:rsid w:val="00A14D73"/>
    <w:rsid w:val="00A15553"/>
    <w:rsid w:val="00A15706"/>
    <w:rsid w:val="00A15721"/>
    <w:rsid w:val="00A1580C"/>
    <w:rsid w:val="00A15E42"/>
    <w:rsid w:val="00A16ACF"/>
    <w:rsid w:val="00A20088"/>
    <w:rsid w:val="00A20434"/>
    <w:rsid w:val="00A20ED4"/>
    <w:rsid w:val="00A21292"/>
    <w:rsid w:val="00A2169E"/>
    <w:rsid w:val="00A21C74"/>
    <w:rsid w:val="00A2261C"/>
    <w:rsid w:val="00A22EE5"/>
    <w:rsid w:val="00A232FE"/>
    <w:rsid w:val="00A233E3"/>
    <w:rsid w:val="00A238B4"/>
    <w:rsid w:val="00A24E99"/>
    <w:rsid w:val="00A25988"/>
    <w:rsid w:val="00A26171"/>
    <w:rsid w:val="00A264C4"/>
    <w:rsid w:val="00A26E5D"/>
    <w:rsid w:val="00A3025B"/>
    <w:rsid w:val="00A30E21"/>
    <w:rsid w:val="00A31444"/>
    <w:rsid w:val="00A31D8F"/>
    <w:rsid w:val="00A32317"/>
    <w:rsid w:val="00A32318"/>
    <w:rsid w:val="00A3481F"/>
    <w:rsid w:val="00A34A74"/>
    <w:rsid w:val="00A3551D"/>
    <w:rsid w:val="00A359AA"/>
    <w:rsid w:val="00A37B9B"/>
    <w:rsid w:val="00A37CF9"/>
    <w:rsid w:val="00A40197"/>
    <w:rsid w:val="00A402AC"/>
    <w:rsid w:val="00A4051F"/>
    <w:rsid w:val="00A409E7"/>
    <w:rsid w:val="00A4101F"/>
    <w:rsid w:val="00A41F5B"/>
    <w:rsid w:val="00A420DB"/>
    <w:rsid w:val="00A42633"/>
    <w:rsid w:val="00A42758"/>
    <w:rsid w:val="00A42835"/>
    <w:rsid w:val="00A4356B"/>
    <w:rsid w:val="00A43711"/>
    <w:rsid w:val="00A44275"/>
    <w:rsid w:val="00A445BE"/>
    <w:rsid w:val="00A44679"/>
    <w:rsid w:val="00A45094"/>
    <w:rsid w:val="00A45107"/>
    <w:rsid w:val="00A4522B"/>
    <w:rsid w:val="00A45609"/>
    <w:rsid w:val="00A462C3"/>
    <w:rsid w:val="00A475FF"/>
    <w:rsid w:val="00A47797"/>
    <w:rsid w:val="00A477F0"/>
    <w:rsid w:val="00A47B95"/>
    <w:rsid w:val="00A47D71"/>
    <w:rsid w:val="00A50349"/>
    <w:rsid w:val="00A505D6"/>
    <w:rsid w:val="00A50D0E"/>
    <w:rsid w:val="00A51C9F"/>
    <w:rsid w:val="00A5229A"/>
    <w:rsid w:val="00A5265A"/>
    <w:rsid w:val="00A535D7"/>
    <w:rsid w:val="00A53726"/>
    <w:rsid w:val="00A53D18"/>
    <w:rsid w:val="00A5522D"/>
    <w:rsid w:val="00A554EC"/>
    <w:rsid w:val="00A554FD"/>
    <w:rsid w:val="00A55D04"/>
    <w:rsid w:val="00A55F21"/>
    <w:rsid w:val="00A56B61"/>
    <w:rsid w:val="00A56BE0"/>
    <w:rsid w:val="00A57419"/>
    <w:rsid w:val="00A576E1"/>
    <w:rsid w:val="00A57FF8"/>
    <w:rsid w:val="00A605AD"/>
    <w:rsid w:val="00A609FA"/>
    <w:rsid w:val="00A60F7C"/>
    <w:rsid w:val="00A616D8"/>
    <w:rsid w:val="00A6181C"/>
    <w:rsid w:val="00A61860"/>
    <w:rsid w:val="00A618DB"/>
    <w:rsid w:val="00A61AAF"/>
    <w:rsid w:val="00A61EAF"/>
    <w:rsid w:val="00A61EB2"/>
    <w:rsid w:val="00A62104"/>
    <w:rsid w:val="00A62302"/>
    <w:rsid w:val="00A623CC"/>
    <w:rsid w:val="00A634E1"/>
    <w:rsid w:val="00A63A7C"/>
    <w:rsid w:val="00A64DA8"/>
    <w:rsid w:val="00A65424"/>
    <w:rsid w:val="00A65835"/>
    <w:rsid w:val="00A65E91"/>
    <w:rsid w:val="00A65FA5"/>
    <w:rsid w:val="00A669AB"/>
    <w:rsid w:val="00A67A3C"/>
    <w:rsid w:val="00A70270"/>
    <w:rsid w:val="00A703C2"/>
    <w:rsid w:val="00A70466"/>
    <w:rsid w:val="00A704A4"/>
    <w:rsid w:val="00A70894"/>
    <w:rsid w:val="00A70972"/>
    <w:rsid w:val="00A71831"/>
    <w:rsid w:val="00A71933"/>
    <w:rsid w:val="00A71C0B"/>
    <w:rsid w:val="00A71DDE"/>
    <w:rsid w:val="00A72936"/>
    <w:rsid w:val="00A72DD4"/>
    <w:rsid w:val="00A73D60"/>
    <w:rsid w:val="00A73E93"/>
    <w:rsid w:val="00A746D9"/>
    <w:rsid w:val="00A74A97"/>
    <w:rsid w:val="00A7516D"/>
    <w:rsid w:val="00A75453"/>
    <w:rsid w:val="00A757B7"/>
    <w:rsid w:val="00A75D64"/>
    <w:rsid w:val="00A75E51"/>
    <w:rsid w:val="00A76587"/>
    <w:rsid w:val="00A769D6"/>
    <w:rsid w:val="00A77659"/>
    <w:rsid w:val="00A804C5"/>
    <w:rsid w:val="00A80C7C"/>
    <w:rsid w:val="00A810B2"/>
    <w:rsid w:val="00A82134"/>
    <w:rsid w:val="00A82A12"/>
    <w:rsid w:val="00A82A5D"/>
    <w:rsid w:val="00A831C7"/>
    <w:rsid w:val="00A83904"/>
    <w:rsid w:val="00A84022"/>
    <w:rsid w:val="00A840F8"/>
    <w:rsid w:val="00A84136"/>
    <w:rsid w:val="00A84142"/>
    <w:rsid w:val="00A8481F"/>
    <w:rsid w:val="00A84A62"/>
    <w:rsid w:val="00A84EF0"/>
    <w:rsid w:val="00A84F15"/>
    <w:rsid w:val="00A85AF2"/>
    <w:rsid w:val="00A86A65"/>
    <w:rsid w:val="00A87309"/>
    <w:rsid w:val="00A87462"/>
    <w:rsid w:val="00A878C9"/>
    <w:rsid w:val="00A87E96"/>
    <w:rsid w:val="00A903AD"/>
    <w:rsid w:val="00A903DE"/>
    <w:rsid w:val="00A933B3"/>
    <w:rsid w:val="00A9350C"/>
    <w:rsid w:val="00A93C58"/>
    <w:rsid w:val="00A94006"/>
    <w:rsid w:val="00A94B7D"/>
    <w:rsid w:val="00A94C82"/>
    <w:rsid w:val="00A94FBE"/>
    <w:rsid w:val="00A96771"/>
    <w:rsid w:val="00A96F1E"/>
    <w:rsid w:val="00A973C8"/>
    <w:rsid w:val="00AA0AB0"/>
    <w:rsid w:val="00AA0E88"/>
    <w:rsid w:val="00AA112F"/>
    <w:rsid w:val="00AA1262"/>
    <w:rsid w:val="00AA2436"/>
    <w:rsid w:val="00AA2940"/>
    <w:rsid w:val="00AA3001"/>
    <w:rsid w:val="00AA33E4"/>
    <w:rsid w:val="00AA421E"/>
    <w:rsid w:val="00AA4304"/>
    <w:rsid w:val="00AA4697"/>
    <w:rsid w:val="00AA5B74"/>
    <w:rsid w:val="00AA6000"/>
    <w:rsid w:val="00AA63BC"/>
    <w:rsid w:val="00AA7AFC"/>
    <w:rsid w:val="00AB02A9"/>
    <w:rsid w:val="00AB0B9A"/>
    <w:rsid w:val="00AB1694"/>
    <w:rsid w:val="00AB1788"/>
    <w:rsid w:val="00AB1FB8"/>
    <w:rsid w:val="00AB20CF"/>
    <w:rsid w:val="00AB2EAA"/>
    <w:rsid w:val="00AB3E8D"/>
    <w:rsid w:val="00AB40CB"/>
    <w:rsid w:val="00AB4311"/>
    <w:rsid w:val="00AB4590"/>
    <w:rsid w:val="00AB56F3"/>
    <w:rsid w:val="00AB5925"/>
    <w:rsid w:val="00AB5F61"/>
    <w:rsid w:val="00AB63C2"/>
    <w:rsid w:val="00AB6A8B"/>
    <w:rsid w:val="00AB6B65"/>
    <w:rsid w:val="00AB7F8E"/>
    <w:rsid w:val="00AC07FC"/>
    <w:rsid w:val="00AC0EBA"/>
    <w:rsid w:val="00AC176A"/>
    <w:rsid w:val="00AC1BA2"/>
    <w:rsid w:val="00AC3263"/>
    <w:rsid w:val="00AC3A63"/>
    <w:rsid w:val="00AC416F"/>
    <w:rsid w:val="00AC44F5"/>
    <w:rsid w:val="00AC4F7B"/>
    <w:rsid w:val="00AC5423"/>
    <w:rsid w:val="00AC557D"/>
    <w:rsid w:val="00AC59B5"/>
    <w:rsid w:val="00AC5B10"/>
    <w:rsid w:val="00AC601F"/>
    <w:rsid w:val="00AC6788"/>
    <w:rsid w:val="00AC6802"/>
    <w:rsid w:val="00AC6C32"/>
    <w:rsid w:val="00AC73B8"/>
    <w:rsid w:val="00AC7ECE"/>
    <w:rsid w:val="00AD07BF"/>
    <w:rsid w:val="00AD0EED"/>
    <w:rsid w:val="00AD0F0B"/>
    <w:rsid w:val="00AD11E0"/>
    <w:rsid w:val="00AD1302"/>
    <w:rsid w:val="00AD2102"/>
    <w:rsid w:val="00AD364F"/>
    <w:rsid w:val="00AD36D8"/>
    <w:rsid w:val="00AD399D"/>
    <w:rsid w:val="00AD3AC3"/>
    <w:rsid w:val="00AD3DFF"/>
    <w:rsid w:val="00AD4815"/>
    <w:rsid w:val="00AD4C0B"/>
    <w:rsid w:val="00AD50CE"/>
    <w:rsid w:val="00AD60E9"/>
    <w:rsid w:val="00AD6BE5"/>
    <w:rsid w:val="00AD7211"/>
    <w:rsid w:val="00AD7AB9"/>
    <w:rsid w:val="00AD7FCD"/>
    <w:rsid w:val="00AE09DC"/>
    <w:rsid w:val="00AE0D5E"/>
    <w:rsid w:val="00AE14CF"/>
    <w:rsid w:val="00AE1FF2"/>
    <w:rsid w:val="00AE2182"/>
    <w:rsid w:val="00AE2DE1"/>
    <w:rsid w:val="00AE318A"/>
    <w:rsid w:val="00AE36CC"/>
    <w:rsid w:val="00AE3B0B"/>
    <w:rsid w:val="00AE3D5B"/>
    <w:rsid w:val="00AE3FE9"/>
    <w:rsid w:val="00AE4217"/>
    <w:rsid w:val="00AE4CE3"/>
    <w:rsid w:val="00AE4EE0"/>
    <w:rsid w:val="00AE4F66"/>
    <w:rsid w:val="00AE5115"/>
    <w:rsid w:val="00AE5288"/>
    <w:rsid w:val="00AE5347"/>
    <w:rsid w:val="00AE62D1"/>
    <w:rsid w:val="00AE69BA"/>
    <w:rsid w:val="00AE6FE3"/>
    <w:rsid w:val="00AE758C"/>
    <w:rsid w:val="00AE762E"/>
    <w:rsid w:val="00AE7A45"/>
    <w:rsid w:val="00AE7C5D"/>
    <w:rsid w:val="00AF0356"/>
    <w:rsid w:val="00AF0A7F"/>
    <w:rsid w:val="00AF10A5"/>
    <w:rsid w:val="00AF14DB"/>
    <w:rsid w:val="00AF1F95"/>
    <w:rsid w:val="00AF22EE"/>
    <w:rsid w:val="00AF2789"/>
    <w:rsid w:val="00AF2C31"/>
    <w:rsid w:val="00AF312E"/>
    <w:rsid w:val="00AF3757"/>
    <w:rsid w:val="00AF3B7F"/>
    <w:rsid w:val="00AF4021"/>
    <w:rsid w:val="00AF44C7"/>
    <w:rsid w:val="00AF4F5D"/>
    <w:rsid w:val="00AF5188"/>
    <w:rsid w:val="00AF5FB3"/>
    <w:rsid w:val="00AF6796"/>
    <w:rsid w:val="00AF6E8A"/>
    <w:rsid w:val="00AF76FF"/>
    <w:rsid w:val="00AF7B40"/>
    <w:rsid w:val="00AF7E79"/>
    <w:rsid w:val="00B00987"/>
    <w:rsid w:val="00B011AE"/>
    <w:rsid w:val="00B01366"/>
    <w:rsid w:val="00B01636"/>
    <w:rsid w:val="00B02127"/>
    <w:rsid w:val="00B0270E"/>
    <w:rsid w:val="00B0273B"/>
    <w:rsid w:val="00B02EB6"/>
    <w:rsid w:val="00B033D3"/>
    <w:rsid w:val="00B04A9F"/>
    <w:rsid w:val="00B04FB0"/>
    <w:rsid w:val="00B05C7F"/>
    <w:rsid w:val="00B05F9D"/>
    <w:rsid w:val="00B06E6F"/>
    <w:rsid w:val="00B074F0"/>
    <w:rsid w:val="00B07D33"/>
    <w:rsid w:val="00B101BF"/>
    <w:rsid w:val="00B10D71"/>
    <w:rsid w:val="00B1202B"/>
    <w:rsid w:val="00B12920"/>
    <w:rsid w:val="00B133E9"/>
    <w:rsid w:val="00B13613"/>
    <w:rsid w:val="00B14675"/>
    <w:rsid w:val="00B14C6D"/>
    <w:rsid w:val="00B158BC"/>
    <w:rsid w:val="00B15C52"/>
    <w:rsid w:val="00B15CC9"/>
    <w:rsid w:val="00B15F13"/>
    <w:rsid w:val="00B16ACE"/>
    <w:rsid w:val="00B17251"/>
    <w:rsid w:val="00B17563"/>
    <w:rsid w:val="00B1787D"/>
    <w:rsid w:val="00B17DCA"/>
    <w:rsid w:val="00B20279"/>
    <w:rsid w:val="00B21550"/>
    <w:rsid w:val="00B2177E"/>
    <w:rsid w:val="00B21A74"/>
    <w:rsid w:val="00B222F0"/>
    <w:rsid w:val="00B22400"/>
    <w:rsid w:val="00B22CC6"/>
    <w:rsid w:val="00B2313C"/>
    <w:rsid w:val="00B23738"/>
    <w:rsid w:val="00B238A6"/>
    <w:rsid w:val="00B23AA5"/>
    <w:rsid w:val="00B24465"/>
    <w:rsid w:val="00B24540"/>
    <w:rsid w:val="00B24C95"/>
    <w:rsid w:val="00B24F3A"/>
    <w:rsid w:val="00B2511D"/>
    <w:rsid w:val="00B263B5"/>
    <w:rsid w:val="00B26409"/>
    <w:rsid w:val="00B26C40"/>
    <w:rsid w:val="00B27B29"/>
    <w:rsid w:val="00B27C1C"/>
    <w:rsid w:val="00B30178"/>
    <w:rsid w:val="00B30B3A"/>
    <w:rsid w:val="00B31088"/>
    <w:rsid w:val="00B3183C"/>
    <w:rsid w:val="00B31E56"/>
    <w:rsid w:val="00B32A99"/>
    <w:rsid w:val="00B3414E"/>
    <w:rsid w:val="00B343AF"/>
    <w:rsid w:val="00B34BAA"/>
    <w:rsid w:val="00B34F12"/>
    <w:rsid w:val="00B3512D"/>
    <w:rsid w:val="00B35EC3"/>
    <w:rsid w:val="00B35F23"/>
    <w:rsid w:val="00B368F3"/>
    <w:rsid w:val="00B370F4"/>
    <w:rsid w:val="00B37431"/>
    <w:rsid w:val="00B37930"/>
    <w:rsid w:val="00B41560"/>
    <w:rsid w:val="00B43A0E"/>
    <w:rsid w:val="00B43A90"/>
    <w:rsid w:val="00B43F38"/>
    <w:rsid w:val="00B445DC"/>
    <w:rsid w:val="00B451ED"/>
    <w:rsid w:val="00B461EB"/>
    <w:rsid w:val="00B469B1"/>
    <w:rsid w:val="00B46AAA"/>
    <w:rsid w:val="00B47A0B"/>
    <w:rsid w:val="00B47D9E"/>
    <w:rsid w:val="00B47FDC"/>
    <w:rsid w:val="00B50E20"/>
    <w:rsid w:val="00B515CE"/>
    <w:rsid w:val="00B52535"/>
    <w:rsid w:val="00B53BBA"/>
    <w:rsid w:val="00B53E0A"/>
    <w:rsid w:val="00B53E76"/>
    <w:rsid w:val="00B54000"/>
    <w:rsid w:val="00B5501E"/>
    <w:rsid w:val="00B55467"/>
    <w:rsid w:val="00B55EFC"/>
    <w:rsid w:val="00B569E2"/>
    <w:rsid w:val="00B575F3"/>
    <w:rsid w:val="00B57C70"/>
    <w:rsid w:val="00B60297"/>
    <w:rsid w:val="00B60E69"/>
    <w:rsid w:val="00B62AF4"/>
    <w:rsid w:val="00B63301"/>
    <w:rsid w:val="00B64014"/>
    <w:rsid w:val="00B64256"/>
    <w:rsid w:val="00B6442A"/>
    <w:rsid w:val="00B64973"/>
    <w:rsid w:val="00B66328"/>
    <w:rsid w:val="00B66B4E"/>
    <w:rsid w:val="00B66FD3"/>
    <w:rsid w:val="00B67271"/>
    <w:rsid w:val="00B67402"/>
    <w:rsid w:val="00B67DD9"/>
    <w:rsid w:val="00B70010"/>
    <w:rsid w:val="00B700D3"/>
    <w:rsid w:val="00B72120"/>
    <w:rsid w:val="00B73695"/>
    <w:rsid w:val="00B73918"/>
    <w:rsid w:val="00B73DE9"/>
    <w:rsid w:val="00B73F39"/>
    <w:rsid w:val="00B7401C"/>
    <w:rsid w:val="00B74EF3"/>
    <w:rsid w:val="00B74F2C"/>
    <w:rsid w:val="00B758F0"/>
    <w:rsid w:val="00B75DEC"/>
    <w:rsid w:val="00B76E77"/>
    <w:rsid w:val="00B77200"/>
    <w:rsid w:val="00B7724A"/>
    <w:rsid w:val="00B77CE2"/>
    <w:rsid w:val="00B80E09"/>
    <w:rsid w:val="00B80E9F"/>
    <w:rsid w:val="00B81791"/>
    <w:rsid w:val="00B81B57"/>
    <w:rsid w:val="00B81CC7"/>
    <w:rsid w:val="00B82033"/>
    <w:rsid w:val="00B8220A"/>
    <w:rsid w:val="00B824DF"/>
    <w:rsid w:val="00B8390D"/>
    <w:rsid w:val="00B83EF0"/>
    <w:rsid w:val="00B83FC8"/>
    <w:rsid w:val="00B8464D"/>
    <w:rsid w:val="00B84B8C"/>
    <w:rsid w:val="00B84D7E"/>
    <w:rsid w:val="00B865EE"/>
    <w:rsid w:val="00B87226"/>
    <w:rsid w:val="00B8770F"/>
    <w:rsid w:val="00B87969"/>
    <w:rsid w:val="00B90756"/>
    <w:rsid w:val="00B90984"/>
    <w:rsid w:val="00B90A70"/>
    <w:rsid w:val="00B90DC6"/>
    <w:rsid w:val="00B9104D"/>
    <w:rsid w:val="00B91AFD"/>
    <w:rsid w:val="00B92D82"/>
    <w:rsid w:val="00B93E2C"/>
    <w:rsid w:val="00B94537"/>
    <w:rsid w:val="00B946A6"/>
    <w:rsid w:val="00B94DC9"/>
    <w:rsid w:val="00B9545C"/>
    <w:rsid w:val="00B95775"/>
    <w:rsid w:val="00B96D3B"/>
    <w:rsid w:val="00B97054"/>
    <w:rsid w:val="00B97E6F"/>
    <w:rsid w:val="00BA0CD6"/>
    <w:rsid w:val="00BA0D35"/>
    <w:rsid w:val="00BA15C9"/>
    <w:rsid w:val="00BA189E"/>
    <w:rsid w:val="00BA2F76"/>
    <w:rsid w:val="00BA481B"/>
    <w:rsid w:val="00BA5E00"/>
    <w:rsid w:val="00BA6C89"/>
    <w:rsid w:val="00BA6DC2"/>
    <w:rsid w:val="00BB0098"/>
    <w:rsid w:val="00BB042C"/>
    <w:rsid w:val="00BB0D73"/>
    <w:rsid w:val="00BB0F0F"/>
    <w:rsid w:val="00BB100B"/>
    <w:rsid w:val="00BB13AB"/>
    <w:rsid w:val="00BB2A31"/>
    <w:rsid w:val="00BB3194"/>
    <w:rsid w:val="00BB3196"/>
    <w:rsid w:val="00BB3516"/>
    <w:rsid w:val="00BB39EC"/>
    <w:rsid w:val="00BB42DE"/>
    <w:rsid w:val="00BB46E0"/>
    <w:rsid w:val="00BB4936"/>
    <w:rsid w:val="00BB5E39"/>
    <w:rsid w:val="00BB6049"/>
    <w:rsid w:val="00BB6628"/>
    <w:rsid w:val="00BB697D"/>
    <w:rsid w:val="00BB6995"/>
    <w:rsid w:val="00BB6BD3"/>
    <w:rsid w:val="00BB7062"/>
    <w:rsid w:val="00BB76BB"/>
    <w:rsid w:val="00BB7D83"/>
    <w:rsid w:val="00BC0479"/>
    <w:rsid w:val="00BC099A"/>
    <w:rsid w:val="00BC09DD"/>
    <w:rsid w:val="00BC0E3D"/>
    <w:rsid w:val="00BC1393"/>
    <w:rsid w:val="00BC13D1"/>
    <w:rsid w:val="00BC1E90"/>
    <w:rsid w:val="00BC2FF1"/>
    <w:rsid w:val="00BC3A89"/>
    <w:rsid w:val="00BC3CE2"/>
    <w:rsid w:val="00BC4A56"/>
    <w:rsid w:val="00BC5F85"/>
    <w:rsid w:val="00BC649E"/>
    <w:rsid w:val="00BC6E30"/>
    <w:rsid w:val="00BC72EB"/>
    <w:rsid w:val="00BC7FE7"/>
    <w:rsid w:val="00BD0C60"/>
    <w:rsid w:val="00BD0D86"/>
    <w:rsid w:val="00BD254E"/>
    <w:rsid w:val="00BD2776"/>
    <w:rsid w:val="00BD27DE"/>
    <w:rsid w:val="00BD2B53"/>
    <w:rsid w:val="00BD3569"/>
    <w:rsid w:val="00BD378D"/>
    <w:rsid w:val="00BD3844"/>
    <w:rsid w:val="00BD3B3A"/>
    <w:rsid w:val="00BD3FC7"/>
    <w:rsid w:val="00BD4647"/>
    <w:rsid w:val="00BD5228"/>
    <w:rsid w:val="00BD539D"/>
    <w:rsid w:val="00BD6B7A"/>
    <w:rsid w:val="00BD76F1"/>
    <w:rsid w:val="00BD7ADE"/>
    <w:rsid w:val="00BE05F9"/>
    <w:rsid w:val="00BE1C83"/>
    <w:rsid w:val="00BE1DFB"/>
    <w:rsid w:val="00BE2393"/>
    <w:rsid w:val="00BE2686"/>
    <w:rsid w:val="00BE2D31"/>
    <w:rsid w:val="00BE3159"/>
    <w:rsid w:val="00BE3842"/>
    <w:rsid w:val="00BE49AD"/>
    <w:rsid w:val="00BE4AA1"/>
    <w:rsid w:val="00BE4ABD"/>
    <w:rsid w:val="00BE5505"/>
    <w:rsid w:val="00BE7BCB"/>
    <w:rsid w:val="00BE7C10"/>
    <w:rsid w:val="00BE7C68"/>
    <w:rsid w:val="00BE7D88"/>
    <w:rsid w:val="00BF028A"/>
    <w:rsid w:val="00BF064F"/>
    <w:rsid w:val="00BF17D3"/>
    <w:rsid w:val="00BF1D01"/>
    <w:rsid w:val="00BF2BCE"/>
    <w:rsid w:val="00BF318A"/>
    <w:rsid w:val="00BF37F6"/>
    <w:rsid w:val="00BF4DA3"/>
    <w:rsid w:val="00BF5BD3"/>
    <w:rsid w:val="00BF5D4D"/>
    <w:rsid w:val="00BF5E5E"/>
    <w:rsid w:val="00BF6877"/>
    <w:rsid w:val="00BF6909"/>
    <w:rsid w:val="00BF6A9E"/>
    <w:rsid w:val="00BF7E49"/>
    <w:rsid w:val="00C011FC"/>
    <w:rsid w:val="00C01A2D"/>
    <w:rsid w:val="00C021AD"/>
    <w:rsid w:val="00C02274"/>
    <w:rsid w:val="00C023B2"/>
    <w:rsid w:val="00C03539"/>
    <w:rsid w:val="00C03A73"/>
    <w:rsid w:val="00C04236"/>
    <w:rsid w:val="00C04B32"/>
    <w:rsid w:val="00C05026"/>
    <w:rsid w:val="00C0535F"/>
    <w:rsid w:val="00C05A25"/>
    <w:rsid w:val="00C06699"/>
    <w:rsid w:val="00C06841"/>
    <w:rsid w:val="00C0794A"/>
    <w:rsid w:val="00C07FFE"/>
    <w:rsid w:val="00C10E50"/>
    <w:rsid w:val="00C11624"/>
    <w:rsid w:val="00C118AC"/>
    <w:rsid w:val="00C12371"/>
    <w:rsid w:val="00C131A1"/>
    <w:rsid w:val="00C13753"/>
    <w:rsid w:val="00C137E6"/>
    <w:rsid w:val="00C13EC6"/>
    <w:rsid w:val="00C14166"/>
    <w:rsid w:val="00C14C29"/>
    <w:rsid w:val="00C15207"/>
    <w:rsid w:val="00C15BF7"/>
    <w:rsid w:val="00C15C60"/>
    <w:rsid w:val="00C20810"/>
    <w:rsid w:val="00C22057"/>
    <w:rsid w:val="00C2227F"/>
    <w:rsid w:val="00C2240D"/>
    <w:rsid w:val="00C22B93"/>
    <w:rsid w:val="00C24914"/>
    <w:rsid w:val="00C24E00"/>
    <w:rsid w:val="00C261E1"/>
    <w:rsid w:val="00C26836"/>
    <w:rsid w:val="00C273E8"/>
    <w:rsid w:val="00C27AC1"/>
    <w:rsid w:val="00C27CE6"/>
    <w:rsid w:val="00C3143B"/>
    <w:rsid w:val="00C32825"/>
    <w:rsid w:val="00C32924"/>
    <w:rsid w:val="00C32ADA"/>
    <w:rsid w:val="00C3368A"/>
    <w:rsid w:val="00C33758"/>
    <w:rsid w:val="00C3384C"/>
    <w:rsid w:val="00C33BFA"/>
    <w:rsid w:val="00C33C96"/>
    <w:rsid w:val="00C33F2C"/>
    <w:rsid w:val="00C340CA"/>
    <w:rsid w:val="00C34D55"/>
    <w:rsid w:val="00C34F06"/>
    <w:rsid w:val="00C368DF"/>
    <w:rsid w:val="00C36D05"/>
    <w:rsid w:val="00C37538"/>
    <w:rsid w:val="00C40C97"/>
    <w:rsid w:val="00C40E73"/>
    <w:rsid w:val="00C41BA8"/>
    <w:rsid w:val="00C41C0A"/>
    <w:rsid w:val="00C420CE"/>
    <w:rsid w:val="00C4290B"/>
    <w:rsid w:val="00C43099"/>
    <w:rsid w:val="00C4351E"/>
    <w:rsid w:val="00C4366C"/>
    <w:rsid w:val="00C43D52"/>
    <w:rsid w:val="00C43DD6"/>
    <w:rsid w:val="00C44011"/>
    <w:rsid w:val="00C4415C"/>
    <w:rsid w:val="00C443D3"/>
    <w:rsid w:val="00C44B38"/>
    <w:rsid w:val="00C44F5D"/>
    <w:rsid w:val="00C451B8"/>
    <w:rsid w:val="00C45475"/>
    <w:rsid w:val="00C465F0"/>
    <w:rsid w:val="00C46659"/>
    <w:rsid w:val="00C46DDA"/>
    <w:rsid w:val="00C508FA"/>
    <w:rsid w:val="00C51568"/>
    <w:rsid w:val="00C51573"/>
    <w:rsid w:val="00C51D70"/>
    <w:rsid w:val="00C52F0C"/>
    <w:rsid w:val="00C53355"/>
    <w:rsid w:val="00C5358D"/>
    <w:rsid w:val="00C54954"/>
    <w:rsid w:val="00C54CE8"/>
    <w:rsid w:val="00C55404"/>
    <w:rsid w:val="00C5545F"/>
    <w:rsid w:val="00C5732F"/>
    <w:rsid w:val="00C573A6"/>
    <w:rsid w:val="00C57EC3"/>
    <w:rsid w:val="00C60172"/>
    <w:rsid w:val="00C60CEA"/>
    <w:rsid w:val="00C622B2"/>
    <w:rsid w:val="00C624D2"/>
    <w:rsid w:val="00C634A8"/>
    <w:rsid w:val="00C636BA"/>
    <w:rsid w:val="00C64AA7"/>
    <w:rsid w:val="00C6596B"/>
    <w:rsid w:val="00C66CA3"/>
    <w:rsid w:val="00C70024"/>
    <w:rsid w:val="00C701F5"/>
    <w:rsid w:val="00C703B8"/>
    <w:rsid w:val="00C70D20"/>
    <w:rsid w:val="00C70EE5"/>
    <w:rsid w:val="00C71457"/>
    <w:rsid w:val="00C727C3"/>
    <w:rsid w:val="00C72827"/>
    <w:rsid w:val="00C72EAB"/>
    <w:rsid w:val="00C74A79"/>
    <w:rsid w:val="00C74AFD"/>
    <w:rsid w:val="00C75FCA"/>
    <w:rsid w:val="00C76D46"/>
    <w:rsid w:val="00C76D8D"/>
    <w:rsid w:val="00C8093A"/>
    <w:rsid w:val="00C81CCA"/>
    <w:rsid w:val="00C81F43"/>
    <w:rsid w:val="00C82C62"/>
    <w:rsid w:val="00C82ED8"/>
    <w:rsid w:val="00C83F45"/>
    <w:rsid w:val="00C84F43"/>
    <w:rsid w:val="00C84F8D"/>
    <w:rsid w:val="00C85120"/>
    <w:rsid w:val="00C85F25"/>
    <w:rsid w:val="00C85F70"/>
    <w:rsid w:val="00C86DFE"/>
    <w:rsid w:val="00C87156"/>
    <w:rsid w:val="00C8782D"/>
    <w:rsid w:val="00C91561"/>
    <w:rsid w:val="00C91EAF"/>
    <w:rsid w:val="00C92424"/>
    <w:rsid w:val="00C92724"/>
    <w:rsid w:val="00C93540"/>
    <w:rsid w:val="00C93B69"/>
    <w:rsid w:val="00C93D52"/>
    <w:rsid w:val="00C95354"/>
    <w:rsid w:val="00C95EA2"/>
    <w:rsid w:val="00C96D9A"/>
    <w:rsid w:val="00C973B0"/>
    <w:rsid w:val="00CA03BA"/>
    <w:rsid w:val="00CA056A"/>
    <w:rsid w:val="00CA0A8B"/>
    <w:rsid w:val="00CA1110"/>
    <w:rsid w:val="00CA1D43"/>
    <w:rsid w:val="00CA1DFD"/>
    <w:rsid w:val="00CA2654"/>
    <w:rsid w:val="00CA2BC5"/>
    <w:rsid w:val="00CA2BE8"/>
    <w:rsid w:val="00CA3582"/>
    <w:rsid w:val="00CA36C7"/>
    <w:rsid w:val="00CA3772"/>
    <w:rsid w:val="00CA3919"/>
    <w:rsid w:val="00CA39C8"/>
    <w:rsid w:val="00CA3C3F"/>
    <w:rsid w:val="00CA40BC"/>
    <w:rsid w:val="00CA42A0"/>
    <w:rsid w:val="00CA4781"/>
    <w:rsid w:val="00CA4C0E"/>
    <w:rsid w:val="00CA4E08"/>
    <w:rsid w:val="00CA577C"/>
    <w:rsid w:val="00CA5B83"/>
    <w:rsid w:val="00CA5D31"/>
    <w:rsid w:val="00CA6439"/>
    <w:rsid w:val="00CA68DE"/>
    <w:rsid w:val="00CA7B23"/>
    <w:rsid w:val="00CA7D77"/>
    <w:rsid w:val="00CB04D7"/>
    <w:rsid w:val="00CB05DA"/>
    <w:rsid w:val="00CB0876"/>
    <w:rsid w:val="00CB17AF"/>
    <w:rsid w:val="00CB1BD6"/>
    <w:rsid w:val="00CB4FBB"/>
    <w:rsid w:val="00CB64F5"/>
    <w:rsid w:val="00CB6A9F"/>
    <w:rsid w:val="00CB7107"/>
    <w:rsid w:val="00CB7697"/>
    <w:rsid w:val="00CB794E"/>
    <w:rsid w:val="00CC05A6"/>
    <w:rsid w:val="00CC099A"/>
    <w:rsid w:val="00CC1332"/>
    <w:rsid w:val="00CC150E"/>
    <w:rsid w:val="00CC2AB3"/>
    <w:rsid w:val="00CC2F9E"/>
    <w:rsid w:val="00CC2FB9"/>
    <w:rsid w:val="00CC34B0"/>
    <w:rsid w:val="00CC36D1"/>
    <w:rsid w:val="00CC3E6E"/>
    <w:rsid w:val="00CC3E90"/>
    <w:rsid w:val="00CC41D6"/>
    <w:rsid w:val="00CC45AB"/>
    <w:rsid w:val="00CC4983"/>
    <w:rsid w:val="00CC4B9E"/>
    <w:rsid w:val="00CC5762"/>
    <w:rsid w:val="00CC5ACB"/>
    <w:rsid w:val="00CC5EB2"/>
    <w:rsid w:val="00CC5F56"/>
    <w:rsid w:val="00CC67B8"/>
    <w:rsid w:val="00CC6DBF"/>
    <w:rsid w:val="00CC6FB8"/>
    <w:rsid w:val="00CC7E21"/>
    <w:rsid w:val="00CD03FF"/>
    <w:rsid w:val="00CD094D"/>
    <w:rsid w:val="00CD0E1E"/>
    <w:rsid w:val="00CD0F25"/>
    <w:rsid w:val="00CD1DAE"/>
    <w:rsid w:val="00CD2952"/>
    <w:rsid w:val="00CD3090"/>
    <w:rsid w:val="00CD31B0"/>
    <w:rsid w:val="00CD3E01"/>
    <w:rsid w:val="00CD43AC"/>
    <w:rsid w:val="00CD4DCA"/>
    <w:rsid w:val="00CD5C4F"/>
    <w:rsid w:val="00CD5D28"/>
    <w:rsid w:val="00CE1C40"/>
    <w:rsid w:val="00CE2540"/>
    <w:rsid w:val="00CE4D51"/>
    <w:rsid w:val="00CE50AE"/>
    <w:rsid w:val="00CE58A2"/>
    <w:rsid w:val="00CE5DED"/>
    <w:rsid w:val="00CE74FE"/>
    <w:rsid w:val="00CE7DD6"/>
    <w:rsid w:val="00CF1073"/>
    <w:rsid w:val="00CF1FD7"/>
    <w:rsid w:val="00CF2012"/>
    <w:rsid w:val="00CF2F1A"/>
    <w:rsid w:val="00CF2FB9"/>
    <w:rsid w:val="00CF385D"/>
    <w:rsid w:val="00CF643D"/>
    <w:rsid w:val="00CF66B3"/>
    <w:rsid w:val="00CF7498"/>
    <w:rsid w:val="00CF74EB"/>
    <w:rsid w:val="00CF7EB7"/>
    <w:rsid w:val="00D000BF"/>
    <w:rsid w:val="00D0116E"/>
    <w:rsid w:val="00D016F3"/>
    <w:rsid w:val="00D03791"/>
    <w:rsid w:val="00D03F75"/>
    <w:rsid w:val="00D04171"/>
    <w:rsid w:val="00D04219"/>
    <w:rsid w:val="00D04907"/>
    <w:rsid w:val="00D04AC0"/>
    <w:rsid w:val="00D051B0"/>
    <w:rsid w:val="00D0579D"/>
    <w:rsid w:val="00D063EE"/>
    <w:rsid w:val="00D067A4"/>
    <w:rsid w:val="00D06FA5"/>
    <w:rsid w:val="00D073A2"/>
    <w:rsid w:val="00D079A0"/>
    <w:rsid w:val="00D07EC1"/>
    <w:rsid w:val="00D07F61"/>
    <w:rsid w:val="00D12C49"/>
    <w:rsid w:val="00D14190"/>
    <w:rsid w:val="00D141A9"/>
    <w:rsid w:val="00D1440B"/>
    <w:rsid w:val="00D14B14"/>
    <w:rsid w:val="00D14BC0"/>
    <w:rsid w:val="00D151F2"/>
    <w:rsid w:val="00D153DB"/>
    <w:rsid w:val="00D15B1F"/>
    <w:rsid w:val="00D16443"/>
    <w:rsid w:val="00D179EE"/>
    <w:rsid w:val="00D17CE0"/>
    <w:rsid w:val="00D20B93"/>
    <w:rsid w:val="00D21268"/>
    <w:rsid w:val="00D213D9"/>
    <w:rsid w:val="00D21477"/>
    <w:rsid w:val="00D21FE4"/>
    <w:rsid w:val="00D220D2"/>
    <w:rsid w:val="00D22AE7"/>
    <w:rsid w:val="00D22FFA"/>
    <w:rsid w:val="00D23336"/>
    <w:rsid w:val="00D23DD6"/>
    <w:rsid w:val="00D23F58"/>
    <w:rsid w:val="00D25F21"/>
    <w:rsid w:val="00D276DC"/>
    <w:rsid w:val="00D3045F"/>
    <w:rsid w:val="00D30EC1"/>
    <w:rsid w:val="00D3175E"/>
    <w:rsid w:val="00D318AC"/>
    <w:rsid w:val="00D31A78"/>
    <w:rsid w:val="00D31C79"/>
    <w:rsid w:val="00D32CC4"/>
    <w:rsid w:val="00D32D6A"/>
    <w:rsid w:val="00D33A9E"/>
    <w:rsid w:val="00D345D2"/>
    <w:rsid w:val="00D34613"/>
    <w:rsid w:val="00D346D3"/>
    <w:rsid w:val="00D35017"/>
    <w:rsid w:val="00D355A3"/>
    <w:rsid w:val="00D36684"/>
    <w:rsid w:val="00D36DDE"/>
    <w:rsid w:val="00D3748E"/>
    <w:rsid w:val="00D37DBE"/>
    <w:rsid w:val="00D403E4"/>
    <w:rsid w:val="00D40410"/>
    <w:rsid w:val="00D41F86"/>
    <w:rsid w:val="00D422F2"/>
    <w:rsid w:val="00D42A70"/>
    <w:rsid w:val="00D43CFC"/>
    <w:rsid w:val="00D44B38"/>
    <w:rsid w:val="00D44D6E"/>
    <w:rsid w:val="00D44DDF"/>
    <w:rsid w:val="00D455BA"/>
    <w:rsid w:val="00D45729"/>
    <w:rsid w:val="00D46386"/>
    <w:rsid w:val="00D46963"/>
    <w:rsid w:val="00D46C15"/>
    <w:rsid w:val="00D4785F"/>
    <w:rsid w:val="00D479DE"/>
    <w:rsid w:val="00D50B70"/>
    <w:rsid w:val="00D522AE"/>
    <w:rsid w:val="00D52A97"/>
    <w:rsid w:val="00D52D15"/>
    <w:rsid w:val="00D52D79"/>
    <w:rsid w:val="00D53246"/>
    <w:rsid w:val="00D53655"/>
    <w:rsid w:val="00D5376D"/>
    <w:rsid w:val="00D539C8"/>
    <w:rsid w:val="00D53BD7"/>
    <w:rsid w:val="00D54BB6"/>
    <w:rsid w:val="00D54BCD"/>
    <w:rsid w:val="00D54E29"/>
    <w:rsid w:val="00D5596B"/>
    <w:rsid w:val="00D55C81"/>
    <w:rsid w:val="00D56492"/>
    <w:rsid w:val="00D57C76"/>
    <w:rsid w:val="00D616B1"/>
    <w:rsid w:val="00D61FFA"/>
    <w:rsid w:val="00D621BC"/>
    <w:rsid w:val="00D623CB"/>
    <w:rsid w:val="00D62500"/>
    <w:rsid w:val="00D62786"/>
    <w:rsid w:val="00D62F1F"/>
    <w:rsid w:val="00D63AE3"/>
    <w:rsid w:val="00D63E31"/>
    <w:rsid w:val="00D640ED"/>
    <w:rsid w:val="00D648A9"/>
    <w:rsid w:val="00D64A7F"/>
    <w:rsid w:val="00D6564A"/>
    <w:rsid w:val="00D65A6B"/>
    <w:rsid w:val="00D66031"/>
    <w:rsid w:val="00D661C5"/>
    <w:rsid w:val="00D66279"/>
    <w:rsid w:val="00D6647C"/>
    <w:rsid w:val="00D6691F"/>
    <w:rsid w:val="00D67FE2"/>
    <w:rsid w:val="00D70375"/>
    <w:rsid w:val="00D70377"/>
    <w:rsid w:val="00D705ED"/>
    <w:rsid w:val="00D70992"/>
    <w:rsid w:val="00D70FC3"/>
    <w:rsid w:val="00D71379"/>
    <w:rsid w:val="00D71DBF"/>
    <w:rsid w:val="00D720D2"/>
    <w:rsid w:val="00D7231E"/>
    <w:rsid w:val="00D724EA"/>
    <w:rsid w:val="00D72800"/>
    <w:rsid w:val="00D73251"/>
    <w:rsid w:val="00D74294"/>
    <w:rsid w:val="00D75C68"/>
    <w:rsid w:val="00D75C97"/>
    <w:rsid w:val="00D75EFF"/>
    <w:rsid w:val="00D76E15"/>
    <w:rsid w:val="00D77AED"/>
    <w:rsid w:val="00D77CCC"/>
    <w:rsid w:val="00D802A0"/>
    <w:rsid w:val="00D802AE"/>
    <w:rsid w:val="00D807F6"/>
    <w:rsid w:val="00D80C9D"/>
    <w:rsid w:val="00D815BB"/>
    <w:rsid w:val="00D81EBA"/>
    <w:rsid w:val="00D81F35"/>
    <w:rsid w:val="00D826C4"/>
    <w:rsid w:val="00D82B4E"/>
    <w:rsid w:val="00D831E5"/>
    <w:rsid w:val="00D837D2"/>
    <w:rsid w:val="00D837F1"/>
    <w:rsid w:val="00D83E63"/>
    <w:rsid w:val="00D84952"/>
    <w:rsid w:val="00D84F39"/>
    <w:rsid w:val="00D856DA"/>
    <w:rsid w:val="00D8656E"/>
    <w:rsid w:val="00D87CFA"/>
    <w:rsid w:val="00D90162"/>
    <w:rsid w:val="00D90483"/>
    <w:rsid w:val="00D9073C"/>
    <w:rsid w:val="00D91A5E"/>
    <w:rsid w:val="00D9295F"/>
    <w:rsid w:val="00D9388E"/>
    <w:rsid w:val="00D93EAD"/>
    <w:rsid w:val="00D9408A"/>
    <w:rsid w:val="00D95786"/>
    <w:rsid w:val="00D95B56"/>
    <w:rsid w:val="00D95D4E"/>
    <w:rsid w:val="00D97953"/>
    <w:rsid w:val="00D97F56"/>
    <w:rsid w:val="00DA025B"/>
    <w:rsid w:val="00DA0638"/>
    <w:rsid w:val="00DA073E"/>
    <w:rsid w:val="00DA0F80"/>
    <w:rsid w:val="00DA18C6"/>
    <w:rsid w:val="00DA1C78"/>
    <w:rsid w:val="00DA27DA"/>
    <w:rsid w:val="00DA28D6"/>
    <w:rsid w:val="00DA2BCE"/>
    <w:rsid w:val="00DA3534"/>
    <w:rsid w:val="00DA4565"/>
    <w:rsid w:val="00DA4DB3"/>
    <w:rsid w:val="00DA5D8C"/>
    <w:rsid w:val="00DA783A"/>
    <w:rsid w:val="00DA7E5A"/>
    <w:rsid w:val="00DA7E69"/>
    <w:rsid w:val="00DA7E76"/>
    <w:rsid w:val="00DA7FC8"/>
    <w:rsid w:val="00DB0515"/>
    <w:rsid w:val="00DB0591"/>
    <w:rsid w:val="00DB1899"/>
    <w:rsid w:val="00DB2FE0"/>
    <w:rsid w:val="00DB3678"/>
    <w:rsid w:val="00DB3B0B"/>
    <w:rsid w:val="00DB441A"/>
    <w:rsid w:val="00DB4922"/>
    <w:rsid w:val="00DB4991"/>
    <w:rsid w:val="00DB4CA4"/>
    <w:rsid w:val="00DB5772"/>
    <w:rsid w:val="00DB5CD2"/>
    <w:rsid w:val="00DB68A1"/>
    <w:rsid w:val="00DB75E2"/>
    <w:rsid w:val="00DC198E"/>
    <w:rsid w:val="00DC1DDD"/>
    <w:rsid w:val="00DC2C25"/>
    <w:rsid w:val="00DC2DFC"/>
    <w:rsid w:val="00DC3796"/>
    <w:rsid w:val="00DC3B69"/>
    <w:rsid w:val="00DC4127"/>
    <w:rsid w:val="00DC42F7"/>
    <w:rsid w:val="00DC556B"/>
    <w:rsid w:val="00DC5D1F"/>
    <w:rsid w:val="00DC65B9"/>
    <w:rsid w:val="00DC67C4"/>
    <w:rsid w:val="00DC6AFA"/>
    <w:rsid w:val="00DC6BBC"/>
    <w:rsid w:val="00DC6BF5"/>
    <w:rsid w:val="00DC706B"/>
    <w:rsid w:val="00DC7255"/>
    <w:rsid w:val="00DC72CF"/>
    <w:rsid w:val="00DC7BAF"/>
    <w:rsid w:val="00DC7F3C"/>
    <w:rsid w:val="00DD1231"/>
    <w:rsid w:val="00DD1409"/>
    <w:rsid w:val="00DD1414"/>
    <w:rsid w:val="00DD1E29"/>
    <w:rsid w:val="00DD29BE"/>
    <w:rsid w:val="00DD2A8A"/>
    <w:rsid w:val="00DD38F0"/>
    <w:rsid w:val="00DD396E"/>
    <w:rsid w:val="00DD3BD4"/>
    <w:rsid w:val="00DD446A"/>
    <w:rsid w:val="00DD5C88"/>
    <w:rsid w:val="00DD71D4"/>
    <w:rsid w:val="00DD7834"/>
    <w:rsid w:val="00DD786C"/>
    <w:rsid w:val="00DE0087"/>
    <w:rsid w:val="00DE017D"/>
    <w:rsid w:val="00DE0D25"/>
    <w:rsid w:val="00DE1B76"/>
    <w:rsid w:val="00DE2A5F"/>
    <w:rsid w:val="00DE3615"/>
    <w:rsid w:val="00DE3DB3"/>
    <w:rsid w:val="00DE411C"/>
    <w:rsid w:val="00DE4152"/>
    <w:rsid w:val="00DE427C"/>
    <w:rsid w:val="00DE48CF"/>
    <w:rsid w:val="00DE537F"/>
    <w:rsid w:val="00DE5520"/>
    <w:rsid w:val="00DE562F"/>
    <w:rsid w:val="00DE614E"/>
    <w:rsid w:val="00DE679D"/>
    <w:rsid w:val="00DE68E5"/>
    <w:rsid w:val="00DE6EDC"/>
    <w:rsid w:val="00DE71C4"/>
    <w:rsid w:val="00DE725E"/>
    <w:rsid w:val="00DE7902"/>
    <w:rsid w:val="00DE7D93"/>
    <w:rsid w:val="00DF088A"/>
    <w:rsid w:val="00DF102A"/>
    <w:rsid w:val="00DF19F9"/>
    <w:rsid w:val="00DF2CDE"/>
    <w:rsid w:val="00DF37AA"/>
    <w:rsid w:val="00DF4242"/>
    <w:rsid w:val="00DF4BA8"/>
    <w:rsid w:val="00DF4D47"/>
    <w:rsid w:val="00DF4FB2"/>
    <w:rsid w:val="00DF526C"/>
    <w:rsid w:val="00DF535E"/>
    <w:rsid w:val="00DF561B"/>
    <w:rsid w:val="00DF5FF6"/>
    <w:rsid w:val="00DF6004"/>
    <w:rsid w:val="00DF63E8"/>
    <w:rsid w:val="00DF6ED9"/>
    <w:rsid w:val="00DF76AA"/>
    <w:rsid w:val="00E005BF"/>
    <w:rsid w:val="00E00C68"/>
    <w:rsid w:val="00E01178"/>
    <w:rsid w:val="00E01FA9"/>
    <w:rsid w:val="00E02122"/>
    <w:rsid w:val="00E02FC9"/>
    <w:rsid w:val="00E03949"/>
    <w:rsid w:val="00E0460C"/>
    <w:rsid w:val="00E047AD"/>
    <w:rsid w:val="00E049E9"/>
    <w:rsid w:val="00E049EE"/>
    <w:rsid w:val="00E05802"/>
    <w:rsid w:val="00E05AFD"/>
    <w:rsid w:val="00E062B5"/>
    <w:rsid w:val="00E065B5"/>
    <w:rsid w:val="00E06B34"/>
    <w:rsid w:val="00E07881"/>
    <w:rsid w:val="00E07A9E"/>
    <w:rsid w:val="00E07AF8"/>
    <w:rsid w:val="00E07FC2"/>
    <w:rsid w:val="00E1042B"/>
    <w:rsid w:val="00E116A0"/>
    <w:rsid w:val="00E116ED"/>
    <w:rsid w:val="00E1260A"/>
    <w:rsid w:val="00E137C5"/>
    <w:rsid w:val="00E1482A"/>
    <w:rsid w:val="00E159E0"/>
    <w:rsid w:val="00E16212"/>
    <w:rsid w:val="00E16D95"/>
    <w:rsid w:val="00E1709C"/>
    <w:rsid w:val="00E17882"/>
    <w:rsid w:val="00E17D93"/>
    <w:rsid w:val="00E20009"/>
    <w:rsid w:val="00E20179"/>
    <w:rsid w:val="00E20E48"/>
    <w:rsid w:val="00E21245"/>
    <w:rsid w:val="00E21807"/>
    <w:rsid w:val="00E22273"/>
    <w:rsid w:val="00E22296"/>
    <w:rsid w:val="00E22861"/>
    <w:rsid w:val="00E230D4"/>
    <w:rsid w:val="00E24354"/>
    <w:rsid w:val="00E24DDD"/>
    <w:rsid w:val="00E24FD2"/>
    <w:rsid w:val="00E26D91"/>
    <w:rsid w:val="00E2744B"/>
    <w:rsid w:val="00E30664"/>
    <w:rsid w:val="00E30695"/>
    <w:rsid w:val="00E30BE3"/>
    <w:rsid w:val="00E315C1"/>
    <w:rsid w:val="00E31A16"/>
    <w:rsid w:val="00E31F14"/>
    <w:rsid w:val="00E3227C"/>
    <w:rsid w:val="00E327EF"/>
    <w:rsid w:val="00E329DF"/>
    <w:rsid w:val="00E32CDB"/>
    <w:rsid w:val="00E33389"/>
    <w:rsid w:val="00E33718"/>
    <w:rsid w:val="00E33D20"/>
    <w:rsid w:val="00E341D6"/>
    <w:rsid w:val="00E34A71"/>
    <w:rsid w:val="00E35530"/>
    <w:rsid w:val="00E35987"/>
    <w:rsid w:val="00E35C87"/>
    <w:rsid w:val="00E3618C"/>
    <w:rsid w:val="00E367DD"/>
    <w:rsid w:val="00E367E4"/>
    <w:rsid w:val="00E36C73"/>
    <w:rsid w:val="00E40703"/>
    <w:rsid w:val="00E4108F"/>
    <w:rsid w:val="00E416D2"/>
    <w:rsid w:val="00E418D9"/>
    <w:rsid w:val="00E422A5"/>
    <w:rsid w:val="00E42F28"/>
    <w:rsid w:val="00E431D2"/>
    <w:rsid w:val="00E434F7"/>
    <w:rsid w:val="00E4381E"/>
    <w:rsid w:val="00E44115"/>
    <w:rsid w:val="00E453CB"/>
    <w:rsid w:val="00E45A68"/>
    <w:rsid w:val="00E45B6B"/>
    <w:rsid w:val="00E464EC"/>
    <w:rsid w:val="00E46EEF"/>
    <w:rsid w:val="00E47143"/>
    <w:rsid w:val="00E47246"/>
    <w:rsid w:val="00E50162"/>
    <w:rsid w:val="00E509D5"/>
    <w:rsid w:val="00E51FD1"/>
    <w:rsid w:val="00E52379"/>
    <w:rsid w:val="00E52AE8"/>
    <w:rsid w:val="00E52BEE"/>
    <w:rsid w:val="00E52FB1"/>
    <w:rsid w:val="00E53308"/>
    <w:rsid w:val="00E5362C"/>
    <w:rsid w:val="00E5467C"/>
    <w:rsid w:val="00E555BB"/>
    <w:rsid w:val="00E55DAA"/>
    <w:rsid w:val="00E56620"/>
    <w:rsid w:val="00E5682A"/>
    <w:rsid w:val="00E569BD"/>
    <w:rsid w:val="00E56D08"/>
    <w:rsid w:val="00E57483"/>
    <w:rsid w:val="00E57C92"/>
    <w:rsid w:val="00E6021A"/>
    <w:rsid w:val="00E603D9"/>
    <w:rsid w:val="00E60BFC"/>
    <w:rsid w:val="00E6109B"/>
    <w:rsid w:val="00E61951"/>
    <w:rsid w:val="00E6206D"/>
    <w:rsid w:val="00E623DB"/>
    <w:rsid w:val="00E6284A"/>
    <w:rsid w:val="00E62B2C"/>
    <w:rsid w:val="00E62FE5"/>
    <w:rsid w:val="00E63687"/>
    <w:rsid w:val="00E63963"/>
    <w:rsid w:val="00E63E8D"/>
    <w:rsid w:val="00E63FAE"/>
    <w:rsid w:val="00E64F3C"/>
    <w:rsid w:val="00E64F99"/>
    <w:rsid w:val="00E65728"/>
    <w:rsid w:val="00E6640E"/>
    <w:rsid w:val="00E66709"/>
    <w:rsid w:val="00E66F02"/>
    <w:rsid w:val="00E674C4"/>
    <w:rsid w:val="00E67DA0"/>
    <w:rsid w:val="00E70AA1"/>
    <w:rsid w:val="00E71241"/>
    <w:rsid w:val="00E71341"/>
    <w:rsid w:val="00E71947"/>
    <w:rsid w:val="00E7416D"/>
    <w:rsid w:val="00E748B7"/>
    <w:rsid w:val="00E74E3E"/>
    <w:rsid w:val="00E750B8"/>
    <w:rsid w:val="00E750C1"/>
    <w:rsid w:val="00E75FA5"/>
    <w:rsid w:val="00E76A9F"/>
    <w:rsid w:val="00E76CE3"/>
    <w:rsid w:val="00E76DA0"/>
    <w:rsid w:val="00E77377"/>
    <w:rsid w:val="00E77CB5"/>
    <w:rsid w:val="00E80E7E"/>
    <w:rsid w:val="00E81073"/>
    <w:rsid w:val="00E8147D"/>
    <w:rsid w:val="00E81F33"/>
    <w:rsid w:val="00E822E1"/>
    <w:rsid w:val="00E83032"/>
    <w:rsid w:val="00E8346D"/>
    <w:rsid w:val="00E83955"/>
    <w:rsid w:val="00E83F2E"/>
    <w:rsid w:val="00E84023"/>
    <w:rsid w:val="00E856D2"/>
    <w:rsid w:val="00E85884"/>
    <w:rsid w:val="00E85C35"/>
    <w:rsid w:val="00E86166"/>
    <w:rsid w:val="00E861B4"/>
    <w:rsid w:val="00E86705"/>
    <w:rsid w:val="00E86B0F"/>
    <w:rsid w:val="00E86D83"/>
    <w:rsid w:val="00E872DD"/>
    <w:rsid w:val="00E90161"/>
    <w:rsid w:val="00E901CF"/>
    <w:rsid w:val="00E90C92"/>
    <w:rsid w:val="00E912E6"/>
    <w:rsid w:val="00E91424"/>
    <w:rsid w:val="00E9159D"/>
    <w:rsid w:val="00E916A7"/>
    <w:rsid w:val="00E92653"/>
    <w:rsid w:val="00E93502"/>
    <w:rsid w:val="00E942F3"/>
    <w:rsid w:val="00E94DDD"/>
    <w:rsid w:val="00E94EC6"/>
    <w:rsid w:val="00E96279"/>
    <w:rsid w:val="00E97401"/>
    <w:rsid w:val="00E9744E"/>
    <w:rsid w:val="00E974DD"/>
    <w:rsid w:val="00E9775A"/>
    <w:rsid w:val="00E9793C"/>
    <w:rsid w:val="00E979F4"/>
    <w:rsid w:val="00EA0B85"/>
    <w:rsid w:val="00EA2690"/>
    <w:rsid w:val="00EA2939"/>
    <w:rsid w:val="00EA2D33"/>
    <w:rsid w:val="00EA346E"/>
    <w:rsid w:val="00EA35DB"/>
    <w:rsid w:val="00EA3ADA"/>
    <w:rsid w:val="00EA4CC2"/>
    <w:rsid w:val="00EA592A"/>
    <w:rsid w:val="00EA6F4A"/>
    <w:rsid w:val="00EA7368"/>
    <w:rsid w:val="00EB0637"/>
    <w:rsid w:val="00EB08FB"/>
    <w:rsid w:val="00EB13AE"/>
    <w:rsid w:val="00EB1FDD"/>
    <w:rsid w:val="00EB2A56"/>
    <w:rsid w:val="00EB2CC8"/>
    <w:rsid w:val="00EB2F1D"/>
    <w:rsid w:val="00EB31DF"/>
    <w:rsid w:val="00EB33E5"/>
    <w:rsid w:val="00EB3584"/>
    <w:rsid w:val="00EB39E8"/>
    <w:rsid w:val="00EB3ADA"/>
    <w:rsid w:val="00EB3BC0"/>
    <w:rsid w:val="00EB3DD0"/>
    <w:rsid w:val="00EB44DB"/>
    <w:rsid w:val="00EB464C"/>
    <w:rsid w:val="00EB5585"/>
    <w:rsid w:val="00EB5B87"/>
    <w:rsid w:val="00EB6965"/>
    <w:rsid w:val="00EB78B3"/>
    <w:rsid w:val="00EB79FF"/>
    <w:rsid w:val="00EB7CF4"/>
    <w:rsid w:val="00EC0344"/>
    <w:rsid w:val="00EC0A22"/>
    <w:rsid w:val="00EC1649"/>
    <w:rsid w:val="00EC1EBA"/>
    <w:rsid w:val="00EC22E2"/>
    <w:rsid w:val="00EC2B45"/>
    <w:rsid w:val="00EC3097"/>
    <w:rsid w:val="00EC3B8B"/>
    <w:rsid w:val="00EC401E"/>
    <w:rsid w:val="00EC45EA"/>
    <w:rsid w:val="00EC4B03"/>
    <w:rsid w:val="00EC4CD4"/>
    <w:rsid w:val="00EC53B0"/>
    <w:rsid w:val="00EC5528"/>
    <w:rsid w:val="00EC68BF"/>
    <w:rsid w:val="00EC68EF"/>
    <w:rsid w:val="00EC6C8D"/>
    <w:rsid w:val="00EC6FE5"/>
    <w:rsid w:val="00EC7010"/>
    <w:rsid w:val="00EC740D"/>
    <w:rsid w:val="00EC7769"/>
    <w:rsid w:val="00EC77F7"/>
    <w:rsid w:val="00EC78F8"/>
    <w:rsid w:val="00ED0504"/>
    <w:rsid w:val="00ED0ED0"/>
    <w:rsid w:val="00ED1803"/>
    <w:rsid w:val="00ED1A3B"/>
    <w:rsid w:val="00ED1DD2"/>
    <w:rsid w:val="00ED1FDC"/>
    <w:rsid w:val="00ED21F0"/>
    <w:rsid w:val="00ED26C8"/>
    <w:rsid w:val="00ED2878"/>
    <w:rsid w:val="00ED4053"/>
    <w:rsid w:val="00ED46C1"/>
    <w:rsid w:val="00ED49DF"/>
    <w:rsid w:val="00ED4D58"/>
    <w:rsid w:val="00ED6D23"/>
    <w:rsid w:val="00ED730A"/>
    <w:rsid w:val="00ED73C1"/>
    <w:rsid w:val="00ED7449"/>
    <w:rsid w:val="00ED745E"/>
    <w:rsid w:val="00ED79F4"/>
    <w:rsid w:val="00ED7DC7"/>
    <w:rsid w:val="00EE1443"/>
    <w:rsid w:val="00EE1DE9"/>
    <w:rsid w:val="00EE2615"/>
    <w:rsid w:val="00EE479B"/>
    <w:rsid w:val="00EE57AE"/>
    <w:rsid w:val="00EE5B5A"/>
    <w:rsid w:val="00EE6F32"/>
    <w:rsid w:val="00EE75C2"/>
    <w:rsid w:val="00EE7B6D"/>
    <w:rsid w:val="00EE7E05"/>
    <w:rsid w:val="00EF03CD"/>
    <w:rsid w:val="00EF0B01"/>
    <w:rsid w:val="00EF16F9"/>
    <w:rsid w:val="00EF1F9D"/>
    <w:rsid w:val="00EF28BB"/>
    <w:rsid w:val="00EF33EE"/>
    <w:rsid w:val="00EF3C12"/>
    <w:rsid w:val="00EF4C3A"/>
    <w:rsid w:val="00EF4DD7"/>
    <w:rsid w:val="00EF573F"/>
    <w:rsid w:val="00EF5DD8"/>
    <w:rsid w:val="00EF6E88"/>
    <w:rsid w:val="00EF7032"/>
    <w:rsid w:val="00F008C4"/>
    <w:rsid w:val="00F009BC"/>
    <w:rsid w:val="00F01143"/>
    <w:rsid w:val="00F01466"/>
    <w:rsid w:val="00F01777"/>
    <w:rsid w:val="00F01CF2"/>
    <w:rsid w:val="00F01F17"/>
    <w:rsid w:val="00F02B1B"/>
    <w:rsid w:val="00F02E60"/>
    <w:rsid w:val="00F032A3"/>
    <w:rsid w:val="00F0424E"/>
    <w:rsid w:val="00F04AF5"/>
    <w:rsid w:val="00F04C6F"/>
    <w:rsid w:val="00F06A1E"/>
    <w:rsid w:val="00F076C7"/>
    <w:rsid w:val="00F07869"/>
    <w:rsid w:val="00F07AA1"/>
    <w:rsid w:val="00F07BFF"/>
    <w:rsid w:val="00F07E63"/>
    <w:rsid w:val="00F1013C"/>
    <w:rsid w:val="00F1044B"/>
    <w:rsid w:val="00F10E78"/>
    <w:rsid w:val="00F11BA6"/>
    <w:rsid w:val="00F124E2"/>
    <w:rsid w:val="00F12B24"/>
    <w:rsid w:val="00F12E77"/>
    <w:rsid w:val="00F13084"/>
    <w:rsid w:val="00F13659"/>
    <w:rsid w:val="00F14556"/>
    <w:rsid w:val="00F15507"/>
    <w:rsid w:val="00F15952"/>
    <w:rsid w:val="00F15EE6"/>
    <w:rsid w:val="00F163C8"/>
    <w:rsid w:val="00F163CD"/>
    <w:rsid w:val="00F165ED"/>
    <w:rsid w:val="00F16CD5"/>
    <w:rsid w:val="00F17EC4"/>
    <w:rsid w:val="00F20C6B"/>
    <w:rsid w:val="00F21467"/>
    <w:rsid w:val="00F21826"/>
    <w:rsid w:val="00F22DC7"/>
    <w:rsid w:val="00F23095"/>
    <w:rsid w:val="00F245FC"/>
    <w:rsid w:val="00F24E93"/>
    <w:rsid w:val="00F2504B"/>
    <w:rsid w:val="00F25D64"/>
    <w:rsid w:val="00F2615A"/>
    <w:rsid w:val="00F26FD9"/>
    <w:rsid w:val="00F271ED"/>
    <w:rsid w:val="00F276DA"/>
    <w:rsid w:val="00F27914"/>
    <w:rsid w:val="00F27C01"/>
    <w:rsid w:val="00F30820"/>
    <w:rsid w:val="00F30A82"/>
    <w:rsid w:val="00F30ED8"/>
    <w:rsid w:val="00F30FE7"/>
    <w:rsid w:val="00F314FD"/>
    <w:rsid w:val="00F3204C"/>
    <w:rsid w:val="00F32176"/>
    <w:rsid w:val="00F34619"/>
    <w:rsid w:val="00F35406"/>
    <w:rsid w:val="00F361BB"/>
    <w:rsid w:val="00F36ADB"/>
    <w:rsid w:val="00F36D9A"/>
    <w:rsid w:val="00F37C04"/>
    <w:rsid w:val="00F40114"/>
    <w:rsid w:val="00F4081D"/>
    <w:rsid w:val="00F41D0A"/>
    <w:rsid w:val="00F42746"/>
    <w:rsid w:val="00F42A3F"/>
    <w:rsid w:val="00F430C7"/>
    <w:rsid w:val="00F442D3"/>
    <w:rsid w:val="00F44905"/>
    <w:rsid w:val="00F44E99"/>
    <w:rsid w:val="00F450BC"/>
    <w:rsid w:val="00F45133"/>
    <w:rsid w:val="00F452FD"/>
    <w:rsid w:val="00F45AB2"/>
    <w:rsid w:val="00F45B34"/>
    <w:rsid w:val="00F461AB"/>
    <w:rsid w:val="00F463E8"/>
    <w:rsid w:val="00F46D56"/>
    <w:rsid w:val="00F47732"/>
    <w:rsid w:val="00F47BDC"/>
    <w:rsid w:val="00F50B41"/>
    <w:rsid w:val="00F51878"/>
    <w:rsid w:val="00F52F26"/>
    <w:rsid w:val="00F54041"/>
    <w:rsid w:val="00F54080"/>
    <w:rsid w:val="00F548D8"/>
    <w:rsid w:val="00F553FC"/>
    <w:rsid w:val="00F55858"/>
    <w:rsid w:val="00F55BA3"/>
    <w:rsid w:val="00F55DE0"/>
    <w:rsid w:val="00F55F44"/>
    <w:rsid w:val="00F5600A"/>
    <w:rsid w:val="00F570A9"/>
    <w:rsid w:val="00F5719E"/>
    <w:rsid w:val="00F57324"/>
    <w:rsid w:val="00F60126"/>
    <w:rsid w:val="00F60601"/>
    <w:rsid w:val="00F606EB"/>
    <w:rsid w:val="00F60985"/>
    <w:rsid w:val="00F60B6A"/>
    <w:rsid w:val="00F60C44"/>
    <w:rsid w:val="00F60EA2"/>
    <w:rsid w:val="00F61222"/>
    <w:rsid w:val="00F637C1"/>
    <w:rsid w:val="00F63BF8"/>
    <w:rsid w:val="00F64CF4"/>
    <w:rsid w:val="00F650BD"/>
    <w:rsid w:val="00F65243"/>
    <w:rsid w:val="00F6543D"/>
    <w:rsid w:val="00F65893"/>
    <w:rsid w:val="00F65906"/>
    <w:rsid w:val="00F65ED2"/>
    <w:rsid w:val="00F67645"/>
    <w:rsid w:val="00F679DD"/>
    <w:rsid w:val="00F7089F"/>
    <w:rsid w:val="00F70ECF"/>
    <w:rsid w:val="00F7156D"/>
    <w:rsid w:val="00F71DAD"/>
    <w:rsid w:val="00F71DC7"/>
    <w:rsid w:val="00F72A4F"/>
    <w:rsid w:val="00F72DAC"/>
    <w:rsid w:val="00F739CF"/>
    <w:rsid w:val="00F73BE9"/>
    <w:rsid w:val="00F73C5A"/>
    <w:rsid w:val="00F73ED1"/>
    <w:rsid w:val="00F743D8"/>
    <w:rsid w:val="00F7470F"/>
    <w:rsid w:val="00F7480B"/>
    <w:rsid w:val="00F75FAB"/>
    <w:rsid w:val="00F766B9"/>
    <w:rsid w:val="00F7716A"/>
    <w:rsid w:val="00F804C0"/>
    <w:rsid w:val="00F80709"/>
    <w:rsid w:val="00F80A9F"/>
    <w:rsid w:val="00F80D3A"/>
    <w:rsid w:val="00F81083"/>
    <w:rsid w:val="00F81845"/>
    <w:rsid w:val="00F83C89"/>
    <w:rsid w:val="00F842CA"/>
    <w:rsid w:val="00F84381"/>
    <w:rsid w:val="00F84837"/>
    <w:rsid w:val="00F84D5F"/>
    <w:rsid w:val="00F8501E"/>
    <w:rsid w:val="00F856BD"/>
    <w:rsid w:val="00F8623B"/>
    <w:rsid w:val="00F86557"/>
    <w:rsid w:val="00F867DC"/>
    <w:rsid w:val="00F8756E"/>
    <w:rsid w:val="00F906D4"/>
    <w:rsid w:val="00F9108E"/>
    <w:rsid w:val="00F91C11"/>
    <w:rsid w:val="00F923F2"/>
    <w:rsid w:val="00F93057"/>
    <w:rsid w:val="00F93323"/>
    <w:rsid w:val="00F93EBF"/>
    <w:rsid w:val="00F94D13"/>
    <w:rsid w:val="00F95A47"/>
    <w:rsid w:val="00F95DB1"/>
    <w:rsid w:val="00F97825"/>
    <w:rsid w:val="00F978C2"/>
    <w:rsid w:val="00FA25C0"/>
    <w:rsid w:val="00FA2847"/>
    <w:rsid w:val="00FA2D9E"/>
    <w:rsid w:val="00FA3379"/>
    <w:rsid w:val="00FA33B5"/>
    <w:rsid w:val="00FA3455"/>
    <w:rsid w:val="00FA380E"/>
    <w:rsid w:val="00FA433D"/>
    <w:rsid w:val="00FA4AA4"/>
    <w:rsid w:val="00FA4B4C"/>
    <w:rsid w:val="00FA55A7"/>
    <w:rsid w:val="00FA5D2D"/>
    <w:rsid w:val="00FA6A22"/>
    <w:rsid w:val="00FB0272"/>
    <w:rsid w:val="00FB0565"/>
    <w:rsid w:val="00FB064B"/>
    <w:rsid w:val="00FB06CA"/>
    <w:rsid w:val="00FB1A49"/>
    <w:rsid w:val="00FB1CA7"/>
    <w:rsid w:val="00FB339A"/>
    <w:rsid w:val="00FB4202"/>
    <w:rsid w:val="00FB4373"/>
    <w:rsid w:val="00FB4A2D"/>
    <w:rsid w:val="00FB4AB2"/>
    <w:rsid w:val="00FB61C0"/>
    <w:rsid w:val="00FB6CA7"/>
    <w:rsid w:val="00FC0FB3"/>
    <w:rsid w:val="00FC1775"/>
    <w:rsid w:val="00FC2057"/>
    <w:rsid w:val="00FC247F"/>
    <w:rsid w:val="00FC2504"/>
    <w:rsid w:val="00FC286C"/>
    <w:rsid w:val="00FC4362"/>
    <w:rsid w:val="00FC46A5"/>
    <w:rsid w:val="00FC4706"/>
    <w:rsid w:val="00FC488A"/>
    <w:rsid w:val="00FC4B4C"/>
    <w:rsid w:val="00FC4E5B"/>
    <w:rsid w:val="00FC531A"/>
    <w:rsid w:val="00FC6DCC"/>
    <w:rsid w:val="00FC6E3F"/>
    <w:rsid w:val="00FC70E2"/>
    <w:rsid w:val="00FD001A"/>
    <w:rsid w:val="00FD01EC"/>
    <w:rsid w:val="00FD0CAD"/>
    <w:rsid w:val="00FD1262"/>
    <w:rsid w:val="00FD1EE1"/>
    <w:rsid w:val="00FD2F90"/>
    <w:rsid w:val="00FD48A4"/>
    <w:rsid w:val="00FD4CC8"/>
    <w:rsid w:val="00FD5054"/>
    <w:rsid w:val="00FD5262"/>
    <w:rsid w:val="00FD59C5"/>
    <w:rsid w:val="00FD5B58"/>
    <w:rsid w:val="00FD5EC8"/>
    <w:rsid w:val="00FD5F91"/>
    <w:rsid w:val="00FD6B9E"/>
    <w:rsid w:val="00FD7B25"/>
    <w:rsid w:val="00FD7F6F"/>
    <w:rsid w:val="00FD7F9F"/>
    <w:rsid w:val="00FE0316"/>
    <w:rsid w:val="00FE09D4"/>
    <w:rsid w:val="00FE14E7"/>
    <w:rsid w:val="00FE1914"/>
    <w:rsid w:val="00FE19CB"/>
    <w:rsid w:val="00FE2AFD"/>
    <w:rsid w:val="00FE3048"/>
    <w:rsid w:val="00FE3577"/>
    <w:rsid w:val="00FE427D"/>
    <w:rsid w:val="00FE61A3"/>
    <w:rsid w:val="00FE6C89"/>
    <w:rsid w:val="00FE7412"/>
    <w:rsid w:val="00FE752E"/>
    <w:rsid w:val="00FE7781"/>
    <w:rsid w:val="00FE783E"/>
    <w:rsid w:val="00FF0410"/>
    <w:rsid w:val="00FF0C61"/>
    <w:rsid w:val="00FF1528"/>
    <w:rsid w:val="00FF1D4F"/>
    <w:rsid w:val="00FF2076"/>
    <w:rsid w:val="00FF239E"/>
    <w:rsid w:val="00FF2CA1"/>
    <w:rsid w:val="00FF3136"/>
    <w:rsid w:val="00FF37F7"/>
    <w:rsid w:val="00FF4C43"/>
    <w:rsid w:val="00FF540A"/>
    <w:rsid w:val="00FF7C18"/>
    <w:rsid w:val="01054EE7"/>
    <w:rsid w:val="01453751"/>
    <w:rsid w:val="01710C42"/>
    <w:rsid w:val="017F126E"/>
    <w:rsid w:val="018C6040"/>
    <w:rsid w:val="01967E71"/>
    <w:rsid w:val="01BF645F"/>
    <w:rsid w:val="01D0720E"/>
    <w:rsid w:val="01E925F2"/>
    <w:rsid w:val="01EE77BF"/>
    <w:rsid w:val="021F72B2"/>
    <w:rsid w:val="02232815"/>
    <w:rsid w:val="02366DA0"/>
    <w:rsid w:val="024971C1"/>
    <w:rsid w:val="024D5B94"/>
    <w:rsid w:val="026412FF"/>
    <w:rsid w:val="026818CF"/>
    <w:rsid w:val="026E0318"/>
    <w:rsid w:val="02A52145"/>
    <w:rsid w:val="02D26E72"/>
    <w:rsid w:val="02F41103"/>
    <w:rsid w:val="02F53E74"/>
    <w:rsid w:val="02FB7869"/>
    <w:rsid w:val="03315E11"/>
    <w:rsid w:val="03787FEF"/>
    <w:rsid w:val="03BC007F"/>
    <w:rsid w:val="03EB3FC7"/>
    <w:rsid w:val="040717CA"/>
    <w:rsid w:val="040E5C29"/>
    <w:rsid w:val="041600AC"/>
    <w:rsid w:val="043D69E1"/>
    <w:rsid w:val="044A7004"/>
    <w:rsid w:val="04671583"/>
    <w:rsid w:val="046A2703"/>
    <w:rsid w:val="04DB522D"/>
    <w:rsid w:val="050836B4"/>
    <w:rsid w:val="0510144C"/>
    <w:rsid w:val="052F698C"/>
    <w:rsid w:val="053805F8"/>
    <w:rsid w:val="05571533"/>
    <w:rsid w:val="055D4CB6"/>
    <w:rsid w:val="05A07FB5"/>
    <w:rsid w:val="05AA4FF7"/>
    <w:rsid w:val="05B70155"/>
    <w:rsid w:val="05CA4673"/>
    <w:rsid w:val="05D00854"/>
    <w:rsid w:val="05E86706"/>
    <w:rsid w:val="05EB3E85"/>
    <w:rsid w:val="05F626C2"/>
    <w:rsid w:val="06440003"/>
    <w:rsid w:val="06EE0FAD"/>
    <w:rsid w:val="06F4622C"/>
    <w:rsid w:val="06F50F3F"/>
    <w:rsid w:val="07037896"/>
    <w:rsid w:val="071C1AB9"/>
    <w:rsid w:val="072A35FB"/>
    <w:rsid w:val="07673691"/>
    <w:rsid w:val="07675D60"/>
    <w:rsid w:val="079A234F"/>
    <w:rsid w:val="07A85211"/>
    <w:rsid w:val="07BD350D"/>
    <w:rsid w:val="07BE76F9"/>
    <w:rsid w:val="07ED67BF"/>
    <w:rsid w:val="07FB5842"/>
    <w:rsid w:val="0810522F"/>
    <w:rsid w:val="08251C3E"/>
    <w:rsid w:val="086B433E"/>
    <w:rsid w:val="087C3235"/>
    <w:rsid w:val="089524A2"/>
    <w:rsid w:val="08A44134"/>
    <w:rsid w:val="08C32FB7"/>
    <w:rsid w:val="08C80360"/>
    <w:rsid w:val="094C130B"/>
    <w:rsid w:val="096303B1"/>
    <w:rsid w:val="096E6557"/>
    <w:rsid w:val="097612D8"/>
    <w:rsid w:val="09776B1A"/>
    <w:rsid w:val="09870B6B"/>
    <w:rsid w:val="098F549E"/>
    <w:rsid w:val="09D6522B"/>
    <w:rsid w:val="0A066C69"/>
    <w:rsid w:val="0A2E55C3"/>
    <w:rsid w:val="0A38598E"/>
    <w:rsid w:val="0A4F305E"/>
    <w:rsid w:val="0AAC140A"/>
    <w:rsid w:val="0ADC74B5"/>
    <w:rsid w:val="0AEB5D03"/>
    <w:rsid w:val="0AFF6A33"/>
    <w:rsid w:val="0B0A632C"/>
    <w:rsid w:val="0B1933FA"/>
    <w:rsid w:val="0B3A110D"/>
    <w:rsid w:val="0B64529C"/>
    <w:rsid w:val="0B762C6A"/>
    <w:rsid w:val="0B942AEA"/>
    <w:rsid w:val="0B9841B0"/>
    <w:rsid w:val="0B9F443A"/>
    <w:rsid w:val="0BAB2AC2"/>
    <w:rsid w:val="0BBF193C"/>
    <w:rsid w:val="0BFD257C"/>
    <w:rsid w:val="0BFE018D"/>
    <w:rsid w:val="0C2A396B"/>
    <w:rsid w:val="0C2D7D84"/>
    <w:rsid w:val="0C345149"/>
    <w:rsid w:val="0C6D10C4"/>
    <w:rsid w:val="0C6E7CC4"/>
    <w:rsid w:val="0C8573BB"/>
    <w:rsid w:val="0C870841"/>
    <w:rsid w:val="0C8804C9"/>
    <w:rsid w:val="0CC27BBA"/>
    <w:rsid w:val="0CD4772C"/>
    <w:rsid w:val="0D174F42"/>
    <w:rsid w:val="0D8F691E"/>
    <w:rsid w:val="0DAC0FC0"/>
    <w:rsid w:val="0DBD6E33"/>
    <w:rsid w:val="0DC95DFB"/>
    <w:rsid w:val="0DCA67D5"/>
    <w:rsid w:val="0DE23BDC"/>
    <w:rsid w:val="0DEC2FD8"/>
    <w:rsid w:val="0DFC7201"/>
    <w:rsid w:val="0E5701F3"/>
    <w:rsid w:val="0E597024"/>
    <w:rsid w:val="0E5F1975"/>
    <w:rsid w:val="0E7712A1"/>
    <w:rsid w:val="0E9244A6"/>
    <w:rsid w:val="0EAF5125"/>
    <w:rsid w:val="0F0C791F"/>
    <w:rsid w:val="0F591BF7"/>
    <w:rsid w:val="0F860A96"/>
    <w:rsid w:val="0FCA5173"/>
    <w:rsid w:val="0FCA7061"/>
    <w:rsid w:val="0FDC0328"/>
    <w:rsid w:val="0FF40D67"/>
    <w:rsid w:val="102B630D"/>
    <w:rsid w:val="105D2F0D"/>
    <w:rsid w:val="10610C1D"/>
    <w:rsid w:val="10674688"/>
    <w:rsid w:val="10955F12"/>
    <w:rsid w:val="10B15F44"/>
    <w:rsid w:val="10B80B26"/>
    <w:rsid w:val="10C831A7"/>
    <w:rsid w:val="10CB33F3"/>
    <w:rsid w:val="10CC44AD"/>
    <w:rsid w:val="111609D1"/>
    <w:rsid w:val="11374D2A"/>
    <w:rsid w:val="115C6D3E"/>
    <w:rsid w:val="116A372A"/>
    <w:rsid w:val="118A2781"/>
    <w:rsid w:val="11AF7CB9"/>
    <w:rsid w:val="11CE6D9D"/>
    <w:rsid w:val="11E025C1"/>
    <w:rsid w:val="11F272DE"/>
    <w:rsid w:val="120664A5"/>
    <w:rsid w:val="1226602C"/>
    <w:rsid w:val="123D0E8B"/>
    <w:rsid w:val="123D5DA2"/>
    <w:rsid w:val="123E0B14"/>
    <w:rsid w:val="1261343A"/>
    <w:rsid w:val="12766890"/>
    <w:rsid w:val="128F38DC"/>
    <w:rsid w:val="12A31AFE"/>
    <w:rsid w:val="12CB2316"/>
    <w:rsid w:val="13054260"/>
    <w:rsid w:val="130C2A5B"/>
    <w:rsid w:val="13367C35"/>
    <w:rsid w:val="133A5DF2"/>
    <w:rsid w:val="134F6889"/>
    <w:rsid w:val="13566E1F"/>
    <w:rsid w:val="13727B81"/>
    <w:rsid w:val="138520A3"/>
    <w:rsid w:val="138A39C5"/>
    <w:rsid w:val="138E7456"/>
    <w:rsid w:val="13B804D9"/>
    <w:rsid w:val="1401311A"/>
    <w:rsid w:val="14204765"/>
    <w:rsid w:val="14302C19"/>
    <w:rsid w:val="1466570D"/>
    <w:rsid w:val="148A218C"/>
    <w:rsid w:val="148D1992"/>
    <w:rsid w:val="149543C8"/>
    <w:rsid w:val="14AF7C3F"/>
    <w:rsid w:val="14ED252C"/>
    <w:rsid w:val="14FC505E"/>
    <w:rsid w:val="14FF709F"/>
    <w:rsid w:val="15593C77"/>
    <w:rsid w:val="15776601"/>
    <w:rsid w:val="15782840"/>
    <w:rsid w:val="158A46FA"/>
    <w:rsid w:val="15A05276"/>
    <w:rsid w:val="15A10AA3"/>
    <w:rsid w:val="15A613ED"/>
    <w:rsid w:val="15B03EEA"/>
    <w:rsid w:val="15D54C31"/>
    <w:rsid w:val="15E52FAF"/>
    <w:rsid w:val="1604750E"/>
    <w:rsid w:val="1616746A"/>
    <w:rsid w:val="162168E1"/>
    <w:rsid w:val="16232E7E"/>
    <w:rsid w:val="162A06D0"/>
    <w:rsid w:val="165E3157"/>
    <w:rsid w:val="167E01C7"/>
    <w:rsid w:val="16B2239E"/>
    <w:rsid w:val="16D74074"/>
    <w:rsid w:val="16F44210"/>
    <w:rsid w:val="17051E8C"/>
    <w:rsid w:val="17213F37"/>
    <w:rsid w:val="174A3117"/>
    <w:rsid w:val="175156BB"/>
    <w:rsid w:val="177535F3"/>
    <w:rsid w:val="1784088D"/>
    <w:rsid w:val="17876CD8"/>
    <w:rsid w:val="17991F6C"/>
    <w:rsid w:val="17AB3003"/>
    <w:rsid w:val="17AD21DF"/>
    <w:rsid w:val="17DA5E62"/>
    <w:rsid w:val="18073366"/>
    <w:rsid w:val="18091368"/>
    <w:rsid w:val="181B5321"/>
    <w:rsid w:val="18296387"/>
    <w:rsid w:val="187A3F69"/>
    <w:rsid w:val="189F0600"/>
    <w:rsid w:val="18AB48E3"/>
    <w:rsid w:val="18B41221"/>
    <w:rsid w:val="18F6567A"/>
    <w:rsid w:val="191B4248"/>
    <w:rsid w:val="19290BBF"/>
    <w:rsid w:val="19343A40"/>
    <w:rsid w:val="196D7F1B"/>
    <w:rsid w:val="1979726C"/>
    <w:rsid w:val="19A90B8D"/>
    <w:rsid w:val="19AB6351"/>
    <w:rsid w:val="19C37425"/>
    <w:rsid w:val="19DB0028"/>
    <w:rsid w:val="19DE5125"/>
    <w:rsid w:val="19F44735"/>
    <w:rsid w:val="19F9675D"/>
    <w:rsid w:val="1A176F1F"/>
    <w:rsid w:val="1A3112FC"/>
    <w:rsid w:val="1A3268EA"/>
    <w:rsid w:val="1A3D7353"/>
    <w:rsid w:val="1A4B3691"/>
    <w:rsid w:val="1A582845"/>
    <w:rsid w:val="1A5A434F"/>
    <w:rsid w:val="1A78107D"/>
    <w:rsid w:val="1AAD3841"/>
    <w:rsid w:val="1AB729F0"/>
    <w:rsid w:val="1AD350C2"/>
    <w:rsid w:val="1AFC6CAA"/>
    <w:rsid w:val="1B003A3A"/>
    <w:rsid w:val="1B1C0FCD"/>
    <w:rsid w:val="1B1F290F"/>
    <w:rsid w:val="1B352E36"/>
    <w:rsid w:val="1B3E6055"/>
    <w:rsid w:val="1B62011E"/>
    <w:rsid w:val="1B82212A"/>
    <w:rsid w:val="1B8E3D13"/>
    <w:rsid w:val="1BC44BC3"/>
    <w:rsid w:val="1BDC6CBF"/>
    <w:rsid w:val="1C1A2140"/>
    <w:rsid w:val="1C346708"/>
    <w:rsid w:val="1C5546C9"/>
    <w:rsid w:val="1C5B3D52"/>
    <w:rsid w:val="1C65417E"/>
    <w:rsid w:val="1C715F47"/>
    <w:rsid w:val="1C8E2171"/>
    <w:rsid w:val="1CCB7B47"/>
    <w:rsid w:val="1CCF56FE"/>
    <w:rsid w:val="1CF9370A"/>
    <w:rsid w:val="1D1D282B"/>
    <w:rsid w:val="1D203231"/>
    <w:rsid w:val="1D216739"/>
    <w:rsid w:val="1D4F7665"/>
    <w:rsid w:val="1D5C4CAA"/>
    <w:rsid w:val="1D8553CF"/>
    <w:rsid w:val="1D937E42"/>
    <w:rsid w:val="1DC60FD4"/>
    <w:rsid w:val="1DE019AC"/>
    <w:rsid w:val="1DEE7632"/>
    <w:rsid w:val="1E193D15"/>
    <w:rsid w:val="1E3D0A3F"/>
    <w:rsid w:val="1E48161D"/>
    <w:rsid w:val="1E5D0DA8"/>
    <w:rsid w:val="1E6C0D71"/>
    <w:rsid w:val="1E7C4C85"/>
    <w:rsid w:val="1EF42A3F"/>
    <w:rsid w:val="1F017683"/>
    <w:rsid w:val="1F323B00"/>
    <w:rsid w:val="1F3A7109"/>
    <w:rsid w:val="1F4E720F"/>
    <w:rsid w:val="1F722094"/>
    <w:rsid w:val="1FA91432"/>
    <w:rsid w:val="1FCE3404"/>
    <w:rsid w:val="1FD27F61"/>
    <w:rsid w:val="1FE024EA"/>
    <w:rsid w:val="1FF446FA"/>
    <w:rsid w:val="202B7515"/>
    <w:rsid w:val="20476854"/>
    <w:rsid w:val="204A0D08"/>
    <w:rsid w:val="20796E60"/>
    <w:rsid w:val="207E3C6E"/>
    <w:rsid w:val="20850F2A"/>
    <w:rsid w:val="20AA0E15"/>
    <w:rsid w:val="20AC2ED5"/>
    <w:rsid w:val="20D55460"/>
    <w:rsid w:val="212B3875"/>
    <w:rsid w:val="21384777"/>
    <w:rsid w:val="213900B3"/>
    <w:rsid w:val="21402683"/>
    <w:rsid w:val="214E3C8D"/>
    <w:rsid w:val="21564609"/>
    <w:rsid w:val="2172075E"/>
    <w:rsid w:val="21894E00"/>
    <w:rsid w:val="218F26EC"/>
    <w:rsid w:val="21970268"/>
    <w:rsid w:val="21B67E14"/>
    <w:rsid w:val="21DE511C"/>
    <w:rsid w:val="21F2725D"/>
    <w:rsid w:val="21F4671D"/>
    <w:rsid w:val="21F7407A"/>
    <w:rsid w:val="21FA0F0C"/>
    <w:rsid w:val="22443F52"/>
    <w:rsid w:val="22800F5B"/>
    <w:rsid w:val="22A6148F"/>
    <w:rsid w:val="22B068DF"/>
    <w:rsid w:val="22C11AA0"/>
    <w:rsid w:val="22C62F3A"/>
    <w:rsid w:val="22F912D1"/>
    <w:rsid w:val="2324394A"/>
    <w:rsid w:val="2328248D"/>
    <w:rsid w:val="2333099E"/>
    <w:rsid w:val="234647AA"/>
    <w:rsid w:val="23573815"/>
    <w:rsid w:val="235C5A2D"/>
    <w:rsid w:val="2367752F"/>
    <w:rsid w:val="23753B32"/>
    <w:rsid w:val="2380657F"/>
    <w:rsid w:val="238621A3"/>
    <w:rsid w:val="239E723F"/>
    <w:rsid w:val="23AD3F39"/>
    <w:rsid w:val="23D5432C"/>
    <w:rsid w:val="23F1591B"/>
    <w:rsid w:val="24051C87"/>
    <w:rsid w:val="24354C4F"/>
    <w:rsid w:val="24470B4A"/>
    <w:rsid w:val="24832ECC"/>
    <w:rsid w:val="248C46D2"/>
    <w:rsid w:val="249B02B0"/>
    <w:rsid w:val="24BE4DD8"/>
    <w:rsid w:val="24DB4E93"/>
    <w:rsid w:val="2509275D"/>
    <w:rsid w:val="250D0121"/>
    <w:rsid w:val="250D22FE"/>
    <w:rsid w:val="25112890"/>
    <w:rsid w:val="25172298"/>
    <w:rsid w:val="251972DF"/>
    <w:rsid w:val="25286633"/>
    <w:rsid w:val="253B4C73"/>
    <w:rsid w:val="254F2A32"/>
    <w:rsid w:val="25672E21"/>
    <w:rsid w:val="256D11CB"/>
    <w:rsid w:val="2572129F"/>
    <w:rsid w:val="25922005"/>
    <w:rsid w:val="25A84F81"/>
    <w:rsid w:val="26017463"/>
    <w:rsid w:val="2620569F"/>
    <w:rsid w:val="26264CA5"/>
    <w:rsid w:val="26367B9D"/>
    <w:rsid w:val="263A13A7"/>
    <w:rsid w:val="264579D4"/>
    <w:rsid w:val="26570D9B"/>
    <w:rsid w:val="265B4A98"/>
    <w:rsid w:val="26680B82"/>
    <w:rsid w:val="267F7F34"/>
    <w:rsid w:val="26A37567"/>
    <w:rsid w:val="26C458D9"/>
    <w:rsid w:val="26C6266E"/>
    <w:rsid w:val="26F96584"/>
    <w:rsid w:val="26FA043B"/>
    <w:rsid w:val="270239BC"/>
    <w:rsid w:val="27270BA0"/>
    <w:rsid w:val="27292897"/>
    <w:rsid w:val="272A512B"/>
    <w:rsid w:val="273057C2"/>
    <w:rsid w:val="2736007B"/>
    <w:rsid w:val="27364029"/>
    <w:rsid w:val="273937B9"/>
    <w:rsid w:val="27485B61"/>
    <w:rsid w:val="274B08D6"/>
    <w:rsid w:val="27572352"/>
    <w:rsid w:val="27A63803"/>
    <w:rsid w:val="27AA66DF"/>
    <w:rsid w:val="27DE54C8"/>
    <w:rsid w:val="27DF5F83"/>
    <w:rsid w:val="28065029"/>
    <w:rsid w:val="28181A49"/>
    <w:rsid w:val="2881192B"/>
    <w:rsid w:val="28A571BF"/>
    <w:rsid w:val="28BA0544"/>
    <w:rsid w:val="28C825D9"/>
    <w:rsid w:val="28CA538C"/>
    <w:rsid w:val="28CB2378"/>
    <w:rsid w:val="28CC1CA9"/>
    <w:rsid w:val="28CF33C4"/>
    <w:rsid w:val="292213A3"/>
    <w:rsid w:val="29244BC3"/>
    <w:rsid w:val="294444A6"/>
    <w:rsid w:val="29502024"/>
    <w:rsid w:val="29626D9C"/>
    <w:rsid w:val="2983444B"/>
    <w:rsid w:val="29AE4DCD"/>
    <w:rsid w:val="29CD7446"/>
    <w:rsid w:val="2A0C4A85"/>
    <w:rsid w:val="2A182384"/>
    <w:rsid w:val="2A471C5B"/>
    <w:rsid w:val="2A47667E"/>
    <w:rsid w:val="2A7D17D9"/>
    <w:rsid w:val="2A997F46"/>
    <w:rsid w:val="2AA720BD"/>
    <w:rsid w:val="2AB23553"/>
    <w:rsid w:val="2AC6544B"/>
    <w:rsid w:val="2AFB2465"/>
    <w:rsid w:val="2B0C5681"/>
    <w:rsid w:val="2B2379C3"/>
    <w:rsid w:val="2B396DA2"/>
    <w:rsid w:val="2B6215F2"/>
    <w:rsid w:val="2BB875F8"/>
    <w:rsid w:val="2BCA7BD5"/>
    <w:rsid w:val="2BEE6654"/>
    <w:rsid w:val="2BF06118"/>
    <w:rsid w:val="2C082643"/>
    <w:rsid w:val="2C09361F"/>
    <w:rsid w:val="2C0B09FB"/>
    <w:rsid w:val="2C5F50E7"/>
    <w:rsid w:val="2C80640C"/>
    <w:rsid w:val="2CAF1E35"/>
    <w:rsid w:val="2CB044A6"/>
    <w:rsid w:val="2CD3475D"/>
    <w:rsid w:val="2CF471CC"/>
    <w:rsid w:val="2D180989"/>
    <w:rsid w:val="2D2B1BF1"/>
    <w:rsid w:val="2D300C2A"/>
    <w:rsid w:val="2D9F4C9A"/>
    <w:rsid w:val="2DB77BDA"/>
    <w:rsid w:val="2DBB19C8"/>
    <w:rsid w:val="2E2A3C72"/>
    <w:rsid w:val="2E756EE4"/>
    <w:rsid w:val="2E7A6780"/>
    <w:rsid w:val="2E903AA6"/>
    <w:rsid w:val="2E990EE5"/>
    <w:rsid w:val="2EA74AB7"/>
    <w:rsid w:val="2EEA3EEB"/>
    <w:rsid w:val="2EFE3990"/>
    <w:rsid w:val="2F3474BC"/>
    <w:rsid w:val="2F376972"/>
    <w:rsid w:val="2F5510E8"/>
    <w:rsid w:val="2F915184"/>
    <w:rsid w:val="2FDB35FD"/>
    <w:rsid w:val="2FDB65AB"/>
    <w:rsid w:val="303655A9"/>
    <w:rsid w:val="30416A11"/>
    <w:rsid w:val="30513795"/>
    <w:rsid w:val="3053208E"/>
    <w:rsid w:val="308356D8"/>
    <w:rsid w:val="3095782D"/>
    <w:rsid w:val="30EB1091"/>
    <w:rsid w:val="30FA2B83"/>
    <w:rsid w:val="31132AF6"/>
    <w:rsid w:val="31435308"/>
    <w:rsid w:val="31490108"/>
    <w:rsid w:val="316E7B6E"/>
    <w:rsid w:val="31777A59"/>
    <w:rsid w:val="31812D76"/>
    <w:rsid w:val="31B43FAE"/>
    <w:rsid w:val="32073DFD"/>
    <w:rsid w:val="3239017C"/>
    <w:rsid w:val="32566F80"/>
    <w:rsid w:val="326233D5"/>
    <w:rsid w:val="326B0EC2"/>
    <w:rsid w:val="326C44C8"/>
    <w:rsid w:val="32BA614A"/>
    <w:rsid w:val="32D1566D"/>
    <w:rsid w:val="32E5345D"/>
    <w:rsid w:val="32EA3EBA"/>
    <w:rsid w:val="330274F1"/>
    <w:rsid w:val="33142F7A"/>
    <w:rsid w:val="334F62FB"/>
    <w:rsid w:val="337335DF"/>
    <w:rsid w:val="337749FD"/>
    <w:rsid w:val="339D73B6"/>
    <w:rsid w:val="33AE4D73"/>
    <w:rsid w:val="33C91820"/>
    <w:rsid w:val="33D86AEF"/>
    <w:rsid w:val="33EC19CF"/>
    <w:rsid w:val="33FB1B8D"/>
    <w:rsid w:val="33FB32EE"/>
    <w:rsid w:val="33FF598D"/>
    <w:rsid w:val="34621545"/>
    <w:rsid w:val="348B0BD6"/>
    <w:rsid w:val="34AA0C12"/>
    <w:rsid w:val="34B2110A"/>
    <w:rsid w:val="34BB131C"/>
    <w:rsid w:val="34C22379"/>
    <w:rsid w:val="34C50876"/>
    <w:rsid w:val="353C6C05"/>
    <w:rsid w:val="355B21DB"/>
    <w:rsid w:val="355E734D"/>
    <w:rsid w:val="35A013B7"/>
    <w:rsid w:val="35C72AF8"/>
    <w:rsid w:val="35D02BB2"/>
    <w:rsid w:val="35E51E53"/>
    <w:rsid w:val="35F6A475"/>
    <w:rsid w:val="364524C4"/>
    <w:rsid w:val="365D549E"/>
    <w:rsid w:val="366521B7"/>
    <w:rsid w:val="36757D1C"/>
    <w:rsid w:val="36826112"/>
    <w:rsid w:val="36A070EC"/>
    <w:rsid w:val="36B42A54"/>
    <w:rsid w:val="36D143C2"/>
    <w:rsid w:val="36F44BA5"/>
    <w:rsid w:val="370C25EC"/>
    <w:rsid w:val="375D5EFF"/>
    <w:rsid w:val="3769177D"/>
    <w:rsid w:val="378C0C0A"/>
    <w:rsid w:val="379530C6"/>
    <w:rsid w:val="37995C56"/>
    <w:rsid w:val="37A02467"/>
    <w:rsid w:val="37AA2A2B"/>
    <w:rsid w:val="37E976EC"/>
    <w:rsid w:val="38007E67"/>
    <w:rsid w:val="380D4B9D"/>
    <w:rsid w:val="38121C1A"/>
    <w:rsid w:val="381A0DF2"/>
    <w:rsid w:val="381D0A3E"/>
    <w:rsid w:val="383C7AAA"/>
    <w:rsid w:val="388C1269"/>
    <w:rsid w:val="38986075"/>
    <w:rsid w:val="38A428D6"/>
    <w:rsid w:val="38AA65E7"/>
    <w:rsid w:val="38B00B27"/>
    <w:rsid w:val="38B4055C"/>
    <w:rsid w:val="38C45D4D"/>
    <w:rsid w:val="38EF702B"/>
    <w:rsid w:val="38FA1B06"/>
    <w:rsid w:val="390846BD"/>
    <w:rsid w:val="394542C6"/>
    <w:rsid w:val="394C2D4E"/>
    <w:rsid w:val="3983203B"/>
    <w:rsid w:val="39A63FD7"/>
    <w:rsid w:val="39BF5F6B"/>
    <w:rsid w:val="39C15FF9"/>
    <w:rsid w:val="39F51765"/>
    <w:rsid w:val="39FF6276"/>
    <w:rsid w:val="3A8B0BD2"/>
    <w:rsid w:val="3AB43A4E"/>
    <w:rsid w:val="3AB914E9"/>
    <w:rsid w:val="3ABE2873"/>
    <w:rsid w:val="3AEB3CFC"/>
    <w:rsid w:val="3B30679B"/>
    <w:rsid w:val="3B7A345D"/>
    <w:rsid w:val="3B9F7C34"/>
    <w:rsid w:val="3BDF562E"/>
    <w:rsid w:val="3BE21CC8"/>
    <w:rsid w:val="3C18525E"/>
    <w:rsid w:val="3C332BE8"/>
    <w:rsid w:val="3C495BA9"/>
    <w:rsid w:val="3C601413"/>
    <w:rsid w:val="3C846DAF"/>
    <w:rsid w:val="3C8A2EAE"/>
    <w:rsid w:val="3CB96983"/>
    <w:rsid w:val="3D1F2F22"/>
    <w:rsid w:val="3D1F799D"/>
    <w:rsid w:val="3D271999"/>
    <w:rsid w:val="3D607867"/>
    <w:rsid w:val="3D7777D0"/>
    <w:rsid w:val="3D811E42"/>
    <w:rsid w:val="3D837D98"/>
    <w:rsid w:val="3D922A13"/>
    <w:rsid w:val="3D9E02C2"/>
    <w:rsid w:val="3DC106F4"/>
    <w:rsid w:val="3E2B3F62"/>
    <w:rsid w:val="3E396A25"/>
    <w:rsid w:val="3E3C0FE6"/>
    <w:rsid w:val="3E4D46A5"/>
    <w:rsid w:val="3E52118C"/>
    <w:rsid w:val="3E91345E"/>
    <w:rsid w:val="3ECC2AD7"/>
    <w:rsid w:val="3EDE5E36"/>
    <w:rsid w:val="3EED02F5"/>
    <w:rsid w:val="3EF43A44"/>
    <w:rsid w:val="3F361EF8"/>
    <w:rsid w:val="3F4C7A99"/>
    <w:rsid w:val="3F5E0CFB"/>
    <w:rsid w:val="3F6820E8"/>
    <w:rsid w:val="3F785E92"/>
    <w:rsid w:val="3F9000D1"/>
    <w:rsid w:val="3FA31F73"/>
    <w:rsid w:val="3FAB6D8E"/>
    <w:rsid w:val="3FB32FC5"/>
    <w:rsid w:val="3FDF0148"/>
    <w:rsid w:val="3FE63E16"/>
    <w:rsid w:val="40252866"/>
    <w:rsid w:val="402F04A0"/>
    <w:rsid w:val="408840AB"/>
    <w:rsid w:val="409509DC"/>
    <w:rsid w:val="409E77BA"/>
    <w:rsid w:val="40A57984"/>
    <w:rsid w:val="40BE6BF1"/>
    <w:rsid w:val="415E2689"/>
    <w:rsid w:val="41643F29"/>
    <w:rsid w:val="41823BD3"/>
    <w:rsid w:val="419E1033"/>
    <w:rsid w:val="41D852BC"/>
    <w:rsid w:val="41ED7AF0"/>
    <w:rsid w:val="41F13BCE"/>
    <w:rsid w:val="41FB072E"/>
    <w:rsid w:val="420348D1"/>
    <w:rsid w:val="42097B6B"/>
    <w:rsid w:val="422D76F8"/>
    <w:rsid w:val="42394329"/>
    <w:rsid w:val="42436F15"/>
    <w:rsid w:val="424400E8"/>
    <w:rsid w:val="42BD7C58"/>
    <w:rsid w:val="42C306F7"/>
    <w:rsid w:val="42C813D6"/>
    <w:rsid w:val="42D00689"/>
    <w:rsid w:val="42E62E31"/>
    <w:rsid w:val="42FB44D6"/>
    <w:rsid w:val="42FC0E4A"/>
    <w:rsid w:val="42FE5507"/>
    <w:rsid w:val="432943E8"/>
    <w:rsid w:val="43373249"/>
    <w:rsid w:val="436B7E50"/>
    <w:rsid w:val="43954197"/>
    <w:rsid w:val="43B82D74"/>
    <w:rsid w:val="43CE2A24"/>
    <w:rsid w:val="43D60DB0"/>
    <w:rsid w:val="43DB6720"/>
    <w:rsid w:val="43E76BE2"/>
    <w:rsid w:val="440627D9"/>
    <w:rsid w:val="44092AA1"/>
    <w:rsid w:val="440C3942"/>
    <w:rsid w:val="44135B78"/>
    <w:rsid w:val="442B0775"/>
    <w:rsid w:val="44406369"/>
    <w:rsid w:val="44556E66"/>
    <w:rsid w:val="448122BC"/>
    <w:rsid w:val="44B03FEF"/>
    <w:rsid w:val="44B10046"/>
    <w:rsid w:val="44DF2AE7"/>
    <w:rsid w:val="44E93244"/>
    <w:rsid w:val="4504546D"/>
    <w:rsid w:val="4515746D"/>
    <w:rsid w:val="4528670D"/>
    <w:rsid w:val="452A5D48"/>
    <w:rsid w:val="455276EB"/>
    <w:rsid w:val="45C32D56"/>
    <w:rsid w:val="45CC78C7"/>
    <w:rsid w:val="45FE7AE7"/>
    <w:rsid w:val="463020CF"/>
    <w:rsid w:val="46373BE9"/>
    <w:rsid w:val="46524D89"/>
    <w:rsid w:val="468A544C"/>
    <w:rsid w:val="468B1BCE"/>
    <w:rsid w:val="46AC19EA"/>
    <w:rsid w:val="46AD6653"/>
    <w:rsid w:val="46B74165"/>
    <w:rsid w:val="46BE7597"/>
    <w:rsid w:val="46CA4FFB"/>
    <w:rsid w:val="46DD6398"/>
    <w:rsid w:val="471B661C"/>
    <w:rsid w:val="472752D8"/>
    <w:rsid w:val="47336BE0"/>
    <w:rsid w:val="47541B92"/>
    <w:rsid w:val="47900390"/>
    <w:rsid w:val="47A348CC"/>
    <w:rsid w:val="47A651C2"/>
    <w:rsid w:val="47B82C9D"/>
    <w:rsid w:val="47F037D9"/>
    <w:rsid w:val="48384B20"/>
    <w:rsid w:val="483940A5"/>
    <w:rsid w:val="489719B6"/>
    <w:rsid w:val="489922A2"/>
    <w:rsid w:val="489E512A"/>
    <w:rsid w:val="48A57EC2"/>
    <w:rsid w:val="48BA25C3"/>
    <w:rsid w:val="48D56883"/>
    <w:rsid w:val="493F2F15"/>
    <w:rsid w:val="49532D21"/>
    <w:rsid w:val="49657F06"/>
    <w:rsid w:val="49764533"/>
    <w:rsid w:val="497C6177"/>
    <w:rsid w:val="49925A51"/>
    <w:rsid w:val="49AB61D0"/>
    <w:rsid w:val="49C41488"/>
    <w:rsid w:val="49FF3F32"/>
    <w:rsid w:val="4A017DCC"/>
    <w:rsid w:val="4A0A565D"/>
    <w:rsid w:val="4A0B01F8"/>
    <w:rsid w:val="4A363203"/>
    <w:rsid w:val="4A363DB5"/>
    <w:rsid w:val="4A623E11"/>
    <w:rsid w:val="4A726792"/>
    <w:rsid w:val="4A7623AC"/>
    <w:rsid w:val="4A766CEB"/>
    <w:rsid w:val="4AA91E37"/>
    <w:rsid w:val="4AC55B2D"/>
    <w:rsid w:val="4B080189"/>
    <w:rsid w:val="4B0F5187"/>
    <w:rsid w:val="4B0F7A7D"/>
    <w:rsid w:val="4B1E68F4"/>
    <w:rsid w:val="4B212B07"/>
    <w:rsid w:val="4B3B2FAC"/>
    <w:rsid w:val="4B5B1DE9"/>
    <w:rsid w:val="4B8B10CA"/>
    <w:rsid w:val="4BA029BD"/>
    <w:rsid w:val="4BAA5015"/>
    <w:rsid w:val="4BB14D2D"/>
    <w:rsid w:val="4BB330D0"/>
    <w:rsid w:val="4BBD259D"/>
    <w:rsid w:val="4BE33A37"/>
    <w:rsid w:val="4BF04B51"/>
    <w:rsid w:val="4C3E2A39"/>
    <w:rsid w:val="4C4E3980"/>
    <w:rsid w:val="4C65207D"/>
    <w:rsid w:val="4C672411"/>
    <w:rsid w:val="4CC004FA"/>
    <w:rsid w:val="4CD27102"/>
    <w:rsid w:val="4CDB41B8"/>
    <w:rsid w:val="4CDD5E4B"/>
    <w:rsid w:val="4CDE0D61"/>
    <w:rsid w:val="4D0A770A"/>
    <w:rsid w:val="4D156FC5"/>
    <w:rsid w:val="4D6D77F9"/>
    <w:rsid w:val="4DA6502A"/>
    <w:rsid w:val="4DA76A63"/>
    <w:rsid w:val="4DC40A29"/>
    <w:rsid w:val="4E0A344B"/>
    <w:rsid w:val="4E6A36F3"/>
    <w:rsid w:val="4E93737E"/>
    <w:rsid w:val="4EA12770"/>
    <w:rsid w:val="4EC046F5"/>
    <w:rsid w:val="4EC93D5C"/>
    <w:rsid w:val="4ECA12B4"/>
    <w:rsid w:val="4EF0641F"/>
    <w:rsid w:val="4EF53B2A"/>
    <w:rsid w:val="4F0F4C4F"/>
    <w:rsid w:val="4F315A8C"/>
    <w:rsid w:val="4F490370"/>
    <w:rsid w:val="4F544D29"/>
    <w:rsid w:val="4F5B7C85"/>
    <w:rsid w:val="4F635298"/>
    <w:rsid w:val="4F9454BF"/>
    <w:rsid w:val="4F9C52B7"/>
    <w:rsid w:val="4FBA411E"/>
    <w:rsid w:val="4FC96B8B"/>
    <w:rsid w:val="4FD563F3"/>
    <w:rsid w:val="4FDA6C8F"/>
    <w:rsid w:val="4FF74967"/>
    <w:rsid w:val="4FFF7151"/>
    <w:rsid w:val="50160650"/>
    <w:rsid w:val="50253FD1"/>
    <w:rsid w:val="502C1819"/>
    <w:rsid w:val="502E1606"/>
    <w:rsid w:val="503E4B73"/>
    <w:rsid w:val="503F546A"/>
    <w:rsid w:val="505A5C1E"/>
    <w:rsid w:val="50813B06"/>
    <w:rsid w:val="508654A4"/>
    <w:rsid w:val="509C25F0"/>
    <w:rsid w:val="50B271A1"/>
    <w:rsid w:val="50C81174"/>
    <w:rsid w:val="51167BAE"/>
    <w:rsid w:val="511C5162"/>
    <w:rsid w:val="513F29B7"/>
    <w:rsid w:val="514A7869"/>
    <w:rsid w:val="517023EE"/>
    <w:rsid w:val="51813D34"/>
    <w:rsid w:val="519A1758"/>
    <w:rsid w:val="51AF1B37"/>
    <w:rsid w:val="51C51E76"/>
    <w:rsid w:val="51CC39AC"/>
    <w:rsid w:val="51E51128"/>
    <w:rsid w:val="522937E0"/>
    <w:rsid w:val="522C3F9D"/>
    <w:rsid w:val="5238713E"/>
    <w:rsid w:val="52D34235"/>
    <w:rsid w:val="53273FB6"/>
    <w:rsid w:val="534B1A77"/>
    <w:rsid w:val="534B7672"/>
    <w:rsid w:val="536C1090"/>
    <w:rsid w:val="53737C03"/>
    <w:rsid w:val="539A6D7C"/>
    <w:rsid w:val="539E5D3D"/>
    <w:rsid w:val="53A423D8"/>
    <w:rsid w:val="53EF5A68"/>
    <w:rsid w:val="540079CA"/>
    <w:rsid w:val="54027532"/>
    <w:rsid w:val="540C4F60"/>
    <w:rsid w:val="5419059C"/>
    <w:rsid w:val="54263A70"/>
    <w:rsid w:val="54501B0D"/>
    <w:rsid w:val="545F479A"/>
    <w:rsid w:val="546D5136"/>
    <w:rsid w:val="54777114"/>
    <w:rsid w:val="54872B15"/>
    <w:rsid w:val="54915A97"/>
    <w:rsid w:val="549D6A7C"/>
    <w:rsid w:val="54C74AA6"/>
    <w:rsid w:val="54CE47AF"/>
    <w:rsid w:val="54D359CD"/>
    <w:rsid w:val="54F27669"/>
    <w:rsid w:val="553A5D2A"/>
    <w:rsid w:val="557425CC"/>
    <w:rsid w:val="5587746A"/>
    <w:rsid w:val="55B04437"/>
    <w:rsid w:val="55F01018"/>
    <w:rsid w:val="563665FD"/>
    <w:rsid w:val="56784506"/>
    <w:rsid w:val="56A936AC"/>
    <w:rsid w:val="56BA1C1B"/>
    <w:rsid w:val="56C83A42"/>
    <w:rsid w:val="56FA6D9E"/>
    <w:rsid w:val="57623859"/>
    <w:rsid w:val="5767274F"/>
    <w:rsid w:val="578910C6"/>
    <w:rsid w:val="579E3DE8"/>
    <w:rsid w:val="57A17216"/>
    <w:rsid w:val="57CD043B"/>
    <w:rsid w:val="57D216E2"/>
    <w:rsid w:val="57D24171"/>
    <w:rsid w:val="57D60097"/>
    <w:rsid w:val="57D66949"/>
    <w:rsid w:val="57DC6A48"/>
    <w:rsid w:val="57E46157"/>
    <w:rsid w:val="58156F93"/>
    <w:rsid w:val="5827352B"/>
    <w:rsid w:val="585F2BA2"/>
    <w:rsid w:val="586056D5"/>
    <w:rsid w:val="587D6570"/>
    <w:rsid w:val="58826D4F"/>
    <w:rsid w:val="589128D7"/>
    <w:rsid w:val="58A65CBC"/>
    <w:rsid w:val="58B75BC6"/>
    <w:rsid w:val="58D5598B"/>
    <w:rsid w:val="58DA3893"/>
    <w:rsid w:val="58DF0B09"/>
    <w:rsid w:val="58FE149E"/>
    <w:rsid w:val="58FF682C"/>
    <w:rsid w:val="59074942"/>
    <w:rsid w:val="590B5F2B"/>
    <w:rsid w:val="591344BC"/>
    <w:rsid w:val="59362B30"/>
    <w:rsid w:val="593E2DF9"/>
    <w:rsid w:val="59467371"/>
    <w:rsid w:val="596E4C51"/>
    <w:rsid w:val="599B3797"/>
    <w:rsid w:val="59A71B88"/>
    <w:rsid w:val="59AE04C2"/>
    <w:rsid w:val="59AE4E80"/>
    <w:rsid w:val="59B82FCF"/>
    <w:rsid w:val="59E86C16"/>
    <w:rsid w:val="59ED2DB1"/>
    <w:rsid w:val="59F8019B"/>
    <w:rsid w:val="5A0278DF"/>
    <w:rsid w:val="5A190E8E"/>
    <w:rsid w:val="5A23356B"/>
    <w:rsid w:val="5A487E05"/>
    <w:rsid w:val="5A53173B"/>
    <w:rsid w:val="5A943606"/>
    <w:rsid w:val="5AAA653F"/>
    <w:rsid w:val="5AB90D1D"/>
    <w:rsid w:val="5ACE62ED"/>
    <w:rsid w:val="5B1E17B1"/>
    <w:rsid w:val="5B2A40D0"/>
    <w:rsid w:val="5B307ABF"/>
    <w:rsid w:val="5B627C79"/>
    <w:rsid w:val="5B651940"/>
    <w:rsid w:val="5B7752B2"/>
    <w:rsid w:val="5B7E082A"/>
    <w:rsid w:val="5B9D3C91"/>
    <w:rsid w:val="5C284E5F"/>
    <w:rsid w:val="5C3C237D"/>
    <w:rsid w:val="5C513549"/>
    <w:rsid w:val="5C6E6E89"/>
    <w:rsid w:val="5C705231"/>
    <w:rsid w:val="5CA55B5B"/>
    <w:rsid w:val="5CAA1701"/>
    <w:rsid w:val="5CC92078"/>
    <w:rsid w:val="5CD50D73"/>
    <w:rsid w:val="5CEC60C7"/>
    <w:rsid w:val="5CF33B63"/>
    <w:rsid w:val="5D323CF7"/>
    <w:rsid w:val="5D5A3682"/>
    <w:rsid w:val="5D647EB1"/>
    <w:rsid w:val="5D9756B6"/>
    <w:rsid w:val="5D9D20E1"/>
    <w:rsid w:val="5DAB6C09"/>
    <w:rsid w:val="5DB47DAE"/>
    <w:rsid w:val="5DD62B9F"/>
    <w:rsid w:val="5DF529F6"/>
    <w:rsid w:val="5DFA4DF5"/>
    <w:rsid w:val="5DFD04B0"/>
    <w:rsid w:val="5E335CEB"/>
    <w:rsid w:val="5E495643"/>
    <w:rsid w:val="5E5B734D"/>
    <w:rsid w:val="5E88771E"/>
    <w:rsid w:val="5EE50805"/>
    <w:rsid w:val="5EF23D62"/>
    <w:rsid w:val="5F542679"/>
    <w:rsid w:val="5F683DAD"/>
    <w:rsid w:val="5F6906CA"/>
    <w:rsid w:val="5F721E93"/>
    <w:rsid w:val="5F7B0384"/>
    <w:rsid w:val="5FBD661B"/>
    <w:rsid w:val="5FC82634"/>
    <w:rsid w:val="5FCE4DAE"/>
    <w:rsid w:val="600E5982"/>
    <w:rsid w:val="60187C5D"/>
    <w:rsid w:val="60192A4F"/>
    <w:rsid w:val="60196D73"/>
    <w:rsid w:val="602559E8"/>
    <w:rsid w:val="605F5644"/>
    <w:rsid w:val="607A7BA9"/>
    <w:rsid w:val="60952901"/>
    <w:rsid w:val="60A769D5"/>
    <w:rsid w:val="60AA1B42"/>
    <w:rsid w:val="60BA6E11"/>
    <w:rsid w:val="60CE5CE0"/>
    <w:rsid w:val="610D1DA7"/>
    <w:rsid w:val="610E08BB"/>
    <w:rsid w:val="610F2538"/>
    <w:rsid w:val="611A26C4"/>
    <w:rsid w:val="61236265"/>
    <w:rsid w:val="61424A9B"/>
    <w:rsid w:val="61487C66"/>
    <w:rsid w:val="615D2ABF"/>
    <w:rsid w:val="616E2687"/>
    <w:rsid w:val="61892938"/>
    <w:rsid w:val="61956448"/>
    <w:rsid w:val="61AD6848"/>
    <w:rsid w:val="61B22E46"/>
    <w:rsid w:val="61CD3E9E"/>
    <w:rsid w:val="61CE3444"/>
    <w:rsid w:val="61EB6F89"/>
    <w:rsid w:val="61F914DB"/>
    <w:rsid w:val="61FB1170"/>
    <w:rsid w:val="62340F33"/>
    <w:rsid w:val="62385B9D"/>
    <w:rsid w:val="62402CDD"/>
    <w:rsid w:val="624D7F7B"/>
    <w:rsid w:val="628E5793"/>
    <w:rsid w:val="62A24636"/>
    <w:rsid w:val="62AB50D5"/>
    <w:rsid w:val="62AB618D"/>
    <w:rsid w:val="62E10125"/>
    <w:rsid w:val="62E369AA"/>
    <w:rsid w:val="62E927C6"/>
    <w:rsid w:val="630A568F"/>
    <w:rsid w:val="63152ED4"/>
    <w:rsid w:val="631D691C"/>
    <w:rsid w:val="632A078C"/>
    <w:rsid w:val="63777206"/>
    <w:rsid w:val="637A2200"/>
    <w:rsid w:val="638915AD"/>
    <w:rsid w:val="63B10689"/>
    <w:rsid w:val="63B774D5"/>
    <w:rsid w:val="63FA115E"/>
    <w:rsid w:val="640A1FA5"/>
    <w:rsid w:val="64771B6A"/>
    <w:rsid w:val="648E755D"/>
    <w:rsid w:val="64CE3708"/>
    <w:rsid w:val="64DB4C47"/>
    <w:rsid w:val="64DE04C9"/>
    <w:rsid w:val="64EE150A"/>
    <w:rsid w:val="64FC6714"/>
    <w:rsid w:val="65005F10"/>
    <w:rsid w:val="65076735"/>
    <w:rsid w:val="65096DD2"/>
    <w:rsid w:val="65415492"/>
    <w:rsid w:val="65736522"/>
    <w:rsid w:val="65AB2B63"/>
    <w:rsid w:val="65BD4108"/>
    <w:rsid w:val="65C411ED"/>
    <w:rsid w:val="65CA13E4"/>
    <w:rsid w:val="65CB583A"/>
    <w:rsid w:val="65D02A4F"/>
    <w:rsid w:val="65EE47FE"/>
    <w:rsid w:val="65F46315"/>
    <w:rsid w:val="660233C9"/>
    <w:rsid w:val="662D29B4"/>
    <w:rsid w:val="663A5F3D"/>
    <w:rsid w:val="666E275C"/>
    <w:rsid w:val="669F0ADA"/>
    <w:rsid w:val="66AB017E"/>
    <w:rsid w:val="67053766"/>
    <w:rsid w:val="6746409B"/>
    <w:rsid w:val="675D5863"/>
    <w:rsid w:val="67643C12"/>
    <w:rsid w:val="67900263"/>
    <w:rsid w:val="679E3210"/>
    <w:rsid w:val="67B71080"/>
    <w:rsid w:val="67EA3A94"/>
    <w:rsid w:val="67FB2AE9"/>
    <w:rsid w:val="680A7FD6"/>
    <w:rsid w:val="68312EAF"/>
    <w:rsid w:val="683507BE"/>
    <w:rsid w:val="68451127"/>
    <w:rsid w:val="684C12C1"/>
    <w:rsid w:val="685F0CD2"/>
    <w:rsid w:val="68692E91"/>
    <w:rsid w:val="68692F69"/>
    <w:rsid w:val="689F5BD1"/>
    <w:rsid w:val="68AC3D57"/>
    <w:rsid w:val="68B63CD3"/>
    <w:rsid w:val="68CF7C43"/>
    <w:rsid w:val="68DF0EAB"/>
    <w:rsid w:val="69016A08"/>
    <w:rsid w:val="69D866C6"/>
    <w:rsid w:val="69F861E6"/>
    <w:rsid w:val="6A21309F"/>
    <w:rsid w:val="6A3D338C"/>
    <w:rsid w:val="6A454B85"/>
    <w:rsid w:val="6A482AAF"/>
    <w:rsid w:val="6A941E18"/>
    <w:rsid w:val="6A9D0F41"/>
    <w:rsid w:val="6AA113ED"/>
    <w:rsid w:val="6ACB3B1B"/>
    <w:rsid w:val="6AD42C9D"/>
    <w:rsid w:val="6AD76461"/>
    <w:rsid w:val="6AED1E34"/>
    <w:rsid w:val="6B0E62E1"/>
    <w:rsid w:val="6B2166BD"/>
    <w:rsid w:val="6B41702A"/>
    <w:rsid w:val="6B4E5A26"/>
    <w:rsid w:val="6B54748C"/>
    <w:rsid w:val="6B57179B"/>
    <w:rsid w:val="6B5C3188"/>
    <w:rsid w:val="6B617384"/>
    <w:rsid w:val="6B7B3DBF"/>
    <w:rsid w:val="6B882545"/>
    <w:rsid w:val="6BBA42EA"/>
    <w:rsid w:val="6BBE2563"/>
    <w:rsid w:val="6BF504BB"/>
    <w:rsid w:val="6BFC4560"/>
    <w:rsid w:val="6C023ED5"/>
    <w:rsid w:val="6C1437AA"/>
    <w:rsid w:val="6C851D38"/>
    <w:rsid w:val="6C8978CF"/>
    <w:rsid w:val="6C9169FC"/>
    <w:rsid w:val="6CCA3F84"/>
    <w:rsid w:val="6CE35E9B"/>
    <w:rsid w:val="6CF11399"/>
    <w:rsid w:val="6CF82CD9"/>
    <w:rsid w:val="6D6502CE"/>
    <w:rsid w:val="6D9240B6"/>
    <w:rsid w:val="6DB419BD"/>
    <w:rsid w:val="6E0E1ECC"/>
    <w:rsid w:val="6E2957FB"/>
    <w:rsid w:val="6E6D51F2"/>
    <w:rsid w:val="6E7F2C6B"/>
    <w:rsid w:val="6EA2541F"/>
    <w:rsid w:val="6EAE3E73"/>
    <w:rsid w:val="6EC25185"/>
    <w:rsid w:val="6ED00439"/>
    <w:rsid w:val="6EF62EC0"/>
    <w:rsid w:val="6EFC5550"/>
    <w:rsid w:val="6F0D2199"/>
    <w:rsid w:val="6F0F7DCB"/>
    <w:rsid w:val="6F284C65"/>
    <w:rsid w:val="6F2F2F24"/>
    <w:rsid w:val="6F312DD8"/>
    <w:rsid w:val="6F421919"/>
    <w:rsid w:val="6F735E73"/>
    <w:rsid w:val="6F8D13C7"/>
    <w:rsid w:val="6FC3526C"/>
    <w:rsid w:val="6FC72A57"/>
    <w:rsid w:val="6FE20A31"/>
    <w:rsid w:val="6FE87B87"/>
    <w:rsid w:val="6FF7297A"/>
    <w:rsid w:val="6FFE1AE2"/>
    <w:rsid w:val="700F12CD"/>
    <w:rsid w:val="701428CE"/>
    <w:rsid w:val="702B61B3"/>
    <w:rsid w:val="70327E1E"/>
    <w:rsid w:val="704F7779"/>
    <w:rsid w:val="708F4923"/>
    <w:rsid w:val="70B25961"/>
    <w:rsid w:val="70B75B8D"/>
    <w:rsid w:val="70BF6591"/>
    <w:rsid w:val="711A18D2"/>
    <w:rsid w:val="712966A9"/>
    <w:rsid w:val="714D6817"/>
    <w:rsid w:val="71524046"/>
    <w:rsid w:val="71533ADD"/>
    <w:rsid w:val="717D1E65"/>
    <w:rsid w:val="71A66CC4"/>
    <w:rsid w:val="71AB2456"/>
    <w:rsid w:val="720555E9"/>
    <w:rsid w:val="72193393"/>
    <w:rsid w:val="72331CBD"/>
    <w:rsid w:val="724701E1"/>
    <w:rsid w:val="725255EA"/>
    <w:rsid w:val="72BF19FC"/>
    <w:rsid w:val="72D9434B"/>
    <w:rsid w:val="72F82052"/>
    <w:rsid w:val="730C26C5"/>
    <w:rsid w:val="733266A8"/>
    <w:rsid w:val="73495B13"/>
    <w:rsid w:val="735815B6"/>
    <w:rsid w:val="738A7EAD"/>
    <w:rsid w:val="739D7139"/>
    <w:rsid w:val="73D52A30"/>
    <w:rsid w:val="73DD0E3C"/>
    <w:rsid w:val="74236B2B"/>
    <w:rsid w:val="74455D52"/>
    <w:rsid w:val="74531D63"/>
    <w:rsid w:val="747760CD"/>
    <w:rsid w:val="748F7B9E"/>
    <w:rsid w:val="74A84EFE"/>
    <w:rsid w:val="750A62DD"/>
    <w:rsid w:val="75277DE4"/>
    <w:rsid w:val="75322466"/>
    <w:rsid w:val="7564418B"/>
    <w:rsid w:val="757440DB"/>
    <w:rsid w:val="757A05DB"/>
    <w:rsid w:val="75816E28"/>
    <w:rsid w:val="759A5286"/>
    <w:rsid w:val="75ED33C8"/>
    <w:rsid w:val="76004CA4"/>
    <w:rsid w:val="76425EE2"/>
    <w:rsid w:val="7653072E"/>
    <w:rsid w:val="766E623E"/>
    <w:rsid w:val="76822B21"/>
    <w:rsid w:val="768C5471"/>
    <w:rsid w:val="769D58AC"/>
    <w:rsid w:val="76AA4B74"/>
    <w:rsid w:val="76B37A26"/>
    <w:rsid w:val="76B66965"/>
    <w:rsid w:val="76CA5D5C"/>
    <w:rsid w:val="77074F83"/>
    <w:rsid w:val="771B4819"/>
    <w:rsid w:val="77220BD7"/>
    <w:rsid w:val="77414AC2"/>
    <w:rsid w:val="7748610F"/>
    <w:rsid w:val="775A38CC"/>
    <w:rsid w:val="776F67CD"/>
    <w:rsid w:val="77722FE6"/>
    <w:rsid w:val="777D2FED"/>
    <w:rsid w:val="7782689D"/>
    <w:rsid w:val="77976DFF"/>
    <w:rsid w:val="77A05771"/>
    <w:rsid w:val="77C21737"/>
    <w:rsid w:val="77E13603"/>
    <w:rsid w:val="77E77201"/>
    <w:rsid w:val="78116B04"/>
    <w:rsid w:val="78315D73"/>
    <w:rsid w:val="78336A8F"/>
    <w:rsid w:val="78355045"/>
    <w:rsid w:val="783D3E40"/>
    <w:rsid w:val="78716670"/>
    <w:rsid w:val="78965C28"/>
    <w:rsid w:val="78D953FA"/>
    <w:rsid w:val="78F37672"/>
    <w:rsid w:val="79345A3C"/>
    <w:rsid w:val="79372DC5"/>
    <w:rsid w:val="79374D5A"/>
    <w:rsid w:val="793A2AF8"/>
    <w:rsid w:val="793B28A6"/>
    <w:rsid w:val="796E5F2A"/>
    <w:rsid w:val="7974588C"/>
    <w:rsid w:val="79933EDD"/>
    <w:rsid w:val="799776C8"/>
    <w:rsid w:val="79A53549"/>
    <w:rsid w:val="79AB350C"/>
    <w:rsid w:val="79E403F0"/>
    <w:rsid w:val="79EB5BE8"/>
    <w:rsid w:val="79F227D0"/>
    <w:rsid w:val="79FC6EBF"/>
    <w:rsid w:val="7A065A32"/>
    <w:rsid w:val="7A481500"/>
    <w:rsid w:val="7A587B79"/>
    <w:rsid w:val="7A99482C"/>
    <w:rsid w:val="7ACC2E74"/>
    <w:rsid w:val="7ACC428D"/>
    <w:rsid w:val="7AF5295B"/>
    <w:rsid w:val="7B1607CA"/>
    <w:rsid w:val="7B3E05B4"/>
    <w:rsid w:val="7B6056F6"/>
    <w:rsid w:val="7B6E6A55"/>
    <w:rsid w:val="7B7415CD"/>
    <w:rsid w:val="7B7E586C"/>
    <w:rsid w:val="7B8B0C38"/>
    <w:rsid w:val="7B9850A6"/>
    <w:rsid w:val="7BE032DA"/>
    <w:rsid w:val="7BF049EB"/>
    <w:rsid w:val="7C146461"/>
    <w:rsid w:val="7C221215"/>
    <w:rsid w:val="7C377446"/>
    <w:rsid w:val="7C5A6DFB"/>
    <w:rsid w:val="7C6E35CD"/>
    <w:rsid w:val="7CA00D26"/>
    <w:rsid w:val="7CB623F6"/>
    <w:rsid w:val="7CC30BB4"/>
    <w:rsid w:val="7CD12BEF"/>
    <w:rsid w:val="7CD9506D"/>
    <w:rsid w:val="7D016D5F"/>
    <w:rsid w:val="7D076221"/>
    <w:rsid w:val="7D144EB5"/>
    <w:rsid w:val="7D6D2AF7"/>
    <w:rsid w:val="7D713FBB"/>
    <w:rsid w:val="7D8A60E2"/>
    <w:rsid w:val="7E0A5B14"/>
    <w:rsid w:val="7E121FB6"/>
    <w:rsid w:val="7E2205D3"/>
    <w:rsid w:val="7E383FD0"/>
    <w:rsid w:val="7E385C8F"/>
    <w:rsid w:val="7E3C6F26"/>
    <w:rsid w:val="7E4951DD"/>
    <w:rsid w:val="7E5B31B8"/>
    <w:rsid w:val="7E6A484C"/>
    <w:rsid w:val="7E8C1878"/>
    <w:rsid w:val="7E9D6F63"/>
    <w:rsid w:val="7EEB718E"/>
    <w:rsid w:val="7EFF380E"/>
    <w:rsid w:val="7F053BD5"/>
    <w:rsid w:val="7F47353B"/>
    <w:rsid w:val="7F555E1A"/>
    <w:rsid w:val="7F680ECA"/>
    <w:rsid w:val="7FAA326A"/>
    <w:rsid w:val="7FB76A3C"/>
    <w:rsid w:val="7FBF449C"/>
    <w:rsid w:val="7FD103CF"/>
    <w:rsid w:val="7FD6732C"/>
    <w:rsid w:val="7FE42AA2"/>
    <w:rsid w:val="7FEE41AB"/>
    <w:rsid w:val="7FFB67C7"/>
    <w:rsid w:val="A8FBB4DB"/>
    <w:rsid w:val="AB7B1409"/>
    <w:rsid w:val="EB9F7A9A"/>
    <w:rsid w:val="FF69A80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9"/>
    <w:qFormat/>
    <w:uiPriority w:val="9"/>
    <w:pPr>
      <w:spacing w:line="590" w:lineRule="exact"/>
      <w:ind w:firstLine="880" w:firstLineChars="200"/>
      <w:outlineLvl w:val="0"/>
    </w:pPr>
    <w:rPr>
      <w:rFonts w:ascii="黑体" w:hAnsi="黑体" w:eastAsia="黑体"/>
      <w:bCs/>
      <w:kern w:val="44"/>
      <w:sz w:val="32"/>
      <w:szCs w:val="44"/>
    </w:rPr>
  </w:style>
  <w:style w:type="paragraph" w:styleId="5">
    <w:name w:val="heading 2"/>
    <w:basedOn w:val="1"/>
    <w:next w:val="1"/>
    <w:unhideWhenUsed/>
    <w:qFormat/>
    <w:uiPriority w:val="9"/>
    <w:pPr>
      <w:spacing w:line="590" w:lineRule="exact"/>
      <w:ind w:firstLine="880" w:firstLineChars="200"/>
      <w:jc w:val="left"/>
      <w:outlineLvl w:val="1"/>
    </w:pPr>
    <w:rPr>
      <w:rFonts w:hint="eastAsia" w:ascii="楷体_GB2312" w:hAnsi="楷体_GB2312" w:eastAsia="楷体_GB2312" w:cs="Times New Roman"/>
      <w:kern w:val="0"/>
      <w:sz w:val="32"/>
      <w:szCs w:val="36"/>
    </w:rPr>
  </w:style>
  <w:style w:type="paragraph" w:styleId="6">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7">
    <w:name w:val="heading 4"/>
    <w:basedOn w:val="1"/>
    <w:next w:val="1"/>
    <w:qFormat/>
    <w:uiPriority w:val="0"/>
    <w:pPr>
      <w:adjustRightInd w:val="0"/>
      <w:snapToGrid w:val="0"/>
      <w:spacing w:after="50" w:afterLines="50" w:line="400" w:lineRule="exact"/>
      <w:outlineLvl w:val="3"/>
    </w:pPr>
    <w:rPr>
      <w:rFonts w:ascii="Times New Roman" w:hAnsi="Times New Roman" w:eastAsia="宋体" w:cs="Times New Roman"/>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customStyle="1" w:styleId="2">
    <w:name w:val="BodyText1I2"/>
    <w:basedOn w:val="3"/>
    <w:next w:val="1"/>
    <w:qFormat/>
    <w:uiPriority w:val="0"/>
    <w:pPr>
      <w:spacing w:after="120"/>
      <w:ind w:left="420" w:leftChars="200" w:firstLine="420" w:firstLineChars="200"/>
      <w:jc w:val="both"/>
      <w:textAlignment w:val="baseline"/>
    </w:pPr>
    <w:rPr>
      <w:rFonts w:ascii="Calibri" w:hAnsi="Calibri" w:eastAsia="宋体" w:cs="Times New Roman"/>
      <w:kern w:val="2"/>
      <w:sz w:val="21"/>
      <w:szCs w:val="22"/>
      <w:lang w:val="en-US" w:eastAsia="zh-CN" w:bidi="ar-SA"/>
    </w:rPr>
  </w:style>
  <w:style w:type="paragraph" w:customStyle="1" w:styleId="3">
    <w:name w:val="BodyTextIndent"/>
    <w:basedOn w:val="1"/>
    <w:qFormat/>
    <w:uiPriority w:val="0"/>
    <w:pPr>
      <w:spacing w:after="120"/>
      <w:ind w:left="200" w:leftChars="200"/>
      <w:textAlignment w:val="baseline"/>
    </w:pPr>
  </w:style>
  <w:style w:type="paragraph" w:styleId="8">
    <w:name w:val="Normal Indent"/>
    <w:basedOn w:val="1"/>
    <w:next w:val="1"/>
    <w:qFormat/>
    <w:uiPriority w:val="0"/>
    <w:pPr>
      <w:ind w:firstLine="420" w:firstLineChars="200"/>
    </w:pPr>
  </w:style>
  <w:style w:type="paragraph" w:styleId="9">
    <w:name w:val="annotation text"/>
    <w:basedOn w:val="1"/>
    <w:link w:val="33"/>
    <w:semiHidden/>
    <w:unhideWhenUsed/>
    <w:qFormat/>
    <w:uiPriority w:val="99"/>
    <w:pPr>
      <w:jc w:val="left"/>
    </w:pPr>
  </w:style>
  <w:style w:type="paragraph" w:styleId="10">
    <w:name w:val="Body Text"/>
    <w:basedOn w:val="1"/>
    <w:next w:val="1"/>
    <w:qFormat/>
    <w:uiPriority w:val="1"/>
    <w:pPr>
      <w:ind w:left="119"/>
    </w:pPr>
    <w:rPr>
      <w:rFonts w:ascii="仿宋_GB2312" w:hAnsi="仿宋_GB2312" w:eastAsia="仿宋_GB2312" w:cs="Times New Roman"/>
      <w:sz w:val="30"/>
      <w:szCs w:val="30"/>
      <w:lang w:eastAsia="en-US"/>
    </w:rPr>
  </w:style>
  <w:style w:type="paragraph" w:styleId="11">
    <w:name w:val="toc 3"/>
    <w:basedOn w:val="1"/>
    <w:next w:val="1"/>
    <w:unhideWhenUsed/>
    <w:qFormat/>
    <w:uiPriority w:val="39"/>
    <w:pPr>
      <w:widowControl/>
      <w:spacing w:after="100" w:line="276" w:lineRule="auto"/>
      <w:ind w:left="440"/>
      <w:jc w:val="left"/>
    </w:pPr>
    <w:rPr>
      <w:kern w:val="0"/>
      <w:sz w:val="22"/>
    </w:rPr>
  </w:style>
  <w:style w:type="paragraph" w:styleId="12">
    <w:name w:val="Balloon Text"/>
    <w:basedOn w:val="1"/>
    <w:link w:val="31"/>
    <w:semiHidden/>
    <w:unhideWhenUsed/>
    <w:qFormat/>
    <w:uiPriority w:val="99"/>
    <w:rPr>
      <w:sz w:val="18"/>
      <w:szCs w:val="18"/>
    </w:rPr>
  </w:style>
  <w:style w:type="paragraph" w:styleId="13">
    <w:name w:val="footer"/>
    <w:basedOn w:val="1"/>
    <w:next w:val="14"/>
    <w:link w:val="28"/>
    <w:unhideWhenUsed/>
    <w:qFormat/>
    <w:uiPriority w:val="99"/>
    <w:pPr>
      <w:tabs>
        <w:tab w:val="center" w:pos="4153"/>
        <w:tab w:val="right" w:pos="8306"/>
      </w:tabs>
      <w:snapToGrid w:val="0"/>
      <w:jc w:val="left"/>
    </w:pPr>
    <w:rPr>
      <w:sz w:val="18"/>
      <w:szCs w:val="18"/>
    </w:rPr>
  </w:style>
  <w:style w:type="paragraph" w:styleId="14">
    <w:name w:val="Normal (Web)"/>
    <w:basedOn w:val="1"/>
    <w:next w:val="13"/>
    <w:semiHidden/>
    <w:unhideWhenUsed/>
    <w:qFormat/>
    <w:uiPriority w:val="99"/>
    <w:pPr>
      <w:spacing w:before="0" w:beforeAutospacing="1" w:after="0" w:afterAutospacing="1"/>
      <w:ind w:left="0" w:right="0"/>
      <w:jc w:val="left"/>
    </w:pPr>
    <w:rPr>
      <w:kern w:val="0"/>
      <w:sz w:val="24"/>
      <w:lang w:val="en-US" w:eastAsia="zh-CN" w:bidi="ar"/>
    </w:rPr>
  </w:style>
  <w:style w:type="paragraph" w:styleId="15">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spacing w:line="540" w:lineRule="exact"/>
    </w:pPr>
    <w:rPr>
      <w:rFonts w:ascii="Times New Roman" w:hAnsi="Times New Roman" w:eastAsia="黑体" w:cs="Times New Roman"/>
      <w:sz w:val="28"/>
      <w:szCs w:val="24"/>
    </w:rPr>
  </w:style>
  <w:style w:type="paragraph" w:styleId="17">
    <w:name w:val="toc 2"/>
    <w:basedOn w:val="1"/>
    <w:next w:val="1"/>
    <w:qFormat/>
    <w:uiPriority w:val="39"/>
    <w:pPr>
      <w:spacing w:line="540" w:lineRule="exact"/>
      <w:ind w:left="420" w:leftChars="200"/>
    </w:pPr>
    <w:rPr>
      <w:rFonts w:ascii="Times New Roman" w:hAnsi="Times New Roman" w:eastAsia="楷体" w:cs="Times New Roman"/>
      <w:sz w:val="28"/>
      <w:szCs w:val="24"/>
    </w:rPr>
  </w:style>
  <w:style w:type="paragraph" w:styleId="18">
    <w:name w:val="annotation subject"/>
    <w:basedOn w:val="9"/>
    <w:next w:val="9"/>
    <w:link w:val="34"/>
    <w:semiHidden/>
    <w:unhideWhenUsed/>
    <w:qFormat/>
    <w:uiPriority w:val="99"/>
    <w:rPr>
      <w:b/>
      <w:bCs/>
    </w:rPr>
  </w:style>
  <w:style w:type="table" w:styleId="20">
    <w:name w:val="Table Grid"/>
    <w:basedOn w:val="1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2">
    <w:name w:val="page number"/>
    <w:basedOn w:val="21"/>
    <w:qFormat/>
    <w:uiPriority w:val="0"/>
  </w:style>
  <w:style w:type="character" w:styleId="23">
    <w:name w:val="Emphasis"/>
    <w:basedOn w:val="21"/>
    <w:qFormat/>
    <w:uiPriority w:val="20"/>
    <w:rPr>
      <w:i/>
    </w:rPr>
  </w:style>
  <w:style w:type="character" w:styleId="24">
    <w:name w:val="Hyperlink"/>
    <w:unhideWhenUsed/>
    <w:qFormat/>
    <w:uiPriority w:val="99"/>
    <w:rPr>
      <w:color w:val="0000FF"/>
      <w:u w:val="single"/>
    </w:rPr>
  </w:style>
  <w:style w:type="character" w:styleId="25">
    <w:name w:val="annotation reference"/>
    <w:basedOn w:val="21"/>
    <w:semiHidden/>
    <w:unhideWhenUsed/>
    <w:qFormat/>
    <w:uiPriority w:val="99"/>
    <w:rPr>
      <w:sz w:val="21"/>
      <w:szCs w:val="21"/>
    </w:rPr>
  </w:style>
  <w:style w:type="paragraph" w:customStyle="1" w:styleId="26">
    <w:name w:val="样式 左 行距: 最小值 28 磅"/>
    <w:basedOn w:val="1"/>
    <w:qFormat/>
    <w:uiPriority w:val="0"/>
    <w:pPr>
      <w:shd w:val="clear" w:color="auto" w:fill="FFFFFF"/>
      <w:spacing w:line="360" w:lineRule="atLeast"/>
    </w:pPr>
    <w:rPr>
      <w:rFonts w:ascii="Calibri" w:hAnsi="Calibri" w:eastAsia="仿宋_GB2312"/>
      <w:sz w:val="32"/>
      <w:szCs w:val="20"/>
    </w:rPr>
  </w:style>
  <w:style w:type="character" w:customStyle="1" w:styleId="27">
    <w:name w:val="页眉 字符"/>
    <w:basedOn w:val="21"/>
    <w:link w:val="15"/>
    <w:qFormat/>
    <w:uiPriority w:val="99"/>
    <w:rPr>
      <w:sz w:val="18"/>
      <w:szCs w:val="18"/>
    </w:rPr>
  </w:style>
  <w:style w:type="character" w:customStyle="1" w:styleId="28">
    <w:name w:val="页脚 字符"/>
    <w:basedOn w:val="21"/>
    <w:link w:val="13"/>
    <w:qFormat/>
    <w:uiPriority w:val="99"/>
    <w:rPr>
      <w:sz w:val="18"/>
      <w:szCs w:val="18"/>
    </w:rPr>
  </w:style>
  <w:style w:type="character" w:customStyle="1" w:styleId="29">
    <w:name w:val="标题 1 字符"/>
    <w:basedOn w:val="21"/>
    <w:link w:val="4"/>
    <w:qFormat/>
    <w:uiPriority w:val="9"/>
    <w:rPr>
      <w:rFonts w:ascii="黑体" w:hAnsi="黑体" w:eastAsia="黑体"/>
      <w:bCs/>
      <w:kern w:val="44"/>
      <w:sz w:val="32"/>
      <w:szCs w:val="44"/>
    </w:rPr>
  </w:style>
  <w:style w:type="paragraph" w:customStyle="1" w:styleId="30">
    <w:name w:val="TOC 标题1"/>
    <w:basedOn w:val="4"/>
    <w:next w:val="1"/>
    <w:semiHidden/>
    <w:unhideWhenUsed/>
    <w:qFormat/>
    <w:uiPriority w:val="39"/>
    <w:pPr>
      <w:widowControl/>
      <w:spacing w:before="48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1">
    <w:name w:val="批注框文本 字符"/>
    <w:basedOn w:val="21"/>
    <w:link w:val="12"/>
    <w:semiHidden/>
    <w:qFormat/>
    <w:uiPriority w:val="99"/>
    <w:rPr>
      <w:sz w:val="18"/>
      <w:szCs w:val="18"/>
    </w:rPr>
  </w:style>
  <w:style w:type="paragraph" w:styleId="32">
    <w:name w:val="List Paragraph"/>
    <w:basedOn w:val="1"/>
    <w:qFormat/>
    <w:uiPriority w:val="34"/>
    <w:pPr>
      <w:ind w:firstLine="420" w:firstLineChars="200"/>
    </w:pPr>
  </w:style>
  <w:style w:type="character" w:customStyle="1" w:styleId="33">
    <w:name w:val="批注文字 字符"/>
    <w:basedOn w:val="21"/>
    <w:link w:val="9"/>
    <w:semiHidden/>
    <w:qFormat/>
    <w:uiPriority w:val="99"/>
  </w:style>
  <w:style w:type="character" w:customStyle="1" w:styleId="34">
    <w:name w:val="批注主题 字符"/>
    <w:basedOn w:val="33"/>
    <w:link w:val="18"/>
    <w:semiHidden/>
    <w:qFormat/>
    <w:uiPriority w:val="99"/>
    <w:rPr>
      <w:b/>
      <w:bCs/>
    </w:rPr>
  </w:style>
  <w:style w:type="character" w:customStyle="1" w:styleId="35">
    <w:name w:val="font11"/>
    <w:basedOn w:val="21"/>
    <w:qFormat/>
    <w:uiPriority w:val="0"/>
    <w:rPr>
      <w:rFonts w:ascii="仿宋_GB2312" w:eastAsia="仿宋_GB2312" w:cs="仿宋_GB2312"/>
      <w:color w:val="000000"/>
      <w:sz w:val="22"/>
      <w:szCs w:val="22"/>
      <w:u w:val="none"/>
    </w:rPr>
  </w:style>
  <w:style w:type="character" w:customStyle="1" w:styleId="36">
    <w:name w:val="font81"/>
    <w:basedOn w:val="21"/>
    <w:qFormat/>
    <w:uiPriority w:val="0"/>
    <w:rPr>
      <w:rFonts w:hint="default" w:ascii="Times New Roman" w:hAnsi="Times New Roman" w:cs="Times New Roman"/>
      <w:b/>
      <w:color w:val="000000"/>
      <w:sz w:val="22"/>
      <w:szCs w:val="22"/>
      <w:u w:val="none"/>
    </w:rPr>
  </w:style>
  <w:style w:type="character" w:customStyle="1" w:styleId="37">
    <w:name w:val="font21"/>
    <w:basedOn w:val="21"/>
    <w:qFormat/>
    <w:uiPriority w:val="0"/>
    <w:rPr>
      <w:rFonts w:ascii="仿宋_GB2312" w:eastAsia="仿宋_GB2312" w:cs="仿宋_GB2312"/>
      <w:color w:val="000000"/>
      <w:sz w:val="22"/>
      <w:szCs w:val="22"/>
      <w:u w:val="none"/>
    </w:rPr>
  </w:style>
  <w:style w:type="character" w:customStyle="1" w:styleId="38">
    <w:name w:val="font31"/>
    <w:basedOn w:val="21"/>
    <w:qFormat/>
    <w:uiPriority w:val="0"/>
    <w:rPr>
      <w:rFonts w:ascii="仿宋_GB2312" w:eastAsia="仿宋_GB2312" w:cs="仿宋_GB2312"/>
      <w:color w:val="000000"/>
      <w:sz w:val="22"/>
      <w:szCs w:val="22"/>
      <w:u w:val="none"/>
    </w:rPr>
  </w:style>
  <w:style w:type="character" w:customStyle="1" w:styleId="39">
    <w:name w:val="font41"/>
    <w:basedOn w:val="21"/>
    <w:qFormat/>
    <w:uiPriority w:val="0"/>
    <w:rPr>
      <w:rFonts w:hint="default" w:ascii="Times New Roman" w:hAnsi="Times New Roman" w:cs="Times New Roman"/>
      <w:color w:val="000000"/>
      <w:sz w:val="22"/>
      <w:szCs w:val="22"/>
      <w:u w:val="none"/>
    </w:rPr>
  </w:style>
  <w:style w:type="character" w:customStyle="1" w:styleId="40">
    <w:name w:val="font01"/>
    <w:basedOn w:val="21"/>
    <w:qFormat/>
    <w:uiPriority w:val="0"/>
    <w:rPr>
      <w:rFonts w:hint="eastAsia" w:ascii="仿宋_GB2312" w:eastAsia="仿宋_GB2312" w:cs="仿宋_GB2312"/>
      <w:color w:val="000000"/>
      <w:sz w:val="22"/>
      <w:szCs w:val="22"/>
      <w:u w:val="none"/>
    </w:rPr>
  </w:style>
  <w:style w:type="paragraph" w:customStyle="1" w:styleId="41">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42">
    <w:name w:val="font91"/>
    <w:basedOn w:val="21"/>
    <w:qFormat/>
    <w:uiPriority w:val="0"/>
    <w:rPr>
      <w:rFonts w:hint="eastAsia" w:ascii="仿宋_GB2312" w:eastAsia="仿宋_GB2312" w:cs="仿宋_GB2312"/>
      <w:color w:val="000000"/>
      <w:sz w:val="22"/>
      <w:szCs w:val="22"/>
      <w:u w:val="none"/>
    </w:rPr>
  </w:style>
  <w:style w:type="character" w:customStyle="1" w:styleId="43">
    <w:name w:val="font61"/>
    <w:basedOn w:val="21"/>
    <w:qFormat/>
    <w:uiPriority w:val="0"/>
    <w:rPr>
      <w:rFonts w:ascii="仿宋_GB2312" w:eastAsia="仿宋_GB2312" w:cs="仿宋_GB2312"/>
      <w:b/>
      <w:color w:val="000000"/>
      <w:sz w:val="22"/>
      <w:szCs w:val="22"/>
      <w:u w:val="none"/>
    </w:rPr>
  </w:style>
  <w:style w:type="character" w:customStyle="1" w:styleId="44">
    <w:name w:val="font51"/>
    <w:basedOn w:val="21"/>
    <w:qFormat/>
    <w:uiPriority w:val="0"/>
    <w:rPr>
      <w:rFonts w:hint="eastAsia" w:ascii="仿宋_GB2312" w:eastAsia="仿宋_GB2312" w:cs="仿宋_GB2312"/>
      <w:b/>
      <w:color w:val="000000"/>
      <w:sz w:val="24"/>
      <w:szCs w:val="24"/>
      <w:u w:val="none"/>
    </w:rPr>
  </w:style>
  <w:style w:type="character" w:customStyle="1" w:styleId="45">
    <w:name w:val="font101"/>
    <w:basedOn w:val="21"/>
    <w:qFormat/>
    <w:uiPriority w:val="0"/>
    <w:rPr>
      <w:rFonts w:hint="default" w:ascii="Times New Roman" w:hAnsi="Times New Roman" w:cs="Times New Roman"/>
      <w:color w:val="000000"/>
      <w:sz w:val="24"/>
      <w:szCs w:val="24"/>
      <w:u w:val="none"/>
    </w:rPr>
  </w:style>
  <w:style w:type="character" w:customStyle="1" w:styleId="46">
    <w:name w:val="font71"/>
    <w:basedOn w:val="21"/>
    <w:qFormat/>
    <w:uiPriority w:val="0"/>
    <w:rPr>
      <w:rFonts w:hint="eastAsia" w:ascii="仿宋_GB2312" w:eastAsia="仿宋_GB2312" w:cs="仿宋_GB2312"/>
      <w:color w:val="000000"/>
      <w:sz w:val="24"/>
      <w:szCs w:val="24"/>
      <w:u w:val="none"/>
    </w:rPr>
  </w:style>
  <w:style w:type="character" w:customStyle="1" w:styleId="47">
    <w:name w:val="font112"/>
    <w:basedOn w:val="21"/>
    <w:qFormat/>
    <w:uiPriority w:val="0"/>
    <w:rPr>
      <w:rFonts w:hint="default" w:ascii="Times New Roman" w:hAnsi="Times New Roman" w:cs="Times New Roman"/>
      <w:color w:val="000000"/>
      <w:sz w:val="24"/>
      <w:szCs w:val="24"/>
      <w:u w:val="none"/>
    </w:rPr>
  </w:style>
  <w:style w:type="character" w:customStyle="1" w:styleId="48">
    <w:name w:val="font121"/>
    <w:basedOn w:val="21"/>
    <w:qFormat/>
    <w:uiPriority w:val="0"/>
    <w:rPr>
      <w:rFonts w:hint="eastAsia" w:ascii="仿宋_GB2312" w:eastAsia="仿宋_GB2312" w:cs="仿宋_GB2312"/>
      <w:b/>
      <w:color w:val="000000"/>
      <w:sz w:val="22"/>
      <w:szCs w:val="22"/>
      <w:u w:val="none"/>
    </w:rPr>
  </w:style>
  <w:style w:type="character" w:customStyle="1" w:styleId="49">
    <w:name w:val="font131"/>
    <w:basedOn w:val="21"/>
    <w:qFormat/>
    <w:uiPriority w:val="0"/>
    <w:rPr>
      <w:rFonts w:hint="eastAsia" w:ascii="仿宋_GB2312" w:eastAsia="仿宋_GB2312" w:cs="仿宋_GB2312"/>
      <w:b/>
      <w:color w:val="000000"/>
      <w:sz w:val="22"/>
      <w:szCs w:val="22"/>
      <w:u w:val="none"/>
    </w:rPr>
  </w:style>
  <w:style w:type="paragraph" w:customStyle="1" w:styleId="50">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1">
    <w:name w:val="表头"/>
    <w:basedOn w:val="1"/>
    <w:qFormat/>
    <w:uiPriority w:val="0"/>
    <w:pPr>
      <w:spacing w:line="240" w:lineRule="auto"/>
      <w:ind w:firstLine="0" w:firstLineChars="0"/>
      <w:jc w:val="center"/>
    </w:pPr>
    <w:rPr>
      <w:rFonts w:eastAsia="黑体"/>
      <w:sz w:val="24"/>
    </w:rPr>
  </w:style>
  <w:style w:type="character" w:customStyle="1" w:styleId="52">
    <w:name w:val="font141"/>
    <w:basedOn w:val="21"/>
    <w:qFormat/>
    <w:uiPriority w:val="0"/>
    <w:rPr>
      <w:rFonts w:hint="eastAsia" w:ascii="仿宋" w:hAnsi="仿宋" w:eastAsia="仿宋" w:cs="仿宋"/>
      <w:b/>
      <w:bCs/>
      <w:color w:val="000000"/>
      <w:sz w:val="24"/>
      <w:szCs w:val="24"/>
      <w:u w:val="none"/>
    </w:rPr>
  </w:style>
  <w:style w:type="character" w:customStyle="1" w:styleId="53">
    <w:name w:val="font12"/>
    <w:basedOn w:val="21"/>
    <w:qFormat/>
    <w:uiPriority w:val="0"/>
    <w:rPr>
      <w:rFonts w:hint="default" w:ascii="Times New Roman" w:hAnsi="Times New Roman" w:cs="Times New Roman"/>
      <w:color w:val="000000"/>
      <w:sz w:val="22"/>
      <w:szCs w:val="22"/>
      <w:u w:val="none"/>
    </w:rPr>
  </w:style>
  <w:style w:type="character" w:customStyle="1" w:styleId="54">
    <w:name w:val="font111"/>
    <w:basedOn w:val="21"/>
    <w:qFormat/>
    <w:uiPriority w:val="0"/>
    <w:rPr>
      <w:rFonts w:hint="eastAsia" w:ascii="仿宋_GB2312" w:eastAsia="仿宋_GB2312" w:cs="仿宋_GB2312"/>
      <w:color w:val="000000"/>
      <w:sz w:val="24"/>
      <w:szCs w:val="24"/>
      <w:u w:val="none"/>
    </w:rPr>
  </w:style>
  <w:style w:type="character" w:customStyle="1" w:styleId="55">
    <w:name w:val="font122"/>
    <w:basedOn w:val="21"/>
    <w:qFormat/>
    <w:uiPriority w:val="0"/>
    <w:rPr>
      <w:rFonts w:hint="eastAsia"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28</Pages>
  <Words>10630</Words>
  <Characters>11427</Characters>
  <Lines>1</Lines>
  <Paragraphs>1</Paragraphs>
  <TotalTime>1</TotalTime>
  <ScaleCrop>false</ScaleCrop>
  <LinksUpToDate>false</LinksUpToDate>
  <CharactersWithSpaces>11540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2018-01-31T16:17:00Z</dcterms:created>
  <dc:creator>lenovo</dc:creator>
  <cp:lastModifiedBy>YYY</cp:lastModifiedBy>
  <cp:lastPrinted>2022-12-08T02:10:00Z</cp:lastPrinted>
  <dcterms:modified xsi:type="dcterms:W3CDTF">2023-04-26T03:14:59Z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04B72CA6889E4F228A753AE7D70E9E3E</vt:lpwstr>
  </property>
</Properties>
</file>