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宋体" w:eastAsia="方正小标宋简体" w:cs="宋体"/>
          <w:bCs/>
          <w:sz w:val="44"/>
          <w:szCs w:val="44"/>
          <w:highlight w:val="none"/>
          <w:lang w:val="en-US" w:eastAsia="zh-CN"/>
        </w:rPr>
      </w:pPr>
    </w:p>
    <w:p>
      <w:pPr>
        <w:ind w:firstLine="862" w:firstLineChars="200"/>
        <w:jc w:val="center"/>
        <w:rPr>
          <w:rFonts w:hint="eastAsia" w:ascii="方正小标宋简体" w:hAnsi="黑体" w:eastAsia="方正小标宋简体"/>
          <w:w w:val="98"/>
          <w:sz w:val="44"/>
          <w:szCs w:val="44"/>
          <w:lang w:val="en-US" w:eastAsia="zh-CN"/>
        </w:rPr>
      </w:pPr>
      <w:r>
        <w:rPr>
          <w:rFonts w:hint="eastAsia" w:ascii="方正小标宋简体" w:hAnsi="黑体" w:eastAsia="方正小标宋简体"/>
          <w:w w:val="98"/>
          <w:sz w:val="44"/>
          <w:szCs w:val="44"/>
        </w:rPr>
        <w:t>贵阳市</w:t>
      </w:r>
      <w:r>
        <w:rPr>
          <w:rFonts w:hint="eastAsia" w:ascii="方正小标宋简体" w:hAnsi="黑体" w:eastAsia="方正小标宋简体"/>
          <w:w w:val="98"/>
          <w:sz w:val="44"/>
          <w:szCs w:val="44"/>
          <w:lang w:val="en-US" w:eastAsia="zh-CN"/>
        </w:rPr>
        <w:t>云岩</w:t>
      </w:r>
      <w:r>
        <w:rPr>
          <w:rFonts w:hint="eastAsia" w:ascii="方正小标宋简体" w:hAnsi="黑体" w:eastAsia="方正小标宋简体"/>
          <w:w w:val="98"/>
          <w:sz w:val="44"/>
          <w:szCs w:val="44"/>
        </w:rPr>
        <w:t>区</w:t>
      </w:r>
      <w:r>
        <w:rPr>
          <w:rFonts w:hint="eastAsia" w:ascii="方正小标宋简体" w:hAnsi="黑体" w:eastAsia="方正小标宋简体"/>
          <w:w w:val="98"/>
          <w:sz w:val="44"/>
          <w:szCs w:val="44"/>
          <w:lang w:val="en-US" w:eastAsia="zh-CN"/>
        </w:rPr>
        <w:t>工业和信息化局</w:t>
      </w:r>
    </w:p>
    <w:p>
      <w:pPr>
        <w:ind w:firstLine="862" w:firstLineChars="200"/>
        <w:jc w:val="center"/>
        <w:rPr>
          <w:rFonts w:hint="eastAsia" w:ascii="方正小标宋简体" w:hAnsi="黑体" w:eastAsia="方正小标宋简体"/>
          <w:w w:val="98"/>
          <w:sz w:val="44"/>
          <w:szCs w:val="44"/>
        </w:rPr>
      </w:pPr>
      <w:r>
        <w:rPr>
          <w:rFonts w:hint="eastAsia" w:ascii="方正小标宋简体" w:hAnsi="黑体" w:eastAsia="方正小标宋简体"/>
          <w:w w:val="98"/>
          <w:sz w:val="44"/>
          <w:szCs w:val="44"/>
          <w:lang w:val="en-US" w:eastAsia="zh-CN"/>
        </w:rPr>
        <w:t>2021年</w:t>
      </w:r>
      <w:r>
        <w:rPr>
          <w:rFonts w:hint="eastAsia" w:ascii="方正小标宋简体" w:hAnsi="黑体" w:eastAsia="方正小标宋简体"/>
          <w:w w:val="98"/>
          <w:sz w:val="44"/>
          <w:szCs w:val="44"/>
        </w:rPr>
        <w:t>支持规模以上制造企业</w:t>
      </w:r>
    </w:p>
    <w:p>
      <w:pPr>
        <w:ind w:firstLine="862" w:firstLineChars="200"/>
        <w:jc w:val="center"/>
        <w:rPr>
          <w:rFonts w:ascii="Times New Roman" w:hAnsi="黑体" w:eastAsia="黑体" w:cs="宋体"/>
          <w:kern w:val="0"/>
          <w:sz w:val="24"/>
          <w:szCs w:val="24"/>
          <w:highlight w:val="none"/>
        </w:rPr>
      </w:pPr>
      <w:r>
        <w:rPr>
          <w:rFonts w:hint="eastAsia" w:ascii="方正小标宋简体" w:hAnsi="黑体" w:eastAsia="方正小标宋简体"/>
          <w:w w:val="98"/>
          <w:sz w:val="44"/>
          <w:szCs w:val="44"/>
        </w:rPr>
        <w:t>达产增产和重大工程项目</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ind w:firstLine="1440" w:firstLineChars="200"/>
        <w:jc w:val="center"/>
        <w:rPr>
          <w:rFonts w:ascii="方正小标宋简体" w:hAnsi="黑体" w:eastAsia="方正小标宋简体" w:cs="宋体"/>
          <w:kern w:val="0"/>
          <w:sz w:val="72"/>
          <w:szCs w:val="72"/>
          <w:highlight w:val="none"/>
        </w:rPr>
      </w:pPr>
      <w:r>
        <w:rPr>
          <w:rFonts w:hint="eastAsia" w:ascii="方正小标宋简体" w:hAnsi="黑体" w:eastAsia="方正小标宋简体" w:cs="宋体"/>
          <w:kern w:val="0"/>
          <w:sz w:val="72"/>
          <w:szCs w:val="72"/>
          <w:highlight w:val="none"/>
          <w:lang w:eastAsia="zh-CN"/>
        </w:rPr>
        <w:t>绩效评价</w:t>
      </w:r>
      <w:r>
        <w:rPr>
          <w:rFonts w:hint="eastAsia" w:ascii="方正小标宋简体" w:hAnsi="黑体" w:eastAsia="方正小标宋简体" w:cs="宋体"/>
          <w:kern w:val="0"/>
          <w:sz w:val="72"/>
          <w:szCs w:val="72"/>
          <w:highlight w:val="none"/>
        </w:rPr>
        <w:t>报告</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spacing w:line="360" w:lineRule="auto"/>
        <w:ind w:firstLine="1680" w:firstLineChars="600"/>
        <w:jc w:val="left"/>
        <w:rPr>
          <w:rFonts w:hint="eastAsia" w:ascii="黑体" w:hAnsi="黑体" w:eastAsia="黑体" w:cs="宋体"/>
          <w:kern w:val="0"/>
          <w:sz w:val="28"/>
          <w:szCs w:val="28"/>
          <w:lang w:val="en-US" w:eastAsia="zh-CN"/>
        </w:rPr>
      </w:pPr>
      <w:r>
        <w:rPr>
          <w:rFonts w:hint="eastAsia" w:ascii="黑体" w:hAnsi="黑体" w:eastAsia="黑体" w:cs="宋体"/>
          <w:kern w:val="0"/>
          <w:sz w:val="28"/>
          <w:szCs w:val="28"/>
        </w:rPr>
        <w:t>报告编号：贵州黔元绩效字﹝202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﹞第</w:t>
      </w:r>
      <w:r>
        <w:rPr>
          <w:rFonts w:hint="eastAsia" w:ascii="黑体" w:hAnsi="黑体" w:eastAsia="黑体" w:cs="宋体"/>
          <w:kern w:val="0"/>
          <w:sz w:val="28"/>
          <w:szCs w:val="28"/>
          <w:lang w:val="en-US" w:eastAsia="zh-CN"/>
        </w:rPr>
        <w:t>37</w:t>
      </w:r>
      <w:r>
        <w:rPr>
          <w:rFonts w:hint="eastAsia" w:ascii="黑体" w:hAnsi="黑体" w:eastAsia="黑体" w:cs="宋体"/>
          <w:kern w:val="0"/>
          <w:sz w:val="28"/>
          <w:szCs w:val="28"/>
        </w:rPr>
        <w:t>号</w:t>
      </w:r>
    </w:p>
    <w:p>
      <w:pPr>
        <w:spacing w:line="360" w:lineRule="auto"/>
        <w:ind w:firstLine="1680" w:firstLineChars="600"/>
        <w:jc w:val="left"/>
        <w:rPr>
          <w:rFonts w:hint="eastAsia" w:ascii="黑体" w:hAnsi="黑体" w:eastAsia="黑体" w:cs="宋体"/>
          <w:kern w:val="0"/>
          <w:sz w:val="28"/>
          <w:szCs w:val="28"/>
        </w:rPr>
      </w:pPr>
      <w:r>
        <w:rPr>
          <w:rFonts w:hint="eastAsia" w:ascii="黑体" w:hAnsi="黑体" w:eastAsia="黑体" w:cs="宋体"/>
          <w:kern w:val="0"/>
          <w:sz w:val="28"/>
          <w:szCs w:val="28"/>
        </w:rPr>
        <w:t>委托单位：贵阳市</w:t>
      </w:r>
      <w:r>
        <w:rPr>
          <w:rFonts w:hint="eastAsia" w:ascii="黑体" w:hAnsi="黑体" w:eastAsia="黑体" w:cs="宋体"/>
          <w:kern w:val="0"/>
          <w:sz w:val="28"/>
          <w:szCs w:val="28"/>
          <w:lang w:val="en-US" w:eastAsia="zh-CN"/>
        </w:rPr>
        <w:t>云岩</w:t>
      </w:r>
      <w:r>
        <w:rPr>
          <w:rFonts w:hint="eastAsia" w:ascii="黑体" w:hAnsi="黑体" w:eastAsia="黑体" w:cs="宋体"/>
          <w:kern w:val="0"/>
          <w:sz w:val="28"/>
          <w:szCs w:val="28"/>
        </w:rPr>
        <w:t>区财政</w:t>
      </w:r>
      <w:r>
        <w:rPr>
          <w:rFonts w:hint="eastAsia" w:ascii="黑体" w:hAnsi="黑体" w:eastAsia="黑体" w:cs="宋体"/>
          <w:kern w:val="0"/>
          <w:sz w:val="28"/>
          <w:szCs w:val="28"/>
          <w:lang w:val="en-US" w:eastAsia="zh-CN"/>
        </w:rPr>
        <w:t>局</w:t>
      </w:r>
    </w:p>
    <w:p>
      <w:pPr>
        <w:spacing w:line="360" w:lineRule="auto"/>
        <w:ind w:firstLine="1680" w:firstLineChars="600"/>
        <w:jc w:val="left"/>
        <w:rPr>
          <w:rFonts w:hint="eastAsia" w:ascii="黑体" w:hAnsi="黑体" w:eastAsia="黑体" w:cs="宋体"/>
          <w:kern w:val="0"/>
          <w:sz w:val="28"/>
          <w:szCs w:val="28"/>
        </w:rPr>
      </w:pPr>
      <w:r>
        <w:rPr>
          <w:rFonts w:hint="eastAsia" w:ascii="黑体" w:hAnsi="黑体" w:eastAsia="黑体" w:cs="宋体"/>
          <w:kern w:val="0"/>
          <w:sz w:val="28"/>
          <w:szCs w:val="28"/>
        </w:rPr>
        <w:t>评价机构：贵州黔元会计师事务所有限公司</w:t>
      </w:r>
    </w:p>
    <w:p>
      <w:pPr>
        <w:spacing w:line="360" w:lineRule="auto"/>
        <w:ind w:firstLine="1680" w:firstLineChars="600"/>
        <w:jc w:val="left"/>
        <w:rPr>
          <w:rFonts w:hint="eastAsia" w:ascii="黑体" w:hAnsi="黑体" w:eastAsia="黑体" w:cs="宋体"/>
          <w:kern w:val="0"/>
          <w:sz w:val="28"/>
          <w:szCs w:val="28"/>
        </w:rPr>
      </w:pPr>
      <w:r>
        <w:rPr>
          <w:rFonts w:hint="eastAsia" w:ascii="黑体" w:hAnsi="黑体" w:eastAsia="黑体" w:cs="宋体"/>
          <w:kern w:val="0"/>
          <w:sz w:val="28"/>
          <w:szCs w:val="28"/>
        </w:rPr>
        <w:t>报告时间：202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年</w:t>
      </w:r>
      <w:r>
        <w:rPr>
          <w:rFonts w:hint="eastAsia" w:ascii="黑体" w:hAnsi="黑体" w:eastAsia="黑体" w:cs="宋体"/>
          <w:kern w:val="0"/>
          <w:sz w:val="28"/>
          <w:szCs w:val="28"/>
          <w:lang w:val="en-US" w:eastAsia="zh-CN"/>
        </w:rPr>
        <w:t>12</w:t>
      </w:r>
      <w:r>
        <w:rPr>
          <w:rFonts w:hint="eastAsia" w:ascii="黑体" w:hAnsi="黑体" w:eastAsia="黑体" w:cs="宋体"/>
          <w:kern w:val="0"/>
          <w:sz w:val="28"/>
          <w:szCs w:val="28"/>
        </w:rPr>
        <w:t>月</w:t>
      </w:r>
      <w:r>
        <w:rPr>
          <w:rFonts w:hint="eastAsia" w:ascii="黑体" w:hAnsi="黑体" w:eastAsia="黑体" w:cs="宋体"/>
          <w:kern w:val="0"/>
          <w:sz w:val="28"/>
          <w:szCs w:val="28"/>
          <w:lang w:val="en-US" w:eastAsia="zh-CN"/>
        </w:rPr>
        <w:t>15</w:t>
      </w:r>
      <w:r>
        <w:rPr>
          <w:rFonts w:hint="eastAsia" w:ascii="黑体" w:hAnsi="黑体" w:eastAsia="黑体" w:cs="宋体"/>
          <w:kern w:val="0"/>
          <w:sz w:val="28"/>
          <w:szCs w:val="28"/>
        </w:rPr>
        <w:t>日</w:t>
      </w:r>
    </w:p>
    <w:p>
      <w:pPr>
        <w:spacing w:line="240" w:lineRule="auto"/>
        <w:ind w:firstLine="480" w:firstLineChars="200"/>
        <w:jc w:val="left"/>
        <w:rPr>
          <w:rFonts w:ascii="黑体" w:hAnsi="黑体" w:eastAsia="黑体" w:cs="宋体"/>
          <w:kern w:val="0"/>
          <w:sz w:val="24"/>
          <w:szCs w:val="24"/>
          <w:highlight w:val="none"/>
        </w:rPr>
      </w:pPr>
      <w:r>
        <w:rPr>
          <w:rFonts w:ascii="黑体" w:hAnsi="黑体" w:eastAsia="黑体" w:cs="宋体"/>
          <w:kern w:val="0"/>
          <w:sz w:val="24"/>
          <w:szCs w:val="24"/>
          <w:highlight w:val="none"/>
        </w:rPr>
        <w:br w:type="page"/>
      </w:r>
    </w:p>
    <w:p>
      <w:pPr>
        <w:rPr>
          <w:rFonts w:hint="eastAsia" w:ascii="黑体" w:hAnsi="宋体" w:eastAsia="黑体" w:cs="黑体"/>
          <w:color w:val="000000"/>
          <w:kern w:val="0"/>
          <w:sz w:val="2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titlePg/>
          <w:docGrid w:type="lines" w:linePitch="312" w:charSpace="0"/>
        </w:sectPr>
      </w:pPr>
    </w:p>
    <w:tbl>
      <w:tblPr>
        <w:tblStyle w:val="17"/>
        <w:tblpPr w:leftFromText="180" w:rightFromText="180" w:vertAnchor="text" w:horzAnchor="margin" w:tblpX="1" w:tblpY="-77"/>
        <w:tblOverlap w:val="never"/>
        <w:tblW w:w="8983" w:type="dxa"/>
        <w:tblInd w:w="0" w:type="dxa"/>
        <w:tblLayout w:type="fixed"/>
        <w:tblCellMar>
          <w:top w:w="17" w:type="dxa"/>
          <w:left w:w="17" w:type="dxa"/>
          <w:bottom w:w="17" w:type="dxa"/>
          <w:right w:w="17" w:type="dxa"/>
        </w:tblCellMar>
      </w:tblPr>
      <w:tblGrid>
        <w:gridCol w:w="1356"/>
        <w:gridCol w:w="751"/>
        <w:gridCol w:w="639"/>
        <w:gridCol w:w="492"/>
        <w:gridCol w:w="848"/>
        <w:gridCol w:w="854"/>
        <w:gridCol w:w="974"/>
        <w:gridCol w:w="1541"/>
        <w:gridCol w:w="1528"/>
      </w:tblGrid>
      <w:tr>
        <w:tblPrEx>
          <w:tblCellMar>
            <w:top w:w="17" w:type="dxa"/>
            <w:left w:w="17" w:type="dxa"/>
            <w:bottom w:w="17" w:type="dxa"/>
            <w:right w:w="17" w:type="dxa"/>
          </w:tblCellMar>
        </w:tblPrEx>
        <w:trPr>
          <w:trHeight w:val="90" w:hRule="atLeast"/>
        </w:trPr>
        <w:tc>
          <w:tcPr>
            <w:tcW w:w="8983" w:type="dxa"/>
            <w:gridSpan w:val="9"/>
            <w:noWrap w:val="0"/>
            <w:vAlign w:val="center"/>
          </w:tcPr>
          <w:p>
            <w:pPr>
              <w:rPr>
                <w:rFonts w:hint="eastAsia" w:ascii="黑体" w:hAnsi="宋体" w:eastAsia="黑体" w:cs="黑体"/>
                <w:color w:val="000000"/>
                <w:sz w:val="24"/>
                <w:highlight w:val="none"/>
                <w:lang w:val="en-US" w:eastAsia="zh-CN"/>
              </w:rPr>
            </w:pPr>
            <w:r>
              <w:rPr>
                <w:rFonts w:hint="eastAsia" w:ascii="黑体" w:hAnsi="宋体" w:eastAsia="黑体" w:cs="黑体"/>
                <w:color w:val="000000"/>
                <w:kern w:val="0"/>
                <w:sz w:val="24"/>
                <w:highlight w:val="none"/>
              </w:rPr>
              <w:t>评价分值：</w:t>
            </w:r>
            <w:r>
              <w:rPr>
                <w:rFonts w:hint="eastAsia" w:ascii="黑体" w:hAnsi="宋体" w:eastAsia="黑体" w:cs="黑体"/>
                <w:color w:val="000000"/>
                <w:kern w:val="0"/>
                <w:sz w:val="24"/>
                <w:highlight w:val="none"/>
                <w:lang w:val="en-US" w:eastAsia="zh-CN"/>
              </w:rPr>
              <w:t>91.6分</w:t>
            </w:r>
            <w:r>
              <w:rPr>
                <w:rStyle w:val="37"/>
                <w:rFonts w:hint="eastAsia" w:hAnsi="宋体"/>
                <w:highlight w:val="none"/>
              </w:rPr>
              <w:t xml:space="preserve">      </w:t>
            </w:r>
            <w:r>
              <w:rPr>
                <w:rFonts w:hint="eastAsia" w:ascii="黑体" w:hAnsi="宋体" w:eastAsia="黑体" w:cs="黑体"/>
                <w:color w:val="000000"/>
                <w:kern w:val="0"/>
                <w:sz w:val="24"/>
                <w:highlight w:val="none"/>
              </w:rPr>
              <w:t>评价等级：</w:t>
            </w:r>
            <w:r>
              <w:rPr>
                <w:rFonts w:hint="eastAsia" w:ascii="黑体" w:hAnsi="宋体" w:eastAsia="黑体" w:cs="黑体"/>
                <w:color w:val="000000"/>
                <w:kern w:val="0"/>
                <w:sz w:val="24"/>
                <w:highlight w:val="none"/>
                <w:lang w:val="en-US" w:eastAsia="zh-CN"/>
              </w:rPr>
              <w:t>优</w:t>
            </w:r>
          </w:p>
        </w:tc>
      </w:tr>
      <w:tr>
        <w:tblPrEx>
          <w:tblCellMar>
            <w:top w:w="17" w:type="dxa"/>
            <w:left w:w="17" w:type="dxa"/>
            <w:bottom w:w="17" w:type="dxa"/>
            <w:right w:w="17" w:type="dxa"/>
          </w:tblCellMar>
        </w:tblPrEx>
        <w:trPr>
          <w:trHeight w:val="299" w:hRule="atLeast"/>
        </w:trPr>
        <w:tc>
          <w:tcPr>
            <w:tcW w:w="8983" w:type="dxa"/>
            <w:gridSpan w:val="9"/>
            <w:noWrap w:val="0"/>
            <w:vAlign w:val="center"/>
          </w:tcPr>
          <w:p>
            <w:pPr>
              <w:widowControl/>
              <w:jc w:val="center"/>
              <w:textAlignment w:val="center"/>
              <w:rPr>
                <w:rFonts w:ascii="黑体" w:hAnsi="宋体" w:eastAsia="黑体" w:cs="黑体"/>
                <w:b/>
                <w:color w:val="000000"/>
                <w:sz w:val="36"/>
                <w:szCs w:val="36"/>
                <w:highlight w:val="none"/>
              </w:rPr>
            </w:pPr>
            <w:r>
              <w:rPr>
                <w:rFonts w:hint="eastAsia" w:ascii="黑体" w:hAnsi="宋体" w:eastAsia="黑体" w:cs="黑体"/>
                <w:b/>
                <w:color w:val="000000"/>
                <w:kern w:val="0"/>
                <w:sz w:val="36"/>
                <w:szCs w:val="36"/>
                <w:highlight w:val="none"/>
              </w:rPr>
              <w:t>概   要</w:t>
            </w:r>
          </w:p>
        </w:tc>
      </w:tr>
      <w:tr>
        <w:tblPrEx>
          <w:tblCellMar>
            <w:top w:w="17" w:type="dxa"/>
            <w:left w:w="17" w:type="dxa"/>
            <w:bottom w:w="17" w:type="dxa"/>
            <w:right w:w="17" w:type="dxa"/>
          </w:tblCellMar>
        </w:tblPrEx>
        <w:trPr>
          <w:trHeight w:val="330" w:hRule="atLeast"/>
        </w:trPr>
        <w:tc>
          <w:tcPr>
            <w:tcW w:w="8983" w:type="dxa"/>
            <w:gridSpan w:val="9"/>
            <w:noWrap w:val="0"/>
            <w:vAlign w:val="center"/>
          </w:tcPr>
          <w:p>
            <w:pPr>
              <w:widowControl/>
              <w:jc w:val="left"/>
              <w:textAlignment w:val="center"/>
              <w:rPr>
                <w:rFonts w:ascii="黑体" w:hAnsi="黑体" w:eastAsia="黑体" w:cs="仿宋_GB2312"/>
                <w:color w:val="000000"/>
                <w:sz w:val="22"/>
                <w:highlight w:val="none"/>
              </w:rPr>
            </w:pPr>
            <w:r>
              <w:rPr>
                <w:rFonts w:hint="eastAsia" w:ascii="黑体" w:hAnsi="黑体" w:eastAsia="黑体" w:cs="仿宋_GB2312"/>
                <w:color w:val="000000"/>
                <w:kern w:val="0"/>
                <w:sz w:val="22"/>
                <w:highlight w:val="none"/>
              </w:rPr>
              <w:t>评价机构全称（盖章）：</w:t>
            </w:r>
            <w:r>
              <w:rPr>
                <w:rFonts w:hint="eastAsia" w:ascii="黑体" w:hAnsi="黑体" w:eastAsia="黑体" w:cs="仿宋_GB2312"/>
                <w:color w:val="000000"/>
                <w:kern w:val="0"/>
                <w:sz w:val="22"/>
                <w:highlight w:val="none"/>
                <w:lang w:val="en-US" w:eastAsia="zh-CN"/>
              </w:rPr>
              <w:t>贵州黔元会计师事务所有限公司</w:t>
            </w:r>
            <w:r>
              <w:rPr>
                <w:rFonts w:hint="eastAsia" w:ascii="黑体" w:hAnsi="黑体" w:eastAsia="黑体" w:cs="仿宋_GB2312"/>
                <w:color w:val="000000"/>
                <w:kern w:val="0"/>
                <w:sz w:val="22"/>
                <w:highlight w:val="none"/>
              </w:rPr>
              <w:t xml:space="preserve">                </w:t>
            </w:r>
            <w:r>
              <w:rPr>
                <w:rFonts w:hint="eastAsia" w:ascii="黑体" w:hAnsi="黑体" w:eastAsia="黑体" w:cs="仿宋_GB2312"/>
                <w:color w:val="000000"/>
                <w:kern w:val="0"/>
                <w:sz w:val="22"/>
                <w:highlight w:val="none"/>
                <w:lang w:val="en-US" w:eastAsia="zh-CN"/>
              </w:rPr>
              <w:t xml:space="preserve"> </w:t>
            </w:r>
            <w:r>
              <w:rPr>
                <w:rFonts w:hint="eastAsia" w:ascii="黑体" w:hAnsi="黑体" w:eastAsia="黑体" w:cs="仿宋_GB2312"/>
                <w:color w:val="000000"/>
                <w:kern w:val="0"/>
                <w:sz w:val="22"/>
                <w:highlight w:val="none"/>
              </w:rPr>
              <w:t>单位：万元、个</w:t>
            </w:r>
          </w:p>
        </w:tc>
      </w:tr>
      <w:tr>
        <w:tblPrEx>
          <w:tblCellMar>
            <w:top w:w="17" w:type="dxa"/>
            <w:left w:w="17" w:type="dxa"/>
            <w:bottom w:w="17" w:type="dxa"/>
            <w:right w:w="17" w:type="dxa"/>
          </w:tblCellMar>
        </w:tblPrEx>
        <w:trPr>
          <w:trHeight w:val="359"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项目名称</w:t>
            </w:r>
          </w:p>
        </w:tc>
        <w:tc>
          <w:tcPr>
            <w:tcW w:w="4558"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2021年云岩区支持规模以上制造企业达产增产和重大工程项目</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评价年度</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w:t>
            </w:r>
          </w:p>
        </w:tc>
      </w:tr>
      <w:tr>
        <w:tblPrEx>
          <w:tblCellMar>
            <w:top w:w="17" w:type="dxa"/>
            <w:left w:w="17" w:type="dxa"/>
            <w:bottom w:w="17" w:type="dxa"/>
            <w:right w:w="17" w:type="dxa"/>
          </w:tblCellMar>
        </w:tblPrEx>
        <w:trPr>
          <w:trHeight w:val="510"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主管部门</w:t>
            </w:r>
          </w:p>
        </w:tc>
        <w:tc>
          <w:tcPr>
            <w:tcW w:w="273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eastAsia="zh-CN"/>
              </w:rPr>
              <w:t>云岩区</w:t>
            </w:r>
            <w:r>
              <w:rPr>
                <w:rFonts w:hint="eastAsia" w:ascii="仿宋_GB2312" w:hAnsi="宋体" w:eastAsia="仿宋_GB2312" w:cs="仿宋_GB2312"/>
                <w:color w:val="000000"/>
                <w:sz w:val="20"/>
                <w:szCs w:val="20"/>
                <w:highlight w:val="none"/>
                <w:lang w:val="en-US" w:eastAsia="zh-CN"/>
              </w:rPr>
              <w:t>工业和信息化管理局</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联系人及联系方式</w:t>
            </w:r>
          </w:p>
        </w:tc>
        <w:tc>
          <w:tcPr>
            <w:tcW w:w="306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rPr>
            </w:pPr>
            <w:r>
              <w:rPr>
                <w:rFonts w:hint="eastAsia" w:ascii="仿宋_GB2312" w:hAnsi="宋体" w:eastAsia="仿宋_GB2312" w:cs="仿宋_GB2312"/>
                <w:color w:val="000000"/>
                <w:sz w:val="20"/>
                <w:szCs w:val="20"/>
                <w:highlight w:val="none"/>
              </w:rPr>
              <w:t>田菲：</w:t>
            </w:r>
            <w:r>
              <w:rPr>
                <w:rFonts w:hint="eastAsia" w:ascii="仿宋_GB2312" w:hAnsi="宋体" w:eastAsia="仿宋_GB2312" w:cs="仿宋_GB2312"/>
                <w:color w:val="000000"/>
                <w:sz w:val="20"/>
                <w:szCs w:val="20"/>
                <w:highlight w:val="none"/>
                <w:lang w:val="en-US" w:eastAsia="zh-CN"/>
              </w:rPr>
              <w:t>13638514716</w:t>
            </w:r>
          </w:p>
        </w:tc>
      </w:tr>
      <w:tr>
        <w:tblPrEx>
          <w:tblCellMar>
            <w:top w:w="17" w:type="dxa"/>
            <w:left w:w="17" w:type="dxa"/>
            <w:bottom w:w="17" w:type="dxa"/>
            <w:right w:w="17" w:type="dxa"/>
          </w:tblCellMar>
        </w:tblPrEx>
        <w:trPr>
          <w:trHeight w:val="576"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自评方式</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自评</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自评分值</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100</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自评等级</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eastAsia="zh-CN"/>
              </w:rPr>
              <w:t>优</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区级财政预算</w:t>
            </w:r>
          </w:p>
          <w:p>
            <w:pPr>
              <w:widowControl/>
              <w:jc w:val="center"/>
              <w:textAlignment w:val="center"/>
              <w:rPr>
                <w:rFonts w:hint="default"/>
                <w:lang w:val="en-US" w:eastAsia="zh-CN"/>
              </w:rPr>
            </w:pPr>
            <w:r>
              <w:rPr>
                <w:rFonts w:hint="default" w:ascii="黑体" w:hAnsi="宋体" w:eastAsia="黑体" w:cs="黑体"/>
                <w:color w:val="000000"/>
                <w:kern w:val="0"/>
                <w:sz w:val="20"/>
                <w:szCs w:val="20"/>
                <w:highlight w:val="none"/>
                <w:lang w:val="en-US" w:eastAsia="zh-CN"/>
              </w:rPr>
              <w:t>安排资金</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 xml:space="preserve">2,506.26 </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抽查资金</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 xml:space="preserve">2,506.26 </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ascii="Times New Roman" w:hAnsi="Times New Roman" w:eastAsia="黑体" w:cs="Times New Roman"/>
                <w:kern w:val="0"/>
                <w:sz w:val="20"/>
                <w:szCs w:val="20"/>
              </w:rPr>
              <w:t>项目类别</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ascii="Times New Roman" w:hAnsi="Times New Roman" w:eastAsia="黑体" w:cs="Times New Roman"/>
                <w:kern w:val="0"/>
                <w:sz w:val="20"/>
                <w:szCs w:val="20"/>
              </w:rPr>
              <w:t>抽查类别</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rPr>
            </w:pPr>
            <w:r>
              <w:rPr>
                <w:rFonts w:ascii="Times New Roman" w:hAnsi="Times New Roman" w:eastAsia="黑体" w:cs="Times New Roman"/>
                <w:kern w:val="0"/>
                <w:sz w:val="20"/>
                <w:szCs w:val="20"/>
              </w:rPr>
              <w:t>类别抽查占比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ascii="仿宋_GB2312" w:hAnsi="仿宋_GB2312" w:eastAsia="仿宋_GB2312" w:cs="仿宋_GB2312"/>
                <w:sz w:val="20"/>
                <w:szCs w:val="20"/>
              </w:rPr>
              <w:t>100%</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项目数量</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1个</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w:t>
            </w:r>
            <w:r>
              <w:rPr>
                <w:rFonts w:hint="eastAsia" w:ascii="黑体" w:hAnsi="宋体" w:eastAsia="黑体" w:cs="黑体"/>
                <w:color w:val="000000"/>
                <w:kern w:val="0"/>
                <w:sz w:val="20"/>
                <w:szCs w:val="20"/>
                <w:highlight w:val="none"/>
                <w:lang w:val="en-US" w:eastAsia="zh-CN"/>
              </w:rPr>
              <w:t>项目</w:t>
            </w:r>
            <w:r>
              <w:rPr>
                <w:rFonts w:hint="eastAsia" w:ascii="黑体" w:hAnsi="宋体" w:eastAsia="黑体" w:cs="黑体"/>
                <w:color w:val="000000"/>
                <w:kern w:val="0"/>
                <w:sz w:val="20"/>
                <w:szCs w:val="20"/>
                <w:highlight w:val="none"/>
                <w:lang w:eastAsia="zh-CN"/>
              </w:rPr>
              <w:t>数</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1个</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r>
      <w:tr>
        <w:tblPrEx>
          <w:tblCellMar>
            <w:top w:w="17" w:type="dxa"/>
            <w:left w:w="17" w:type="dxa"/>
            <w:bottom w:w="17" w:type="dxa"/>
            <w:right w:w="17" w:type="dxa"/>
          </w:tblCellMar>
        </w:tblPrEx>
        <w:trPr>
          <w:trHeight w:val="770" w:hRule="atLeast"/>
        </w:trPr>
        <w:tc>
          <w:tcPr>
            <w:tcW w:w="13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发放调查问卷</w:t>
            </w:r>
          </w:p>
        </w:tc>
        <w:tc>
          <w:tcPr>
            <w:tcW w:w="751"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31份</w:t>
            </w:r>
          </w:p>
        </w:tc>
        <w:tc>
          <w:tcPr>
            <w:tcW w:w="113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有效调查</w:t>
            </w:r>
          </w:p>
          <w:p>
            <w:pPr>
              <w:widowControl/>
              <w:spacing w:line="320" w:lineRule="exact"/>
              <w:jc w:val="center"/>
              <w:textAlignment w:val="center"/>
              <w:rPr>
                <w:rFonts w:ascii="黑体" w:hAnsi="黑体" w:eastAsia="黑体" w:cs="仿宋_GB2312"/>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48"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31份</w:t>
            </w:r>
          </w:p>
        </w:tc>
        <w:tc>
          <w:tcPr>
            <w:tcW w:w="85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满意度</w:t>
            </w:r>
          </w:p>
          <w:p>
            <w:pPr>
              <w:widowControl/>
              <w:spacing w:line="320" w:lineRule="exact"/>
              <w:jc w:val="center"/>
              <w:textAlignment w:val="center"/>
              <w:rPr>
                <w:rFonts w:ascii="仿宋_GB2312" w:hAnsi="宋体" w:eastAsia="仿宋_GB2312" w:cs="仿宋_GB2312"/>
                <w:color w:val="000000"/>
                <w:kern w:val="0"/>
                <w:sz w:val="20"/>
                <w:szCs w:val="20"/>
                <w:highlight w:val="none"/>
              </w:rPr>
            </w:pPr>
            <w:r>
              <w:rPr>
                <w:rFonts w:hint="eastAsia" w:ascii="黑体" w:hAnsi="宋体" w:eastAsia="黑体" w:cs="黑体"/>
                <w:color w:val="000000"/>
                <w:kern w:val="0"/>
                <w:sz w:val="20"/>
                <w:szCs w:val="20"/>
                <w:highlight w:val="none"/>
              </w:rPr>
              <w:t>情况</w:t>
            </w:r>
          </w:p>
        </w:tc>
        <w:tc>
          <w:tcPr>
            <w:tcW w:w="4043"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numPr>
                <w:ilvl w:val="0"/>
                <w:numId w:val="0"/>
              </w:numPr>
              <w:spacing w:line="320" w:lineRule="exact"/>
              <w:jc w:val="left"/>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规模以上企业满意度：98.71%。</w:t>
            </w:r>
          </w:p>
        </w:tc>
      </w:tr>
      <w:tr>
        <w:tblPrEx>
          <w:tblCellMar>
            <w:top w:w="17" w:type="dxa"/>
            <w:left w:w="17" w:type="dxa"/>
            <w:bottom w:w="17" w:type="dxa"/>
            <w:right w:w="17" w:type="dxa"/>
          </w:tblCellMar>
        </w:tblPrEx>
        <w:trPr>
          <w:trHeight w:val="90" w:hRule="atLeast"/>
        </w:trPr>
        <w:tc>
          <w:tcPr>
            <w:tcW w:w="13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绩效目标</w:t>
            </w:r>
          </w:p>
          <w:p>
            <w:pPr>
              <w:widowControl/>
              <w:spacing w:line="32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实现情况</w:t>
            </w:r>
          </w:p>
        </w:tc>
        <w:tc>
          <w:tcPr>
            <w:tcW w:w="7627" w:type="dxa"/>
            <w:gridSpan w:val="8"/>
            <w:tcBorders>
              <w:top w:val="single" w:color="000000" w:sz="4" w:space="0"/>
              <w:left w:val="single" w:color="000000" w:sz="4" w:space="0"/>
              <w:bottom w:val="single" w:color="auto" w:sz="4" w:space="0"/>
              <w:right w:val="single" w:color="000000" w:sz="4" w:space="0"/>
            </w:tcBorders>
            <w:noWrap w:val="0"/>
            <w:vAlign w:val="center"/>
          </w:tcPr>
          <w:p>
            <w:pPr>
              <w:pStyle w:val="24"/>
              <w:rPr>
                <w:rFonts w:hint="default" w:ascii="仿宋_GB2312" w:hAnsi="宋体" w:eastAsia="仿宋_GB2312" w:cs="仿宋_GB2312"/>
                <w:color w:val="000000"/>
                <w:sz w:val="20"/>
                <w:szCs w:val="20"/>
                <w:highlight w:val="none"/>
                <w:lang w:val="en-US" w:eastAsia="zh-CN"/>
              </w:rPr>
            </w:pPr>
            <w:r>
              <w:rPr>
                <w:rFonts w:hint="default" w:ascii="仿宋_GB2312" w:hAnsi="宋体" w:eastAsia="仿宋_GB2312" w:cs="仿宋_GB2312"/>
                <w:color w:val="000000"/>
                <w:sz w:val="20"/>
                <w:szCs w:val="20"/>
                <w:highlight w:val="none"/>
                <w:lang w:val="en-US" w:eastAsia="zh-CN"/>
              </w:rPr>
              <w:t>支持规模以上制造企业达产增产和重大工程项目绩效目标合计5个，已完成4个，部分完成1个；绩效指标合计12个，已完成11个，未完成1个。</w:t>
            </w:r>
          </w:p>
        </w:tc>
      </w:tr>
      <w:tr>
        <w:tblPrEx>
          <w:tblCellMar>
            <w:top w:w="17" w:type="dxa"/>
            <w:left w:w="17" w:type="dxa"/>
            <w:bottom w:w="17" w:type="dxa"/>
            <w:right w:w="17" w:type="dxa"/>
          </w:tblCellMar>
        </w:tblPrEx>
        <w:trPr>
          <w:trHeight w:val="750" w:hRule="atLeast"/>
        </w:trPr>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简要情况</w:t>
            </w:r>
          </w:p>
        </w:tc>
        <w:tc>
          <w:tcPr>
            <w:tcW w:w="7627"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（一）</w:t>
            </w:r>
            <w:r>
              <w:rPr>
                <w:rFonts w:hint="eastAsia" w:ascii="仿宋_GB2312" w:hAnsi="仿宋_GB2312" w:eastAsia="仿宋_GB2312" w:cs="仿宋_GB2312"/>
                <w:sz w:val="20"/>
                <w:szCs w:val="20"/>
                <w:lang w:val="en-US" w:eastAsia="zh-CN"/>
              </w:rPr>
              <w:t>政策</w:t>
            </w:r>
            <w:r>
              <w:rPr>
                <w:rFonts w:hint="eastAsia" w:ascii="仿宋_GB2312" w:hAnsi="仿宋_GB2312" w:eastAsia="仿宋_GB2312" w:cs="仿宋_GB2312"/>
                <w:sz w:val="20"/>
                <w:szCs w:val="20"/>
              </w:rPr>
              <w:t>制度方面</w:t>
            </w:r>
          </w:p>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区工信局未对项目制定相应的业务档案管理制度。</w:t>
            </w:r>
          </w:p>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二</w:t>
            </w: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项目</w:t>
            </w:r>
            <w:r>
              <w:rPr>
                <w:rFonts w:hint="eastAsia" w:ascii="仿宋_GB2312" w:hAnsi="仿宋_GB2312" w:eastAsia="仿宋_GB2312" w:cs="仿宋_GB2312"/>
                <w:sz w:val="20"/>
                <w:szCs w:val="20"/>
              </w:rPr>
              <w:t>管理方面</w:t>
            </w:r>
          </w:p>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2021年度工业就业平均保持率低于100%。</w:t>
            </w:r>
          </w:p>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三</w:t>
            </w:r>
            <w:r>
              <w:rPr>
                <w:rFonts w:hint="eastAsia" w:ascii="仿宋_GB2312" w:hAnsi="仿宋_GB2312" w:eastAsia="仿宋_GB2312" w:cs="仿宋_GB2312"/>
                <w:sz w:val="20"/>
                <w:szCs w:val="20"/>
              </w:rPr>
              <w:t>）绩效管理方面</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rPr>
              <w:t>绩效</w:t>
            </w:r>
            <w:r>
              <w:rPr>
                <w:rFonts w:hint="eastAsia" w:ascii="仿宋_GB2312" w:hAnsi="仿宋_GB2312" w:eastAsia="仿宋_GB2312" w:cs="仿宋_GB2312"/>
                <w:sz w:val="20"/>
                <w:szCs w:val="20"/>
                <w:lang w:val="en-US" w:eastAsia="zh-CN"/>
              </w:rPr>
              <w:t>指标</w:t>
            </w:r>
            <w:r>
              <w:rPr>
                <w:rFonts w:hint="eastAsia" w:ascii="仿宋_GB2312" w:hAnsi="仿宋_GB2312" w:eastAsia="仿宋_GB2312" w:cs="仿宋_GB2312"/>
                <w:sz w:val="20"/>
                <w:szCs w:val="20"/>
              </w:rPr>
              <w:t>编制合理性有待加强。</w:t>
            </w:r>
            <w:r>
              <w:rPr>
                <w:rFonts w:hint="eastAsia" w:ascii="仿宋_GB2312" w:hAnsi="仿宋_GB2312" w:eastAsia="仿宋_GB2312" w:cs="仿宋_GB2312"/>
                <w:sz w:val="20"/>
                <w:szCs w:val="20"/>
                <w:lang w:val="zh-CN"/>
              </w:rPr>
              <w:t>区工信局</w:t>
            </w:r>
            <w:r>
              <w:rPr>
                <w:rFonts w:hint="eastAsia" w:ascii="仿宋_GB2312" w:hAnsi="仿宋_GB2312" w:eastAsia="仿宋_GB2312" w:cs="仿宋_GB2312"/>
                <w:sz w:val="20"/>
                <w:szCs w:val="20"/>
                <w:lang w:val="en-US" w:eastAsia="zh-CN"/>
              </w:rPr>
              <w:t>社会效益指标指标值不清晰，不可衡量。</w:t>
            </w:r>
          </w:p>
        </w:tc>
      </w:tr>
      <w:tr>
        <w:tblPrEx>
          <w:tblCellMar>
            <w:top w:w="17" w:type="dxa"/>
            <w:left w:w="17" w:type="dxa"/>
            <w:bottom w:w="17" w:type="dxa"/>
            <w:right w:w="17" w:type="dxa"/>
          </w:tblCellMar>
        </w:tblPrEx>
        <w:trPr>
          <w:trHeight w:val="386" w:hRule="atLeast"/>
        </w:trPr>
        <w:tc>
          <w:tcPr>
            <w:tcW w:w="1356"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简要建议</w:t>
            </w:r>
          </w:p>
        </w:tc>
        <w:tc>
          <w:tcPr>
            <w:tcW w:w="7627" w:type="dxa"/>
            <w:gridSpan w:val="8"/>
            <w:tcBorders>
              <w:top w:val="single" w:color="auto" w:sz="4" w:space="0"/>
              <w:left w:val="single" w:color="000000" w:sz="4" w:space="0"/>
              <w:bottom w:val="single" w:color="auto"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（一）政策制度方面</w:t>
            </w:r>
          </w:p>
          <w:p>
            <w:pPr>
              <w:widowControl/>
              <w:spacing w:line="400" w:lineRule="exact"/>
              <w:jc w:val="left"/>
              <w:textAlignment w:val="center"/>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rPr>
              <w:t>完善项目档案管理制度</w:t>
            </w:r>
            <w:r>
              <w:rPr>
                <w:rFonts w:hint="eastAsia" w:ascii="仿宋_GB2312" w:hAnsi="仿宋_GB2312" w:eastAsia="仿宋_GB2312" w:cs="仿宋_GB2312"/>
                <w:sz w:val="20"/>
                <w:szCs w:val="20"/>
                <w:lang w:eastAsia="zh-CN"/>
              </w:rPr>
              <w:t>。</w:t>
            </w:r>
          </w:p>
          <w:p>
            <w:pPr>
              <w:widowControl/>
              <w:spacing w:line="400" w:lineRule="exact"/>
              <w:jc w:val="left"/>
              <w:textAlignment w:val="center"/>
              <w:rPr>
                <w:rFonts w:hint="eastAsia"/>
                <w:lang w:eastAsia="zh-CN"/>
              </w:rPr>
            </w:pP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二</w:t>
            </w: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项目</w:t>
            </w:r>
            <w:r>
              <w:rPr>
                <w:rFonts w:hint="eastAsia" w:ascii="仿宋_GB2312" w:hAnsi="仿宋_GB2312" w:eastAsia="仿宋_GB2312" w:cs="仿宋_GB2312"/>
                <w:sz w:val="20"/>
                <w:szCs w:val="20"/>
              </w:rPr>
              <w:t>管理方面</w:t>
            </w:r>
          </w:p>
          <w:p>
            <w:pPr>
              <w:widowControl/>
              <w:spacing w:line="400" w:lineRule="exact"/>
              <w:jc w:val="left"/>
              <w:textAlignment w:val="center"/>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lang w:eastAsia="zh-CN"/>
              </w:rPr>
              <w:t>建议区工信局为企业争取更多省市区就业政策支持，帮助企业稳定就业。</w:t>
            </w:r>
          </w:p>
          <w:p>
            <w:pPr>
              <w:widowControl/>
              <w:spacing w:line="40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三</w:t>
            </w:r>
            <w:r>
              <w:rPr>
                <w:rFonts w:hint="eastAsia" w:ascii="仿宋_GB2312" w:hAnsi="仿宋_GB2312" w:eastAsia="仿宋_GB2312" w:cs="仿宋_GB2312"/>
                <w:sz w:val="20"/>
                <w:szCs w:val="20"/>
              </w:rPr>
              <w:t>）绩效管理方面</w:t>
            </w:r>
          </w:p>
          <w:p>
            <w:pPr>
              <w:widowControl/>
              <w:spacing w:line="400" w:lineRule="exact"/>
              <w:jc w:val="left"/>
              <w:textAlignment w:val="center"/>
              <w:rPr>
                <w:rFonts w:hint="eastAsia" w:ascii="仿宋_GB2312" w:hAnsi="宋体" w:eastAsia="仿宋_GB2312" w:cs="仿宋_GB2312"/>
                <w:color w:val="000000"/>
                <w:sz w:val="20"/>
                <w:szCs w:val="20"/>
                <w:highlight w:val="none"/>
              </w:rPr>
            </w:pPr>
            <w:r>
              <w:rPr>
                <w:rFonts w:hint="eastAsia" w:ascii="仿宋_GB2312" w:hAnsi="仿宋_GB2312" w:eastAsia="仿宋_GB2312" w:cs="仿宋_GB2312"/>
                <w:sz w:val="20"/>
                <w:szCs w:val="20"/>
              </w:rPr>
              <w:t>科学设置项目绩效指标。</w:t>
            </w:r>
          </w:p>
        </w:tc>
      </w:tr>
      <w:tr>
        <w:tblPrEx>
          <w:tblCellMar>
            <w:top w:w="17" w:type="dxa"/>
            <w:left w:w="17" w:type="dxa"/>
            <w:bottom w:w="17" w:type="dxa"/>
            <w:right w:w="17" w:type="dxa"/>
          </w:tblCellMar>
        </w:tblPrEx>
        <w:trPr>
          <w:trHeight w:val="0" w:hRule="atLeast"/>
        </w:trPr>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评价结果</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应用建议</w:t>
            </w:r>
          </w:p>
        </w:tc>
        <w:tc>
          <w:tcPr>
            <w:tcW w:w="7627" w:type="dxa"/>
            <w:gridSpan w:val="8"/>
            <w:tcBorders>
              <w:top w:val="single" w:color="auto" w:sz="4" w:space="0"/>
              <w:left w:val="single" w:color="auto" w:sz="4" w:space="0"/>
              <w:bottom w:val="single" w:color="auto" w:sz="4" w:space="0"/>
              <w:right w:val="single" w:color="auto" w:sz="4" w:space="0"/>
            </w:tcBorders>
            <w:noWrap w:val="0"/>
            <w:vAlign w:val="center"/>
          </w:tcPr>
          <w:p>
            <w:pPr>
              <w:widowControl/>
              <w:numPr>
                <w:ilvl w:val="-1"/>
                <w:numId w:val="0"/>
              </w:numPr>
              <w:spacing w:line="400" w:lineRule="exact"/>
              <w:ind w:firstLine="0" w:firstLineChars="0"/>
              <w:jc w:val="left"/>
              <w:textAlignment w:val="auto"/>
              <w:rPr>
                <w:rFonts w:ascii="仿宋_GB2312" w:hAnsi="宋体" w:eastAsia="仿宋_GB2312" w:cs="仿宋_GB2312"/>
                <w:color w:val="000000"/>
                <w:sz w:val="20"/>
                <w:szCs w:val="20"/>
                <w:highlight w:val="none"/>
              </w:rPr>
            </w:pPr>
            <w:r>
              <w:rPr>
                <w:rFonts w:hint="eastAsia" w:ascii="仿宋_GB2312" w:hAnsi="仿宋_GB2312" w:eastAsia="仿宋_GB2312" w:cs="仿宋_GB2312"/>
                <w:sz w:val="20"/>
                <w:szCs w:val="20"/>
                <w:lang w:eastAsia="zh-CN"/>
              </w:rPr>
              <w:t>建议</w:t>
            </w:r>
            <w:r>
              <w:rPr>
                <w:rFonts w:hint="eastAsia" w:ascii="仿宋_GB2312" w:hAnsi="仿宋_GB2312" w:eastAsia="仿宋_GB2312" w:cs="仿宋_GB2312"/>
                <w:sz w:val="20"/>
                <w:szCs w:val="20"/>
                <w:lang w:val="en-US" w:eastAsia="zh-CN"/>
              </w:rPr>
              <w:t>根据疫情对云岩区及企业的实际影响，调整</w:t>
            </w:r>
            <w:r>
              <w:rPr>
                <w:rFonts w:hint="eastAsia" w:ascii="仿宋_GB2312" w:hAnsi="仿宋_GB2312" w:eastAsia="仿宋_GB2312" w:cs="仿宋_GB2312"/>
                <w:sz w:val="20"/>
                <w:szCs w:val="20"/>
                <w:lang w:eastAsia="zh-CN"/>
              </w:rPr>
              <w:t>支持规模以上制造企业达产增产和重大工程项目</w:t>
            </w:r>
            <w:r>
              <w:rPr>
                <w:rFonts w:hint="eastAsia" w:ascii="仿宋_GB2312" w:hAnsi="仿宋_GB2312" w:eastAsia="仿宋_GB2312" w:cs="仿宋_GB2312"/>
                <w:sz w:val="20"/>
                <w:szCs w:val="20"/>
                <w:lang w:val="en-US" w:eastAsia="zh-CN"/>
              </w:rPr>
              <w:t>的规模</w:t>
            </w:r>
            <w:r>
              <w:rPr>
                <w:rFonts w:hint="eastAsia" w:ascii="仿宋_GB2312" w:hAnsi="仿宋_GB2312" w:eastAsia="仿宋_GB2312" w:cs="仿宋_GB2312"/>
                <w:sz w:val="20"/>
                <w:szCs w:val="20"/>
                <w:lang w:eastAsia="zh-CN"/>
              </w:rPr>
              <w:t>。通过</w:t>
            </w:r>
            <w:r>
              <w:rPr>
                <w:rFonts w:hint="eastAsia" w:ascii="仿宋_GB2312" w:hAnsi="仿宋_GB2312" w:eastAsia="仿宋_GB2312" w:cs="仿宋_GB2312"/>
                <w:sz w:val="20"/>
                <w:szCs w:val="20"/>
                <w:lang w:val="en-US" w:eastAsia="zh-CN"/>
              </w:rPr>
              <w:t>对符合奖补条件的企业进行奖励及补助</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lang w:val="en-US" w:eastAsia="zh-CN"/>
              </w:rPr>
              <w:t>有效</w:t>
            </w:r>
            <w:r>
              <w:rPr>
                <w:rFonts w:hint="eastAsia" w:ascii="仿宋_GB2312" w:hAnsi="仿宋_GB2312" w:eastAsia="仿宋_GB2312" w:cs="仿宋_GB2312"/>
                <w:sz w:val="20"/>
                <w:szCs w:val="20"/>
                <w:lang w:eastAsia="zh-CN"/>
              </w:rPr>
              <w:t>帮助稳定市场、稳定就业，促进</w:t>
            </w:r>
            <w:r>
              <w:rPr>
                <w:rFonts w:hint="eastAsia" w:ascii="仿宋_GB2312" w:hAnsi="仿宋_GB2312" w:eastAsia="仿宋_GB2312" w:cs="仿宋_GB2312"/>
                <w:sz w:val="20"/>
                <w:szCs w:val="20"/>
                <w:lang w:val="en-US" w:eastAsia="zh-CN"/>
              </w:rPr>
              <w:t>了</w:t>
            </w:r>
            <w:r>
              <w:rPr>
                <w:rFonts w:hint="eastAsia" w:ascii="仿宋_GB2312" w:hAnsi="仿宋_GB2312" w:eastAsia="仿宋_GB2312" w:cs="仿宋_GB2312"/>
                <w:sz w:val="20"/>
                <w:szCs w:val="20"/>
                <w:lang w:eastAsia="zh-CN"/>
              </w:rPr>
              <w:t>工业经济平稳健康发展，鼓励企业扩产增效，切实帮助企业解决困难和问题。</w:t>
            </w:r>
          </w:p>
        </w:tc>
      </w:tr>
    </w:tbl>
    <w:tbl>
      <w:tblPr>
        <w:tblStyle w:val="17"/>
        <w:tblpPr w:leftFromText="180" w:rightFromText="180" w:vertAnchor="text" w:horzAnchor="margin" w:tblpY="1"/>
        <w:tblOverlap w:val="never"/>
        <w:tblW w:w="8983" w:type="dxa"/>
        <w:tblInd w:w="0" w:type="dxa"/>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17" w:type="dxa"/>
          <w:bottom w:w="17" w:type="dxa"/>
          <w:right w:w="17" w:type="dxa"/>
        </w:tblCellMar>
      </w:tblPr>
      <w:tblGrid>
        <w:gridCol w:w="2059"/>
        <w:gridCol w:w="2252"/>
        <w:gridCol w:w="2238"/>
        <w:gridCol w:w="2434"/>
      </w:tblGrid>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1012" w:hRule="atLeast"/>
        </w:trPr>
        <w:tc>
          <w:tcPr>
            <w:tcW w:w="2059"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评价时间</w:t>
            </w:r>
          </w:p>
        </w:tc>
        <w:tc>
          <w:tcPr>
            <w:tcW w:w="2252" w:type="dxa"/>
            <w:tcBorders>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8</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30</w:t>
            </w:r>
            <w:r>
              <w:rPr>
                <w:rFonts w:hint="eastAsia" w:ascii="仿宋_GB2312" w:hAnsi="宋体" w:eastAsia="仿宋_GB2312" w:cs="仿宋_GB2312"/>
                <w:color w:val="000000"/>
                <w:sz w:val="20"/>
                <w:szCs w:val="20"/>
                <w:highlight w:val="none"/>
              </w:rPr>
              <w:t>日—20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12</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15</w:t>
            </w:r>
            <w:r>
              <w:rPr>
                <w:rFonts w:hint="eastAsia" w:ascii="仿宋_GB2312" w:hAnsi="宋体" w:eastAsia="仿宋_GB2312" w:cs="仿宋_GB2312"/>
                <w:color w:val="000000"/>
                <w:sz w:val="20"/>
                <w:szCs w:val="20"/>
                <w:highlight w:val="none"/>
              </w:rPr>
              <w:t>日</w:t>
            </w:r>
          </w:p>
        </w:tc>
        <w:tc>
          <w:tcPr>
            <w:tcW w:w="2238"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评价机构报告编号</w:t>
            </w:r>
          </w:p>
        </w:tc>
        <w:tc>
          <w:tcPr>
            <w:tcW w:w="2434" w:type="dxa"/>
            <w:tcBorders>
              <w:tl2br w:val="nil"/>
              <w:tr2bl w:val="nil"/>
            </w:tcBorders>
            <w:noWrap w:val="0"/>
            <w:vAlign w:val="center"/>
          </w:tcPr>
          <w:p>
            <w:pPr>
              <w:widowControl/>
              <w:spacing w:line="320" w:lineRule="exact"/>
              <w:ind w:firstLine="400" w:firstLineChars="200"/>
              <w:jc w:val="center"/>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贵州黔元</w:t>
            </w:r>
          </w:p>
          <w:p>
            <w:pPr>
              <w:widowControl/>
              <w:spacing w:line="320" w:lineRule="exact"/>
              <w:ind w:firstLine="400" w:firstLineChars="200"/>
              <w:jc w:val="center"/>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绩效字〔2022〕第</w:t>
            </w:r>
            <w:r>
              <w:rPr>
                <w:rFonts w:hint="eastAsia" w:ascii="仿宋_GB2312" w:hAnsi="宋体" w:eastAsia="仿宋_GB2312" w:cs="仿宋_GB2312"/>
                <w:color w:val="000000"/>
                <w:sz w:val="20"/>
                <w:szCs w:val="20"/>
                <w:highlight w:val="none"/>
                <w:lang w:val="en-US" w:eastAsia="zh-CN"/>
              </w:rPr>
              <w:t>37</w:t>
            </w:r>
            <w:r>
              <w:rPr>
                <w:rFonts w:hint="eastAsia" w:ascii="仿宋_GB2312" w:hAnsi="宋体" w:eastAsia="仿宋_GB2312" w:cs="仿宋_GB2312"/>
                <w:color w:val="000000"/>
                <w:sz w:val="20"/>
                <w:szCs w:val="20"/>
                <w:highlight w:val="none"/>
              </w:rPr>
              <w:t>号</w:t>
            </w:r>
          </w:p>
        </w:tc>
      </w:tr>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2234" w:hRule="atLeast"/>
        </w:trPr>
        <w:tc>
          <w:tcPr>
            <w:tcW w:w="2059" w:type="dxa"/>
            <w:tcBorders>
              <w:tl2br w:val="nil"/>
              <w:tr2bl w:val="nil"/>
            </w:tcBorders>
            <w:noWrap w:val="0"/>
            <w:vAlign w:val="center"/>
          </w:tcPr>
          <w:p>
            <w:pPr>
              <w:widowControl/>
              <w:spacing w:line="320" w:lineRule="exact"/>
              <w:ind w:firstLine="400" w:firstLineChars="200"/>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lang w:eastAsia="zh-CN"/>
              </w:rPr>
              <w:t>项目主评人</w:t>
            </w:r>
            <w:r>
              <w:rPr>
                <w:rFonts w:hint="eastAsia" w:ascii="黑体" w:hAnsi="黑体" w:eastAsia="黑体" w:cs="仿宋_GB2312"/>
                <w:color w:val="000000"/>
                <w:sz w:val="20"/>
                <w:szCs w:val="20"/>
                <w:highlight w:val="none"/>
              </w:rPr>
              <w:t>（签字）</w:t>
            </w:r>
          </w:p>
          <w:p>
            <w:pPr>
              <w:widowControl/>
              <w:spacing w:line="320" w:lineRule="exact"/>
              <w:ind w:firstLine="400" w:firstLineChars="200"/>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252" w:type="dxa"/>
            <w:tcBorders>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p>
          <w:p>
            <w:pPr>
              <w:pStyle w:val="24"/>
              <w:rPr>
                <w:rFonts w:ascii="仿宋_GB2312" w:hAnsi="宋体" w:eastAsia="仿宋_GB2312" w:cs="仿宋_GB2312"/>
                <w:color w:val="000000"/>
                <w:sz w:val="20"/>
                <w:szCs w:val="20"/>
                <w:highlight w:val="none"/>
              </w:rPr>
            </w:pPr>
          </w:p>
          <w:p>
            <w:pPr>
              <w:pStyle w:val="24"/>
              <w:rPr>
                <w:rFonts w:ascii="仿宋_GB2312" w:hAnsi="宋体" w:eastAsia="仿宋_GB2312" w:cs="仿宋_GB2312"/>
                <w:color w:val="000000"/>
                <w:sz w:val="20"/>
                <w:szCs w:val="20"/>
                <w:highlight w:val="none"/>
              </w:rPr>
            </w:pPr>
          </w:p>
          <w:p>
            <w:pPr>
              <w:widowControl/>
              <w:spacing w:line="320" w:lineRule="exact"/>
              <w:jc w:val="left"/>
              <w:textAlignment w:val="center"/>
              <w:rPr>
                <w:rFonts w:ascii="仿宋_GB2312" w:hAnsi="宋体" w:eastAsia="仿宋_GB2312" w:cs="仿宋_GB2312"/>
                <w:color w:val="000000"/>
                <w:sz w:val="20"/>
                <w:szCs w:val="20"/>
                <w:highlight w:val="none"/>
              </w:rPr>
            </w:pPr>
          </w:p>
          <w:p>
            <w:pPr>
              <w:widowControl/>
              <w:spacing w:line="320" w:lineRule="exact"/>
              <w:ind w:firstLine="400" w:firstLineChars="200"/>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宫经全：13985455127</w:t>
            </w:r>
          </w:p>
        </w:tc>
        <w:tc>
          <w:tcPr>
            <w:tcW w:w="2238" w:type="dxa"/>
            <w:tcBorders>
              <w:tl2br w:val="nil"/>
              <w:tr2bl w:val="nil"/>
            </w:tcBorders>
            <w:noWrap w:val="0"/>
            <w:vAlign w:val="center"/>
          </w:tcPr>
          <w:p>
            <w:pPr>
              <w:widowControl/>
              <w:spacing w:line="320" w:lineRule="exact"/>
              <w:ind w:firstLine="400" w:firstLineChars="200"/>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法定代表人（签字）</w:t>
            </w:r>
          </w:p>
          <w:p>
            <w:pPr>
              <w:widowControl/>
              <w:spacing w:line="320" w:lineRule="exact"/>
              <w:ind w:firstLine="400" w:firstLineChars="200"/>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434" w:type="dxa"/>
            <w:tcBorders>
              <w:tl2br w:val="nil"/>
              <w:tr2bl w:val="nil"/>
            </w:tcBorders>
            <w:noWrap w:val="0"/>
            <w:vAlign w:val="center"/>
          </w:tcPr>
          <w:p>
            <w:pPr>
              <w:widowControl/>
              <w:spacing w:line="320" w:lineRule="exact"/>
              <w:jc w:val="left"/>
              <w:textAlignment w:val="center"/>
              <w:rPr>
                <w:rFonts w:hint="eastAsia" w:ascii="仿宋_GB2312" w:hAnsi="仿宋_GB2312" w:eastAsia="仿宋_GB2312" w:cs="仿宋_GB2312"/>
                <w:sz w:val="20"/>
                <w:szCs w:val="20"/>
                <w:highlight w:val="none"/>
              </w:rPr>
            </w:pPr>
          </w:p>
          <w:p>
            <w:pPr>
              <w:pStyle w:val="24"/>
              <w:rPr>
                <w:rFonts w:hint="eastAsia" w:ascii="仿宋_GB2312" w:hAnsi="仿宋_GB2312" w:eastAsia="仿宋_GB2312" w:cs="仿宋_GB2312"/>
                <w:sz w:val="20"/>
                <w:szCs w:val="20"/>
                <w:highlight w:val="none"/>
              </w:rPr>
            </w:pPr>
          </w:p>
          <w:p>
            <w:pPr>
              <w:pStyle w:val="24"/>
              <w:rPr>
                <w:rFonts w:hint="eastAsia" w:ascii="仿宋_GB2312" w:hAnsi="仿宋_GB2312" w:eastAsia="仿宋_GB2312" w:cs="仿宋_GB2312"/>
                <w:sz w:val="20"/>
                <w:szCs w:val="20"/>
                <w:highlight w:val="none"/>
              </w:rPr>
            </w:pPr>
          </w:p>
          <w:p>
            <w:pPr>
              <w:widowControl/>
              <w:spacing w:line="320" w:lineRule="exact"/>
              <w:jc w:val="left"/>
              <w:textAlignment w:val="center"/>
              <w:rPr>
                <w:rFonts w:hint="eastAsia" w:ascii="仿宋_GB2312" w:hAnsi="仿宋_GB2312" w:eastAsia="仿宋_GB2312" w:cs="仿宋_GB2312"/>
                <w:sz w:val="20"/>
                <w:szCs w:val="20"/>
                <w:highlight w:val="none"/>
              </w:rPr>
            </w:pPr>
          </w:p>
          <w:p>
            <w:pPr>
              <w:widowControl/>
              <w:spacing w:line="320" w:lineRule="exact"/>
              <w:ind w:firstLine="400" w:firstLineChars="200"/>
              <w:jc w:val="left"/>
              <w:textAlignment w:val="center"/>
              <w:rPr>
                <w:rFonts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陈万琪：</w:t>
            </w:r>
            <w:r>
              <w:rPr>
                <w:rFonts w:ascii="仿宋_GB2312" w:hAnsi="仿宋_GB2312" w:eastAsia="仿宋_GB2312" w:cs="仿宋_GB2312"/>
                <w:sz w:val="20"/>
                <w:szCs w:val="20"/>
                <w:highlight w:val="none"/>
              </w:rPr>
              <w:t>13985006396</w:t>
            </w:r>
          </w:p>
        </w:tc>
      </w:tr>
    </w:tbl>
    <w:p>
      <w:pPr>
        <w:rPr>
          <w:highlight w:val="none"/>
        </w:rPr>
      </w:pPr>
    </w:p>
    <w:p>
      <w:pPr>
        <w:rPr>
          <w:rFonts w:eastAsia="方正小标宋简体"/>
          <w:sz w:val="44"/>
          <w:szCs w:val="4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3"/>
        <w:keepNext w:val="0"/>
        <w:keepLines w:val="0"/>
        <w:pageBreakBefore w:val="0"/>
        <w:widowControl w:val="0"/>
        <w:kinsoku/>
        <w:wordWrap/>
        <w:overflowPunct/>
        <w:topLinePunct w:val="0"/>
        <w:autoSpaceDE/>
        <w:autoSpaceDN/>
        <w:bidi w:val="0"/>
        <w:adjustRightInd/>
        <w:snapToGrid/>
        <w:ind w:firstLine="664" w:firstLineChars="200"/>
        <w:textAlignment w:val="auto"/>
        <w:rPr>
          <w:spacing w:val="6"/>
          <w:highlight w:val="none"/>
        </w:rPr>
      </w:pPr>
      <w:bookmarkStart w:id="0" w:name="_Toc23747"/>
      <w:bookmarkStart w:id="1" w:name="_Toc15338"/>
      <w:bookmarkStart w:id="2" w:name="_Toc16295"/>
      <w:bookmarkStart w:id="3" w:name="_Toc12290"/>
      <w:bookmarkStart w:id="4" w:name="_Toc8051"/>
      <w:bookmarkStart w:id="5" w:name="_Toc2662"/>
      <w:bookmarkStart w:id="6" w:name="_Toc1391"/>
      <w:bookmarkStart w:id="7" w:name="_Toc6327"/>
      <w:bookmarkStart w:id="8" w:name="_Toc15972"/>
      <w:bookmarkStart w:id="9" w:name="_Toc6906"/>
      <w:bookmarkStart w:id="10" w:name="_Toc30498"/>
      <w:bookmarkStart w:id="11" w:name="_Toc21015"/>
      <w:bookmarkStart w:id="12" w:name="_Toc25305"/>
      <w:bookmarkStart w:id="13" w:name="_Toc12764"/>
      <w:bookmarkStart w:id="14" w:name="_Toc12079"/>
      <w:bookmarkStart w:id="15" w:name="_Toc28719"/>
      <w:bookmarkStart w:id="16" w:name="_Toc14205"/>
      <w:bookmarkStart w:id="17" w:name="_Toc15159"/>
      <w:bookmarkStart w:id="18" w:name="_Toc12766"/>
      <w:bookmarkStart w:id="19" w:name="_Toc30388"/>
      <w:bookmarkStart w:id="20" w:name="_Toc29412"/>
      <w:bookmarkStart w:id="21" w:name="_Toc13207"/>
      <w:bookmarkStart w:id="22" w:name="_Toc1193"/>
      <w:bookmarkStart w:id="23" w:name="_Toc24329"/>
      <w:bookmarkStart w:id="24" w:name="_Toc30987"/>
      <w:bookmarkStart w:id="25" w:name="_Toc9684"/>
      <w:bookmarkStart w:id="26" w:name="_Toc25748"/>
      <w:bookmarkStart w:id="27" w:name="_Toc9163"/>
      <w:bookmarkStart w:id="28" w:name="_Toc11919"/>
      <w:bookmarkStart w:id="29" w:name="_Toc29329"/>
      <w:bookmarkStart w:id="30" w:name="_Toc22300"/>
      <w:r>
        <w:rPr>
          <w:rFonts w:hint="eastAsia"/>
          <w:spacing w:val="6"/>
          <w:highlight w:val="none"/>
        </w:rPr>
        <w:t>一、基本情况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pPr>
        <w:pStyle w:val="4"/>
        <w:keepNext w:val="0"/>
        <w:keepLines w:val="0"/>
        <w:pageBreakBefore w:val="0"/>
        <w:widowControl w:val="0"/>
        <w:kinsoku/>
        <w:wordWrap/>
        <w:overflowPunct/>
        <w:topLinePunct w:val="0"/>
        <w:autoSpaceDE/>
        <w:autoSpaceDN/>
        <w:bidi w:val="0"/>
        <w:adjustRightInd/>
        <w:snapToGrid/>
        <w:ind w:firstLine="664" w:firstLineChars="200"/>
        <w:textAlignment w:val="auto"/>
        <w:rPr>
          <w:rFonts w:hint="eastAsia" w:hAnsi="仿宋" w:eastAsia="楷体_GB2312"/>
          <w:spacing w:val="6"/>
          <w:szCs w:val="32"/>
          <w:highlight w:val="none"/>
          <w:lang w:val="en-US" w:eastAsia="zh-CN"/>
        </w:rPr>
      </w:pPr>
      <w:bookmarkStart w:id="31" w:name="_Toc2255"/>
      <w:bookmarkStart w:id="32" w:name="_Toc27860"/>
      <w:bookmarkStart w:id="33" w:name="_Toc17123"/>
      <w:bookmarkStart w:id="34" w:name="_Toc5632"/>
      <w:bookmarkStart w:id="35" w:name="_Toc12643"/>
      <w:bookmarkStart w:id="36" w:name="_Toc22895"/>
      <w:bookmarkStart w:id="37" w:name="_Toc286"/>
      <w:bookmarkStart w:id="38" w:name="_Toc28210"/>
      <w:bookmarkStart w:id="39" w:name="_Toc8687"/>
      <w:bookmarkStart w:id="40" w:name="_Toc12975"/>
      <w:bookmarkStart w:id="41" w:name="_Toc31337"/>
      <w:bookmarkStart w:id="42" w:name="_Toc9213"/>
      <w:bookmarkStart w:id="43" w:name="_Toc12188"/>
      <w:bookmarkStart w:id="44" w:name="_Toc20737"/>
      <w:bookmarkStart w:id="45" w:name="_Toc29893"/>
      <w:bookmarkStart w:id="46" w:name="_Toc4534"/>
      <w:bookmarkStart w:id="47" w:name="_Toc28486"/>
      <w:bookmarkStart w:id="48" w:name="_Toc12996"/>
      <w:bookmarkStart w:id="49" w:name="_Toc8811"/>
      <w:bookmarkStart w:id="50" w:name="_Toc27289"/>
      <w:bookmarkStart w:id="51" w:name="_Toc13002"/>
      <w:bookmarkStart w:id="52" w:name="_Toc32693"/>
      <w:bookmarkStart w:id="53" w:name="_Toc16625"/>
      <w:bookmarkStart w:id="54" w:name="_Toc11765"/>
      <w:bookmarkStart w:id="55" w:name="_Toc24129"/>
      <w:bookmarkStart w:id="56" w:name="_Toc29818"/>
      <w:bookmarkStart w:id="57" w:name="_Toc11736"/>
      <w:bookmarkStart w:id="58" w:name="_Toc27433"/>
      <w:bookmarkStart w:id="59" w:name="_Toc30155"/>
      <w:bookmarkStart w:id="60" w:name="_Toc28451"/>
      <w:bookmarkStart w:id="61" w:name="_Toc10962"/>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仿宋"/>
          <w:spacing w:val="6"/>
          <w:szCs w:val="32"/>
          <w:highlight w:val="none"/>
          <w:lang w:val="zh-CN"/>
        </w:rPr>
        <w:t>（一）</w:t>
      </w:r>
      <w:r>
        <w:rPr>
          <w:rFonts w:hAnsi="仿宋"/>
          <w:spacing w:val="6"/>
          <w:szCs w:val="32"/>
          <w:highlight w:val="none"/>
          <w:lang w:val="zh-CN"/>
        </w:rPr>
        <w:fldChar w:fldCharType="end"/>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hint="eastAsia" w:hAnsi="仿宋"/>
          <w:spacing w:val="6"/>
          <w:szCs w:val="32"/>
          <w:highlight w:val="none"/>
          <w:lang w:val="en-US" w:eastAsia="zh-CN"/>
        </w:rPr>
        <w:t>项目概况</w:t>
      </w:r>
      <w:bookmarkEnd w:id="56"/>
      <w:bookmarkEnd w:id="57"/>
      <w:bookmarkEnd w:id="58"/>
      <w:bookmarkEnd w:id="59"/>
      <w:bookmarkEnd w:id="60"/>
      <w:bookmarkEnd w:id="61"/>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outlineLvl w:val="9"/>
        <w:rPr>
          <w:rFonts w:hint="eastAsia"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lang w:val="zh-CN"/>
        </w:rPr>
        <w:t>．</w:t>
      </w:r>
      <w:r>
        <w:rPr>
          <w:rFonts w:hint="eastAsia" w:ascii="仿宋_GB2312" w:hAnsi="仿宋_GB2312" w:eastAsia="仿宋_GB2312" w:cs="仿宋_GB2312"/>
          <w:spacing w:val="6"/>
          <w:sz w:val="32"/>
          <w:szCs w:val="32"/>
          <w:highlight w:val="none"/>
          <w:lang w:val="en-US" w:eastAsia="zh-CN"/>
        </w:rPr>
        <w:t>项目背景</w:t>
      </w:r>
    </w:p>
    <w:p>
      <w:pPr>
        <w:widowControl w:val="0"/>
        <w:spacing w:line="590" w:lineRule="exact"/>
        <w:ind w:firstLine="640" w:firstLineChars="200"/>
        <w:jc w:val="both"/>
        <w:rPr>
          <w:rFonts w:hint="eastAsia" w:ascii="仿宋_GB2312" w:hAnsi="黑体" w:eastAsia="仿宋_GB2312" w:cs="仿宋_GB2312"/>
          <w:color w:val="000000"/>
          <w:sz w:val="32"/>
          <w:szCs w:val="32"/>
        </w:rPr>
      </w:pPr>
      <w:r>
        <w:rPr>
          <w:rFonts w:hint="eastAsia" w:ascii="仿宋_GB2312" w:hAnsi="黑体" w:eastAsia="仿宋_GB2312" w:cs="仿宋_GB2312"/>
          <w:color w:val="000000"/>
          <w:sz w:val="32"/>
          <w:szCs w:val="32"/>
        </w:rPr>
        <w:t>按照国家、省、市关于统筹疫情防控和经济社会发展工作的决策部署，突出重点强支撑，把因疫情耽误的时间抢回来，把因疫情造成的损失补回来，把因疫情错过的机会夺回来，全力推动规模以上制造业企业达产增产和省重大工程、重点项目加快建设</w:t>
      </w:r>
      <w:r>
        <w:rPr>
          <w:rFonts w:hint="eastAsia" w:ascii="仿宋_GB2312" w:hAnsi="黑体" w:eastAsia="仿宋_GB2312" w:cs="仿宋_GB2312"/>
          <w:color w:val="000000"/>
          <w:sz w:val="32"/>
          <w:szCs w:val="32"/>
          <w:lang w:eastAsia="zh-CN"/>
        </w:rPr>
        <w:t>。</w:t>
      </w:r>
      <w:r>
        <w:rPr>
          <w:rFonts w:hint="eastAsia" w:ascii="仿宋_GB2312" w:hAnsi="黑体" w:eastAsia="仿宋_GB2312" w:cs="仿宋_GB2312"/>
          <w:color w:val="000000"/>
          <w:sz w:val="32"/>
          <w:szCs w:val="32"/>
        </w:rPr>
        <w:t>为扎实做好“六稳”工作，全面落实“六保”任务，帮助企业稳定市场、稳定就业，促进工业经济平稳健康发展，鼓励企业扩产增效，针对当前</w:t>
      </w:r>
      <w:r>
        <w:rPr>
          <w:rFonts w:hint="eastAsia" w:ascii="仿宋_GB2312" w:hAnsi="黑体" w:eastAsia="仿宋_GB2312" w:cs="仿宋_GB2312"/>
          <w:color w:val="000000"/>
          <w:sz w:val="32"/>
          <w:szCs w:val="32"/>
          <w:lang w:val="en-US" w:eastAsia="zh-CN"/>
        </w:rPr>
        <w:t>贵阳</w:t>
      </w:r>
      <w:r>
        <w:rPr>
          <w:rFonts w:hint="eastAsia" w:ascii="仿宋_GB2312" w:hAnsi="黑体" w:eastAsia="仿宋_GB2312" w:cs="仿宋_GB2312"/>
          <w:color w:val="000000"/>
          <w:sz w:val="32"/>
          <w:szCs w:val="32"/>
        </w:rPr>
        <w:t>市工业企业在生产经营中存在的突出问题</w:t>
      </w:r>
      <w:r>
        <w:rPr>
          <w:rFonts w:hint="eastAsia" w:ascii="仿宋_GB2312" w:hAnsi="黑体" w:eastAsia="仿宋_GB2312" w:cs="仿宋_GB2312"/>
          <w:color w:val="000000"/>
          <w:sz w:val="32"/>
          <w:szCs w:val="32"/>
          <w:lang w:eastAsia="zh-CN"/>
        </w:rPr>
        <w:t>，</w:t>
      </w:r>
      <w:r>
        <w:rPr>
          <w:rFonts w:hint="eastAsia" w:ascii="仿宋_GB2312" w:hAnsi="黑体" w:eastAsia="仿宋_GB2312" w:cs="仿宋_GB2312"/>
          <w:color w:val="000000"/>
          <w:sz w:val="32"/>
          <w:szCs w:val="32"/>
          <w:lang w:val="en-US" w:eastAsia="zh-CN"/>
        </w:rPr>
        <w:t>实施本项目</w:t>
      </w:r>
      <w:r>
        <w:rPr>
          <w:rFonts w:hint="eastAsia" w:ascii="仿宋_GB2312" w:hAnsi="黑体" w:eastAsia="仿宋_GB2312" w:cs="仿宋_GB2312"/>
          <w:color w:val="000000"/>
          <w:sz w:val="32"/>
          <w:szCs w:val="32"/>
        </w:rPr>
        <w:t>。全面落实好《市人民政府办公厅关于支持规模以上制造业企业达产增产和省重大工程重点项目加快建设若干措施的通知》（筑府办函</w:t>
      </w:r>
      <w:r>
        <w:rPr>
          <w:rFonts w:hint="eastAsia" w:ascii="仿宋_GB2312" w:hAnsi="仿宋_GB2312" w:eastAsia="仿宋_GB2312" w:cs="仿宋_GB2312"/>
          <w:spacing w:val="6"/>
          <w:sz w:val="32"/>
          <w:szCs w:val="32"/>
        </w:rPr>
        <w:t>〔</w:t>
      </w:r>
      <w:r>
        <w:rPr>
          <w:rFonts w:hint="eastAsia" w:ascii="仿宋_GB2312" w:hAnsi="黑体" w:eastAsia="仿宋_GB2312" w:cs="仿宋_GB2312"/>
          <w:color w:val="000000"/>
          <w:sz w:val="32"/>
          <w:szCs w:val="32"/>
        </w:rPr>
        <w:t>2020</w:t>
      </w:r>
      <w:r>
        <w:rPr>
          <w:rFonts w:hint="eastAsia" w:ascii="仿宋_GB2312" w:hAnsi="仿宋_GB2312" w:eastAsia="仿宋_GB2312" w:cs="仿宋_GB2312"/>
          <w:spacing w:val="6"/>
          <w:sz w:val="32"/>
          <w:szCs w:val="32"/>
        </w:rPr>
        <w:t>〕</w:t>
      </w:r>
      <w:r>
        <w:rPr>
          <w:rFonts w:hint="eastAsia" w:ascii="仿宋_GB2312" w:hAnsi="黑体" w:eastAsia="仿宋_GB2312" w:cs="仿宋_GB2312"/>
          <w:color w:val="000000"/>
          <w:sz w:val="32"/>
          <w:szCs w:val="32"/>
        </w:rPr>
        <w:t>9号），切实帮助企业解决困难和问题。</w:t>
      </w:r>
    </w:p>
    <w:p>
      <w:pPr>
        <w:widowControl w:val="0"/>
        <w:spacing w:line="610" w:lineRule="exact"/>
        <w:ind w:firstLine="664" w:firstLineChars="200"/>
        <w:jc w:val="both"/>
        <w:rPr>
          <w:rFonts w:hint="default"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sz w:val="32"/>
          <w:szCs w:val="32"/>
          <w:highlight w:val="none"/>
          <w:lang w:val="en-US" w:eastAsia="zh-CN"/>
        </w:rPr>
        <w:t>2</w:t>
      </w:r>
      <w:r>
        <w:rPr>
          <w:rFonts w:hint="eastAsia" w:ascii="仿宋_GB2312" w:hAnsi="仿宋_GB2312" w:eastAsia="仿宋_GB2312" w:cs="仿宋_GB2312"/>
          <w:spacing w:val="6"/>
          <w:sz w:val="32"/>
          <w:szCs w:val="32"/>
          <w:highlight w:val="none"/>
          <w:lang w:val="zh-CN"/>
        </w:rPr>
        <w:t>．</w:t>
      </w:r>
      <w:r>
        <w:rPr>
          <w:rFonts w:hint="eastAsia" w:ascii="仿宋_GB2312" w:hAnsi="仿宋_GB2312" w:eastAsia="仿宋_GB2312" w:cs="仿宋_GB2312"/>
          <w:spacing w:val="6"/>
          <w:sz w:val="32"/>
          <w:szCs w:val="32"/>
          <w:highlight w:val="none"/>
          <w:lang w:val="en-US" w:eastAsia="zh-CN"/>
        </w:rPr>
        <w:t>主要内容及实施情况</w:t>
      </w:r>
    </w:p>
    <w:p>
      <w:pPr>
        <w:keepNext w:val="0"/>
        <w:keepLines w:val="0"/>
        <w:pageBreakBefore w:val="0"/>
        <w:widowControl w:val="0"/>
        <w:kinsoku/>
        <w:wordWrap/>
        <w:overflowPunct/>
        <w:topLinePunct w:val="0"/>
        <w:autoSpaceDE/>
        <w:autoSpaceDN/>
        <w:bidi w:val="0"/>
        <w:adjustRightInd/>
        <w:snapToGrid w:val="0"/>
        <w:spacing w:before="0" w:after="0" w:line="600" w:lineRule="exact"/>
        <w:ind w:firstLine="640" w:firstLineChars="200"/>
        <w:jc w:val="both"/>
        <w:textAlignment w:val="auto"/>
        <w:rPr>
          <w:rFonts w:hint="default"/>
          <w:sz w:val="18"/>
          <w:szCs w:val="21"/>
          <w:lang w:val="en-US" w:eastAsia="zh-CN"/>
        </w:rPr>
      </w:pPr>
      <w:r>
        <w:rPr>
          <w:rFonts w:hint="eastAsia" w:ascii="仿宋_GB2312" w:hAnsi="仿宋_GB2312" w:eastAsia="仿宋_GB2312" w:cs="仿宋_GB2312"/>
          <w:color w:val="auto"/>
          <w:kern w:val="2"/>
          <w:sz w:val="32"/>
          <w:szCs w:val="32"/>
          <w:lang w:val="en-US" w:eastAsia="zh-CN" w:bidi="ar-SA"/>
        </w:rPr>
        <w:t>2021年区工信局对2020年第二、三、四季度符合贴息补助的3家企业发放贴息补助，对2020年第三、四季度和2021年第二、三季度符合奖励标准的17家企业发放36次奖励。</w:t>
      </w:r>
    </w:p>
    <w:p>
      <w:pPr>
        <w:widowControl w:val="0"/>
        <w:spacing w:line="59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3．项目资金概况</w:t>
      </w:r>
    </w:p>
    <w:p>
      <w:pPr>
        <w:widowControl w:val="0"/>
        <w:spacing w:line="590" w:lineRule="exact"/>
        <w:ind w:firstLine="640" w:firstLineChars="200"/>
        <w:jc w:val="both"/>
        <w:rPr>
          <w:rFonts w:hint="default" w:ascii="仿宋_GB2312" w:hAnsi="仿宋_GB2312" w:eastAsia="仿宋_GB2312" w:cs="仿宋_GB2312"/>
          <w:sz w:val="32"/>
          <w:szCs w:val="32"/>
          <w:lang w:val="en-US" w:eastAsia="zh-CN"/>
        </w:rPr>
      </w:pPr>
      <w:bookmarkStart w:id="62" w:name="_Toc12683"/>
      <w:bookmarkStart w:id="63" w:name="_Toc12077"/>
      <w:bookmarkStart w:id="64" w:name="_Toc28875"/>
      <w:bookmarkStart w:id="65" w:name="_Toc21623"/>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lang w:val="en-US" w:eastAsia="zh-CN"/>
        </w:rPr>
        <w:t>项目资金预算及到位情况</w:t>
      </w:r>
    </w:p>
    <w:p>
      <w:pPr>
        <w:widowControl w:val="0"/>
        <w:spacing w:line="59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根据贵阳市财政局 贵阳市工业和信息化局《关于下达贵阳市市级补助资金的通知》（筑财工〔2021〕12号）等文件，</w:t>
      </w:r>
      <w:r>
        <w:rPr>
          <w:rFonts w:hint="eastAsia" w:ascii="仿宋_GB2312" w:hAnsi="仿宋_GB2312" w:eastAsia="仿宋_GB2312" w:cs="仿宋_GB2312"/>
          <w:sz w:val="32"/>
          <w:szCs w:val="32"/>
          <w:highlight w:val="none"/>
          <w:lang w:val="en-US" w:eastAsia="zh-CN"/>
        </w:rPr>
        <w:t>区工信局支持规模以上制造企业达产增产和重大工程项目预算资金2506.26万元，实际到位资金2506.26万元。</w:t>
      </w:r>
      <w:bookmarkStart w:id="66" w:name="_Toc6292"/>
      <w:bookmarkStart w:id="67" w:name="_Toc5300"/>
      <w:bookmarkStart w:id="68" w:name="_Toc14706"/>
      <w:bookmarkStart w:id="69" w:name="_Toc12227"/>
      <w:bookmarkStart w:id="70" w:name="_Toc32675"/>
      <w:bookmarkStart w:id="71" w:name="_Toc13986"/>
      <w:bookmarkStart w:id="72" w:name="_Toc31686"/>
      <w:bookmarkStart w:id="73" w:name="_Toc18218"/>
      <w:bookmarkStart w:id="74" w:name="_Toc3459"/>
      <w:bookmarkStart w:id="75" w:name="_Toc3639"/>
      <w:bookmarkStart w:id="76" w:name="_Toc22724"/>
      <w:bookmarkStart w:id="77" w:name="_Toc7768"/>
      <w:bookmarkStart w:id="78" w:name="_Toc22093"/>
      <w:bookmarkStart w:id="79" w:name="_Toc22749"/>
      <w:bookmarkStart w:id="80" w:name="_Toc30573"/>
      <w:bookmarkStart w:id="81" w:name="_Toc30360"/>
      <w:bookmarkStart w:id="82" w:name="_Toc20306"/>
      <w:bookmarkStart w:id="83" w:name="_Toc30638"/>
      <w:bookmarkStart w:id="84" w:name="_Toc23751"/>
      <w:bookmarkStart w:id="85" w:name="_Toc29235"/>
      <w:bookmarkStart w:id="86" w:name="_Toc23233"/>
    </w:p>
    <w:p>
      <w:pPr>
        <w:widowControl w:val="0"/>
        <w:spacing w:line="59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（2）项目资金使用情况</w:t>
      </w:r>
    </w:p>
    <w:p>
      <w:pPr>
        <w:widowControl w:val="0"/>
        <w:spacing w:line="59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区工信局支持规模以上制造企业达产增产和重大工程项目实际到位资金2506.26万元，实际使用项目资金2506.26万元，资金使用率为100%。</w:t>
      </w:r>
    </w:p>
    <w:p>
      <w:pPr>
        <w:pStyle w:val="4"/>
        <w:keepNext w:val="0"/>
        <w:keepLines w:val="0"/>
        <w:pageBreakBefore w:val="0"/>
        <w:widowControl w:val="0"/>
        <w:kinsoku/>
        <w:wordWrap/>
        <w:overflowPunct/>
        <w:topLinePunct w:val="0"/>
        <w:autoSpaceDE/>
        <w:autoSpaceDN/>
        <w:bidi w:val="0"/>
        <w:adjustRightInd/>
        <w:snapToGrid/>
        <w:ind w:firstLine="664" w:firstLineChars="200"/>
        <w:textAlignment w:val="auto"/>
        <w:rPr>
          <w:rFonts w:hint="eastAsia" w:hAnsi="仿宋"/>
          <w:spacing w:val="6"/>
          <w:szCs w:val="32"/>
          <w:highlight w:val="none"/>
          <w:lang w:val="en-US" w:eastAsia="zh-CN"/>
        </w:rPr>
      </w:pPr>
      <w:bookmarkStart w:id="87" w:name="_Toc554"/>
      <w:bookmarkStart w:id="88" w:name="_Toc25907"/>
      <w:bookmarkStart w:id="89" w:name="_Toc30276"/>
      <w:bookmarkStart w:id="90" w:name="_Toc22346"/>
      <w:bookmarkStart w:id="91" w:name="_Toc10412"/>
      <w:bookmarkStart w:id="92" w:name="_Toc1876"/>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仿宋"/>
          <w:spacing w:val="6"/>
          <w:szCs w:val="32"/>
          <w:highlight w:val="none"/>
          <w:lang w:val="zh-CN"/>
        </w:rPr>
        <w:t>（</w:t>
      </w:r>
      <w:r>
        <w:rPr>
          <w:rFonts w:hint="eastAsia" w:hAnsi="仿宋"/>
          <w:spacing w:val="6"/>
          <w:szCs w:val="32"/>
          <w:highlight w:val="none"/>
          <w:lang w:val="en-US" w:eastAsia="zh-CN"/>
        </w:rPr>
        <w:t>二</w:t>
      </w:r>
      <w:r>
        <w:rPr>
          <w:rFonts w:hAnsi="仿宋"/>
          <w:spacing w:val="6"/>
          <w:szCs w:val="32"/>
          <w:highlight w:val="none"/>
          <w:lang w:val="zh-CN"/>
        </w:rPr>
        <w:t>）</w:t>
      </w:r>
      <w:r>
        <w:rPr>
          <w:rFonts w:hAnsi="仿宋"/>
          <w:spacing w:val="6"/>
          <w:szCs w:val="32"/>
          <w:highlight w:val="none"/>
          <w:lang w:val="zh-CN"/>
        </w:rPr>
        <w:fldChar w:fldCharType="end"/>
      </w:r>
      <w:r>
        <w:rPr>
          <w:rFonts w:hint="eastAsia" w:hAnsi="仿宋"/>
          <w:spacing w:val="6"/>
          <w:szCs w:val="32"/>
          <w:highlight w:val="none"/>
          <w:lang w:val="en-US" w:eastAsia="zh-CN"/>
        </w:rPr>
        <w:t>项目支出绩效目标及指标设立情况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pPr>
        <w:spacing w:line="590" w:lineRule="exact"/>
        <w:ind w:firstLine="664" w:firstLineChars="200"/>
        <w:rPr>
          <w:rFonts w:hint="default"/>
        </w:rPr>
      </w:pPr>
      <w:r>
        <w:rPr>
          <w:rFonts w:hint="eastAsia" w:ascii="仿宋_GB2312" w:hAnsi="仿宋_GB2312" w:eastAsia="仿宋_GB2312" w:cs="仿宋_GB2312"/>
          <w:spacing w:val="6"/>
          <w:sz w:val="32"/>
          <w:szCs w:val="32"/>
        </w:rPr>
        <w:t>我们在与</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lang w:eastAsia="zh-CN"/>
        </w:rPr>
        <w:t>工信局</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业务处室充分沟通的基础上，根据</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lang w:eastAsia="zh-CN"/>
        </w:rPr>
        <w:t>工信局</w:t>
      </w:r>
      <w:r>
        <w:rPr>
          <w:rFonts w:hint="eastAsia" w:ascii="仿宋_GB2312" w:hAnsi="仿宋_GB2312" w:eastAsia="仿宋_GB2312" w:cs="仿宋_GB2312"/>
          <w:spacing w:val="6"/>
          <w:sz w:val="32"/>
          <w:szCs w:val="32"/>
        </w:rPr>
        <w:t>提供的项目绩效目标表等资料结合项目实际情况对项目绩效目标和绩效指标进行再次梳理。再次梳理的绩效目标</w:t>
      </w:r>
      <w:r>
        <w:rPr>
          <w:rFonts w:hint="eastAsia" w:ascii="仿宋_GB2312" w:hAnsi="仿宋_GB2312" w:eastAsia="仿宋_GB2312" w:cs="仿宋_GB2312"/>
          <w:spacing w:val="6"/>
          <w:sz w:val="32"/>
          <w:szCs w:val="32"/>
          <w:lang w:val="en-US" w:eastAsia="zh-CN"/>
        </w:rPr>
        <w:t>如下：一是</w:t>
      </w:r>
      <w:r>
        <w:rPr>
          <w:rStyle w:val="19"/>
          <w:rFonts w:hint="eastAsia" w:ascii="仿宋_GB2312" w:hAnsi="仿宋_GB2312" w:eastAsia="仿宋_GB2312" w:cs="仿宋_GB2312"/>
          <w:b w:val="0"/>
          <w:bCs w:val="0"/>
          <w:color w:val="auto"/>
          <w:spacing w:val="6"/>
          <w:kern w:val="2"/>
          <w:sz w:val="32"/>
          <w:szCs w:val="32"/>
          <w:lang w:bidi="ar-SA"/>
        </w:rPr>
        <w:t>帮助企业稳定市场、稳定就业，促进工业经济平稳健康发展，鼓励企业扩产增效</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bCs w:val="0"/>
          <w:spacing w:val="6"/>
          <w:kern w:val="2"/>
          <w:sz w:val="32"/>
          <w:szCs w:val="32"/>
          <w:lang w:val="en-US" w:eastAsia="zh-CN" w:bidi="ar-SA"/>
        </w:rPr>
        <w:t>二是</w:t>
      </w:r>
      <w:r>
        <w:rPr>
          <w:rFonts w:hint="eastAsia" w:ascii="仿宋_GB2312" w:hAnsi="宋体" w:eastAsia="仿宋_GB2312" w:cs="仿宋_GB2312"/>
          <w:color w:val="000000"/>
          <w:kern w:val="0"/>
          <w:sz w:val="32"/>
          <w:szCs w:val="32"/>
        </w:rPr>
        <w:t>加大政策宣传力度，将流动资金贷款贴息和鼓励企业达产增效奖励政策宣传到辖区内每一户重点企业库的工业企业，确保符合条件的企业全面享受政策</w:t>
      </w:r>
      <w:r>
        <w:rPr>
          <w:rStyle w:val="19"/>
          <w:rFonts w:hint="eastAsia" w:ascii="仿宋_GB2312" w:hAnsi="仿宋_GB2312" w:eastAsia="仿宋_GB2312" w:cs="仿宋_GB2312"/>
          <w:b w:val="0"/>
          <w:bCs w:val="0"/>
          <w:color w:val="auto"/>
          <w:spacing w:val="6"/>
          <w:kern w:val="2"/>
          <w:sz w:val="32"/>
          <w:szCs w:val="32"/>
          <w:highlight w:val="none"/>
          <w:lang w:eastAsia="zh-CN" w:bidi="ar-SA"/>
        </w:rPr>
        <w:t>；</w:t>
      </w:r>
      <w:r>
        <w:rPr>
          <w:rFonts w:hint="eastAsia" w:ascii="仿宋_GB2312" w:hAnsi="仿宋_GB2312" w:eastAsia="仿宋_GB2312" w:cs="仿宋_GB2312"/>
          <w:bCs w:val="0"/>
          <w:spacing w:val="6"/>
          <w:kern w:val="2"/>
          <w:sz w:val="32"/>
          <w:szCs w:val="32"/>
          <w:lang w:val="en-US" w:eastAsia="zh-CN" w:bidi="ar-SA"/>
        </w:rPr>
        <w:t>三是认真把关，按照属地管理原则，严格执行申报审核规定，确保申报主体符合申报条件、申报材料齐全、工业总产值数据真实、奖励金额准确</w:t>
      </w:r>
      <w:r>
        <w:rPr>
          <w:rStyle w:val="19"/>
          <w:rFonts w:hint="eastAsia" w:ascii="仿宋_GB2312" w:hAnsi="仿宋_GB2312" w:eastAsia="仿宋_GB2312" w:cs="仿宋_GB2312"/>
          <w:b w:val="0"/>
          <w:bCs w:val="0"/>
          <w:color w:val="auto"/>
          <w:spacing w:val="6"/>
          <w:kern w:val="2"/>
          <w:sz w:val="32"/>
          <w:szCs w:val="32"/>
          <w:lang w:eastAsia="zh-CN" w:bidi="ar-SA"/>
        </w:rPr>
        <w:t>；</w:t>
      </w:r>
      <w:r>
        <w:rPr>
          <w:rStyle w:val="19"/>
          <w:rFonts w:hint="eastAsia" w:ascii="仿宋_GB2312" w:hAnsi="仿宋_GB2312" w:eastAsia="仿宋_GB2312" w:cs="仿宋_GB2312"/>
          <w:b w:val="0"/>
          <w:bCs w:val="0"/>
          <w:color w:val="auto"/>
          <w:spacing w:val="6"/>
          <w:kern w:val="2"/>
          <w:sz w:val="32"/>
          <w:szCs w:val="32"/>
          <w:lang w:val="en-US" w:eastAsia="zh-CN" w:bidi="ar-SA"/>
        </w:rPr>
        <w:t>四是及时开展</w:t>
      </w:r>
      <w:r>
        <w:rPr>
          <w:rFonts w:hint="eastAsia" w:ascii="仿宋_GB2312" w:hAnsi="仿宋_GB2312" w:eastAsia="仿宋_GB2312" w:cs="仿宋_GB2312"/>
          <w:bCs w:val="0"/>
          <w:spacing w:val="6"/>
          <w:kern w:val="2"/>
          <w:sz w:val="32"/>
          <w:szCs w:val="32"/>
          <w:lang w:val="en-US" w:eastAsia="zh-CN" w:bidi="ar-SA"/>
        </w:rPr>
        <w:t>申报材料</w:t>
      </w:r>
      <w:r>
        <w:rPr>
          <w:rStyle w:val="19"/>
          <w:rFonts w:hint="eastAsia" w:ascii="仿宋_GB2312" w:hAnsi="仿宋_GB2312" w:eastAsia="仿宋_GB2312" w:cs="仿宋_GB2312"/>
          <w:b w:val="0"/>
          <w:bCs w:val="0"/>
          <w:color w:val="auto"/>
          <w:spacing w:val="6"/>
          <w:kern w:val="2"/>
          <w:sz w:val="32"/>
          <w:szCs w:val="32"/>
          <w:lang w:val="en-US" w:eastAsia="zh-CN" w:bidi="ar-SA"/>
        </w:rPr>
        <w:t>审核以及奖补资金拨付工作；五</w:t>
      </w:r>
      <w:r>
        <w:rPr>
          <w:rFonts w:hint="eastAsia" w:ascii="仿宋_GB2312" w:hAnsi="仿宋_GB2312" w:eastAsia="仿宋_GB2312" w:cs="仿宋_GB2312"/>
          <w:b w:val="0"/>
          <w:bCs w:val="0"/>
          <w:spacing w:val="6"/>
          <w:kern w:val="2"/>
          <w:sz w:val="32"/>
          <w:szCs w:val="32"/>
          <w:lang w:val="en-US" w:eastAsia="zh-CN" w:bidi="ar-SA"/>
        </w:rPr>
        <w:t>是企业</w:t>
      </w:r>
      <w:r>
        <w:rPr>
          <w:rStyle w:val="19"/>
          <w:rFonts w:hint="eastAsia" w:ascii="仿宋_GB2312" w:hAnsi="仿宋_GB2312" w:eastAsia="仿宋_GB2312" w:cs="仿宋_GB2312"/>
          <w:b w:val="0"/>
          <w:bCs w:val="0"/>
          <w:color w:val="auto"/>
          <w:spacing w:val="6"/>
          <w:kern w:val="2"/>
          <w:sz w:val="32"/>
          <w:szCs w:val="32"/>
          <w:lang w:bidi="ar-SA"/>
        </w:rPr>
        <w:t>满意度高于</w:t>
      </w:r>
      <w:r>
        <w:rPr>
          <w:rFonts w:hint="eastAsia" w:ascii="仿宋_GB2312" w:hAnsi="仿宋_GB2312" w:eastAsia="仿宋_GB2312" w:cs="仿宋_GB2312"/>
          <w:bCs w:val="0"/>
          <w:spacing w:val="6"/>
          <w:kern w:val="2"/>
          <w:sz w:val="32"/>
          <w:szCs w:val="32"/>
          <w:lang w:val="en-US" w:eastAsia="zh-CN" w:bidi="ar-SA"/>
        </w:rPr>
        <w:t>9</w:t>
      </w:r>
      <w:r>
        <w:rPr>
          <w:rFonts w:hint="eastAsia" w:ascii="仿宋_GB2312" w:hAnsi="仿宋_GB2312" w:eastAsia="仿宋_GB2312" w:cs="仿宋_GB2312"/>
          <w:bCs w:val="0"/>
          <w:spacing w:val="6"/>
          <w:kern w:val="2"/>
          <w:sz w:val="32"/>
          <w:szCs w:val="32"/>
          <w:lang w:bidi="ar-SA"/>
        </w:rPr>
        <w:t>0%</w:t>
      </w:r>
      <w:r>
        <w:rPr>
          <w:rStyle w:val="19"/>
          <w:rFonts w:hint="eastAsia" w:ascii="仿宋_GB2312" w:hAnsi="仿宋_GB2312" w:eastAsia="仿宋_GB2312" w:cs="仿宋_GB2312"/>
          <w:b w:val="0"/>
          <w:bCs w:val="0"/>
          <w:color w:val="auto"/>
          <w:spacing w:val="6"/>
          <w:kern w:val="2"/>
          <w:sz w:val="32"/>
          <w:szCs w:val="32"/>
          <w:lang w:bidi="ar-SA"/>
        </w:rPr>
        <w:t>。</w:t>
      </w:r>
      <w:r>
        <w:rPr>
          <w:rFonts w:hint="eastAsia" w:ascii="仿宋_GB2312" w:hAnsi="仿宋_GB2312" w:eastAsia="仿宋_GB2312" w:cs="仿宋_GB2312"/>
          <w:spacing w:val="6"/>
          <w:sz w:val="32"/>
          <w:szCs w:val="32"/>
        </w:rPr>
        <w:t>再次梳理的绩效</w:t>
      </w:r>
      <w:r>
        <w:rPr>
          <w:rFonts w:hint="eastAsia" w:ascii="仿宋_GB2312" w:hAnsi="仿宋_GB2312" w:eastAsia="仿宋_GB2312" w:cs="仿宋_GB2312"/>
          <w:spacing w:val="6"/>
          <w:sz w:val="32"/>
          <w:szCs w:val="32"/>
          <w:lang w:val="en-US" w:eastAsia="zh-CN"/>
        </w:rPr>
        <w:t>指标详见附件1</w:t>
      </w:r>
      <w:r>
        <w:rPr>
          <w:rFonts w:hint="eastAsia" w:ascii="仿宋_GB2312" w:hAnsi="仿宋_GB2312" w:eastAsia="仿宋_GB2312" w:cs="仿宋_GB2312"/>
          <w:b w:val="0"/>
          <w:bCs w:val="0"/>
          <w:spacing w:val="6"/>
          <w:kern w:val="2"/>
          <w:sz w:val="32"/>
          <w:szCs w:val="32"/>
          <w:lang w:bidi="ar-SA"/>
        </w:rPr>
        <w:t>。</w:t>
      </w:r>
    </w:p>
    <w:p>
      <w:pPr>
        <w:pStyle w:val="3"/>
        <w:ind w:firstLine="664" w:firstLineChars="200"/>
        <w:rPr>
          <w:rFonts w:hint="default" w:eastAsia="黑体"/>
          <w:highlight w:val="none"/>
          <w:lang w:val="en-US" w:eastAsia="zh-CN"/>
        </w:rPr>
      </w:pPr>
      <w:bookmarkStart w:id="93" w:name="_Toc14372"/>
      <w:bookmarkStart w:id="94" w:name="_Toc3187"/>
      <w:bookmarkStart w:id="95" w:name="_Toc14"/>
      <w:bookmarkStart w:id="96" w:name="_Toc17451"/>
      <w:bookmarkStart w:id="97" w:name="_Toc14823"/>
      <w:bookmarkStart w:id="98" w:name="_Toc25973"/>
      <w:bookmarkStart w:id="99" w:name="_Toc30546"/>
      <w:bookmarkStart w:id="100" w:name="_Toc9242"/>
      <w:bookmarkStart w:id="101" w:name="_Toc15898"/>
      <w:bookmarkStart w:id="102" w:name="_Toc26716"/>
      <w:bookmarkStart w:id="103" w:name="_Toc8780"/>
      <w:bookmarkStart w:id="104" w:name="_Toc12695"/>
      <w:bookmarkStart w:id="105" w:name="_Toc21902"/>
      <w:bookmarkStart w:id="106" w:name="_Toc14131"/>
      <w:bookmarkStart w:id="107" w:name="_Toc32268"/>
      <w:bookmarkStart w:id="108" w:name="_Toc19137"/>
      <w:bookmarkStart w:id="109" w:name="_Toc14722"/>
      <w:bookmarkStart w:id="110" w:name="_Toc1312"/>
      <w:bookmarkStart w:id="111" w:name="_Toc12654"/>
      <w:bookmarkStart w:id="112" w:name="_Toc32474"/>
      <w:bookmarkStart w:id="113" w:name="_Toc10633"/>
      <w:bookmarkStart w:id="114" w:name="_Toc15311"/>
      <w:bookmarkStart w:id="115" w:name="_Toc24126"/>
      <w:bookmarkStart w:id="116" w:name="_Toc18419"/>
      <w:bookmarkStart w:id="117" w:name="_Toc1279"/>
      <w:bookmarkStart w:id="118" w:name="_Toc14235"/>
      <w:bookmarkStart w:id="119" w:name="_Toc12994"/>
      <w:bookmarkStart w:id="120" w:name="_Toc8630"/>
      <w:bookmarkStart w:id="121" w:name="_Toc7504"/>
      <w:bookmarkStart w:id="122" w:name="_Toc11796"/>
      <w:bookmarkStart w:id="123" w:name="_Toc19182"/>
      <w:r>
        <w:rPr>
          <w:rFonts w:hint="eastAsia"/>
          <w:spacing w:val="6"/>
          <w:highlight w:val="none"/>
        </w:rPr>
        <w:t>二、</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Start w:id="124" w:name="_Toc9928"/>
      <w:bookmarkStart w:id="125" w:name="_Toc11157"/>
      <w:bookmarkStart w:id="126" w:name="_Toc7100"/>
      <w:bookmarkStart w:id="127" w:name="_Toc23269"/>
      <w:bookmarkStart w:id="128" w:name="_Toc4642"/>
      <w:bookmarkStart w:id="129" w:name="_Toc29638"/>
      <w:r>
        <w:rPr>
          <w:rFonts w:hint="eastAsia"/>
          <w:highlight w:val="none"/>
          <w:lang w:eastAsia="zh-CN"/>
        </w:rPr>
        <w:t>绩效评价</w:t>
      </w:r>
      <w:r>
        <w:rPr>
          <w:rFonts w:hint="eastAsia"/>
          <w:highlight w:val="none"/>
          <w:lang w:val="en-US" w:eastAsia="zh-CN"/>
        </w:rPr>
        <w:t>综合评价情况及评价结论</w:t>
      </w:r>
      <w:bookmarkEnd w:id="124"/>
      <w:bookmarkEnd w:id="125"/>
      <w:bookmarkEnd w:id="126"/>
      <w:bookmarkEnd w:id="127"/>
      <w:bookmarkEnd w:id="128"/>
      <w:bookmarkEnd w:id="129"/>
    </w:p>
    <w:p>
      <w:pPr>
        <w:pStyle w:val="4"/>
        <w:keepNext w:val="0"/>
        <w:keepLines w:val="0"/>
        <w:pageBreakBefore w:val="0"/>
        <w:widowControl w:val="0"/>
        <w:kinsoku/>
        <w:wordWrap/>
        <w:overflowPunct/>
        <w:topLinePunct w:val="0"/>
        <w:autoSpaceDE/>
        <w:autoSpaceDN/>
        <w:bidi w:val="0"/>
        <w:adjustRightInd/>
        <w:snapToGrid/>
        <w:ind w:firstLine="664" w:firstLineChars="200"/>
        <w:textAlignment w:val="auto"/>
        <w:rPr>
          <w:rFonts w:hint="default" w:hAnsi="Times New Roman"/>
          <w:spacing w:val="6"/>
          <w:szCs w:val="32"/>
          <w:highlight w:val="none"/>
        </w:rPr>
      </w:pPr>
      <w:bookmarkStart w:id="130" w:name="_Toc10972"/>
      <w:bookmarkStart w:id="131" w:name="_Toc3326"/>
      <w:bookmarkStart w:id="132" w:name="_Toc14782"/>
      <w:bookmarkStart w:id="133" w:name="_Toc29986"/>
      <w:bookmarkStart w:id="134" w:name="_Toc26866"/>
      <w:bookmarkStart w:id="135" w:name="_Toc4334"/>
      <w:bookmarkStart w:id="136" w:name="_Toc5337"/>
      <w:bookmarkStart w:id="137" w:name="_Toc10355"/>
      <w:bookmarkStart w:id="138" w:name="_Toc20407"/>
      <w:bookmarkStart w:id="139" w:name="_Toc1628"/>
      <w:bookmarkStart w:id="140" w:name="_Toc10438"/>
      <w:bookmarkStart w:id="141" w:name="_Toc2067"/>
      <w:bookmarkStart w:id="142" w:name="_Toc3094"/>
      <w:bookmarkStart w:id="143" w:name="_Toc2163"/>
      <w:bookmarkStart w:id="144" w:name="_Toc4167"/>
      <w:bookmarkStart w:id="145" w:name="_Toc22311"/>
      <w:bookmarkStart w:id="146" w:name="_Toc20088"/>
      <w:bookmarkStart w:id="147" w:name="_Toc7253"/>
      <w:bookmarkStart w:id="148" w:name="_Toc21342"/>
      <w:bookmarkStart w:id="149" w:name="_Toc23292"/>
      <w:bookmarkStart w:id="150" w:name="_Toc28788"/>
      <w:bookmarkStart w:id="151" w:name="_Toc7449"/>
      <w:bookmarkStart w:id="152" w:name="_Toc29698"/>
      <w:bookmarkStart w:id="153" w:name="_Toc31503"/>
      <w:bookmarkStart w:id="154" w:name="_Toc5056"/>
      <w:bookmarkStart w:id="155" w:name="_Toc3501"/>
      <w:bookmarkStart w:id="156" w:name="_Toc6631"/>
      <w:bookmarkStart w:id="157" w:name="_Toc28513"/>
      <w:bookmarkStart w:id="158" w:name="_Toc2590"/>
      <w:bookmarkStart w:id="159" w:name="_Toc6894"/>
      <w:bookmarkStart w:id="160" w:name="_Toc29377"/>
      <w:bookmarkStart w:id="161" w:name="_Toc12833"/>
      <w:bookmarkStart w:id="162" w:name="_Toc26262"/>
      <w:bookmarkStart w:id="163" w:name="_Toc10476"/>
      <w:bookmarkStart w:id="164" w:name="_Toc12057"/>
      <w:bookmarkStart w:id="165" w:name="_Toc18864"/>
      <w:bookmarkStart w:id="166" w:name="_Toc21209"/>
      <w:bookmarkStart w:id="167" w:name="_Toc27933"/>
      <w:bookmarkStart w:id="168" w:name="_Toc25448"/>
      <w:bookmarkStart w:id="169" w:name="_Toc11753"/>
      <w:bookmarkStart w:id="170" w:name="_Toc7700"/>
      <w:bookmarkStart w:id="171" w:name="_Toc30654"/>
      <w:bookmarkStart w:id="172" w:name="_Toc23533"/>
      <w:bookmarkStart w:id="173" w:name="_Toc26347"/>
      <w:bookmarkStart w:id="174" w:name="_Toc28"/>
      <w:bookmarkStart w:id="175" w:name="_Toc11180"/>
      <w:bookmarkStart w:id="176" w:name="_Toc5311"/>
      <w:bookmarkStart w:id="177" w:name="_Toc12500"/>
      <w:bookmarkStart w:id="178" w:name="_Toc10657"/>
      <w:bookmarkStart w:id="179" w:name="_Toc16718"/>
      <w:bookmarkStart w:id="180" w:name="_Toc8459"/>
      <w:bookmarkStart w:id="181" w:name="_Toc29109"/>
      <w:bookmarkStart w:id="182" w:name="_Toc30397"/>
      <w:bookmarkStart w:id="183" w:name="_Toc4287"/>
      <w:bookmarkStart w:id="184" w:name="_Hlk49420951"/>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Times New Roman"/>
          <w:spacing w:val="6"/>
          <w:szCs w:val="32"/>
          <w:highlight w:val="none"/>
          <w:lang w:val="zh-CN"/>
        </w:rPr>
        <w:t>（</w:t>
      </w:r>
      <w:r>
        <w:rPr>
          <w:rFonts w:hint="eastAsia" w:hAnsi="Times New Roman"/>
          <w:spacing w:val="6"/>
          <w:szCs w:val="32"/>
          <w:highlight w:val="none"/>
          <w:lang w:val="en-US" w:eastAsia="zh-CN"/>
        </w:rPr>
        <w:t>一</w:t>
      </w:r>
      <w:r>
        <w:rPr>
          <w:rFonts w:hAnsi="Times New Roman"/>
          <w:spacing w:val="6"/>
          <w:szCs w:val="32"/>
          <w:highlight w:val="none"/>
          <w:lang w:val="zh-CN"/>
        </w:rPr>
        <w:t>）</w:t>
      </w:r>
      <w:r>
        <w:rPr>
          <w:rFonts w:hint="eastAsia" w:hAnsi="Times New Roman"/>
          <w:spacing w:val="6"/>
          <w:szCs w:val="32"/>
          <w:highlight w:val="none"/>
          <w:lang w:val="en-US" w:eastAsia="zh-CN"/>
        </w:rPr>
        <w:t>绩效评价综合结论</w:t>
      </w:r>
      <w:r>
        <w:rPr>
          <w:rFonts w:hAnsi="Times New Roman"/>
          <w:spacing w:val="6"/>
          <w:szCs w:val="32"/>
          <w:highlight w:val="none"/>
          <w:lang w:val="zh-CN"/>
        </w:rPr>
        <w:fldChar w:fldCharType="end"/>
      </w:r>
      <w:bookmarkEnd w:id="130"/>
    </w:p>
    <w:p>
      <w:pPr>
        <w:spacing w:line="59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z w:val="32"/>
          <w:szCs w:val="32"/>
          <w:lang w:eastAsia="zh-CN"/>
        </w:rPr>
        <w:t>云岩区</w:t>
      </w:r>
      <w:r>
        <w:rPr>
          <w:rFonts w:hint="eastAsia" w:ascii="仿宋_GB2312" w:hAnsi="仿宋_GB2312" w:eastAsia="仿宋_GB2312" w:cs="仿宋_GB2312"/>
          <w:sz w:val="32"/>
          <w:szCs w:val="32"/>
          <w:lang w:val="en-US" w:eastAsia="zh-CN"/>
        </w:rPr>
        <w:t>2021年</w:t>
      </w:r>
      <w:r>
        <w:rPr>
          <w:rFonts w:hint="eastAsia" w:ascii="仿宋_GB2312" w:hAnsi="仿宋_GB2312" w:eastAsia="仿宋_GB2312" w:cs="仿宋_GB2312"/>
          <w:spacing w:val="0"/>
          <w:sz w:val="32"/>
          <w:szCs w:val="32"/>
          <w:lang w:eastAsia="zh-CN"/>
        </w:rPr>
        <w:t>支持规模以上制造企业达产增产和重大工程项目</w:t>
      </w:r>
      <w:r>
        <w:rPr>
          <w:rFonts w:hint="eastAsia" w:ascii="仿宋_GB2312" w:hAnsi="仿宋_GB2312" w:eastAsia="仿宋_GB2312" w:cs="仿宋_GB2312"/>
          <w:spacing w:val="0"/>
          <w:sz w:val="32"/>
          <w:szCs w:val="32"/>
          <w:lang w:val="en-US" w:eastAsia="zh-CN"/>
        </w:rPr>
        <w:t>以更加主动、更加贴心、更加精准的服务，大力宣传市区达产增产、流动资金贷款贴息等政策，让企业心无旁骛抓生产谋发展。</w:t>
      </w:r>
      <w:r>
        <w:rPr>
          <w:rFonts w:hint="eastAsia" w:ascii="仿宋_GB2312" w:hAnsi="仿宋_GB2312" w:eastAsia="仿宋_GB2312" w:cs="仿宋_GB2312"/>
          <w:color w:val="auto"/>
          <w:kern w:val="2"/>
          <w:sz w:val="32"/>
          <w:szCs w:val="32"/>
          <w:lang w:val="en-US" w:eastAsia="zh-CN" w:bidi="ar-SA"/>
        </w:rPr>
        <w:t>2021年区工信局对2020年第二、三、四季度符合贴息补助的3家企业发放贴息补助，对2020年第三、四季度和2021年第二、三季度符合奖励标准的17家企业发放36次奖励。</w:t>
      </w:r>
      <w:r>
        <w:rPr>
          <w:rFonts w:hint="eastAsia" w:ascii="仿宋_GB2312" w:hAnsi="仿宋_GB2312" w:eastAsia="仿宋_GB2312" w:cs="仿宋_GB2312"/>
          <w:spacing w:val="0"/>
          <w:sz w:val="32"/>
          <w:szCs w:val="32"/>
          <w:lang w:val="en-US" w:eastAsia="zh-CN"/>
        </w:rPr>
        <w:t>通过问卷调查，企业满意度高于90%。</w:t>
      </w:r>
      <w:r>
        <w:rPr>
          <w:rFonts w:hint="eastAsia" w:ascii="仿宋_GB2312" w:hAnsi="仿宋_GB2312" w:eastAsia="仿宋_GB2312" w:cs="仿宋_GB2312"/>
          <w:sz w:val="32"/>
          <w:szCs w:val="32"/>
        </w:rPr>
        <w:t>但是存在</w:t>
      </w:r>
      <w:r>
        <w:rPr>
          <w:rFonts w:hint="eastAsia" w:ascii="仿宋_GB2312" w:hAnsi="仿宋_GB2312" w:eastAsia="仿宋_GB2312" w:cs="仿宋_GB2312"/>
          <w:sz w:val="32"/>
          <w:szCs w:val="32"/>
          <w:lang w:val="en-US" w:eastAsia="zh-CN"/>
        </w:rPr>
        <w:t>项目管理制度不完善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绩效目标设定不合理，</w:t>
      </w:r>
      <w:r>
        <w:rPr>
          <w:rFonts w:hint="eastAsia" w:ascii="仿宋_GB2312" w:hAnsi="仿宋_GB2312" w:eastAsia="仿宋_GB2312" w:cs="仿宋_GB2312"/>
          <w:sz w:val="32"/>
          <w:szCs w:val="32"/>
          <w:lang w:eastAsia="zh-CN"/>
        </w:rPr>
        <w:t>绩效指标未通过清晰、可衡量的指标值予以体现</w:t>
      </w:r>
      <w:r>
        <w:rPr>
          <w:rFonts w:hint="eastAsia" w:ascii="仿宋_GB2312" w:hAnsi="仿宋_GB2312" w:eastAsia="仿宋_GB2312" w:cs="仿宋_GB2312"/>
          <w:sz w:val="32"/>
          <w:szCs w:val="32"/>
        </w:rPr>
        <w:t>等情况</w:t>
      </w:r>
      <w:r>
        <w:rPr>
          <w:rFonts w:hint="eastAsia" w:ascii="仿宋_GB2312" w:hAnsi="仿宋_GB2312" w:eastAsia="仿宋_GB2312" w:cs="仿宋_GB2312"/>
          <w:spacing w:val="0"/>
          <w:sz w:val="32"/>
          <w:szCs w:val="32"/>
        </w:rPr>
        <w:t>。</w:t>
      </w:r>
    </w:p>
    <w:p>
      <w:pPr>
        <w:widowControl w:val="0"/>
        <w:spacing w:after="0" w:afterLines="0" w:line="590" w:lineRule="exact"/>
        <w:ind w:firstLine="640" w:firstLineChars="200"/>
        <w:jc w:val="both"/>
        <w:rPr>
          <w:rFonts w:hint="eastAsia" w:ascii="仿宋_GB2312" w:hAnsi="仿宋_GB2312" w:eastAsia="仿宋_GB2312" w:cs="仿宋_GB2312"/>
          <w:spacing w:val="6"/>
          <w:sz w:val="32"/>
          <w:szCs w:val="32"/>
          <w:highlight w:val="none"/>
          <w:lang w:val="zh-CN"/>
        </w:rPr>
      </w:pPr>
      <w:r>
        <w:rPr>
          <w:rFonts w:hint="eastAsia" w:ascii="仿宋_GB2312" w:hAnsi="仿宋_GB2312" w:eastAsia="仿宋_GB2312" w:cs="仿宋_GB2312"/>
          <w:sz w:val="32"/>
          <w:szCs w:val="32"/>
        </w:rPr>
        <w:t>经综合评定</w:t>
      </w:r>
      <w:r>
        <w:rPr>
          <w:rFonts w:hint="eastAsia" w:ascii="仿宋_GB2312" w:hAnsi="仿宋_GB2312" w:eastAsia="仿宋_GB2312" w:cs="仿宋_GB2312"/>
          <w:spacing w:val="6"/>
          <w:sz w:val="32"/>
          <w:szCs w:val="32"/>
          <w:lang w:val="zh-CN"/>
        </w:rPr>
        <w:t>，绩效评价得分为：</w:t>
      </w:r>
      <w:r>
        <w:rPr>
          <w:rFonts w:hint="eastAsia" w:ascii="仿宋_GB2312" w:hAnsi="仿宋_GB2312" w:eastAsia="仿宋_GB2312" w:cs="仿宋_GB2312"/>
          <w:spacing w:val="6"/>
          <w:sz w:val="32"/>
          <w:szCs w:val="32"/>
          <w:highlight w:val="none"/>
          <w:lang w:val="en-US" w:eastAsia="zh-CN"/>
        </w:rPr>
        <w:t>91.6</w:t>
      </w:r>
      <w:r>
        <w:rPr>
          <w:rFonts w:hint="eastAsia" w:ascii="仿宋_GB2312" w:hAnsi="仿宋_GB2312" w:eastAsia="仿宋_GB2312" w:cs="仿宋_GB2312"/>
          <w:spacing w:val="6"/>
          <w:sz w:val="32"/>
          <w:szCs w:val="32"/>
          <w:highlight w:val="none"/>
          <w:lang w:val="zh-CN"/>
        </w:rPr>
        <w:t>分，评定等级为：</w:t>
      </w:r>
      <w:r>
        <w:rPr>
          <w:rFonts w:hint="eastAsia" w:ascii="仿宋_GB2312" w:hAnsi="仿宋_GB2312" w:eastAsia="仿宋_GB2312" w:cs="仿宋_GB2312"/>
          <w:spacing w:val="6"/>
          <w:sz w:val="32"/>
          <w:szCs w:val="32"/>
          <w:highlight w:val="none"/>
          <w:lang w:val="en-US" w:eastAsia="zh-CN"/>
        </w:rPr>
        <w:t>优</w:t>
      </w:r>
      <w:r>
        <w:rPr>
          <w:rFonts w:hint="eastAsia" w:ascii="仿宋_GB2312" w:hAnsi="仿宋_GB2312" w:eastAsia="仿宋_GB2312" w:cs="仿宋_GB2312"/>
          <w:spacing w:val="6"/>
          <w:sz w:val="32"/>
          <w:szCs w:val="32"/>
          <w:highlight w:val="none"/>
          <w:lang w:val="zh-CN"/>
        </w:rPr>
        <w:t>。评价得分汇总情况详见下表：</w:t>
      </w:r>
    </w:p>
    <w:tbl>
      <w:tblPr>
        <w:tblStyle w:val="1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392"/>
        <w:gridCol w:w="2397"/>
        <w:gridCol w:w="2215"/>
        <w:gridCol w:w="1583"/>
        <w:gridCol w:w="15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82" w:hRule="atLeast"/>
          <w:tblHeader/>
        </w:trPr>
        <w:tc>
          <w:tcPr>
            <w:tcW w:w="13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序号</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一级指标</w:t>
            </w:r>
          </w:p>
        </w:tc>
        <w:tc>
          <w:tcPr>
            <w:tcW w:w="221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指标分值</w:t>
            </w:r>
          </w:p>
        </w:tc>
        <w:tc>
          <w:tcPr>
            <w:tcW w:w="1583"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得分</w:t>
            </w:r>
          </w:p>
        </w:tc>
        <w:tc>
          <w:tcPr>
            <w:tcW w:w="158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扣分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决   策</w:t>
            </w:r>
          </w:p>
        </w:tc>
        <w:tc>
          <w:tcPr>
            <w:tcW w:w="2215" w:type="dxa"/>
            <w:tcBorders>
              <w:tl2br w:val="nil"/>
              <w:tr2bl w:val="nil"/>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16.00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15.10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0.90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过   程</w:t>
            </w:r>
          </w:p>
        </w:tc>
        <w:tc>
          <w:tcPr>
            <w:tcW w:w="221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19.00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18.50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0.50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产   出</w:t>
            </w:r>
          </w:p>
        </w:tc>
        <w:tc>
          <w:tcPr>
            <w:tcW w:w="221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31.00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31.00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4</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效   益</w:t>
            </w:r>
          </w:p>
        </w:tc>
        <w:tc>
          <w:tcPr>
            <w:tcW w:w="2215" w:type="dxa"/>
            <w:tcBorders>
              <w:tl2br w:val="nil"/>
              <w:tr2bl w:val="nil"/>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34.00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27.00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3789"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合计</w:t>
            </w:r>
          </w:p>
        </w:tc>
        <w:tc>
          <w:tcPr>
            <w:tcW w:w="2215"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b/>
                <w:bCs/>
                <w:i w:val="0"/>
                <w:iCs w:val="0"/>
                <w:color w:val="000000"/>
                <w:sz w:val="28"/>
                <w:szCs w:val="28"/>
                <w:u w:val="none"/>
                <w:lang w:val="en-US"/>
              </w:rPr>
            </w:pPr>
            <w:r>
              <w:rPr>
                <w:rFonts w:hint="eastAsia" w:ascii="仿宋_GB2312" w:hAnsi="宋体" w:eastAsia="仿宋_GB2312" w:cs="仿宋_GB2312"/>
                <w:b/>
                <w:bCs/>
                <w:i w:val="0"/>
                <w:iCs w:val="0"/>
                <w:color w:val="000000"/>
                <w:kern w:val="0"/>
                <w:sz w:val="28"/>
                <w:szCs w:val="28"/>
                <w:u w:val="none"/>
                <w:lang w:val="en-US" w:eastAsia="zh-CN" w:bidi="ar"/>
              </w:rPr>
              <w:t>100.00</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b/>
                <w:bCs/>
                <w:i w:val="0"/>
                <w:iCs w:val="0"/>
                <w:color w:val="000000"/>
                <w:sz w:val="28"/>
                <w:szCs w:val="28"/>
                <w:u w:val="none"/>
                <w:lang w:val="en-US"/>
              </w:rPr>
            </w:pPr>
            <w:r>
              <w:rPr>
                <w:rFonts w:hint="eastAsia" w:ascii="仿宋_GB2312" w:hAnsi="宋体" w:eastAsia="仿宋_GB2312" w:cs="仿宋_GB2312"/>
                <w:b/>
                <w:bCs/>
                <w:i w:val="0"/>
                <w:iCs w:val="0"/>
                <w:color w:val="000000"/>
                <w:kern w:val="0"/>
                <w:sz w:val="28"/>
                <w:szCs w:val="28"/>
                <w:u w:val="none"/>
                <w:lang w:val="en-US" w:eastAsia="zh-CN" w:bidi="ar"/>
              </w:rPr>
              <w:t>91.60</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8.40</w:t>
            </w:r>
          </w:p>
        </w:tc>
      </w:tr>
    </w:tbl>
    <w:p>
      <w:pPr>
        <w:pStyle w:val="4"/>
        <w:ind w:firstLine="664" w:firstLineChars="200"/>
        <w:rPr>
          <w:rFonts w:hint="default" w:hAnsi="Times New Roman" w:eastAsia="楷体_GB2312"/>
          <w:spacing w:val="6"/>
          <w:szCs w:val="32"/>
          <w:highlight w:val="none"/>
          <w:lang w:val="en-US" w:eastAsia="zh-CN"/>
        </w:rPr>
      </w:pPr>
      <w:bookmarkStart w:id="185" w:name="_Toc8602"/>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Times New Roman"/>
          <w:spacing w:val="6"/>
          <w:szCs w:val="32"/>
          <w:highlight w:val="none"/>
          <w:lang w:val="zh-CN"/>
        </w:rPr>
        <w:t>（</w:t>
      </w:r>
      <w:r>
        <w:rPr>
          <w:rFonts w:hint="eastAsia" w:hAnsi="Times New Roman"/>
          <w:spacing w:val="6"/>
          <w:szCs w:val="32"/>
          <w:highlight w:val="none"/>
          <w:lang w:val="en-US" w:eastAsia="zh-CN"/>
        </w:rPr>
        <w:t>二</w:t>
      </w:r>
      <w:r>
        <w:rPr>
          <w:rFonts w:hAnsi="Times New Roman"/>
          <w:spacing w:val="6"/>
          <w:szCs w:val="32"/>
          <w:highlight w:val="none"/>
          <w:lang w:val="zh-CN"/>
        </w:rPr>
        <w:t>）</w:t>
      </w:r>
      <w:r>
        <w:rPr>
          <w:rFonts w:hAnsi="Times New Roman"/>
          <w:spacing w:val="6"/>
          <w:szCs w:val="32"/>
          <w:highlight w:val="none"/>
          <w:lang w:val="zh-CN"/>
        </w:rPr>
        <w:fldChar w:fldCharType="end"/>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Pr>
          <w:rFonts w:hint="eastAsia" w:hAnsi="Times New Roman"/>
          <w:spacing w:val="6"/>
          <w:szCs w:val="32"/>
          <w:highlight w:val="none"/>
          <w:lang w:val="en-US" w:eastAsia="zh-CN"/>
        </w:rPr>
        <w:t>绩效目标实现情况</w:t>
      </w:r>
      <w:bookmarkEnd w:id="153"/>
      <w:bookmarkEnd w:id="154"/>
      <w:bookmarkEnd w:id="155"/>
      <w:bookmarkEnd w:id="156"/>
      <w:bookmarkEnd w:id="157"/>
      <w:bookmarkEnd w:id="185"/>
    </w:p>
    <w:p>
      <w:pPr>
        <w:widowControl/>
        <w:spacing w:line="590" w:lineRule="exact"/>
        <w:ind w:firstLine="664" w:firstLineChars="200"/>
        <w:jc w:val="both"/>
        <w:rPr>
          <w:rFonts w:hint="default"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rPr>
        <w:t>结合项目实际情况，与</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lang w:eastAsia="zh-CN"/>
        </w:rPr>
        <w:t>工信局</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业务处室充分沟通后再次梳理的支持规模以上制造企业达产增产和重大工程项目绩效目标合计</w:t>
      </w:r>
      <w:r>
        <w:rPr>
          <w:rFonts w:hint="eastAsia" w:ascii="仿宋_GB2312" w:hAnsi="仿宋_GB2312" w:eastAsia="仿宋_GB2312" w:cs="仿宋_GB2312"/>
          <w:spacing w:val="6"/>
          <w:sz w:val="32"/>
          <w:szCs w:val="32"/>
          <w:lang w:val="en-US" w:eastAsia="zh-CN"/>
        </w:rPr>
        <w:t>5</w:t>
      </w:r>
      <w:r>
        <w:rPr>
          <w:rFonts w:hint="eastAsia" w:ascii="仿宋_GB2312" w:hAnsi="仿宋_GB2312" w:eastAsia="仿宋_GB2312" w:cs="仿宋_GB2312"/>
          <w:spacing w:val="6"/>
          <w:sz w:val="32"/>
          <w:szCs w:val="32"/>
        </w:rPr>
        <w:t>个，已完成</w:t>
      </w:r>
      <w:r>
        <w:rPr>
          <w:rFonts w:hint="eastAsia" w:ascii="仿宋_GB2312" w:hAnsi="仿宋_GB2312" w:eastAsia="仿宋_GB2312" w:cs="仿宋_GB2312"/>
          <w:spacing w:val="6"/>
          <w:sz w:val="32"/>
          <w:szCs w:val="32"/>
          <w:lang w:val="en-US" w:eastAsia="zh-CN"/>
        </w:rPr>
        <w:t>4</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eastAsia="zh-CN"/>
        </w:rPr>
        <w:t>，部分完成</w:t>
      </w:r>
      <w:r>
        <w:rPr>
          <w:rFonts w:hint="eastAsia" w:ascii="仿宋_GB2312" w:hAnsi="仿宋_GB2312" w:eastAsia="仿宋_GB2312" w:cs="仿宋_GB2312"/>
          <w:spacing w:val="6"/>
          <w:sz w:val="32"/>
          <w:szCs w:val="32"/>
          <w:lang w:val="en-US" w:eastAsia="zh-CN"/>
        </w:rPr>
        <w:t>1个</w:t>
      </w:r>
      <w:r>
        <w:rPr>
          <w:rFonts w:hint="eastAsia" w:ascii="仿宋_GB2312" w:hAnsi="仿宋_GB2312" w:eastAsia="仿宋_GB2312" w:cs="仿宋_GB2312"/>
          <w:spacing w:val="6"/>
          <w:sz w:val="32"/>
          <w:szCs w:val="32"/>
        </w:rPr>
        <w:t>；绩效指标合计1</w:t>
      </w:r>
      <w:r>
        <w:rPr>
          <w:rFonts w:hint="eastAsia" w:ascii="仿宋_GB2312" w:hAnsi="仿宋_GB2312" w:eastAsia="仿宋_GB2312" w:cs="仿宋_GB2312"/>
          <w:spacing w:val="6"/>
          <w:sz w:val="32"/>
          <w:szCs w:val="32"/>
          <w:lang w:val="en-US" w:eastAsia="zh-CN"/>
        </w:rPr>
        <w:t>2</w:t>
      </w:r>
      <w:r>
        <w:rPr>
          <w:rFonts w:hint="eastAsia" w:ascii="仿宋_GB2312" w:hAnsi="仿宋_GB2312" w:eastAsia="仿宋_GB2312" w:cs="仿宋_GB2312"/>
          <w:spacing w:val="6"/>
          <w:sz w:val="32"/>
          <w:szCs w:val="32"/>
        </w:rPr>
        <w:t>个，已完成</w:t>
      </w:r>
      <w:r>
        <w:rPr>
          <w:rFonts w:hint="eastAsia" w:ascii="仿宋_GB2312" w:hAnsi="仿宋_GB2312" w:eastAsia="仿宋_GB2312" w:cs="仿宋_GB2312"/>
          <w:spacing w:val="6"/>
          <w:sz w:val="32"/>
          <w:szCs w:val="32"/>
          <w:lang w:val="en-US" w:eastAsia="zh-CN"/>
        </w:rPr>
        <w:t>11</w:t>
      </w:r>
      <w:r>
        <w:rPr>
          <w:rFonts w:hint="eastAsia" w:ascii="仿宋_GB2312" w:hAnsi="仿宋_GB2312" w:eastAsia="仿宋_GB2312" w:cs="仿宋_GB2312"/>
          <w:spacing w:val="6"/>
          <w:sz w:val="32"/>
          <w:szCs w:val="32"/>
        </w:rPr>
        <w:t>个</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未</w:t>
      </w:r>
      <w:r>
        <w:rPr>
          <w:rFonts w:hint="eastAsia" w:ascii="仿宋_GB2312" w:hAnsi="仿宋_GB2312" w:eastAsia="仿宋_GB2312" w:cs="仿宋_GB2312"/>
          <w:spacing w:val="6"/>
          <w:sz w:val="32"/>
          <w:szCs w:val="32"/>
          <w:lang w:eastAsia="zh-CN"/>
        </w:rPr>
        <w:t>完成</w:t>
      </w:r>
      <w:r>
        <w:rPr>
          <w:rFonts w:hint="eastAsia" w:ascii="仿宋_GB2312" w:hAnsi="仿宋_GB2312" w:eastAsia="仿宋_GB2312" w:cs="仿宋_GB2312"/>
          <w:spacing w:val="6"/>
          <w:sz w:val="32"/>
          <w:szCs w:val="32"/>
          <w:lang w:val="en-US" w:eastAsia="zh-CN"/>
        </w:rPr>
        <w:t>1个</w:t>
      </w:r>
      <w:r>
        <w:rPr>
          <w:rFonts w:hint="eastAsia" w:ascii="仿宋_GB2312" w:hAnsi="仿宋_GB2312" w:eastAsia="仿宋_GB2312" w:cs="仿宋_GB2312"/>
          <w:spacing w:val="6"/>
          <w:sz w:val="32"/>
          <w:szCs w:val="32"/>
        </w:rPr>
        <w:t>。绩效目标及绩效指标完成情况详见下表：</w:t>
      </w:r>
    </w:p>
    <w:tbl>
      <w:tblPr>
        <w:tblStyle w:val="1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27"/>
        <w:gridCol w:w="2364"/>
        <w:gridCol w:w="984"/>
        <w:gridCol w:w="21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2021年总体目标</w:t>
            </w:r>
          </w:p>
        </w:tc>
        <w:tc>
          <w:tcPr>
            <w:tcW w:w="31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2021年总体目标完成情况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8" w:hRule="atLeast"/>
        </w:trPr>
        <w:tc>
          <w:tcPr>
            <w:tcW w:w="5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目标1：帮助企业稳定市场、稳定就业，促进工业经济平稳健康发展，鼓励企业扩产增效。</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目标2：加大政策宣传力度，将流动资金贷款贴息和鼓励企业达产增效奖励政策宣传到辖区内每一户重点企业库的工业企业，确保符合条件的企业全面享受政策。</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目标3：认真把关，按照属地管理原则，严格执行申报审核规定，确保申报主体符合申报条件、申报材料齐全、工业总产值数据真实、奖励金额准确。</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目标4：及时开展申报材料审核以及奖补资金拨付工作。</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目标5：企业满意度高于90%。</w:t>
            </w:r>
          </w:p>
        </w:tc>
        <w:tc>
          <w:tcPr>
            <w:tcW w:w="31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  目标1：部分完成。</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目标2：已完成。</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目标3：已完成。</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目标4：已完成。</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目标5：已完成。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三级指标</w:t>
            </w:r>
          </w:p>
        </w:tc>
        <w:tc>
          <w:tcPr>
            <w:tcW w:w="2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指标值</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指标完成情况</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完成情况说明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流动资金贷款利息补贴企业数量</w:t>
            </w:r>
          </w:p>
        </w:tc>
        <w:tc>
          <w:tcPr>
            <w:tcW w:w="2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≥3个</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工业企业达产增效奖励企业次数</w:t>
            </w:r>
          </w:p>
        </w:tc>
        <w:tc>
          <w:tcPr>
            <w:tcW w:w="2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重点企业库工业企业政策宣传入户数量</w:t>
            </w:r>
          </w:p>
        </w:tc>
        <w:tc>
          <w:tcPr>
            <w:tcW w:w="2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≥30户</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奖励资金准确率</w:t>
            </w:r>
          </w:p>
        </w:tc>
        <w:tc>
          <w:tcPr>
            <w:tcW w:w="2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补贴资金准确率</w:t>
            </w:r>
          </w:p>
        </w:tc>
        <w:tc>
          <w:tcPr>
            <w:tcW w:w="2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审核资料及时性</w:t>
            </w:r>
          </w:p>
        </w:tc>
        <w:tc>
          <w:tcPr>
            <w:tcW w:w="2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资金拨付及时性</w:t>
            </w:r>
          </w:p>
        </w:tc>
        <w:tc>
          <w:tcPr>
            <w:tcW w:w="2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企业流动资金贷款利息补贴标准</w:t>
            </w:r>
          </w:p>
        </w:tc>
        <w:tc>
          <w:tcPr>
            <w:tcW w:w="2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满足标准</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满足标准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企业达产增效奖励标准</w:t>
            </w:r>
          </w:p>
        </w:tc>
        <w:tc>
          <w:tcPr>
            <w:tcW w:w="2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满足标准</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满足标准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促进工业企业产值增加</w:t>
            </w:r>
          </w:p>
        </w:tc>
        <w:tc>
          <w:tcPr>
            <w:tcW w:w="23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＞2020年度工业企业总产值×115%</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2020年度工业企业总产值×134%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工业企业就业保持率</w:t>
            </w:r>
          </w:p>
        </w:tc>
        <w:tc>
          <w:tcPr>
            <w:tcW w:w="2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3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企业满意度</w:t>
            </w:r>
          </w:p>
        </w:tc>
        <w:tc>
          <w:tcPr>
            <w:tcW w:w="2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2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98.71%</w:t>
            </w:r>
          </w:p>
        </w:tc>
      </w:t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tbl>
    <w:p>
      <w:pPr>
        <w:pStyle w:val="3"/>
        <w:keepNext w:val="0"/>
        <w:keepLines w:val="0"/>
        <w:widowControl w:val="0"/>
        <w:spacing w:before="0" w:after="0" w:line="590" w:lineRule="exact"/>
        <w:ind w:firstLine="640" w:firstLineChars="200"/>
        <w:rPr>
          <w:rFonts w:ascii="黑体" w:hAnsi="黑体" w:eastAsia="黑体"/>
          <w:b w:val="0"/>
          <w:sz w:val="32"/>
          <w:szCs w:val="32"/>
        </w:rPr>
      </w:pPr>
      <w:bookmarkStart w:id="186" w:name="_Toc13636"/>
      <w:bookmarkStart w:id="187" w:name="_Toc17357"/>
      <w:bookmarkStart w:id="188" w:name="_Toc16158"/>
      <w:bookmarkStart w:id="189" w:name="_Toc10089"/>
      <w:bookmarkStart w:id="190" w:name="_Toc24205"/>
      <w:bookmarkStart w:id="191" w:name="_Toc41306289"/>
      <w:bookmarkStart w:id="192" w:name="_Toc1865"/>
      <w:bookmarkStart w:id="193" w:name="_Toc20691"/>
      <w:bookmarkStart w:id="194" w:name="_Toc8587"/>
      <w:bookmarkStart w:id="195" w:name="_Toc15573"/>
      <w:bookmarkStart w:id="196" w:name="_Toc22862"/>
      <w:bookmarkStart w:id="197" w:name="_Toc31784"/>
      <w:bookmarkStart w:id="198" w:name="_Toc27431"/>
      <w:bookmarkStart w:id="199" w:name="_Toc4420"/>
      <w:bookmarkStart w:id="200" w:name="_Toc15702"/>
      <w:bookmarkStart w:id="201" w:name="_Toc31962"/>
      <w:bookmarkStart w:id="202" w:name="_Toc3556"/>
      <w:bookmarkStart w:id="203" w:name="_Toc27524"/>
      <w:bookmarkStart w:id="204" w:name="_Toc31660"/>
      <w:r>
        <w:rPr>
          <w:rFonts w:hint="eastAsia"/>
          <w:b w:val="0"/>
          <w:sz w:val="32"/>
          <w:szCs w:val="32"/>
          <w:lang w:eastAsia="zh-CN"/>
        </w:rPr>
        <w:t>三</w:t>
      </w:r>
      <w:r>
        <w:rPr>
          <w:rFonts w:hint="eastAsia" w:ascii="黑体" w:hAnsi="黑体" w:eastAsia="黑体"/>
          <w:b w:val="0"/>
          <w:sz w:val="32"/>
          <w:szCs w:val="32"/>
        </w:rPr>
        <w:t>、存在问题及</w:t>
      </w:r>
      <w:bookmarkEnd w:id="186"/>
      <w:bookmarkEnd w:id="187"/>
      <w:bookmarkEnd w:id="188"/>
      <w:bookmarkEnd w:id="189"/>
      <w:bookmarkEnd w:id="190"/>
      <w:bookmarkEnd w:id="191"/>
      <w:bookmarkEnd w:id="192"/>
      <w:bookmarkEnd w:id="193"/>
      <w:bookmarkEnd w:id="194"/>
      <w:r>
        <w:rPr>
          <w:rFonts w:hint="eastAsia" w:ascii="黑体" w:hAnsi="黑体" w:eastAsia="黑体"/>
          <w:b w:val="0"/>
          <w:sz w:val="32"/>
          <w:szCs w:val="32"/>
        </w:rPr>
        <w:t>原因分析</w:t>
      </w:r>
      <w:bookmarkEnd w:id="195"/>
      <w:bookmarkEnd w:id="196"/>
      <w:bookmarkEnd w:id="197"/>
      <w:bookmarkEnd w:id="198"/>
      <w:bookmarkEnd w:id="199"/>
      <w:bookmarkEnd w:id="200"/>
      <w:bookmarkEnd w:id="201"/>
      <w:bookmarkEnd w:id="202"/>
      <w:bookmarkEnd w:id="203"/>
      <w:bookmarkEnd w:id="204"/>
    </w:p>
    <w:p>
      <w:pPr>
        <w:keepNext w:val="0"/>
        <w:keepLines w:val="0"/>
        <w:pageBreakBefore w:val="0"/>
        <w:widowControl w:val="0"/>
        <w:kinsoku/>
        <w:wordWrap/>
        <w:overflowPunct/>
        <w:topLinePunct w:val="0"/>
        <w:autoSpaceDE/>
        <w:autoSpaceDN/>
        <w:bidi w:val="0"/>
        <w:adjustRightInd/>
        <w:snapToGrid/>
        <w:spacing w:beforeLines="0" w:line="590" w:lineRule="exact"/>
        <w:ind w:firstLine="640" w:firstLineChars="200"/>
        <w:jc w:val="both"/>
        <w:textAlignment w:val="auto"/>
        <w:outlineLvl w:val="1"/>
        <w:rPr>
          <w:rFonts w:hint="eastAsia" w:ascii="楷体_GB2312" w:hAnsi="楷体_GB2312" w:eastAsia="楷体_GB2312" w:cs="楷体_GB2312"/>
          <w:sz w:val="32"/>
          <w:szCs w:val="32"/>
          <w:lang w:val="en-US" w:eastAsia="zh-CN"/>
        </w:rPr>
      </w:pPr>
      <w:bookmarkStart w:id="205" w:name="_Toc11232"/>
      <w:bookmarkStart w:id="206" w:name="_Toc969"/>
      <w:bookmarkStart w:id="207" w:name="_Toc28344"/>
      <w:bookmarkStart w:id="208" w:name="_Toc8399"/>
      <w:bookmarkStart w:id="209" w:name="_Toc19553"/>
      <w:bookmarkStart w:id="210" w:name="_Toc12914"/>
      <w:bookmarkStart w:id="211" w:name="_Toc531300200"/>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政策制度方面</w:t>
      </w:r>
      <w:bookmarkEnd w:id="205"/>
      <w:bookmarkEnd w:id="206"/>
      <w:bookmarkEnd w:id="207"/>
      <w:bookmarkEnd w:id="208"/>
      <w:bookmarkEnd w:id="209"/>
      <w:bookmarkEnd w:id="210"/>
    </w:p>
    <w:p>
      <w:pPr>
        <w:keepNext w:val="0"/>
        <w:keepLines w:val="0"/>
        <w:widowControl/>
        <w:suppressLineNumbers w:val="0"/>
        <w:ind w:firstLine="664" w:firstLineChars="200"/>
        <w:jc w:val="left"/>
        <w:rPr>
          <w:rFonts w:hint="eastAsia" w:ascii="仿宋_GB2312" w:hAnsi="仿宋_GB2312" w:eastAsia="仿宋_GB2312" w:cs="仿宋_GB2312"/>
          <w:bCs w:val="0"/>
          <w:spacing w:val="6"/>
          <w:kern w:val="2"/>
          <w:sz w:val="32"/>
          <w:szCs w:val="32"/>
          <w:lang w:val="zh-CN" w:eastAsia="zh-CN"/>
        </w:rPr>
      </w:pPr>
      <w:r>
        <w:rPr>
          <w:rFonts w:hint="eastAsia" w:ascii="仿宋_GB2312" w:hAnsi="仿宋_GB2312" w:eastAsia="仿宋_GB2312" w:cs="仿宋_GB2312"/>
          <w:bCs w:val="0"/>
          <w:spacing w:val="6"/>
          <w:kern w:val="2"/>
          <w:sz w:val="32"/>
          <w:szCs w:val="32"/>
          <w:lang w:val="zh-CN" w:eastAsia="zh-CN"/>
        </w:rPr>
        <w:t>区工信局未对项目制定相应的业务档案管理制度。2020年区工信局在“数智贵阳”-“规模以上制造业企业达产增产申报系统”中审核企业申报材料，截止现场评价日，区工信局未将企业申报材料整理归档，由于目前系统无法登录，导致无法提供2020年企业申报材料。</w:t>
      </w:r>
    </w:p>
    <w:p>
      <w:pPr>
        <w:keepNext w:val="0"/>
        <w:keepLines w:val="0"/>
        <w:widowControl/>
        <w:suppressLineNumbers w:val="0"/>
        <w:ind w:firstLine="664" w:firstLineChars="200"/>
        <w:jc w:val="left"/>
        <w:rPr>
          <w:rFonts w:hint="eastAsia" w:ascii="仿宋_GB2312" w:hAnsi="仿宋_GB2312" w:eastAsia="仿宋_GB2312" w:cs="仿宋_GB2312"/>
          <w:bCs w:val="0"/>
          <w:spacing w:val="6"/>
          <w:kern w:val="2"/>
          <w:sz w:val="32"/>
          <w:szCs w:val="32"/>
          <w:lang w:val="en-US" w:eastAsia="zh-CN"/>
        </w:rPr>
      </w:pPr>
      <w:r>
        <w:rPr>
          <w:rFonts w:hint="eastAsia" w:ascii="仿宋_GB2312" w:hAnsi="仿宋_GB2312" w:eastAsia="仿宋_GB2312" w:cs="仿宋_GB2312"/>
          <w:bCs w:val="0"/>
          <w:spacing w:val="6"/>
          <w:kern w:val="2"/>
          <w:sz w:val="32"/>
          <w:szCs w:val="32"/>
          <w:lang w:val="en-US" w:eastAsia="zh-CN"/>
        </w:rPr>
        <w:t>主要原因系区工信局项目管理制度不完善，未针对项目整理归档工作建立相应制度。</w:t>
      </w:r>
    </w:p>
    <w:p>
      <w:pPr>
        <w:widowControl w:val="0"/>
        <w:adjustRightInd w:val="0"/>
        <w:spacing w:beforeLines="0" w:line="590" w:lineRule="exact"/>
        <w:ind w:firstLine="640" w:firstLineChars="200"/>
        <w:jc w:val="both"/>
        <w:outlineLvl w:val="1"/>
        <w:rPr>
          <w:rFonts w:ascii="仿宋_GB2312" w:hAnsi="仿宋_GB2312" w:eastAsia="仿宋_GB2312" w:cs="仿宋_GB2312"/>
          <w:bCs/>
          <w:spacing w:val="6"/>
          <w:sz w:val="32"/>
          <w:szCs w:val="32"/>
        </w:rPr>
      </w:pPr>
      <w:bookmarkStart w:id="212" w:name="_Toc27293"/>
      <w:r>
        <w:rPr>
          <w:rFonts w:hint="eastAsia" w:ascii="楷体_GB2312" w:hAnsi="楷体_GB2312" w:eastAsia="楷体_GB2312" w:cs="楷体_GB2312"/>
          <w:sz w:val="32"/>
          <w:szCs w:val="32"/>
          <w:lang w:val="en-US" w:eastAsia="zh-CN"/>
        </w:rPr>
        <w:t>（二）项目管理</w:t>
      </w:r>
      <w:r>
        <w:rPr>
          <w:rFonts w:hint="eastAsia" w:ascii="楷体_GB2312" w:hAnsi="楷体_GB2312" w:eastAsia="楷体_GB2312" w:cs="楷体_GB2312"/>
          <w:sz w:val="32"/>
          <w:szCs w:val="32"/>
          <w:lang w:val="zh-CN" w:eastAsia="zh-CN"/>
        </w:rPr>
        <w:t>方面</w:t>
      </w:r>
      <w:bookmarkEnd w:id="212"/>
    </w:p>
    <w:p>
      <w:pPr>
        <w:keepNext w:val="0"/>
        <w:keepLines w:val="0"/>
        <w:widowControl/>
        <w:suppressLineNumbers w:val="0"/>
        <w:ind w:firstLine="664" w:firstLineChars="200"/>
        <w:jc w:val="both"/>
        <w:rPr>
          <w:rFonts w:hint="eastAsia" w:ascii="仿宋_GB2312" w:hAnsi="仿宋_GB2312" w:eastAsia="仿宋_GB2312" w:cs="仿宋_GB2312"/>
          <w:bCs w:val="0"/>
          <w:spacing w:val="6"/>
          <w:kern w:val="2"/>
          <w:sz w:val="32"/>
          <w:szCs w:val="32"/>
          <w:lang w:val="en-US" w:eastAsia="zh-CN"/>
        </w:rPr>
      </w:pPr>
      <w:bookmarkStart w:id="213" w:name="_Toc32631"/>
      <w:bookmarkStart w:id="214" w:name="_Toc12532"/>
      <w:bookmarkStart w:id="215" w:name="_Toc150"/>
      <w:bookmarkStart w:id="216" w:name="_Toc3939"/>
      <w:bookmarkStart w:id="217" w:name="_Toc19943"/>
      <w:r>
        <w:rPr>
          <w:rFonts w:hint="eastAsia" w:ascii="仿宋_GB2312" w:hAnsi="仿宋_GB2312" w:eastAsia="仿宋_GB2312" w:cs="仿宋_GB2312"/>
          <w:bCs w:val="0"/>
          <w:spacing w:val="6"/>
          <w:kern w:val="2"/>
          <w:sz w:val="32"/>
          <w:szCs w:val="32"/>
          <w:lang w:val="en-US" w:eastAsia="zh-CN"/>
        </w:rPr>
        <w:t>2021年工业就业平均保持率低于100%。经现场评价，2021年工业就业平均保持率为97.23%，获得奖补的17家企业中：有10家企业就业保持率大于100%，有7家企业就业保持率小于100%。项目实施未完成《市人民政府办公厅〈关于进一步保主体稳就业支持工业企业扩产增效措施〉的通知》（筑府办函〔2020〕75号）、《贵阳市人民政府办公厅贵安新区办公室〈关于疫情常态化防控期间继续支持企业稳定发展若干措施〉的通知》（筑府办函〔2021〕28号）等文件中帮助企业稳定就业预期效益。</w:t>
      </w:r>
    </w:p>
    <w:p>
      <w:pPr>
        <w:keepNext w:val="0"/>
        <w:keepLines w:val="0"/>
        <w:widowControl/>
        <w:suppressLineNumbers w:val="0"/>
        <w:ind w:firstLine="664" w:firstLineChars="200"/>
        <w:jc w:val="both"/>
        <w:rPr>
          <w:rFonts w:hint="default" w:ascii="仿宋_GB2312" w:hAnsi="仿宋_GB2312" w:eastAsia="仿宋_GB2312" w:cs="仿宋_GB2312"/>
          <w:bCs w:val="0"/>
          <w:spacing w:val="6"/>
          <w:kern w:val="2"/>
          <w:sz w:val="32"/>
          <w:szCs w:val="32"/>
          <w:lang w:val="en-US" w:eastAsia="zh-CN"/>
        </w:rPr>
      </w:pPr>
      <w:r>
        <w:rPr>
          <w:rFonts w:hint="eastAsia" w:ascii="仿宋_GB2312" w:hAnsi="仿宋_GB2312" w:eastAsia="仿宋_GB2312" w:cs="仿宋_GB2312"/>
          <w:bCs w:val="0"/>
          <w:spacing w:val="6"/>
          <w:kern w:val="2"/>
          <w:sz w:val="32"/>
          <w:szCs w:val="32"/>
          <w:lang w:val="en-US" w:eastAsia="zh-CN"/>
        </w:rPr>
        <w:t>主要原因系项目注重企业产值达产增产进行考核奖补，未对企业的就业人员情况进行考核；其次由于疫情原因企业中不可控流动因素有所增加，导致部分企业工业就业平均保持率低于100%。</w:t>
      </w:r>
    </w:p>
    <w:p>
      <w:pPr>
        <w:widowControl w:val="0"/>
        <w:adjustRightInd w:val="0"/>
        <w:spacing w:beforeLines="0" w:line="590" w:lineRule="exact"/>
        <w:ind w:firstLine="640" w:firstLineChars="200"/>
        <w:jc w:val="both"/>
        <w:outlineLvl w:val="1"/>
        <w:rPr>
          <w:rFonts w:ascii="仿宋_GB2312" w:hAnsi="仿宋_GB2312" w:eastAsia="仿宋_GB2312" w:cs="仿宋_GB2312"/>
          <w:bCs/>
          <w:spacing w:val="6"/>
          <w:sz w:val="32"/>
          <w:szCs w:val="32"/>
        </w:rPr>
      </w:pPr>
      <w:bookmarkStart w:id="218" w:name="_Toc27204"/>
      <w:r>
        <w:rPr>
          <w:rFonts w:hint="eastAsia" w:ascii="楷体_GB2312" w:hAnsi="楷体_GB2312" w:eastAsia="楷体_GB2312" w:cs="楷体_GB2312"/>
          <w:sz w:val="32"/>
          <w:szCs w:val="32"/>
          <w:lang w:val="en-US" w:eastAsia="zh-CN"/>
        </w:rPr>
        <w:t>（三）绩效管理</w:t>
      </w:r>
      <w:r>
        <w:rPr>
          <w:rFonts w:hint="eastAsia" w:ascii="楷体_GB2312" w:hAnsi="楷体_GB2312" w:eastAsia="楷体_GB2312" w:cs="楷体_GB2312"/>
          <w:sz w:val="32"/>
          <w:szCs w:val="32"/>
          <w:lang w:val="zh-CN" w:eastAsia="zh-CN"/>
        </w:rPr>
        <w:t>方面</w:t>
      </w:r>
      <w:bookmarkEnd w:id="213"/>
      <w:bookmarkEnd w:id="214"/>
      <w:bookmarkEnd w:id="215"/>
      <w:bookmarkEnd w:id="216"/>
      <w:bookmarkEnd w:id="217"/>
      <w:bookmarkEnd w:id="218"/>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zh-CN" w:eastAsia="zh-CN"/>
        </w:rPr>
      </w:pPr>
      <w:bookmarkStart w:id="219" w:name="_Toc18641"/>
      <w:bookmarkStart w:id="220" w:name="_Toc8981"/>
      <w:bookmarkStart w:id="221" w:name="_Toc32484"/>
      <w:bookmarkStart w:id="222" w:name="_Toc12627"/>
      <w:bookmarkStart w:id="223" w:name="_Toc11877"/>
      <w:bookmarkStart w:id="224" w:name="_Toc2626"/>
      <w:bookmarkStart w:id="225" w:name="_Toc30801"/>
      <w:bookmarkStart w:id="226" w:name="_Toc1253"/>
      <w:bookmarkStart w:id="227" w:name="_Toc14926"/>
      <w:bookmarkStart w:id="228" w:name="_Toc11161"/>
      <w:bookmarkStart w:id="229" w:name="_Toc41306291"/>
      <w:r>
        <w:rPr>
          <w:rFonts w:hint="eastAsia" w:ascii="仿宋_GB2312" w:hAnsi="仿宋_GB2312" w:eastAsia="仿宋_GB2312" w:cs="仿宋_GB2312"/>
          <w:bCs/>
          <w:spacing w:val="6"/>
          <w:sz w:val="32"/>
          <w:szCs w:val="32"/>
          <w:highlight w:val="none"/>
          <w:lang w:val="en-US" w:eastAsia="zh-CN"/>
        </w:rPr>
        <w:t>一是区工信局设定的项目绩效目标不合理，项目绩效目标不能反映项目实际工作内容；二是</w:t>
      </w:r>
      <w:r>
        <w:rPr>
          <w:rFonts w:hint="eastAsia" w:ascii="仿宋_GB2312" w:hAnsi="仿宋_GB2312" w:eastAsia="仿宋_GB2312" w:cs="仿宋_GB2312"/>
          <w:bCs/>
          <w:spacing w:val="6"/>
          <w:sz w:val="32"/>
          <w:szCs w:val="32"/>
          <w:highlight w:val="none"/>
          <w:lang w:val="zh-CN" w:eastAsia="zh-CN"/>
        </w:rPr>
        <w:t>区工信局在绩效指标明确性方面存在绩效指标未通过清晰、可衡量的指标值予以体现的情况，如社会效益指标</w:t>
      </w:r>
      <w:r>
        <w:rPr>
          <w:rFonts w:hint="eastAsia" w:ascii="仿宋_GB2312" w:hAnsi="仿宋_GB2312" w:eastAsia="仿宋_GB2312" w:cs="仿宋_GB2312"/>
          <w:bCs/>
          <w:spacing w:val="6"/>
          <w:sz w:val="32"/>
          <w:szCs w:val="32"/>
          <w:highlight w:val="none"/>
          <w:lang w:val="en-US" w:eastAsia="zh-CN"/>
        </w:rPr>
        <w:t>指标值</w:t>
      </w:r>
      <w:r>
        <w:rPr>
          <w:rFonts w:hint="eastAsia" w:ascii="仿宋_GB2312" w:hAnsi="仿宋_GB2312" w:eastAsia="仿宋_GB2312" w:cs="仿宋_GB2312"/>
          <w:bCs/>
          <w:spacing w:val="6"/>
          <w:sz w:val="32"/>
          <w:szCs w:val="32"/>
          <w:highlight w:val="none"/>
          <w:lang w:val="zh-CN" w:eastAsia="zh-CN"/>
        </w:rPr>
        <w:t>“稳增长保就业”，社会效益指标</w:t>
      </w:r>
      <w:r>
        <w:rPr>
          <w:rFonts w:hint="eastAsia" w:ascii="仿宋_GB2312" w:hAnsi="仿宋_GB2312" w:eastAsia="仿宋_GB2312" w:cs="仿宋_GB2312"/>
          <w:bCs/>
          <w:spacing w:val="6"/>
          <w:sz w:val="32"/>
          <w:szCs w:val="32"/>
          <w:highlight w:val="none"/>
          <w:lang w:val="en-US" w:eastAsia="zh-CN"/>
        </w:rPr>
        <w:t>指标值</w:t>
      </w:r>
      <w:r>
        <w:rPr>
          <w:rFonts w:hint="eastAsia" w:ascii="仿宋_GB2312" w:hAnsi="仿宋_GB2312" w:eastAsia="仿宋_GB2312" w:cs="仿宋_GB2312"/>
          <w:bCs/>
          <w:spacing w:val="6"/>
          <w:sz w:val="32"/>
          <w:szCs w:val="32"/>
          <w:highlight w:val="none"/>
          <w:lang w:val="zh-CN" w:eastAsia="zh-CN"/>
        </w:rPr>
        <w:t>“有效促进”。</w:t>
      </w:r>
    </w:p>
    <w:p>
      <w:pPr>
        <w:widowControl w:val="0"/>
        <w:adjustRightInd w:val="0"/>
        <w:spacing w:line="590" w:lineRule="exact"/>
        <w:ind w:firstLine="664" w:firstLineChars="200"/>
        <w:jc w:val="both"/>
        <w:outlineLvl w:val="9"/>
        <w:rPr>
          <w:rFonts w:hint="eastAsia" w:ascii="黑体" w:hAnsi="黑体" w:eastAsia="黑体" w:cs="黑体"/>
          <w:spacing w:val="6"/>
          <w:sz w:val="32"/>
          <w:szCs w:val="32"/>
          <w:lang w:val="en-US" w:eastAsia="zh-CN"/>
        </w:rPr>
      </w:pPr>
      <w:r>
        <w:rPr>
          <w:rFonts w:hint="default" w:ascii="仿宋_GB2312" w:hAnsi="仿宋_GB2312" w:eastAsia="仿宋_GB2312" w:cs="仿宋_GB2312"/>
          <w:bCs/>
          <w:spacing w:val="6"/>
          <w:sz w:val="32"/>
          <w:szCs w:val="32"/>
          <w:highlight w:val="none"/>
          <w:lang w:val="en-US" w:eastAsia="zh-CN"/>
        </w:rPr>
        <w:t>主要原因</w:t>
      </w:r>
      <w:r>
        <w:rPr>
          <w:rFonts w:hint="eastAsia" w:ascii="仿宋_GB2312" w:hAnsi="仿宋_GB2312" w:eastAsia="仿宋_GB2312" w:cs="仿宋_GB2312"/>
          <w:bCs/>
          <w:spacing w:val="6"/>
          <w:sz w:val="32"/>
          <w:szCs w:val="32"/>
          <w:highlight w:val="none"/>
          <w:lang w:val="en-US" w:eastAsia="zh-CN"/>
        </w:rPr>
        <w:t>系对《中共中央 国务院关于全面实施预算绩效管理的意见》（中发〔2018〕34号）和《省财政厅关于批复2018年度省级主管部门项目支出绩效目标的通知》（黔财绩〔2018〕1号）等文件学习不够深入，政策落实力度不够，对预算绩效管理政策制度及财政资金支出绩效指标体系研究不够深入、全面。</w:t>
      </w:r>
    </w:p>
    <w:bookmarkEnd w:id="219"/>
    <w:bookmarkEnd w:id="220"/>
    <w:bookmarkEnd w:id="221"/>
    <w:bookmarkEnd w:id="222"/>
    <w:bookmarkEnd w:id="223"/>
    <w:bookmarkEnd w:id="224"/>
    <w:bookmarkEnd w:id="225"/>
    <w:bookmarkEnd w:id="226"/>
    <w:bookmarkEnd w:id="227"/>
    <w:bookmarkEnd w:id="228"/>
    <w:bookmarkEnd w:id="229"/>
    <w:p>
      <w:pPr>
        <w:widowControl w:val="0"/>
        <w:spacing w:beforeLines="0" w:line="590" w:lineRule="exact"/>
        <w:ind w:firstLine="664" w:firstLineChars="200"/>
        <w:jc w:val="both"/>
        <w:outlineLvl w:val="0"/>
        <w:rPr>
          <w:rFonts w:hint="eastAsia" w:ascii="黑体" w:hAnsi="黑体" w:eastAsia="黑体" w:cs="黑体"/>
          <w:spacing w:val="6"/>
          <w:sz w:val="32"/>
          <w:szCs w:val="32"/>
          <w:lang w:val="zh-CN"/>
        </w:rPr>
      </w:pPr>
      <w:bookmarkStart w:id="230" w:name="_Toc22859"/>
      <w:r>
        <w:rPr>
          <w:rFonts w:hint="eastAsia" w:ascii="黑体" w:hAnsi="黑体" w:eastAsia="黑体" w:cs="黑体"/>
          <w:spacing w:val="6"/>
          <w:sz w:val="32"/>
          <w:szCs w:val="32"/>
          <w:lang w:val="en-US" w:eastAsia="zh-CN"/>
        </w:rPr>
        <w:t>四、</w:t>
      </w:r>
      <w:r>
        <w:rPr>
          <w:rFonts w:hint="eastAsia" w:ascii="黑体" w:hAnsi="黑体" w:eastAsia="黑体" w:cs="黑体"/>
          <w:spacing w:val="6"/>
          <w:sz w:val="32"/>
          <w:szCs w:val="32"/>
          <w:lang w:val="zh-CN"/>
        </w:rPr>
        <w:t>针对问题提出的建议</w:t>
      </w:r>
      <w:bookmarkEnd w:id="230"/>
    </w:p>
    <w:p>
      <w:pPr>
        <w:widowControl w:val="0"/>
        <w:spacing w:beforeLines="0" w:line="590" w:lineRule="exact"/>
        <w:ind w:firstLine="664" w:firstLineChars="200"/>
        <w:jc w:val="both"/>
        <w:outlineLvl w:val="1"/>
        <w:rPr>
          <w:rFonts w:hint="eastAsia" w:ascii="仿宋_GB2312" w:hAnsi="仿宋_GB2312" w:eastAsia="仿宋_GB2312" w:cs="仿宋_GB2312"/>
          <w:spacing w:val="6"/>
          <w:sz w:val="32"/>
          <w:szCs w:val="32"/>
        </w:rPr>
      </w:pPr>
      <w:bookmarkStart w:id="231" w:name="_Toc20210"/>
      <w:bookmarkStart w:id="232" w:name="_Toc18215"/>
      <w:bookmarkStart w:id="233" w:name="_Toc3708"/>
      <w:bookmarkStart w:id="234" w:name="_Toc16221"/>
      <w:bookmarkStart w:id="235" w:name="_Toc13971"/>
      <w:bookmarkStart w:id="236" w:name="_Toc30854"/>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spacing w:val="6"/>
          <w:sz w:val="32"/>
          <w:szCs w:val="32"/>
          <w:lang w:val="en-US" w:eastAsia="zh-CN"/>
        </w:rPr>
        <w:t>一</w:t>
      </w:r>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spacing w:val="6"/>
          <w:sz w:val="32"/>
          <w:szCs w:val="32"/>
          <w:lang w:val="en-US" w:eastAsia="zh-CN"/>
        </w:rPr>
        <w:t>政策</w:t>
      </w:r>
      <w:r>
        <w:rPr>
          <w:rFonts w:hint="eastAsia" w:ascii="楷体_GB2312" w:hAnsi="楷体_GB2312" w:eastAsia="楷体_GB2312" w:cs="楷体_GB2312"/>
          <w:bCs/>
          <w:spacing w:val="6"/>
          <w:sz w:val="32"/>
          <w:szCs w:val="32"/>
        </w:rPr>
        <w:t>制度方面</w:t>
      </w:r>
      <w:bookmarkEnd w:id="231"/>
      <w:bookmarkEnd w:id="232"/>
      <w:bookmarkEnd w:id="233"/>
      <w:bookmarkEnd w:id="234"/>
      <w:bookmarkEnd w:id="235"/>
      <w:bookmarkEnd w:id="236"/>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en-US" w:eastAsia="zh-CN"/>
        </w:rPr>
      </w:pPr>
      <w:r>
        <w:rPr>
          <w:rFonts w:hint="eastAsia" w:ascii="仿宋_GB2312" w:hAnsi="仿宋_GB2312" w:eastAsia="仿宋_GB2312" w:cs="仿宋_GB2312"/>
          <w:bCs/>
          <w:spacing w:val="6"/>
          <w:sz w:val="32"/>
          <w:szCs w:val="32"/>
          <w:highlight w:val="none"/>
          <w:lang w:val="en-US" w:eastAsia="zh-CN"/>
        </w:rPr>
        <w:t>建议区工信局完善项目档案管理制度，项目完成后及时将档案整理归档。</w:t>
      </w:r>
      <w:bookmarkStart w:id="237" w:name="_Toc23092"/>
      <w:bookmarkStart w:id="238" w:name="_Toc8038"/>
    </w:p>
    <w:p>
      <w:pPr>
        <w:widowControl w:val="0"/>
        <w:spacing w:line="590" w:lineRule="exact"/>
        <w:ind w:firstLine="664" w:firstLineChars="200"/>
        <w:jc w:val="both"/>
        <w:outlineLvl w:val="1"/>
        <w:rPr>
          <w:rFonts w:hint="eastAsia"/>
          <w:lang w:val="en-US" w:eastAsia="zh-CN"/>
        </w:rPr>
      </w:pPr>
      <w:bookmarkStart w:id="239" w:name="_Toc16309"/>
      <w:r>
        <w:rPr>
          <w:rFonts w:hint="eastAsia" w:ascii="楷体_GB2312" w:hAnsi="楷体_GB2312" w:eastAsia="楷体_GB2312" w:cs="楷体_GB2312"/>
          <w:spacing w:val="6"/>
          <w:sz w:val="32"/>
          <w:szCs w:val="32"/>
          <w:lang w:val="en-US" w:eastAsia="zh-CN"/>
        </w:rPr>
        <w:t>（二）项目</w:t>
      </w:r>
      <w:r>
        <w:rPr>
          <w:rFonts w:hint="eastAsia" w:ascii="楷体_GB2312" w:hAnsi="楷体_GB2312" w:eastAsia="楷体_GB2312" w:cs="楷体_GB2312"/>
          <w:spacing w:val="6"/>
          <w:sz w:val="32"/>
          <w:szCs w:val="32"/>
        </w:rPr>
        <w:t>管理方面</w:t>
      </w:r>
      <w:bookmarkEnd w:id="239"/>
    </w:p>
    <w:p>
      <w:pPr>
        <w:pStyle w:val="2"/>
        <w:rPr>
          <w:rFonts w:hint="default"/>
          <w:lang w:val="en-US" w:eastAsia="zh-CN"/>
        </w:rPr>
      </w:pPr>
      <w:r>
        <w:rPr>
          <w:rFonts w:hint="eastAsia" w:ascii="仿宋_GB2312" w:hAnsi="仿宋_GB2312" w:eastAsia="仿宋_GB2312" w:cs="仿宋_GB2312"/>
          <w:bCs/>
          <w:spacing w:val="6"/>
          <w:kern w:val="2"/>
          <w:sz w:val="32"/>
          <w:szCs w:val="32"/>
          <w:highlight w:val="none"/>
          <w:lang w:val="en-US" w:eastAsia="zh-CN" w:bidi="ar-SA"/>
        </w:rPr>
        <w:t>建议</w:t>
      </w:r>
      <w:r>
        <w:rPr>
          <w:rFonts w:hint="eastAsia" w:ascii="仿宋_GB2312" w:hAnsi="仿宋_GB2312" w:eastAsia="仿宋_GB2312" w:cs="仿宋_GB2312"/>
          <w:bCs/>
          <w:spacing w:val="6"/>
          <w:sz w:val="32"/>
          <w:szCs w:val="32"/>
          <w:highlight w:val="none"/>
          <w:lang w:val="en-US" w:eastAsia="zh-CN"/>
        </w:rPr>
        <w:t>区</w:t>
      </w:r>
      <w:r>
        <w:rPr>
          <w:rFonts w:hint="eastAsia" w:ascii="仿宋_GB2312" w:hAnsi="仿宋_GB2312" w:eastAsia="仿宋_GB2312" w:cs="仿宋_GB2312"/>
          <w:bCs/>
          <w:spacing w:val="6"/>
          <w:kern w:val="2"/>
          <w:sz w:val="32"/>
          <w:szCs w:val="32"/>
          <w:highlight w:val="none"/>
          <w:lang w:val="en-US" w:eastAsia="zh-CN" w:bidi="ar-SA"/>
        </w:rPr>
        <w:t>工信局为企业争取更多省市区就业政策支持，帮助企业稳定就业。</w:t>
      </w:r>
    </w:p>
    <w:p>
      <w:pPr>
        <w:widowControl w:val="0"/>
        <w:spacing w:line="590" w:lineRule="exact"/>
        <w:ind w:firstLine="664" w:firstLineChars="200"/>
        <w:jc w:val="both"/>
        <w:outlineLvl w:val="1"/>
        <w:rPr>
          <w:rFonts w:hint="eastAsia" w:ascii="仿宋_GB2312" w:hAnsi="仿宋_GB2312" w:eastAsia="仿宋_GB2312" w:cs="仿宋_GB2312"/>
          <w:spacing w:val="6"/>
          <w:sz w:val="32"/>
          <w:szCs w:val="32"/>
          <w:lang w:eastAsia="zh-CN"/>
        </w:rPr>
      </w:pPr>
      <w:bookmarkStart w:id="240" w:name="_Toc9467"/>
      <w:bookmarkStart w:id="241" w:name="_Toc29654"/>
      <w:bookmarkStart w:id="242" w:name="_Toc602"/>
      <w:bookmarkStart w:id="243" w:name="_Toc27255"/>
      <w:r>
        <w:rPr>
          <w:rFonts w:hint="eastAsia" w:ascii="楷体_GB2312" w:hAnsi="楷体_GB2312" w:eastAsia="楷体_GB2312" w:cs="楷体_GB2312"/>
          <w:spacing w:val="6"/>
          <w:sz w:val="32"/>
          <w:szCs w:val="32"/>
          <w:lang w:val="en-US" w:eastAsia="zh-CN"/>
        </w:rPr>
        <w:t>（二）</w:t>
      </w:r>
      <w:r>
        <w:rPr>
          <w:rFonts w:hint="eastAsia" w:ascii="楷体_GB2312" w:hAnsi="楷体_GB2312" w:eastAsia="楷体_GB2312" w:cs="楷体_GB2312"/>
          <w:spacing w:val="6"/>
          <w:sz w:val="32"/>
          <w:szCs w:val="32"/>
        </w:rPr>
        <w:t>绩效管理方面</w:t>
      </w:r>
      <w:bookmarkEnd w:id="237"/>
      <w:bookmarkEnd w:id="238"/>
      <w:bookmarkEnd w:id="240"/>
      <w:bookmarkEnd w:id="241"/>
      <w:bookmarkEnd w:id="242"/>
      <w:bookmarkEnd w:id="243"/>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en-US" w:eastAsia="zh-CN"/>
        </w:rPr>
      </w:pPr>
      <w:bookmarkStart w:id="244" w:name="_Toc15590"/>
      <w:bookmarkStart w:id="245" w:name="_Toc21954"/>
      <w:bookmarkStart w:id="246" w:name="_Toc41306292"/>
      <w:bookmarkStart w:id="247" w:name="_Toc2462"/>
      <w:bookmarkStart w:id="248" w:name="_Toc8689"/>
      <w:bookmarkStart w:id="249" w:name="_Toc11118"/>
      <w:bookmarkStart w:id="250" w:name="_Toc21085"/>
      <w:bookmarkStart w:id="251" w:name="_Toc29135"/>
      <w:bookmarkStart w:id="252" w:name="_Toc26017"/>
      <w:bookmarkStart w:id="253" w:name="_Toc3549"/>
      <w:bookmarkStart w:id="254" w:name="_Toc16746"/>
      <w:bookmarkStart w:id="255" w:name="_Toc6701"/>
      <w:bookmarkStart w:id="256" w:name="_Toc15360"/>
      <w:r>
        <w:rPr>
          <w:rFonts w:hint="default" w:ascii="仿宋_GB2312" w:hAnsi="仿宋_GB2312" w:eastAsia="仿宋_GB2312" w:cs="仿宋_GB2312"/>
          <w:bCs/>
          <w:spacing w:val="6"/>
          <w:sz w:val="32"/>
          <w:szCs w:val="32"/>
          <w:highlight w:val="none"/>
          <w:lang w:val="en-US" w:eastAsia="zh-CN"/>
        </w:rPr>
        <w:t>建议区</w:t>
      </w:r>
      <w:r>
        <w:rPr>
          <w:rFonts w:hint="eastAsia" w:ascii="仿宋_GB2312" w:hAnsi="仿宋_GB2312" w:eastAsia="仿宋_GB2312" w:cs="仿宋_GB2312"/>
          <w:bCs/>
          <w:spacing w:val="6"/>
          <w:sz w:val="32"/>
          <w:szCs w:val="32"/>
          <w:highlight w:val="none"/>
          <w:lang w:val="en-US" w:eastAsia="zh-CN"/>
        </w:rPr>
        <w:t>工信局</w:t>
      </w:r>
      <w:r>
        <w:rPr>
          <w:rFonts w:hint="default" w:ascii="仿宋_GB2312" w:hAnsi="仿宋_GB2312" w:eastAsia="仿宋_GB2312" w:cs="仿宋_GB2312"/>
          <w:bCs/>
          <w:spacing w:val="6"/>
          <w:sz w:val="32"/>
          <w:szCs w:val="32"/>
          <w:highlight w:val="none"/>
          <w:lang w:val="en-US" w:eastAsia="zh-CN"/>
        </w:rPr>
        <w:t>在以后年度编制绩效目标时，加强部门内部相关工作人员绩效管理培训和学习，</w:t>
      </w:r>
      <w:r>
        <w:rPr>
          <w:rFonts w:hint="eastAsia" w:ascii="仿宋_GB2312" w:hAnsi="仿宋_GB2312" w:eastAsia="仿宋_GB2312" w:cs="仿宋_GB2312"/>
          <w:bCs/>
          <w:spacing w:val="6"/>
          <w:sz w:val="32"/>
          <w:szCs w:val="32"/>
          <w:highlight w:val="none"/>
          <w:lang w:val="en-US" w:eastAsia="zh-CN"/>
        </w:rPr>
        <w:t>在编制绩效目标时，应细化产出数量，量化项目效益，将绩效目标以清晰、可衡量的形式予以体现。</w:t>
      </w:r>
    </w:p>
    <w:p>
      <w:pPr>
        <w:widowControl w:val="0"/>
        <w:spacing w:line="590" w:lineRule="exact"/>
        <w:ind w:firstLine="664" w:firstLineChars="200"/>
        <w:jc w:val="both"/>
        <w:outlineLvl w:val="0"/>
        <w:rPr>
          <w:rFonts w:ascii="黑体" w:hAnsi="黑体" w:eastAsia="黑体"/>
          <w:spacing w:val="6"/>
          <w:sz w:val="32"/>
          <w:szCs w:val="32"/>
        </w:rPr>
      </w:pPr>
      <w:bookmarkStart w:id="257" w:name="_Toc23986"/>
      <w:bookmarkStart w:id="258" w:name="_Toc3004"/>
      <w:bookmarkStart w:id="259" w:name="_Toc22334"/>
      <w:bookmarkStart w:id="260" w:name="_Toc28812"/>
      <w:bookmarkStart w:id="261" w:name="_Toc1410"/>
      <w:bookmarkStart w:id="262" w:name="_Toc23678"/>
      <w:r>
        <w:rPr>
          <w:rFonts w:hint="eastAsia" w:ascii="黑体" w:hAnsi="黑体" w:eastAsia="黑体"/>
          <w:spacing w:val="6"/>
          <w:sz w:val="32"/>
          <w:szCs w:val="32"/>
          <w:lang w:val="en-US" w:eastAsia="zh-CN"/>
        </w:rPr>
        <w:t>五</w:t>
      </w:r>
      <w:r>
        <w:rPr>
          <w:rFonts w:hint="eastAsia" w:ascii="黑体" w:hAnsi="黑体" w:eastAsia="黑体"/>
          <w:spacing w:val="6"/>
          <w:sz w:val="32"/>
          <w:szCs w:val="32"/>
        </w:rPr>
        <w:t>、绩效评价结果应用建议</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pPr>
        <w:widowControl w:val="0"/>
        <w:spacing w:line="590" w:lineRule="exact"/>
        <w:ind w:firstLine="420" w:firstLineChars="200"/>
        <w:jc w:val="both"/>
        <w:outlineLvl w:val="1"/>
        <w:rPr>
          <w:rFonts w:ascii="Times New Roman" w:hAnsi="Times New Roman" w:eastAsia="楷体_GB2312" w:cs="Times New Roman"/>
          <w:spacing w:val="6"/>
          <w:sz w:val="32"/>
          <w:szCs w:val="32"/>
          <w:lang w:val="zh-CN"/>
        </w:rPr>
      </w:pPr>
      <w:bookmarkStart w:id="263" w:name="_Toc18208"/>
      <w:bookmarkStart w:id="264" w:name="_Toc830"/>
      <w:bookmarkStart w:id="265" w:name="_Toc22512"/>
      <w:bookmarkStart w:id="266" w:name="_Toc17769"/>
      <w:bookmarkStart w:id="267" w:name="_Toc17488"/>
      <w:bookmarkStart w:id="268" w:name="_Toc25393"/>
      <w:bookmarkStart w:id="269" w:name="_Toc7921"/>
      <w:bookmarkStart w:id="270" w:name="_Toc27040"/>
      <w:bookmarkStart w:id="271" w:name="_Toc9129"/>
      <w:bookmarkStart w:id="272" w:name="_Toc10694"/>
      <w:bookmarkStart w:id="273" w:name="_Toc31593"/>
      <w:bookmarkStart w:id="274" w:name="_Toc26169"/>
      <w:bookmarkStart w:id="275" w:name="_Toc16664"/>
      <w:bookmarkStart w:id="276" w:name="_Toc32273"/>
      <w:bookmarkStart w:id="277" w:name="_Toc26381"/>
      <w:bookmarkStart w:id="278" w:name="_Toc16542"/>
      <w:bookmarkStart w:id="279" w:name="_Toc13105"/>
      <w:r>
        <w:fldChar w:fldCharType="begin"/>
      </w:r>
      <w:r>
        <w:instrText xml:space="preserve"> HYPERLINK \l "_Toc434746187" </w:instrText>
      </w:r>
      <w:r>
        <w:fldChar w:fldCharType="separate"/>
      </w:r>
      <w:bookmarkStart w:id="280" w:name="_Toc41306293"/>
      <w:bookmarkStart w:id="281" w:name="_Toc531300193"/>
      <w:r>
        <w:rPr>
          <w:rFonts w:hint="eastAsia" w:ascii="Times New Roman" w:hAnsi="Times New Roman" w:eastAsia="楷体_GB2312" w:cs="Times New Roman"/>
          <w:spacing w:val="6"/>
          <w:sz w:val="32"/>
          <w:szCs w:val="32"/>
          <w:lang w:val="zh-CN"/>
        </w:rPr>
        <w:t>（一）对发现的问题及时整改</w:t>
      </w:r>
      <w:bookmarkEnd w:id="280"/>
      <w:bookmarkEnd w:id="281"/>
      <w:r>
        <w:rPr>
          <w:rFonts w:hint="eastAsia" w:ascii="Times New Roman" w:hAnsi="Times New Roman" w:eastAsia="楷体_GB2312" w:cs="Times New Roman"/>
          <w:spacing w:val="6"/>
          <w:sz w:val="32"/>
          <w:szCs w:val="32"/>
          <w:lang w:val="zh-CN"/>
        </w:rPr>
        <w:fldChar w:fldCharType="end"/>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pPr>
        <w:widowControl w:val="0"/>
        <w:spacing w:line="590" w:lineRule="exact"/>
        <w:ind w:firstLine="664" w:firstLineChars="200"/>
        <w:jc w:val="both"/>
        <w:rPr>
          <w:rFonts w:hint="eastAsia"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rPr>
        <w:t>针对本次</w:t>
      </w:r>
      <w:r>
        <w:rPr>
          <w:rFonts w:hint="eastAsia" w:ascii="Times New Roman" w:hAnsi="Times New Roman" w:eastAsia="仿宋_GB2312" w:cs="Times New Roman"/>
          <w:spacing w:val="6"/>
          <w:sz w:val="32"/>
          <w:szCs w:val="32"/>
          <w:lang w:eastAsia="zh-CN"/>
        </w:rPr>
        <w:t>绩效评价</w:t>
      </w:r>
      <w:r>
        <w:rPr>
          <w:rFonts w:hint="eastAsia" w:ascii="Times New Roman" w:hAnsi="Times New Roman" w:eastAsia="仿宋_GB2312" w:cs="Times New Roman"/>
          <w:spacing w:val="6"/>
          <w:sz w:val="32"/>
          <w:szCs w:val="32"/>
        </w:rPr>
        <w:t>中发现的问题，建议</w:t>
      </w:r>
      <w:r>
        <w:rPr>
          <w:rFonts w:hint="default" w:ascii="Times New Roman" w:hAnsi="Times New Roman" w:eastAsia="仿宋_GB2312" w:cs="Times New Roman"/>
          <w:b w:val="0"/>
          <w:bCs w:val="0"/>
          <w:spacing w:val="6"/>
          <w:sz w:val="32"/>
          <w:szCs w:val="32"/>
        </w:rPr>
        <w:t>区</w:t>
      </w:r>
      <w:r>
        <w:rPr>
          <w:rFonts w:hint="eastAsia" w:ascii="Times New Roman" w:hAnsi="Times New Roman" w:eastAsia="仿宋_GB2312" w:cs="Times New Roman"/>
          <w:b w:val="0"/>
          <w:bCs w:val="0"/>
          <w:spacing w:val="6"/>
          <w:sz w:val="32"/>
          <w:szCs w:val="32"/>
          <w:lang w:eastAsia="zh-CN"/>
        </w:rPr>
        <w:t>工信局</w:t>
      </w:r>
      <w:r>
        <w:rPr>
          <w:rFonts w:hint="eastAsia" w:ascii="Times New Roman" w:hAnsi="Times New Roman" w:eastAsia="仿宋_GB2312" w:cs="Times New Roman"/>
          <w:spacing w:val="6"/>
          <w:sz w:val="32"/>
          <w:szCs w:val="32"/>
        </w:rPr>
        <w:t>对存在的问题及时进行整改，并将整改情况书面上报相关部门。</w:t>
      </w:r>
    </w:p>
    <w:p>
      <w:pPr>
        <w:widowControl w:val="0"/>
        <w:spacing w:line="590" w:lineRule="exact"/>
        <w:ind w:firstLine="420" w:firstLineChars="200"/>
        <w:jc w:val="both"/>
        <w:outlineLvl w:val="1"/>
        <w:rPr>
          <w:rFonts w:ascii="Times New Roman" w:hAnsi="Times New Roman" w:eastAsia="楷体_GB2312" w:cs="Times New Roman"/>
          <w:spacing w:val="6"/>
          <w:sz w:val="32"/>
          <w:szCs w:val="32"/>
          <w:lang w:val="zh-CN"/>
        </w:rPr>
      </w:pPr>
      <w:bookmarkStart w:id="282" w:name="_Toc23983"/>
      <w:bookmarkStart w:id="283" w:name="_Toc25877"/>
      <w:bookmarkStart w:id="284" w:name="_Toc3617"/>
      <w:bookmarkStart w:id="285" w:name="_Toc5225"/>
      <w:bookmarkStart w:id="286" w:name="_Toc2301"/>
      <w:bookmarkStart w:id="287" w:name="_Toc25602"/>
      <w:bookmarkStart w:id="288" w:name="_Toc22196"/>
      <w:bookmarkStart w:id="289" w:name="_Toc8312"/>
      <w:bookmarkStart w:id="290" w:name="_Toc22016"/>
      <w:bookmarkStart w:id="291" w:name="_Toc8003"/>
      <w:bookmarkStart w:id="292" w:name="_Toc20068"/>
      <w:bookmarkStart w:id="293" w:name="_Toc25099"/>
      <w:bookmarkStart w:id="294" w:name="_Toc11904"/>
      <w:bookmarkStart w:id="295" w:name="_Toc22879"/>
      <w:bookmarkStart w:id="296" w:name="_Toc8626"/>
      <w:bookmarkStart w:id="297" w:name="_Toc24672"/>
      <w:bookmarkStart w:id="298" w:name="_Toc8134"/>
      <w:bookmarkStart w:id="299" w:name="_Toc2975"/>
      <w:r>
        <w:fldChar w:fldCharType="begin"/>
      </w:r>
      <w:r>
        <w:instrText xml:space="preserve"> HYPERLINK \l "_Toc434746187" </w:instrText>
      </w:r>
      <w:r>
        <w:fldChar w:fldCharType="separate"/>
      </w:r>
      <w:bookmarkStart w:id="300" w:name="_Toc531300194"/>
      <w:bookmarkStart w:id="301" w:name="_Toc41306294"/>
      <w:r>
        <w:rPr>
          <w:rFonts w:hint="eastAsia" w:ascii="Times New Roman" w:hAnsi="Times New Roman" w:eastAsia="楷体_GB2312" w:cs="Times New Roman"/>
          <w:spacing w:val="6"/>
          <w:sz w:val="32"/>
          <w:szCs w:val="32"/>
          <w:lang w:val="zh-CN"/>
        </w:rPr>
        <w:t>（二）以后年度预算安排建议</w:t>
      </w:r>
      <w:bookmarkEnd w:id="300"/>
      <w:bookmarkEnd w:id="301"/>
      <w:r>
        <w:rPr>
          <w:rFonts w:hint="eastAsia" w:ascii="Times New Roman" w:hAnsi="Times New Roman" w:eastAsia="楷体_GB2312" w:cs="Times New Roman"/>
          <w:spacing w:val="6"/>
          <w:sz w:val="32"/>
          <w:szCs w:val="32"/>
          <w:lang w:val="zh-CN"/>
        </w:rPr>
        <w:fldChar w:fldCharType="end"/>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pPr>
        <w:widowControl w:val="0"/>
        <w:spacing w:line="590" w:lineRule="exact"/>
        <w:ind w:firstLine="664" w:firstLineChars="200"/>
        <w:jc w:val="both"/>
        <w:rPr>
          <w:rFonts w:hint="eastAsia" w:ascii="仿宋_GB2312" w:hAnsi="仿宋_GB2312" w:eastAsia="仿宋_GB2312" w:cs="仿宋_GB2312"/>
          <w:spacing w:val="6"/>
          <w:sz w:val="32"/>
          <w:szCs w:val="32"/>
          <w:lang w:eastAsia="zh-CN"/>
        </w:rPr>
      </w:pPr>
      <w:r>
        <w:rPr>
          <w:rFonts w:hint="eastAsia" w:ascii="仿宋_GB2312" w:hAnsi="仿宋_GB2312" w:eastAsia="仿宋_GB2312" w:cs="仿宋_GB2312"/>
          <w:spacing w:val="6"/>
          <w:sz w:val="32"/>
          <w:szCs w:val="32"/>
          <w:lang w:eastAsia="zh-CN"/>
        </w:rPr>
        <w:t>建议</w:t>
      </w:r>
      <w:r>
        <w:rPr>
          <w:rFonts w:hint="eastAsia" w:ascii="仿宋_GB2312" w:hAnsi="仿宋_GB2312" w:eastAsia="仿宋_GB2312" w:cs="仿宋_GB2312"/>
          <w:spacing w:val="6"/>
          <w:sz w:val="32"/>
          <w:szCs w:val="32"/>
          <w:lang w:val="en-US" w:eastAsia="zh-CN"/>
        </w:rPr>
        <w:t>根据疫情对云岩区及企业的实际影响，调整</w:t>
      </w:r>
      <w:r>
        <w:rPr>
          <w:rFonts w:hint="eastAsia" w:ascii="仿宋_GB2312" w:hAnsi="仿宋_GB2312" w:eastAsia="仿宋_GB2312" w:cs="仿宋_GB2312"/>
          <w:spacing w:val="6"/>
          <w:sz w:val="32"/>
          <w:szCs w:val="32"/>
          <w:lang w:eastAsia="zh-CN"/>
        </w:rPr>
        <w:t>支持规模以上制造企业达产增产和重大工程项目</w:t>
      </w:r>
      <w:r>
        <w:rPr>
          <w:rFonts w:hint="eastAsia" w:ascii="仿宋_GB2312" w:hAnsi="仿宋_GB2312" w:eastAsia="仿宋_GB2312" w:cs="仿宋_GB2312"/>
          <w:spacing w:val="6"/>
          <w:sz w:val="32"/>
          <w:szCs w:val="32"/>
          <w:lang w:val="en-US" w:eastAsia="zh-CN"/>
        </w:rPr>
        <w:t>的规模</w:t>
      </w:r>
      <w:r>
        <w:rPr>
          <w:rFonts w:hint="eastAsia" w:ascii="仿宋_GB2312" w:hAnsi="仿宋_GB2312" w:eastAsia="仿宋_GB2312" w:cs="仿宋_GB2312"/>
          <w:spacing w:val="6"/>
          <w:sz w:val="32"/>
          <w:szCs w:val="32"/>
          <w:lang w:eastAsia="zh-CN"/>
        </w:rPr>
        <w:t>。</w:t>
      </w:r>
      <w:r>
        <w:rPr>
          <w:rFonts w:hint="eastAsia" w:ascii="Times New Roman" w:hAnsi="Times New Roman" w:eastAsia="仿宋_GB2312" w:cs="Times New Roman"/>
          <w:spacing w:val="6"/>
          <w:sz w:val="32"/>
          <w:szCs w:val="32"/>
          <w:lang w:eastAsia="zh-CN"/>
        </w:rPr>
        <w:t>通过</w:t>
      </w:r>
      <w:r>
        <w:rPr>
          <w:rFonts w:hint="eastAsia" w:ascii="Times New Roman" w:hAnsi="Times New Roman" w:eastAsia="仿宋_GB2312" w:cs="Times New Roman"/>
          <w:spacing w:val="6"/>
          <w:sz w:val="32"/>
          <w:szCs w:val="32"/>
          <w:lang w:val="en-US" w:eastAsia="zh-CN"/>
        </w:rPr>
        <w:t>对符合奖补条件的企业进行奖励及补助</w:t>
      </w:r>
      <w:r>
        <w:rPr>
          <w:rFonts w:hint="eastAsia" w:ascii="Times New Roman" w:hAnsi="Times New Roman" w:eastAsia="仿宋_GB2312" w:cs="Times New Roman"/>
          <w:spacing w:val="6"/>
          <w:sz w:val="32"/>
          <w:szCs w:val="32"/>
          <w:lang w:eastAsia="zh-CN"/>
        </w:rPr>
        <w:t>，</w:t>
      </w:r>
      <w:r>
        <w:rPr>
          <w:rFonts w:hint="eastAsia" w:ascii="仿宋_GB2312" w:hAnsi="黑体" w:eastAsia="仿宋_GB2312" w:cs="仿宋_GB2312"/>
          <w:color w:val="000000"/>
          <w:sz w:val="32"/>
          <w:szCs w:val="32"/>
          <w:lang w:val="en-US" w:eastAsia="zh-CN"/>
        </w:rPr>
        <w:t>有效</w:t>
      </w:r>
      <w:r>
        <w:rPr>
          <w:rFonts w:hint="eastAsia" w:ascii="仿宋_GB2312" w:hAnsi="黑体" w:eastAsia="仿宋_GB2312" w:cs="仿宋_GB2312"/>
          <w:color w:val="000000"/>
          <w:sz w:val="32"/>
          <w:szCs w:val="32"/>
        </w:rPr>
        <w:t>帮助稳定市场、稳定就业，促进</w:t>
      </w:r>
      <w:r>
        <w:rPr>
          <w:rFonts w:hint="eastAsia" w:ascii="仿宋_GB2312" w:hAnsi="黑体" w:eastAsia="仿宋_GB2312" w:cs="仿宋_GB2312"/>
          <w:color w:val="000000"/>
          <w:sz w:val="32"/>
          <w:szCs w:val="32"/>
          <w:lang w:val="en-US" w:eastAsia="zh-CN"/>
        </w:rPr>
        <w:t>了</w:t>
      </w:r>
      <w:r>
        <w:rPr>
          <w:rFonts w:hint="eastAsia" w:ascii="仿宋_GB2312" w:hAnsi="黑体" w:eastAsia="仿宋_GB2312" w:cs="仿宋_GB2312"/>
          <w:color w:val="000000"/>
          <w:sz w:val="32"/>
          <w:szCs w:val="32"/>
        </w:rPr>
        <w:t>工业经济平稳健康发展，鼓励企业扩产增效，切实帮助企业解决困难和问题。</w:t>
      </w:r>
    </w:p>
    <w:p>
      <w:pPr>
        <w:widowControl w:val="0"/>
        <w:spacing w:line="590" w:lineRule="exact"/>
        <w:ind w:firstLine="420" w:firstLineChars="200"/>
        <w:jc w:val="both"/>
        <w:outlineLvl w:val="1"/>
        <w:rPr>
          <w:rFonts w:ascii="仿宋_GB2312" w:hAnsi="仿宋" w:eastAsia="楷体_GB2312" w:cs="Times New Roman"/>
          <w:spacing w:val="6"/>
          <w:sz w:val="32"/>
          <w:szCs w:val="32"/>
          <w:lang w:val="zh-CN"/>
        </w:rPr>
      </w:pPr>
      <w:bookmarkStart w:id="302" w:name="_Toc21950"/>
      <w:bookmarkStart w:id="303" w:name="_Toc7965"/>
      <w:bookmarkStart w:id="304" w:name="_Toc7046"/>
      <w:bookmarkStart w:id="305" w:name="_Toc32066"/>
      <w:bookmarkStart w:id="306" w:name="_Toc7187"/>
      <w:bookmarkStart w:id="307" w:name="_Toc548"/>
      <w:bookmarkStart w:id="308" w:name="_Toc1721"/>
      <w:bookmarkStart w:id="309" w:name="_Toc32250"/>
      <w:bookmarkStart w:id="310" w:name="_Toc1008"/>
      <w:bookmarkStart w:id="311" w:name="_Toc31702"/>
      <w:bookmarkStart w:id="312" w:name="_Toc12311"/>
      <w:bookmarkStart w:id="313" w:name="_Toc24868"/>
      <w:bookmarkStart w:id="314" w:name="_Toc11627"/>
      <w:bookmarkStart w:id="315" w:name="_Toc20085"/>
      <w:bookmarkStart w:id="316" w:name="_Toc20621"/>
      <w:bookmarkStart w:id="317" w:name="_Toc4018"/>
      <w:bookmarkStart w:id="318" w:name="_Toc29601"/>
      <w:r>
        <w:fldChar w:fldCharType="begin"/>
      </w:r>
      <w:r>
        <w:instrText xml:space="preserve"> HYPERLINK \l "_Toc434746187" </w:instrText>
      </w:r>
      <w:r>
        <w:fldChar w:fldCharType="separate"/>
      </w:r>
      <w:bookmarkStart w:id="319" w:name="_Toc41306295"/>
      <w:bookmarkStart w:id="320" w:name="_Toc531300195"/>
      <w:r>
        <w:rPr>
          <w:rFonts w:hint="eastAsia" w:ascii="仿宋_GB2312" w:hAnsi="仿宋" w:eastAsia="楷体_GB2312" w:cs="Times New Roman"/>
          <w:spacing w:val="6"/>
          <w:sz w:val="32"/>
          <w:szCs w:val="32"/>
          <w:lang w:val="zh-CN"/>
        </w:rPr>
        <w:t>（三）评价结果公开</w:t>
      </w:r>
      <w:bookmarkEnd w:id="319"/>
      <w:bookmarkEnd w:id="320"/>
      <w:r>
        <w:rPr>
          <w:rFonts w:hint="eastAsia" w:ascii="仿宋_GB2312" w:hAnsi="仿宋" w:eastAsia="楷体_GB2312" w:cs="Times New Roman"/>
          <w:spacing w:val="6"/>
          <w:sz w:val="32"/>
          <w:szCs w:val="32"/>
          <w:lang w:val="zh-CN"/>
        </w:rPr>
        <w:fldChar w:fldCharType="end"/>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bookmarkEnd w:id="211"/>
    <w:p>
      <w:pPr>
        <w:widowControl w:val="0"/>
        <w:spacing w:line="590" w:lineRule="exact"/>
        <w:ind w:firstLine="640" w:firstLineChars="200"/>
        <w:jc w:val="both"/>
        <w:outlineLvl w:val="9"/>
        <w:rPr>
          <w:rFonts w:hint="eastAsia" w:ascii="Times New Roman" w:hAnsi="Times New Roman" w:eastAsia="黑体" w:cs="Times New Roman"/>
          <w:spacing w:val="6"/>
          <w:sz w:val="32"/>
          <w:szCs w:val="32"/>
        </w:rPr>
      </w:pPr>
      <w:r>
        <w:rPr>
          <w:rFonts w:hint="eastAsia" w:ascii="仿宋_GB2312" w:hAnsi="仿宋_GB2312" w:eastAsia="仿宋_GB2312" w:cs="仿宋_GB2312"/>
          <w:sz w:val="32"/>
          <w:szCs w:val="32"/>
        </w:rPr>
        <w:t>建议按照中共中央 国务院《关于全面实施预算绩效管理的意见》（中发〔2018〕34号）和《中共贵州省委 贵州省人民政府关于全面实施预算绩效管理的实施意见》（黔党发〔2019〕29号）等文件规定，大力推进绩效信息公开透明，回应社会关切，自觉接受人大和社会各界监督。</w:t>
      </w:r>
      <w:bookmarkStart w:id="321" w:name="_Toc41306296"/>
      <w:bookmarkStart w:id="322" w:name="_Toc1249"/>
      <w:bookmarkStart w:id="323" w:name="_Toc5275"/>
      <w:bookmarkStart w:id="324" w:name="_Toc30675"/>
      <w:bookmarkStart w:id="325" w:name="_Toc17876"/>
    </w:p>
    <w:bookmarkEnd w:id="184"/>
    <w:bookmarkEnd w:id="321"/>
    <w:bookmarkEnd w:id="322"/>
    <w:bookmarkEnd w:id="323"/>
    <w:bookmarkEnd w:id="324"/>
    <w:bookmarkEnd w:id="325"/>
    <w:p>
      <w:pPr>
        <w:rPr>
          <w:rFonts w:hint="default" w:ascii="Times New Roman" w:hAnsi="Times New Roman" w:eastAsia="仿宋_GB2312" w:cs="Times New Roman"/>
          <w:szCs w:val="21"/>
        </w:rPr>
      </w:pPr>
      <w:bookmarkStart w:id="326" w:name="_GoBack"/>
      <w:bookmarkEnd w:id="326"/>
    </w:p>
    <w:sectPr>
      <w:footerReference r:id="rId3" w:type="default"/>
      <w:footerReference r:id="rId4" w:type="even"/>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040" w:firstLineChars="1800"/>
      <w:rPr>
        <w:rStyle w:val="20"/>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1CBB"/>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539"/>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99E"/>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453751"/>
    <w:rsid w:val="01710C42"/>
    <w:rsid w:val="017F126E"/>
    <w:rsid w:val="018C6040"/>
    <w:rsid w:val="01967E71"/>
    <w:rsid w:val="01BF645F"/>
    <w:rsid w:val="01D0720E"/>
    <w:rsid w:val="01E925F2"/>
    <w:rsid w:val="01EE77BF"/>
    <w:rsid w:val="021F72B2"/>
    <w:rsid w:val="02232815"/>
    <w:rsid w:val="02366DA0"/>
    <w:rsid w:val="024971C1"/>
    <w:rsid w:val="024D5B94"/>
    <w:rsid w:val="026412FF"/>
    <w:rsid w:val="026818CF"/>
    <w:rsid w:val="026E0318"/>
    <w:rsid w:val="02A52145"/>
    <w:rsid w:val="02B2092B"/>
    <w:rsid w:val="02D26E72"/>
    <w:rsid w:val="02F41103"/>
    <w:rsid w:val="02F53E74"/>
    <w:rsid w:val="02FB7869"/>
    <w:rsid w:val="03315E11"/>
    <w:rsid w:val="03BC007F"/>
    <w:rsid w:val="03EB3FC7"/>
    <w:rsid w:val="040717CA"/>
    <w:rsid w:val="040E5C29"/>
    <w:rsid w:val="041600AC"/>
    <w:rsid w:val="043D69E1"/>
    <w:rsid w:val="044A7004"/>
    <w:rsid w:val="04671583"/>
    <w:rsid w:val="046A2703"/>
    <w:rsid w:val="04DB522D"/>
    <w:rsid w:val="050836B4"/>
    <w:rsid w:val="0510144C"/>
    <w:rsid w:val="052F698C"/>
    <w:rsid w:val="053805F8"/>
    <w:rsid w:val="05571533"/>
    <w:rsid w:val="055D4CB6"/>
    <w:rsid w:val="05A07FB5"/>
    <w:rsid w:val="05B70155"/>
    <w:rsid w:val="05CA4673"/>
    <w:rsid w:val="05D00854"/>
    <w:rsid w:val="05E86706"/>
    <w:rsid w:val="05EB3E85"/>
    <w:rsid w:val="05F626C2"/>
    <w:rsid w:val="06440003"/>
    <w:rsid w:val="06EE0FAD"/>
    <w:rsid w:val="06F4622C"/>
    <w:rsid w:val="07037896"/>
    <w:rsid w:val="071C1AB9"/>
    <w:rsid w:val="072A35FB"/>
    <w:rsid w:val="07673691"/>
    <w:rsid w:val="07675D60"/>
    <w:rsid w:val="079A234F"/>
    <w:rsid w:val="07BD350D"/>
    <w:rsid w:val="07BE76F9"/>
    <w:rsid w:val="07ED67BF"/>
    <w:rsid w:val="07FB5842"/>
    <w:rsid w:val="0810522F"/>
    <w:rsid w:val="08251C3E"/>
    <w:rsid w:val="086B433E"/>
    <w:rsid w:val="087C3235"/>
    <w:rsid w:val="089524A2"/>
    <w:rsid w:val="08A44134"/>
    <w:rsid w:val="08C32FB7"/>
    <w:rsid w:val="08C80360"/>
    <w:rsid w:val="094C130B"/>
    <w:rsid w:val="096303B1"/>
    <w:rsid w:val="096E6557"/>
    <w:rsid w:val="097612D8"/>
    <w:rsid w:val="09776B1A"/>
    <w:rsid w:val="09870B6B"/>
    <w:rsid w:val="098F549E"/>
    <w:rsid w:val="09D6522B"/>
    <w:rsid w:val="0A2E55C3"/>
    <w:rsid w:val="0A38598E"/>
    <w:rsid w:val="0A4F305E"/>
    <w:rsid w:val="0AAC140A"/>
    <w:rsid w:val="0ADC74B5"/>
    <w:rsid w:val="0AEB5D03"/>
    <w:rsid w:val="0AFF6A33"/>
    <w:rsid w:val="0B0A632C"/>
    <w:rsid w:val="0B1933FA"/>
    <w:rsid w:val="0B3A110D"/>
    <w:rsid w:val="0B64529C"/>
    <w:rsid w:val="0B762C6A"/>
    <w:rsid w:val="0B942AEA"/>
    <w:rsid w:val="0B9841B0"/>
    <w:rsid w:val="0B9F443A"/>
    <w:rsid w:val="0BAB2AC2"/>
    <w:rsid w:val="0BBF193C"/>
    <w:rsid w:val="0BFD257C"/>
    <w:rsid w:val="0BFE018D"/>
    <w:rsid w:val="0C2A396B"/>
    <w:rsid w:val="0C2D7D84"/>
    <w:rsid w:val="0C345149"/>
    <w:rsid w:val="0C6D10C4"/>
    <w:rsid w:val="0C6E7CC4"/>
    <w:rsid w:val="0C8573BB"/>
    <w:rsid w:val="0C870841"/>
    <w:rsid w:val="0C8804C9"/>
    <w:rsid w:val="0CC27BBA"/>
    <w:rsid w:val="0CD4772C"/>
    <w:rsid w:val="0D174F42"/>
    <w:rsid w:val="0D8F691E"/>
    <w:rsid w:val="0DAC0FC0"/>
    <w:rsid w:val="0DBD6E33"/>
    <w:rsid w:val="0DC95DFB"/>
    <w:rsid w:val="0DCA67D5"/>
    <w:rsid w:val="0DE23BDC"/>
    <w:rsid w:val="0DEC2FD8"/>
    <w:rsid w:val="0DFC7201"/>
    <w:rsid w:val="0E5701F3"/>
    <w:rsid w:val="0E597024"/>
    <w:rsid w:val="0E5F1975"/>
    <w:rsid w:val="0E7712A1"/>
    <w:rsid w:val="0E9244A6"/>
    <w:rsid w:val="0F0C791F"/>
    <w:rsid w:val="0F591BF7"/>
    <w:rsid w:val="0F860A96"/>
    <w:rsid w:val="0FCA5173"/>
    <w:rsid w:val="0FCA7061"/>
    <w:rsid w:val="0FDC0328"/>
    <w:rsid w:val="0FF40D67"/>
    <w:rsid w:val="102B630D"/>
    <w:rsid w:val="105D2F0D"/>
    <w:rsid w:val="10610C1D"/>
    <w:rsid w:val="10674688"/>
    <w:rsid w:val="10955F12"/>
    <w:rsid w:val="10B15F44"/>
    <w:rsid w:val="10B80B26"/>
    <w:rsid w:val="10C831A7"/>
    <w:rsid w:val="10CB33F3"/>
    <w:rsid w:val="10CC44AD"/>
    <w:rsid w:val="10F62700"/>
    <w:rsid w:val="110B4F79"/>
    <w:rsid w:val="111609D1"/>
    <w:rsid w:val="11374D2A"/>
    <w:rsid w:val="116A372A"/>
    <w:rsid w:val="118A2781"/>
    <w:rsid w:val="11AF7CB9"/>
    <w:rsid w:val="11CE6D9D"/>
    <w:rsid w:val="11E025C1"/>
    <w:rsid w:val="11F272DE"/>
    <w:rsid w:val="120664A5"/>
    <w:rsid w:val="1226602C"/>
    <w:rsid w:val="123D0E8B"/>
    <w:rsid w:val="123D5DA2"/>
    <w:rsid w:val="123E0B14"/>
    <w:rsid w:val="1261343A"/>
    <w:rsid w:val="12766890"/>
    <w:rsid w:val="128F38DC"/>
    <w:rsid w:val="12A31AFE"/>
    <w:rsid w:val="12CB2316"/>
    <w:rsid w:val="13054260"/>
    <w:rsid w:val="130C2A5B"/>
    <w:rsid w:val="13367C35"/>
    <w:rsid w:val="133A5DF2"/>
    <w:rsid w:val="134F6889"/>
    <w:rsid w:val="13566E1F"/>
    <w:rsid w:val="13727B81"/>
    <w:rsid w:val="138520A3"/>
    <w:rsid w:val="138A39C5"/>
    <w:rsid w:val="138E7456"/>
    <w:rsid w:val="13B804D9"/>
    <w:rsid w:val="1401311A"/>
    <w:rsid w:val="14204765"/>
    <w:rsid w:val="14302C19"/>
    <w:rsid w:val="1466570D"/>
    <w:rsid w:val="148A218C"/>
    <w:rsid w:val="148D1992"/>
    <w:rsid w:val="149543C8"/>
    <w:rsid w:val="14AF7C3F"/>
    <w:rsid w:val="14ED252C"/>
    <w:rsid w:val="14FC505E"/>
    <w:rsid w:val="14FF709F"/>
    <w:rsid w:val="15593C77"/>
    <w:rsid w:val="15776601"/>
    <w:rsid w:val="15782840"/>
    <w:rsid w:val="158A46FA"/>
    <w:rsid w:val="15A05276"/>
    <w:rsid w:val="15A10AA3"/>
    <w:rsid w:val="15A613ED"/>
    <w:rsid w:val="15B03EEA"/>
    <w:rsid w:val="15D54C31"/>
    <w:rsid w:val="15E52FAF"/>
    <w:rsid w:val="1604750E"/>
    <w:rsid w:val="1616746A"/>
    <w:rsid w:val="162168E1"/>
    <w:rsid w:val="16232E7E"/>
    <w:rsid w:val="162A06D0"/>
    <w:rsid w:val="165E3157"/>
    <w:rsid w:val="167E01C7"/>
    <w:rsid w:val="16B2239E"/>
    <w:rsid w:val="16D74074"/>
    <w:rsid w:val="16F44210"/>
    <w:rsid w:val="17051E8C"/>
    <w:rsid w:val="17213F37"/>
    <w:rsid w:val="174A3117"/>
    <w:rsid w:val="175156BB"/>
    <w:rsid w:val="177535F3"/>
    <w:rsid w:val="1784088D"/>
    <w:rsid w:val="17876CD8"/>
    <w:rsid w:val="17991F6C"/>
    <w:rsid w:val="17A468DC"/>
    <w:rsid w:val="17AB3003"/>
    <w:rsid w:val="17AD21DF"/>
    <w:rsid w:val="17DA5E62"/>
    <w:rsid w:val="18073366"/>
    <w:rsid w:val="18091368"/>
    <w:rsid w:val="181B5321"/>
    <w:rsid w:val="18296387"/>
    <w:rsid w:val="187A3F69"/>
    <w:rsid w:val="189F0600"/>
    <w:rsid w:val="18AB48E3"/>
    <w:rsid w:val="18F6567A"/>
    <w:rsid w:val="191B4248"/>
    <w:rsid w:val="19290BBF"/>
    <w:rsid w:val="19343A40"/>
    <w:rsid w:val="196D7F1B"/>
    <w:rsid w:val="1979726C"/>
    <w:rsid w:val="19A90B8D"/>
    <w:rsid w:val="19AB6351"/>
    <w:rsid w:val="19C37425"/>
    <w:rsid w:val="19DB0028"/>
    <w:rsid w:val="19DE5125"/>
    <w:rsid w:val="19F44735"/>
    <w:rsid w:val="19F9675D"/>
    <w:rsid w:val="1A176F1F"/>
    <w:rsid w:val="1A3112FC"/>
    <w:rsid w:val="1A3268EA"/>
    <w:rsid w:val="1A3D7353"/>
    <w:rsid w:val="1A4B3691"/>
    <w:rsid w:val="1A582845"/>
    <w:rsid w:val="1A5A434F"/>
    <w:rsid w:val="1A78107D"/>
    <w:rsid w:val="1AAD3841"/>
    <w:rsid w:val="1AB729F0"/>
    <w:rsid w:val="1AD350C2"/>
    <w:rsid w:val="1AFC6CAA"/>
    <w:rsid w:val="1B003A3A"/>
    <w:rsid w:val="1B1C0FCD"/>
    <w:rsid w:val="1B1F290F"/>
    <w:rsid w:val="1B352E36"/>
    <w:rsid w:val="1B3E6055"/>
    <w:rsid w:val="1B62011E"/>
    <w:rsid w:val="1B82212A"/>
    <w:rsid w:val="1B8E3D13"/>
    <w:rsid w:val="1BC44BC3"/>
    <w:rsid w:val="1BDC6CBF"/>
    <w:rsid w:val="1C1A2140"/>
    <w:rsid w:val="1C346708"/>
    <w:rsid w:val="1C5546C9"/>
    <w:rsid w:val="1C5B3D52"/>
    <w:rsid w:val="1C65417E"/>
    <w:rsid w:val="1C715F47"/>
    <w:rsid w:val="1C8E2171"/>
    <w:rsid w:val="1CCB7B47"/>
    <w:rsid w:val="1CCF56FE"/>
    <w:rsid w:val="1CF9370A"/>
    <w:rsid w:val="1D1D282B"/>
    <w:rsid w:val="1D203231"/>
    <w:rsid w:val="1D216739"/>
    <w:rsid w:val="1D4F7665"/>
    <w:rsid w:val="1D5C4CAA"/>
    <w:rsid w:val="1D8553CF"/>
    <w:rsid w:val="1D937E42"/>
    <w:rsid w:val="1DC60FD4"/>
    <w:rsid w:val="1DE019AC"/>
    <w:rsid w:val="1DEE7632"/>
    <w:rsid w:val="1E193D15"/>
    <w:rsid w:val="1E3D0A3F"/>
    <w:rsid w:val="1E48161D"/>
    <w:rsid w:val="1E5D0DA8"/>
    <w:rsid w:val="1E6C0D71"/>
    <w:rsid w:val="1E7C4C85"/>
    <w:rsid w:val="1EF42A3F"/>
    <w:rsid w:val="1F017683"/>
    <w:rsid w:val="1F323B00"/>
    <w:rsid w:val="1F3A7109"/>
    <w:rsid w:val="1F4E720F"/>
    <w:rsid w:val="1F722094"/>
    <w:rsid w:val="1FA91432"/>
    <w:rsid w:val="1FCE3404"/>
    <w:rsid w:val="1FD27F61"/>
    <w:rsid w:val="1FE024EA"/>
    <w:rsid w:val="1FF446FA"/>
    <w:rsid w:val="202B7515"/>
    <w:rsid w:val="20476854"/>
    <w:rsid w:val="204A0D08"/>
    <w:rsid w:val="20796E60"/>
    <w:rsid w:val="207E3C6E"/>
    <w:rsid w:val="20850F2A"/>
    <w:rsid w:val="20AA0E15"/>
    <w:rsid w:val="20AC2ED5"/>
    <w:rsid w:val="20D55460"/>
    <w:rsid w:val="212B3875"/>
    <w:rsid w:val="21384777"/>
    <w:rsid w:val="213900B3"/>
    <w:rsid w:val="21402683"/>
    <w:rsid w:val="214E3C8D"/>
    <w:rsid w:val="21564609"/>
    <w:rsid w:val="2172075E"/>
    <w:rsid w:val="21894E00"/>
    <w:rsid w:val="218F26EC"/>
    <w:rsid w:val="21970268"/>
    <w:rsid w:val="21B67E14"/>
    <w:rsid w:val="21DE511C"/>
    <w:rsid w:val="21F2725D"/>
    <w:rsid w:val="21F4671D"/>
    <w:rsid w:val="21F7407A"/>
    <w:rsid w:val="21FA0F0C"/>
    <w:rsid w:val="22443F52"/>
    <w:rsid w:val="22800F5B"/>
    <w:rsid w:val="22A6148F"/>
    <w:rsid w:val="22B068DF"/>
    <w:rsid w:val="22C11AA0"/>
    <w:rsid w:val="22C62F3A"/>
    <w:rsid w:val="22F912D1"/>
    <w:rsid w:val="2324394A"/>
    <w:rsid w:val="2328248D"/>
    <w:rsid w:val="2333099E"/>
    <w:rsid w:val="234647AA"/>
    <w:rsid w:val="23573815"/>
    <w:rsid w:val="235C5A2D"/>
    <w:rsid w:val="2367752F"/>
    <w:rsid w:val="23753B32"/>
    <w:rsid w:val="2380657F"/>
    <w:rsid w:val="238621A3"/>
    <w:rsid w:val="23AD3F39"/>
    <w:rsid w:val="23D5432C"/>
    <w:rsid w:val="23F1591B"/>
    <w:rsid w:val="24051C87"/>
    <w:rsid w:val="24354C4F"/>
    <w:rsid w:val="24470B4A"/>
    <w:rsid w:val="246E0FFC"/>
    <w:rsid w:val="24832ECC"/>
    <w:rsid w:val="248C46D2"/>
    <w:rsid w:val="249B02B0"/>
    <w:rsid w:val="24BE4DD8"/>
    <w:rsid w:val="24DB4E93"/>
    <w:rsid w:val="2509275D"/>
    <w:rsid w:val="250D0121"/>
    <w:rsid w:val="250D22FE"/>
    <w:rsid w:val="25172298"/>
    <w:rsid w:val="251972DF"/>
    <w:rsid w:val="25286633"/>
    <w:rsid w:val="253B4C73"/>
    <w:rsid w:val="254F2A32"/>
    <w:rsid w:val="25672E21"/>
    <w:rsid w:val="256D11CB"/>
    <w:rsid w:val="2572129F"/>
    <w:rsid w:val="25922005"/>
    <w:rsid w:val="25A84F81"/>
    <w:rsid w:val="26017463"/>
    <w:rsid w:val="2620569F"/>
    <w:rsid w:val="26264CA5"/>
    <w:rsid w:val="26367B9D"/>
    <w:rsid w:val="263A13A7"/>
    <w:rsid w:val="264579D4"/>
    <w:rsid w:val="26570D9B"/>
    <w:rsid w:val="265B4A98"/>
    <w:rsid w:val="26680B82"/>
    <w:rsid w:val="267F7F34"/>
    <w:rsid w:val="26C458D9"/>
    <w:rsid w:val="26C6266E"/>
    <w:rsid w:val="26F96584"/>
    <w:rsid w:val="26FA043B"/>
    <w:rsid w:val="270239BC"/>
    <w:rsid w:val="27270BA0"/>
    <w:rsid w:val="27292897"/>
    <w:rsid w:val="272A512B"/>
    <w:rsid w:val="273057C2"/>
    <w:rsid w:val="2736007B"/>
    <w:rsid w:val="27364029"/>
    <w:rsid w:val="273937B9"/>
    <w:rsid w:val="27485B61"/>
    <w:rsid w:val="274B08D6"/>
    <w:rsid w:val="27572352"/>
    <w:rsid w:val="27A63803"/>
    <w:rsid w:val="27AA66DF"/>
    <w:rsid w:val="27DE54C8"/>
    <w:rsid w:val="27DF5F83"/>
    <w:rsid w:val="28065029"/>
    <w:rsid w:val="28181A49"/>
    <w:rsid w:val="2881192B"/>
    <w:rsid w:val="28A571BF"/>
    <w:rsid w:val="28BA0544"/>
    <w:rsid w:val="28C825D9"/>
    <w:rsid w:val="28CA538C"/>
    <w:rsid w:val="28CB2378"/>
    <w:rsid w:val="28CC1CA9"/>
    <w:rsid w:val="28CF33C4"/>
    <w:rsid w:val="292213A3"/>
    <w:rsid w:val="29244BC3"/>
    <w:rsid w:val="294444A6"/>
    <w:rsid w:val="29502024"/>
    <w:rsid w:val="29626D9C"/>
    <w:rsid w:val="2983444B"/>
    <w:rsid w:val="29AE4DCD"/>
    <w:rsid w:val="29CD7446"/>
    <w:rsid w:val="2A0C4A85"/>
    <w:rsid w:val="2A182384"/>
    <w:rsid w:val="2A471C5B"/>
    <w:rsid w:val="2A47667E"/>
    <w:rsid w:val="2A7D17D9"/>
    <w:rsid w:val="2A997F46"/>
    <w:rsid w:val="2AA720BD"/>
    <w:rsid w:val="2AB23553"/>
    <w:rsid w:val="2AC6544B"/>
    <w:rsid w:val="2AFB2465"/>
    <w:rsid w:val="2B0C5681"/>
    <w:rsid w:val="2B2379C3"/>
    <w:rsid w:val="2B396DA2"/>
    <w:rsid w:val="2B6215F2"/>
    <w:rsid w:val="2BB875F8"/>
    <w:rsid w:val="2BCA7BD5"/>
    <w:rsid w:val="2BEE6654"/>
    <w:rsid w:val="2BF06118"/>
    <w:rsid w:val="2C082643"/>
    <w:rsid w:val="2C09361F"/>
    <w:rsid w:val="2C0B09FB"/>
    <w:rsid w:val="2C5F50E7"/>
    <w:rsid w:val="2C80640C"/>
    <w:rsid w:val="2CAF1E35"/>
    <w:rsid w:val="2CB044A6"/>
    <w:rsid w:val="2CD3475D"/>
    <w:rsid w:val="2CF471CC"/>
    <w:rsid w:val="2D180989"/>
    <w:rsid w:val="2D2B1BF1"/>
    <w:rsid w:val="2D300C2A"/>
    <w:rsid w:val="2D9F4C9A"/>
    <w:rsid w:val="2DB77BDA"/>
    <w:rsid w:val="2DBB19C8"/>
    <w:rsid w:val="2E2A3C72"/>
    <w:rsid w:val="2E756EE4"/>
    <w:rsid w:val="2E7A6780"/>
    <w:rsid w:val="2E903AA6"/>
    <w:rsid w:val="2E990EE5"/>
    <w:rsid w:val="2EA74AB7"/>
    <w:rsid w:val="2EEA3EEB"/>
    <w:rsid w:val="2EFE3990"/>
    <w:rsid w:val="2F3474BC"/>
    <w:rsid w:val="2F376972"/>
    <w:rsid w:val="2F5510E8"/>
    <w:rsid w:val="2F915184"/>
    <w:rsid w:val="2FDB35FD"/>
    <w:rsid w:val="2FDB65AB"/>
    <w:rsid w:val="303655A9"/>
    <w:rsid w:val="30416A11"/>
    <w:rsid w:val="30513795"/>
    <w:rsid w:val="3053208E"/>
    <w:rsid w:val="308356D8"/>
    <w:rsid w:val="3095782D"/>
    <w:rsid w:val="30EB1091"/>
    <w:rsid w:val="30FA2B83"/>
    <w:rsid w:val="31132AF6"/>
    <w:rsid w:val="31435308"/>
    <w:rsid w:val="31490108"/>
    <w:rsid w:val="316E7B6E"/>
    <w:rsid w:val="31777A59"/>
    <w:rsid w:val="31812D76"/>
    <w:rsid w:val="31B43FAE"/>
    <w:rsid w:val="32073DFD"/>
    <w:rsid w:val="3239017C"/>
    <w:rsid w:val="32566F80"/>
    <w:rsid w:val="326233D5"/>
    <w:rsid w:val="326B0EC2"/>
    <w:rsid w:val="326C44C8"/>
    <w:rsid w:val="32BA614A"/>
    <w:rsid w:val="32D1566D"/>
    <w:rsid w:val="32E5345D"/>
    <w:rsid w:val="32EA3EBA"/>
    <w:rsid w:val="330274F1"/>
    <w:rsid w:val="33142F7A"/>
    <w:rsid w:val="334F62FB"/>
    <w:rsid w:val="337335DF"/>
    <w:rsid w:val="337749FD"/>
    <w:rsid w:val="339D73B6"/>
    <w:rsid w:val="33AE4D73"/>
    <w:rsid w:val="33C91820"/>
    <w:rsid w:val="33D86AEF"/>
    <w:rsid w:val="33EC19CF"/>
    <w:rsid w:val="33FB1B8D"/>
    <w:rsid w:val="33FB32EE"/>
    <w:rsid w:val="33FF598D"/>
    <w:rsid w:val="34621545"/>
    <w:rsid w:val="348B0BD6"/>
    <w:rsid w:val="34AA0C12"/>
    <w:rsid w:val="34B2110A"/>
    <w:rsid w:val="34BB131C"/>
    <w:rsid w:val="34C22379"/>
    <w:rsid w:val="34C50876"/>
    <w:rsid w:val="353C6C05"/>
    <w:rsid w:val="355B21DB"/>
    <w:rsid w:val="355E734D"/>
    <w:rsid w:val="35A013B7"/>
    <w:rsid w:val="35C72AF8"/>
    <w:rsid w:val="35D02BB2"/>
    <w:rsid w:val="35E51E53"/>
    <w:rsid w:val="35F6A475"/>
    <w:rsid w:val="364524C4"/>
    <w:rsid w:val="365D549E"/>
    <w:rsid w:val="366521B7"/>
    <w:rsid w:val="36757D1C"/>
    <w:rsid w:val="36826112"/>
    <w:rsid w:val="36A070EC"/>
    <w:rsid w:val="36B42A54"/>
    <w:rsid w:val="36D143C2"/>
    <w:rsid w:val="36D56D1C"/>
    <w:rsid w:val="36F44BA5"/>
    <w:rsid w:val="370C25EC"/>
    <w:rsid w:val="375D5EFF"/>
    <w:rsid w:val="3769177D"/>
    <w:rsid w:val="378C0C0A"/>
    <w:rsid w:val="379530C6"/>
    <w:rsid w:val="37995C56"/>
    <w:rsid w:val="37A02467"/>
    <w:rsid w:val="37AA2A2B"/>
    <w:rsid w:val="37E976EC"/>
    <w:rsid w:val="380D4B9D"/>
    <w:rsid w:val="38121C1A"/>
    <w:rsid w:val="381A0DF2"/>
    <w:rsid w:val="381D0A3E"/>
    <w:rsid w:val="388C1269"/>
    <w:rsid w:val="38986075"/>
    <w:rsid w:val="38A428D6"/>
    <w:rsid w:val="38AA65E7"/>
    <w:rsid w:val="38B00B27"/>
    <w:rsid w:val="38B4055C"/>
    <w:rsid w:val="38C45D4D"/>
    <w:rsid w:val="38EF702B"/>
    <w:rsid w:val="38FA1B06"/>
    <w:rsid w:val="390846BD"/>
    <w:rsid w:val="394542C6"/>
    <w:rsid w:val="394C2D4E"/>
    <w:rsid w:val="3983203B"/>
    <w:rsid w:val="39A63FD7"/>
    <w:rsid w:val="39BF5F6B"/>
    <w:rsid w:val="39C15FF9"/>
    <w:rsid w:val="39F51765"/>
    <w:rsid w:val="39FF6276"/>
    <w:rsid w:val="3A8B0BD2"/>
    <w:rsid w:val="3AB43A4E"/>
    <w:rsid w:val="3AB914E9"/>
    <w:rsid w:val="3ABE2873"/>
    <w:rsid w:val="3AEB3CFC"/>
    <w:rsid w:val="3B042C89"/>
    <w:rsid w:val="3B30679B"/>
    <w:rsid w:val="3B7A345D"/>
    <w:rsid w:val="3B9F7C34"/>
    <w:rsid w:val="3BDF562E"/>
    <w:rsid w:val="3BE21CC8"/>
    <w:rsid w:val="3C18525E"/>
    <w:rsid w:val="3C332BE8"/>
    <w:rsid w:val="3C495BA9"/>
    <w:rsid w:val="3C601413"/>
    <w:rsid w:val="3C846DAF"/>
    <w:rsid w:val="3C8A2EAE"/>
    <w:rsid w:val="3CB96983"/>
    <w:rsid w:val="3D1F2F22"/>
    <w:rsid w:val="3D1F799D"/>
    <w:rsid w:val="3D271999"/>
    <w:rsid w:val="3D607867"/>
    <w:rsid w:val="3D7777D0"/>
    <w:rsid w:val="3D811E42"/>
    <w:rsid w:val="3D837D98"/>
    <w:rsid w:val="3D922A13"/>
    <w:rsid w:val="3D9E02C2"/>
    <w:rsid w:val="3DC106F4"/>
    <w:rsid w:val="3E2B3F62"/>
    <w:rsid w:val="3E396A25"/>
    <w:rsid w:val="3E3C0FE6"/>
    <w:rsid w:val="3E4D46A5"/>
    <w:rsid w:val="3E52118C"/>
    <w:rsid w:val="3E91345E"/>
    <w:rsid w:val="3ECC2AD7"/>
    <w:rsid w:val="3EDE5E36"/>
    <w:rsid w:val="3EF43A44"/>
    <w:rsid w:val="3F361EF8"/>
    <w:rsid w:val="3F4C7A99"/>
    <w:rsid w:val="3F5E0CFB"/>
    <w:rsid w:val="3F6820E8"/>
    <w:rsid w:val="3F785E92"/>
    <w:rsid w:val="3F9000D1"/>
    <w:rsid w:val="3FA31F73"/>
    <w:rsid w:val="3FAB6D8E"/>
    <w:rsid w:val="3FB32FC5"/>
    <w:rsid w:val="3FDF0148"/>
    <w:rsid w:val="3FE63E16"/>
    <w:rsid w:val="40252866"/>
    <w:rsid w:val="402F04A0"/>
    <w:rsid w:val="408840AB"/>
    <w:rsid w:val="409509DC"/>
    <w:rsid w:val="409E77BA"/>
    <w:rsid w:val="40A57984"/>
    <w:rsid w:val="40BE6BF1"/>
    <w:rsid w:val="415E2689"/>
    <w:rsid w:val="41643F29"/>
    <w:rsid w:val="41823BD3"/>
    <w:rsid w:val="419E1033"/>
    <w:rsid w:val="41D852BC"/>
    <w:rsid w:val="41ED7AF0"/>
    <w:rsid w:val="41F13BCE"/>
    <w:rsid w:val="41FB072E"/>
    <w:rsid w:val="420348D1"/>
    <w:rsid w:val="42097B6B"/>
    <w:rsid w:val="422D76F8"/>
    <w:rsid w:val="42394329"/>
    <w:rsid w:val="42436F15"/>
    <w:rsid w:val="424400E8"/>
    <w:rsid w:val="42BD7C58"/>
    <w:rsid w:val="42C306F7"/>
    <w:rsid w:val="42C813D6"/>
    <w:rsid w:val="42D00689"/>
    <w:rsid w:val="42E62E31"/>
    <w:rsid w:val="42FB44D6"/>
    <w:rsid w:val="42FC0E4A"/>
    <w:rsid w:val="42FE5507"/>
    <w:rsid w:val="432943E8"/>
    <w:rsid w:val="43373249"/>
    <w:rsid w:val="436B7E50"/>
    <w:rsid w:val="43954197"/>
    <w:rsid w:val="43B82D74"/>
    <w:rsid w:val="43CE2A24"/>
    <w:rsid w:val="43D60DB0"/>
    <w:rsid w:val="43DB6720"/>
    <w:rsid w:val="43E76BE2"/>
    <w:rsid w:val="440627D9"/>
    <w:rsid w:val="44092AA1"/>
    <w:rsid w:val="440C3942"/>
    <w:rsid w:val="44135B78"/>
    <w:rsid w:val="442B0775"/>
    <w:rsid w:val="44406369"/>
    <w:rsid w:val="44556E66"/>
    <w:rsid w:val="448122BC"/>
    <w:rsid w:val="44B03FEF"/>
    <w:rsid w:val="44B10046"/>
    <w:rsid w:val="44DF2AE7"/>
    <w:rsid w:val="44E93244"/>
    <w:rsid w:val="4504546D"/>
    <w:rsid w:val="4515746D"/>
    <w:rsid w:val="4528670D"/>
    <w:rsid w:val="452A5D48"/>
    <w:rsid w:val="455276EB"/>
    <w:rsid w:val="45C32D56"/>
    <w:rsid w:val="45CC78C7"/>
    <w:rsid w:val="45FE7AE7"/>
    <w:rsid w:val="463020CF"/>
    <w:rsid w:val="46373BE9"/>
    <w:rsid w:val="46524D89"/>
    <w:rsid w:val="468A544C"/>
    <w:rsid w:val="468B1BCE"/>
    <w:rsid w:val="46AC19EA"/>
    <w:rsid w:val="46AD6653"/>
    <w:rsid w:val="46B74165"/>
    <w:rsid w:val="46CA4FFB"/>
    <w:rsid w:val="46DD6398"/>
    <w:rsid w:val="471B661C"/>
    <w:rsid w:val="471C5C4A"/>
    <w:rsid w:val="472752D8"/>
    <w:rsid w:val="47541B92"/>
    <w:rsid w:val="47900390"/>
    <w:rsid w:val="47A348CC"/>
    <w:rsid w:val="47A651C2"/>
    <w:rsid w:val="47B82C9D"/>
    <w:rsid w:val="47F037D9"/>
    <w:rsid w:val="48384B20"/>
    <w:rsid w:val="483940A5"/>
    <w:rsid w:val="48584BA1"/>
    <w:rsid w:val="489719B6"/>
    <w:rsid w:val="489E512A"/>
    <w:rsid w:val="48A57EC2"/>
    <w:rsid w:val="48BA25C3"/>
    <w:rsid w:val="48D56883"/>
    <w:rsid w:val="493F2F15"/>
    <w:rsid w:val="49532D21"/>
    <w:rsid w:val="49657F06"/>
    <w:rsid w:val="49764533"/>
    <w:rsid w:val="49925A51"/>
    <w:rsid w:val="49AB61D0"/>
    <w:rsid w:val="49C41488"/>
    <w:rsid w:val="49FF3F32"/>
    <w:rsid w:val="4A017DCC"/>
    <w:rsid w:val="4A0A565D"/>
    <w:rsid w:val="4A0B01F8"/>
    <w:rsid w:val="4A363203"/>
    <w:rsid w:val="4A363DB5"/>
    <w:rsid w:val="4A623E11"/>
    <w:rsid w:val="4A726792"/>
    <w:rsid w:val="4A7623AC"/>
    <w:rsid w:val="4A766CEB"/>
    <w:rsid w:val="4AA91E37"/>
    <w:rsid w:val="4AC55B2D"/>
    <w:rsid w:val="4B080189"/>
    <w:rsid w:val="4B0F5187"/>
    <w:rsid w:val="4B0F7A7D"/>
    <w:rsid w:val="4B1E68F4"/>
    <w:rsid w:val="4B212B07"/>
    <w:rsid w:val="4B3B2FAC"/>
    <w:rsid w:val="4B5B1DE9"/>
    <w:rsid w:val="4B8B10CA"/>
    <w:rsid w:val="4BA029BD"/>
    <w:rsid w:val="4BAA5015"/>
    <w:rsid w:val="4BB14D2D"/>
    <w:rsid w:val="4BB330D0"/>
    <w:rsid w:val="4BBD259D"/>
    <w:rsid w:val="4BE33A37"/>
    <w:rsid w:val="4BF04B51"/>
    <w:rsid w:val="4C3E2A39"/>
    <w:rsid w:val="4C4E3980"/>
    <w:rsid w:val="4C65207D"/>
    <w:rsid w:val="4C672411"/>
    <w:rsid w:val="4CC004FA"/>
    <w:rsid w:val="4CD27102"/>
    <w:rsid w:val="4CDB41B8"/>
    <w:rsid w:val="4CDD5E4B"/>
    <w:rsid w:val="4CDE0D61"/>
    <w:rsid w:val="4D0A770A"/>
    <w:rsid w:val="4D156FC5"/>
    <w:rsid w:val="4D6D77F9"/>
    <w:rsid w:val="4DA6502A"/>
    <w:rsid w:val="4DA76A63"/>
    <w:rsid w:val="4DC40A29"/>
    <w:rsid w:val="4E0A344B"/>
    <w:rsid w:val="4E6A36F3"/>
    <w:rsid w:val="4E93737E"/>
    <w:rsid w:val="4EA12770"/>
    <w:rsid w:val="4EC046F5"/>
    <w:rsid w:val="4EC93D5C"/>
    <w:rsid w:val="4ECA12B4"/>
    <w:rsid w:val="4EF0641F"/>
    <w:rsid w:val="4EF53B2A"/>
    <w:rsid w:val="4F0F4C4F"/>
    <w:rsid w:val="4F315A8C"/>
    <w:rsid w:val="4F490370"/>
    <w:rsid w:val="4F544D29"/>
    <w:rsid w:val="4F5B7C85"/>
    <w:rsid w:val="4F635298"/>
    <w:rsid w:val="4F9454BF"/>
    <w:rsid w:val="4F9C52B7"/>
    <w:rsid w:val="4FBA411E"/>
    <w:rsid w:val="4FC96B8B"/>
    <w:rsid w:val="4FDA6C8F"/>
    <w:rsid w:val="4FF74967"/>
    <w:rsid w:val="4FFF7151"/>
    <w:rsid w:val="50001698"/>
    <w:rsid w:val="500619B0"/>
    <w:rsid w:val="50160650"/>
    <w:rsid w:val="50253FD1"/>
    <w:rsid w:val="502C1819"/>
    <w:rsid w:val="502E1606"/>
    <w:rsid w:val="503E4B73"/>
    <w:rsid w:val="503F546A"/>
    <w:rsid w:val="505A5C1E"/>
    <w:rsid w:val="50813B06"/>
    <w:rsid w:val="508654A4"/>
    <w:rsid w:val="509C25F0"/>
    <w:rsid w:val="50B271A1"/>
    <w:rsid w:val="50C81174"/>
    <w:rsid w:val="51167BAE"/>
    <w:rsid w:val="511C5162"/>
    <w:rsid w:val="513F29B7"/>
    <w:rsid w:val="514A7869"/>
    <w:rsid w:val="517023EE"/>
    <w:rsid w:val="51813D34"/>
    <w:rsid w:val="519A1758"/>
    <w:rsid w:val="51AF1B37"/>
    <w:rsid w:val="51C51E76"/>
    <w:rsid w:val="51CC39AC"/>
    <w:rsid w:val="51E51128"/>
    <w:rsid w:val="522937E0"/>
    <w:rsid w:val="522C3F9D"/>
    <w:rsid w:val="5238713E"/>
    <w:rsid w:val="52BE33AC"/>
    <w:rsid w:val="52D34235"/>
    <w:rsid w:val="53273FB6"/>
    <w:rsid w:val="534B1A77"/>
    <w:rsid w:val="534B7672"/>
    <w:rsid w:val="536C1090"/>
    <w:rsid w:val="53737C03"/>
    <w:rsid w:val="539A6D7C"/>
    <w:rsid w:val="539E5D3D"/>
    <w:rsid w:val="53A274CE"/>
    <w:rsid w:val="53C242FB"/>
    <w:rsid w:val="53EF5A68"/>
    <w:rsid w:val="540079CA"/>
    <w:rsid w:val="54027532"/>
    <w:rsid w:val="540C4F60"/>
    <w:rsid w:val="5419059C"/>
    <w:rsid w:val="54263A70"/>
    <w:rsid w:val="54501B0D"/>
    <w:rsid w:val="545F479A"/>
    <w:rsid w:val="546D5136"/>
    <w:rsid w:val="54777114"/>
    <w:rsid w:val="548204D4"/>
    <w:rsid w:val="54872B15"/>
    <w:rsid w:val="54915A97"/>
    <w:rsid w:val="549D6A7C"/>
    <w:rsid w:val="54C74AA6"/>
    <w:rsid w:val="54CE47AF"/>
    <w:rsid w:val="54D359CD"/>
    <w:rsid w:val="54F27669"/>
    <w:rsid w:val="550A32CF"/>
    <w:rsid w:val="553A5D2A"/>
    <w:rsid w:val="557425CC"/>
    <w:rsid w:val="5587746A"/>
    <w:rsid w:val="55B04437"/>
    <w:rsid w:val="55BA1911"/>
    <w:rsid w:val="55F01018"/>
    <w:rsid w:val="563665FD"/>
    <w:rsid w:val="56784506"/>
    <w:rsid w:val="56A936AC"/>
    <w:rsid w:val="56BA1C1B"/>
    <w:rsid w:val="56C83A42"/>
    <w:rsid w:val="56FA6D9E"/>
    <w:rsid w:val="57623859"/>
    <w:rsid w:val="5767274F"/>
    <w:rsid w:val="578910C6"/>
    <w:rsid w:val="579E3DE8"/>
    <w:rsid w:val="57A17216"/>
    <w:rsid w:val="57D216E2"/>
    <w:rsid w:val="57D24171"/>
    <w:rsid w:val="57D60097"/>
    <w:rsid w:val="57D66949"/>
    <w:rsid w:val="57DC6A48"/>
    <w:rsid w:val="57E46157"/>
    <w:rsid w:val="58156F93"/>
    <w:rsid w:val="5827352B"/>
    <w:rsid w:val="585F2BA2"/>
    <w:rsid w:val="586056D5"/>
    <w:rsid w:val="587D6570"/>
    <w:rsid w:val="58826D4F"/>
    <w:rsid w:val="589128D7"/>
    <w:rsid w:val="58A65CBC"/>
    <w:rsid w:val="58B75BC6"/>
    <w:rsid w:val="58D5598B"/>
    <w:rsid w:val="58DA3893"/>
    <w:rsid w:val="58DF0B09"/>
    <w:rsid w:val="58FE149E"/>
    <w:rsid w:val="58FF682C"/>
    <w:rsid w:val="59074942"/>
    <w:rsid w:val="590B5F2B"/>
    <w:rsid w:val="591344BC"/>
    <w:rsid w:val="59362B30"/>
    <w:rsid w:val="593E2DF9"/>
    <w:rsid w:val="59467371"/>
    <w:rsid w:val="596E4C51"/>
    <w:rsid w:val="599B3797"/>
    <w:rsid w:val="59A71B88"/>
    <w:rsid w:val="59AE04C2"/>
    <w:rsid w:val="59AE4E80"/>
    <w:rsid w:val="59B82FCF"/>
    <w:rsid w:val="59E86C16"/>
    <w:rsid w:val="59ED2DB1"/>
    <w:rsid w:val="59F8019B"/>
    <w:rsid w:val="5A0278DF"/>
    <w:rsid w:val="5A190E8E"/>
    <w:rsid w:val="5A23356B"/>
    <w:rsid w:val="5A487E05"/>
    <w:rsid w:val="5A53173B"/>
    <w:rsid w:val="5A943606"/>
    <w:rsid w:val="5AAA653F"/>
    <w:rsid w:val="5AB90D1D"/>
    <w:rsid w:val="5ACE62ED"/>
    <w:rsid w:val="5B1E17B1"/>
    <w:rsid w:val="5B2A40D0"/>
    <w:rsid w:val="5B307ABF"/>
    <w:rsid w:val="5B627C79"/>
    <w:rsid w:val="5B651940"/>
    <w:rsid w:val="5B7752B2"/>
    <w:rsid w:val="5B7E082A"/>
    <w:rsid w:val="5B9D3C91"/>
    <w:rsid w:val="5C284E5F"/>
    <w:rsid w:val="5C3C237D"/>
    <w:rsid w:val="5C513549"/>
    <w:rsid w:val="5C6E6E89"/>
    <w:rsid w:val="5C705231"/>
    <w:rsid w:val="5CA55B5B"/>
    <w:rsid w:val="5CAA1701"/>
    <w:rsid w:val="5CC92078"/>
    <w:rsid w:val="5CD50D73"/>
    <w:rsid w:val="5CEC60C7"/>
    <w:rsid w:val="5CF33B63"/>
    <w:rsid w:val="5D323CF7"/>
    <w:rsid w:val="5D5A3682"/>
    <w:rsid w:val="5D647EB1"/>
    <w:rsid w:val="5D9756B6"/>
    <w:rsid w:val="5D9D20E1"/>
    <w:rsid w:val="5DAB6C09"/>
    <w:rsid w:val="5DB47DAE"/>
    <w:rsid w:val="5DD62B9F"/>
    <w:rsid w:val="5DDB2892"/>
    <w:rsid w:val="5DF529F6"/>
    <w:rsid w:val="5DFA4DF5"/>
    <w:rsid w:val="5DFD04B0"/>
    <w:rsid w:val="5E335CEB"/>
    <w:rsid w:val="5E495643"/>
    <w:rsid w:val="5E5B734D"/>
    <w:rsid w:val="5E88771E"/>
    <w:rsid w:val="5EE50805"/>
    <w:rsid w:val="5EF23D62"/>
    <w:rsid w:val="5F542679"/>
    <w:rsid w:val="5F683DAD"/>
    <w:rsid w:val="5F6906CA"/>
    <w:rsid w:val="5F721E93"/>
    <w:rsid w:val="5F7B0384"/>
    <w:rsid w:val="5FBD661B"/>
    <w:rsid w:val="5FC82634"/>
    <w:rsid w:val="5FC92290"/>
    <w:rsid w:val="5FCE4DAE"/>
    <w:rsid w:val="600E5982"/>
    <w:rsid w:val="60187C5D"/>
    <w:rsid w:val="60192A4F"/>
    <w:rsid w:val="60196D73"/>
    <w:rsid w:val="602559E8"/>
    <w:rsid w:val="605F5644"/>
    <w:rsid w:val="607A7BA9"/>
    <w:rsid w:val="60952901"/>
    <w:rsid w:val="60A769D5"/>
    <w:rsid w:val="60AA1B42"/>
    <w:rsid w:val="60BA6E11"/>
    <w:rsid w:val="60CE5CE0"/>
    <w:rsid w:val="610D1DA7"/>
    <w:rsid w:val="610E08BB"/>
    <w:rsid w:val="610F2538"/>
    <w:rsid w:val="611A26C4"/>
    <w:rsid w:val="61236265"/>
    <w:rsid w:val="61424A9B"/>
    <w:rsid w:val="61487C66"/>
    <w:rsid w:val="615D2ABF"/>
    <w:rsid w:val="616E2687"/>
    <w:rsid w:val="61892938"/>
    <w:rsid w:val="61956448"/>
    <w:rsid w:val="61AD6848"/>
    <w:rsid w:val="61B22E46"/>
    <w:rsid w:val="61CD3E9E"/>
    <w:rsid w:val="61CE3444"/>
    <w:rsid w:val="61EB6F89"/>
    <w:rsid w:val="61F914DB"/>
    <w:rsid w:val="61FB1170"/>
    <w:rsid w:val="62340F33"/>
    <w:rsid w:val="62385B9D"/>
    <w:rsid w:val="62402CDD"/>
    <w:rsid w:val="624D7F7B"/>
    <w:rsid w:val="628E5793"/>
    <w:rsid w:val="62A24636"/>
    <w:rsid w:val="62AB50D5"/>
    <w:rsid w:val="62AB618D"/>
    <w:rsid w:val="62E10125"/>
    <w:rsid w:val="62E369AA"/>
    <w:rsid w:val="62E927C6"/>
    <w:rsid w:val="630A568F"/>
    <w:rsid w:val="63152ED4"/>
    <w:rsid w:val="631D691C"/>
    <w:rsid w:val="632A078C"/>
    <w:rsid w:val="63777206"/>
    <w:rsid w:val="637A2200"/>
    <w:rsid w:val="638915AD"/>
    <w:rsid w:val="63B10689"/>
    <w:rsid w:val="63B774D5"/>
    <w:rsid w:val="63FA115E"/>
    <w:rsid w:val="640A1FA5"/>
    <w:rsid w:val="64771B6A"/>
    <w:rsid w:val="648E755D"/>
    <w:rsid w:val="64CE3708"/>
    <w:rsid w:val="64DB4C47"/>
    <w:rsid w:val="64DE04C9"/>
    <w:rsid w:val="64EE150A"/>
    <w:rsid w:val="64FC6714"/>
    <w:rsid w:val="65005F10"/>
    <w:rsid w:val="65076735"/>
    <w:rsid w:val="65096DD2"/>
    <w:rsid w:val="65415492"/>
    <w:rsid w:val="65736522"/>
    <w:rsid w:val="65AB2B63"/>
    <w:rsid w:val="65BD4108"/>
    <w:rsid w:val="65C411ED"/>
    <w:rsid w:val="65CA13E4"/>
    <w:rsid w:val="65CB583A"/>
    <w:rsid w:val="65D02A4F"/>
    <w:rsid w:val="65EE47FE"/>
    <w:rsid w:val="65F46315"/>
    <w:rsid w:val="660233C9"/>
    <w:rsid w:val="662D29B4"/>
    <w:rsid w:val="663A5F3D"/>
    <w:rsid w:val="666E275C"/>
    <w:rsid w:val="669F0ADA"/>
    <w:rsid w:val="66AB017E"/>
    <w:rsid w:val="67053766"/>
    <w:rsid w:val="6746409B"/>
    <w:rsid w:val="675D5863"/>
    <w:rsid w:val="67643C12"/>
    <w:rsid w:val="67900263"/>
    <w:rsid w:val="679E3210"/>
    <w:rsid w:val="67B71080"/>
    <w:rsid w:val="67EA3A94"/>
    <w:rsid w:val="67FB2AE9"/>
    <w:rsid w:val="680A7FD6"/>
    <w:rsid w:val="68312EAF"/>
    <w:rsid w:val="683507BE"/>
    <w:rsid w:val="68451127"/>
    <w:rsid w:val="684C12C1"/>
    <w:rsid w:val="685F0CD2"/>
    <w:rsid w:val="68692E91"/>
    <w:rsid w:val="68692F69"/>
    <w:rsid w:val="689F5BD1"/>
    <w:rsid w:val="68AC3D57"/>
    <w:rsid w:val="68B63CD3"/>
    <w:rsid w:val="68CF7C43"/>
    <w:rsid w:val="68DF0EAB"/>
    <w:rsid w:val="69016A08"/>
    <w:rsid w:val="69D866C6"/>
    <w:rsid w:val="69F861E6"/>
    <w:rsid w:val="6A21309F"/>
    <w:rsid w:val="6A3D338C"/>
    <w:rsid w:val="6A454B85"/>
    <w:rsid w:val="6A482AAF"/>
    <w:rsid w:val="6A941E18"/>
    <w:rsid w:val="6A9D0F41"/>
    <w:rsid w:val="6AA113ED"/>
    <w:rsid w:val="6ACB3B1B"/>
    <w:rsid w:val="6AD42C9D"/>
    <w:rsid w:val="6AD76461"/>
    <w:rsid w:val="6AED1E34"/>
    <w:rsid w:val="6B0E62E1"/>
    <w:rsid w:val="6B2166BD"/>
    <w:rsid w:val="6B41702A"/>
    <w:rsid w:val="6B4E5A26"/>
    <w:rsid w:val="6B54748C"/>
    <w:rsid w:val="6B57179B"/>
    <w:rsid w:val="6B5C3188"/>
    <w:rsid w:val="6B617384"/>
    <w:rsid w:val="6B7B3DBF"/>
    <w:rsid w:val="6B882545"/>
    <w:rsid w:val="6BBA42EA"/>
    <w:rsid w:val="6BBE2563"/>
    <w:rsid w:val="6BF504BB"/>
    <w:rsid w:val="6BFC4560"/>
    <w:rsid w:val="6C023ED5"/>
    <w:rsid w:val="6C1437AA"/>
    <w:rsid w:val="6C851D38"/>
    <w:rsid w:val="6C8978CF"/>
    <w:rsid w:val="6C9169FC"/>
    <w:rsid w:val="6CCA3F84"/>
    <w:rsid w:val="6CE35E9B"/>
    <w:rsid w:val="6CF82CD9"/>
    <w:rsid w:val="6D6502CE"/>
    <w:rsid w:val="6D9240B6"/>
    <w:rsid w:val="6DB419BD"/>
    <w:rsid w:val="6E0E1ECC"/>
    <w:rsid w:val="6E2957FB"/>
    <w:rsid w:val="6E6D51F2"/>
    <w:rsid w:val="6E7F2C6B"/>
    <w:rsid w:val="6E94606D"/>
    <w:rsid w:val="6EA2541F"/>
    <w:rsid w:val="6EAE3E73"/>
    <w:rsid w:val="6EC25185"/>
    <w:rsid w:val="6ED00439"/>
    <w:rsid w:val="6EF62EC0"/>
    <w:rsid w:val="6EFC5550"/>
    <w:rsid w:val="6F0D2199"/>
    <w:rsid w:val="6F0F7DCB"/>
    <w:rsid w:val="6F284C65"/>
    <w:rsid w:val="6F2F2F24"/>
    <w:rsid w:val="6F312DD8"/>
    <w:rsid w:val="6F421919"/>
    <w:rsid w:val="6F735E73"/>
    <w:rsid w:val="6F8D13C7"/>
    <w:rsid w:val="6FC3526C"/>
    <w:rsid w:val="6FC72A57"/>
    <w:rsid w:val="6FE20A31"/>
    <w:rsid w:val="6FE87B87"/>
    <w:rsid w:val="6FF7297A"/>
    <w:rsid w:val="6FFE1AE2"/>
    <w:rsid w:val="700F12CD"/>
    <w:rsid w:val="701428CE"/>
    <w:rsid w:val="702B61B3"/>
    <w:rsid w:val="70327E1E"/>
    <w:rsid w:val="704F7779"/>
    <w:rsid w:val="708F4923"/>
    <w:rsid w:val="70B25961"/>
    <w:rsid w:val="70B75B8D"/>
    <w:rsid w:val="70BF6591"/>
    <w:rsid w:val="711A18D2"/>
    <w:rsid w:val="712966A9"/>
    <w:rsid w:val="714D6817"/>
    <w:rsid w:val="71524046"/>
    <w:rsid w:val="71533ADD"/>
    <w:rsid w:val="717D1E65"/>
    <w:rsid w:val="71A66CC4"/>
    <w:rsid w:val="71AB2456"/>
    <w:rsid w:val="720555E9"/>
    <w:rsid w:val="72193393"/>
    <w:rsid w:val="72331CBD"/>
    <w:rsid w:val="724701E1"/>
    <w:rsid w:val="725255EA"/>
    <w:rsid w:val="72BF19FC"/>
    <w:rsid w:val="72D9434B"/>
    <w:rsid w:val="72F82052"/>
    <w:rsid w:val="730C26C5"/>
    <w:rsid w:val="733266A8"/>
    <w:rsid w:val="73495B13"/>
    <w:rsid w:val="735815B6"/>
    <w:rsid w:val="738A7EAD"/>
    <w:rsid w:val="739D7139"/>
    <w:rsid w:val="73D52A30"/>
    <w:rsid w:val="73DD0E3C"/>
    <w:rsid w:val="74236B2B"/>
    <w:rsid w:val="74455D52"/>
    <w:rsid w:val="74531D63"/>
    <w:rsid w:val="747760CD"/>
    <w:rsid w:val="748F7B9E"/>
    <w:rsid w:val="74A84EFE"/>
    <w:rsid w:val="74CD26CE"/>
    <w:rsid w:val="74D63222"/>
    <w:rsid w:val="750A62DD"/>
    <w:rsid w:val="75277DE4"/>
    <w:rsid w:val="75322466"/>
    <w:rsid w:val="7564418B"/>
    <w:rsid w:val="757440DB"/>
    <w:rsid w:val="757A05DB"/>
    <w:rsid w:val="75816E28"/>
    <w:rsid w:val="759A5286"/>
    <w:rsid w:val="75ED33C8"/>
    <w:rsid w:val="76004CA4"/>
    <w:rsid w:val="76425EE2"/>
    <w:rsid w:val="7653072E"/>
    <w:rsid w:val="766E623E"/>
    <w:rsid w:val="76822B21"/>
    <w:rsid w:val="768C5471"/>
    <w:rsid w:val="768D16C3"/>
    <w:rsid w:val="769D58AC"/>
    <w:rsid w:val="76AA4B74"/>
    <w:rsid w:val="76B66965"/>
    <w:rsid w:val="76CA5D5C"/>
    <w:rsid w:val="77074F83"/>
    <w:rsid w:val="771B4819"/>
    <w:rsid w:val="77220BD7"/>
    <w:rsid w:val="77414AC2"/>
    <w:rsid w:val="7748610F"/>
    <w:rsid w:val="775A38CC"/>
    <w:rsid w:val="776F67CD"/>
    <w:rsid w:val="77722FE6"/>
    <w:rsid w:val="777D2FED"/>
    <w:rsid w:val="7782689D"/>
    <w:rsid w:val="77976DFF"/>
    <w:rsid w:val="77A05771"/>
    <w:rsid w:val="77C21737"/>
    <w:rsid w:val="77E13603"/>
    <w:rsid w:val="77E77201"/>
    <w:rsid w:val="78116B04"/>
    <w:rsid w:val="78315D73"/>
    <w:rsid w:val="78336A8F"/>
    <w:rsid w:val="78355045"/>
    <w:rsid w:val="783D3E40"/>
    <w:rsid w:val="783F579B"/>
    <w:rsid w:val="78716670"/>
    <w:rsid w:val="78965C28"/>
    <w:rsid w:val="78D953FA"/>
    <w:rsid w:val="78F37672"/>
    <w:rsid w:val="79345A3C"/>
    <w:rsid w:val="79372DC5"/>
    <w:rsid w:val="79374D5A"/>
    <w:rsid w:val="793A2AF8"/>
    <w:rsid w:val="793B28A6"/>
    <w:rsid w:val="796E5F2A"/>
    <w:rsid w:val="7974588C"/>
    <w:rsid w:val="79933EDD"/>
    <w:rsid w:val="799776C8"/>
    <w:rsid w:val="79A53549"/>
    <w:rsid w:val="79AB350C"/>
    <w:rsid w:val="79E403F0"/>
    <w:rsid w:val="79EB5BE8"/>
    <w:rsid w:val="79F227D0"/>
    <w:rsid w:val="79FC6EBF"/>
    <w:rsid w:val="7A065A32"/>
    <w:rsid w:val="7A481500"/>
    <w:rsid w:val="7A587B79"/>
    <w:rsid w:val="7A99482C"/>
    <w:rsid w:val="7ACC2E74"/>
    <w:rsid w:val="7ACC428D"/>
    <w:rsid w:val="7AF5295B"/>
    <w:rsid w:val="7B1607CA"/>
    <w:rsid w:val="7B3E05B4"/>
    <w:rsid w:val="7B6056F6"/>
    <w:rsid w:val="7B6E6A55"/>
    <w:rsid w:val="7B7415CD"/>
    <w:rsid w:val="7B7E586C"/>
    <w:rsid w:val="7B8B0C38"/>
    <w:rsid w:val="7B9850A6"/>
    <w:rsid w:val="7BE032DA"/>
    <w:rsid w:val="7BF049EB"/>
    <w:rsid w:val="7C146461"/>
    <w:rsid w:val="7C221215"/>
    <w:rsid w:val="7C377446"/>
    <w:rsid w:val="7C5A6DFB"/>
    <w:rsid w:val="7C6E35CD"/>
    <w:rsid w:val="7C9E72DC"/>
    <w:rsid w:val="7CA00D26"/>
    <w:rsid w:val="7CB623F6"/>
    <w:rsid w:val="7CC30BB4"/>
    <w:rsid w:val="7CD12BEF"/>
    <w:rsid w:val="7CD9506D"/>
    <w:rsid w:val="7D016D5F"/>
    <w:rsid w:val="7D076221"/>
    <w:rsid w:val="7D144EB5"/>
    <w:rsid w:val="7D6D2AF7"/>
    <w:rsid w:val="7D713FBB"/>
    <w:rsid w:val="7D8A60E2"/>
    <w:rsid w:val="7E0A5B14"/>
    <w:rsid w:val="7E121FB6"/>
    <w:rsid w:val="7E2205D3"/>
    <w:rsid w:val="7E385C8F"/>
    <w:rsid w:val="7E3C6F26"/>
    <w:rsid w:val="7E4951DD"/>
    <w:rsid w:val="7E5B31B8"/>
    <w:rsid w:val="7E6A484C"/>
    <w:rsid w:val="7E8C1878"/>
    <w:rsid w:val="7E9D6F63"/>
    <w:rsid w:val="7EEB718E"/>
    <w:rsid w:val="7EFF380E"/>
    <w:rsid w:val="7F053BD5"/>
    <w:rsid w:val="7F47353B"/>
    <w:rsid w:val="7F555E1A"/>
    <w:rsid w:val="7F680ECA"/>
    <w:rsid w:val="7FAA326A"/>
    <w:rsid w:val="7FB76A3C"/>
    <w:rsid w:val="7FBF449C"/>
    <w:rsid w:val="7FD103CF"/>
    <w:rsid w:val="7FD6732C"/>
    <w:rsid w:val="7FE42AA2"/>
    <w:rsid w:val="7FEE41AB"/>
    <w:rsid w:val="7FFB67C7"/>
    <w:rsid w:val="A8FBB4DB"/>
    <w:rsid w:val="AB7B1409"/>
    <w:rsid w:val="EB9F7A9A"/>
    <w:rsid w:val="FF69A8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7"/>
    <w:qFormat/>
    <w:uiPriority w:val="9"/>
    <w:pPr>
      <w:spacing w:line="590" w:lineRule="exact"/>
      <w:ind w:firstLine="880" w:firstLineChars="200"/>
      <w:outlineLvl w:val="0"/>
    </w:pPr>
    <w:rPr>
      <w:rFonts w:ascii="黑体" w:hAnsi="黑体" w:eastAsia="黑体"/>
      <w:bCs/>
      <w:kern w:val="44"/>
      <w:sz w:val="32"/>
      <w:szCs w:val="44"/>
    </w:rPr>
  </w:style>
  <w:style w:type="paragraph" w:styleId="4">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qFormat/>
    <w:uiPriority w:val="0"/>
    <w:pPr>
      <w:adjustRightInd w:val="0"/>
      <w:snapToGrid w:val="0"/>
      <w:spacing w:after="50" w:afterLines="50" w:line="400" w:lineRule="exact"/>
      <w:outlineLvl w:val="3"/>
    </w:pPr>
    <w:rPr>
      <w:rFonts w:ascii="Times New Roman" w:hAnsi="Times New Roman" w:eastAsia="宋体" w:cs="Times New Roma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7">
    <w:name w:val="annotation text"/>
    <w:basedOn w:val="1"/>
    <w:link w:val="31"/>
    <w:semiHidden/>
    <w:unhideWhenUsed/>
    <w:qFormat/>
    <w:uiPriority w:val="99"/>
    <w:pPr>
      <w:jc w:val="left"/>
    </w:pPr>
  </w:style>
  <w:style w:type="paragraph" w:styleId="8">
    <w:name w:val="Body Text"/>
    <w:basedOn w:val="1"/>
    <w:next w:val="1"/>
    <w:qFormat/>
    <w:uiPriority w:val="1"/>
    <w:pPr>
      <w:ind w:left="119"/>
    </w:pPr>
    <w:rPr>
      <w:rFonts w:ascii="仿宋_GB2312" w:hAnsi="仿宋_GB2312" w:eastAsia="仿宋_GB2312" w:cs="Times New Roman"/>
      <w:sz w:val="30"/>
      <w:szCs w:val="30"/>
      <w:lang w:eastAsia="en-US"/>
    </w:rPr>
  </w:style>
  <w:style w:type="paragraph" w:styleId="9">
    <w:name w:val="toc 3"/>
    <w:basedOn w:val="1"/>
    <w:next w:val="1"/>
    <w:unhideWhenUsed/>
    <w:qFormat/>
    <w:uiPriority w:val="39"/>
    <w:pPr>
      <w:widowControl/>
      <w:spacing w:after="100" w:line="276" w:lineRule="auto"/>
      <w:ind w:left="440"/>
      <w:jc w:val="left"/>
    </w:pPr>
    <w:rPr>
      <w:kern w:val="0"/>
      <w:sz w:val="22"/>
    </w:rPr>
  </w:style>
  <w:style w:type="paragraph" w:styleId="10">
    <w:name w:val="Balloon Text"/>
    <w:basedOn w:val="1"/>
    <w:link w:val="29"/>
    <w:semiHidden/>
    <w:unhideWhenUsed/>
    <w:qFormat/>
    <w:uiPriority w:val="99"/>
    <w:rPr>
      <w:sz w:val="18"/>
      <w:szCs w:val="18"/>
    </w:rPr>
  </w:style>
  <w:style w:type="paragraph" w:styleId="11">
    <w:name w:val="footer"/>
    <w:basedOn w:val="1"/>
    <w:next w:val="12"/>
    <w:link w:val="26"/>
    <w:unhideWhenUsed/>
    <w:qFormat/>
    <w:uiPriority w:val="99"/>
    <w:pPr>
      <w:tabs>
        <w:tab w:val="center" w:pos="4153"/>
        <w:tab w:val="right" w:pos="8306"/>
      </w:tabs>
      <w:snapToGrid w:val="0"/>
      <w:jc w:val="left"/>
    </w:pPr>
    <w:rPr>
      <w:sz w:val="18"/>
      <w:szCs w:val="18"/>
    </w:rPr>
  </w:style>
  <w:style w:type="paragraph" w:styleId="12">
    <w:name w:val="Normal (Web)"/>
    <w:basedOn w:val="1"/>
    <w:next w:val="11"/>
    <w:semiHidden/>
    <w:unhideWhenUsed/>
    <w:qFormat/>
    <w:uiPriority w:val="99"/>
    <w:pPr>
      <w:spacing w:before="0" w:beforeAutospacing="1" w:after="0" w:afterAutospacing="1"/>
      <w:ind w:left="0" w:right="0"/>
      <w:jc w:val="left"/>
    </w:pPr>
    <w:rPr>
      <w:kern w:val="0"/>
      <w:sz w:val="24"/>
      <w:lang w:val="en-US" w:eastAsia="zh-CN" w:bidi="ar"/>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spacing w:line="540" w:lineRule="exact"/>
    </w:pPr>
    <w:rPr>
      <w:rFonts w:ascii="Times New Roman" w:hAnsi="Times New Roman" w:eastAsia="黑体" w:cs="Times New Roman"/>
      <w:sz w:val="28"/>
      <w:szCs w:val="24"/>
    </w:rPr>
  </w:style>
  <w:style w:type="paragraph" w:styleId="15">
    <w:name w:val="toc 2"/>
    <w:basedOn w:val="1"/>
    <w:next w:val="1"/>
    <w:qFormat/>
    <w:uiPriority w:val="39"/>
    <w:pPr>
      <w:spacing w:line="540" w:lineRule="exact"/>
      <w:ind w:left="420" w:leftChars="200"/>
    </w:pPr>
    <w:rPr>
      <w:rFonts w:ascii="Times New Roman" w:hAnsi="Times New Roman" w:eastAsia="楷体" w:cs="Times New Roman"/>
      <w:sz w:val="28"/>
      <w:szCs w:val="24"/>
    </w:rPr>
  </w:style>
  <w:style w:type="paragraph" w:styleId="16">
    <w:name w:val="annotation subject"/>
    <w:basedOn w:val="7"/>
    <w:next w:val="7"/>
    <w:link w:val="32"/>
    <w:semiHidden/>
    <w:unhideWhenUsed/>
    <w:qFormat/>
    <w:uiPriority w:val="99"/>
    <w:rPr>
      <w:b/>
      <w:bCs/>
    </w:rPr>
  </w:style>
  <w:style w:type="table" w:styleId="18">
    <w:name w:val="Table Grid"/>
    <w:basedOn w:val="1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0">
    <w:name w:val="page number"/>
    <w:basedOn w:val="19"/>
    <w:qFormat/>
    <w:uiPriority w:val="0"/>
  </w:style>
  <w:style w:type="character" w:styleId="21">
    <w:name w:val="Emphasis"/>
    <w:basedOn w:val="19"/>
    <w:qFormat/>
    <w:uiPriority w:val="20"/>
    <w:rPr>
      <w:i/>
    </w:rPr>
  </w:style>
  <w:style w:type="character" w:styleId="22">
    <w:name w:val="Hyperlink"/>
    <w:unhideWhenUsed/>
    <w:qFormat/>
    <w:uiPriority w:val="99"/>
    <w:rPr>
      <w:color w:val="0000FF"/>
      <w:u w:val="single"/>
    </w:rPr>
  </w:style>
  <w:style w:type="character" w:styleId="23">
    <w:name w:val="annotation reference"/>
    <w:basedOn w:val="19"/>
    <w:semiHidden/>
    <w:unhideWhenUsed/>
    <w:qFormat/>
    <w:uiPriority w:val="99"/>
    <w:rPr>
      <w:sz w:val="21"/>
      <w:szCs w:val="21"/>
    </w:rPr>
  </w:style>
  <w:style w:type="paragraph" w:customStyle="1" w:styleId="24">
    <w:name w:val="样式 左 行距: 最小值 28 磅"/>
    <w:basedOn w:val="1"/>
    <w:qFormat/>
    <w:uiPriority w:val="0"/>
    <w:pPr>
      <w:shd w:val="clear" w:color="auto" w:fill="FFFFFF"/>
      <w:spacing w:line="360" w:lineRule="atLeast"/>
    </w:pPr>
    <w:rPr>
      <w:rFonts w:ascii="Calibri" w:hAnsi="Calibri" w:eastAsia="仿宋_GB2312"/>
      <w:sz w:val="32"/>
      <w:szCs w:val="20"/>
    </w:rPr>
  </w:style>
  <w:style w:type="character" w:customStyle="1" w:styleId="25">
    <w:name w:val="页眉 字符"/>
    <w:basedOn w:val="19"/>
    <w:link w:val="13"/>
    <w:qFormat/>
    <w:uiPriority w:val="99"/>
    <w:rPr>
      <w:sz w:val="18"/>
      <w:szCs w:val="18"/>
    </w:rPr>
  </w:style>
  <w:style w:type="character" w:customStyle="1" w:styleId="26">
    <w:name w:val="页脚 字符"/>
    <w:basedOn w:val="19"/>
    <w:link w:val="11"/>
    <w:qFormat/>
    <w:uiPriority w:val="99"/>
    <w:rPr>
      <w:sz w:val="18"/>
      <w:szCs w:val="18"/>
    </w:rPr>
  </w:style>
  <w:style w:type="character" w:customStyle="1" w:styleId="27">
    <w:name w:val="标题 1 字符"/>
    <w:basedOn w:val="19"/>
    <w:link w:val="3"/>
    <w:qFormat/>
    <w:uiPriority w:val="9"/>
    <w:rPr>
      <w:rFonts w:ascii="黑体" w:hAnsi="黑体" w:eastAsia="黑体"/>
      <w:bCs/>
      <w:kern w:val="44"/>
      <w:sz w:val="32"/>
      <w:szCs w:val="44"/>
    </w:rPr>
  </w:style>
  <w:style w:type="paragraph" w:customStyle="1" w:styleId="28">
    <w:name w:val="TOC 标题1"/>
    <w:basedOn w:val="3"/>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9">
    <w:name w:val="批注框文本 字符"/>
    <w:basedOn w:val="19"/>
    <w:link w:val="10"/>
    <w:semiHidden/>
    <w:qFormat/>
    <w:uiPriority w:val="99"/>
    <w:rPr>
      <w:sz w:val="18"/>
      <w:szCs w:val="18"/>
    </w:rPr>
  </w:style>
  <w:style w:type="paragraph" w:styleId="30">
    <w:name w:val="List Paragraph"/>
    <w:basedOn w:val="1"/>
    <w:qFormat/>
    <w:uiPriority w:val="34"/>
    <w:pPr>
      <w:ind w:firstLine="420" w:firstLineChars="200"/>
    </w:pPr>
  </w:style>
  <w:style w:type="character" w:customStyle="1" w:styleId="31">
    <w:name w:val="批注文字 字符"/>
    <w:basedOn w:val="19"/>
    <w:link w:val="7"/>
    <w:semiHidden/>
    <w:qFormat/>
    <w:uiPriority w:val="99"/>
  </w:style>
  <w:style w:type="character" w:customStyle="1" w:styleId="32">
    <w:name w:val="批注主题 字符"/>
    <w:basedOn w:val="31"/>
    <w:link w:val="16"/>
    <w:semiHidden/>
    <w:qFormat/>
    <w:uiPriority w:val="99"/>
    <w:rPr>
      <w:b/>
      <w:bCs/>
    </w:rPr>
  </w:style>
  <w:style w:type="character" w:customStyle="1" w:styleId="33">
    <w:name w:val="font11"/>
    <w:basedOn w:val="19"/>
    <w:qFormat/>
    <w:uiPriority w:val="0"/>
    <w:rPr>
      <w:rFonts w:ascii="仿宋_GB2312" w:eastAsia="仿宋_GB2312" w:cs="仿宋_GB2312"/>
      <w:color w:val="000000"/>
      <w:sz w:val="22"/>
      <w:szCs w:val="22"/>
      <w:u w:val="none"/>
    </w:rPr>
  </w:style>
  <w:style w:type="character" w:customStyle="1" w:styleId="34">
    <w:name w:val="font81"/>
    <w:basedOn w:val="19"/>
    <w:qFormat/>
    <w:uiPriority w:val="0"/>
    <w:rPr>
      <w:rFonts w:hint="default" w:ascii="Times New Roman" w:hAnsi="Times New Roman" w:cs="Times New Roman"/>
      <w:b/>
      <w:color w:val="000000"/>
      <w:sz w:val="22"/>
      <w:szCs w:val="22"/>
      <w:u w:val="none"/>
    </w:rPr>
  </w:style>
  <w:style w:type="character" w:customStyle="1" w:styleId="35">
    <w:name w:val="font21"/>
    <w:basedOn w:val="19"/>
    <w:qFormat/>
    <w:uiPriority w:val="0"/>
    <w:rPr>
      <w:rFonts w:ascii="仿宋_GB2312" w:eastAsia="仿宋_GB2312" w:cs="仿宋_GB2312"/>
      <w:color w:val="000000"/>
      <w:sz w:val="22"/>
      <w:szCs w:val="22"/>
      <w:u w:val="none"/>
    </w:rPr>
  </w:style>
  <w:style w:type="character" w:customStyle="1" w:styleId="36">
    <w:name w:val="font31"/>
    <w:basedOn w:val="19"/>
    <w:qFormat/>
    <w:uiPriority w:val="0"/>
    <w:rPr>
      <w:rFonts w:ascii="仿宋_GB2312" w:eastAsia="仿宋_GB2312" w:cs="仿宋_GB2312"/>
      <w:color w:val="000000"/>
      <w:sz w:val="22"/>
      <w:szCs w:val="22"/>
      <w:u w:val="none"/>
    </w:rPr>
  </w:style>
  <w:style w:type="character" w:customStyle="1" w:styleId="37">
    <w:name w:val="font41"/>
    <w:basedOn w:val="19"/>
    <w:qFormat/>
    <w:uiPriority w:val="0"/>
    <w:rPr>
      <w:rFonts w:hint="default" w:ascii="Times New Roman" w:hAnsi="Times New Roman" w:cs="Times New Roman"/>
      <w:color w:val="000000"/>
      <w:sz w:val="22"/>
      <w:szCs w:val="22"/>
      <w:u w:val="none"/>
    </w:rPr>
  </w:style>
  <w:style w:type="character" w:customStyle="1" w:styleId="38">
    <w:name w:val="font01"/>
    <w:basedOn w:val="19"/>
    <w:qFormat/>
    <w:uiPriority w:val="0"/>
    <w:rPr>
      <w:rFonts w:hint="eastAsia" w:ascii="仿宋_GB2312" w:eastAsia="仿宋_GB2312" w:cs="仿宋_GB2312"/>
      <w:color w:val="000000"/>
      <w:sz w:val="22"/>
      <w:szCs w:val="22"/>
      <w:u w:val="none"/>
    </w:rPr>
  </w:style>
  <w:style w:type="paragraph" w:customStyle="1" w:styleId="39">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0">
    <w:name w:val="font91"/>
    <w:basedOn w:val="19"/>
    <w:qFormat/>
    <w:uiPriority w:val="0"/>
    <w:rPr>
      <w:rFonts w:hint="eastAsia" w:ascii="仿宋_GB2312" w:eastAsia="仿宋_GB2312" w:cs="仿宋_GB2312"/>
      <w:color w:val="000000"/>
      <w:sz w:val="22"/>
      <w:szCs w:val="22"/>
      <w:u w:val="none"/>
    </w:rPr>
  </w:style>
  <w:style w:type="character" w:customStyle="1" w:styleId="41">
    <w:name w:val="font61"/>
    <w:basedOn w:val="19"/>
    <w:qFormat/>
    <w:uiPriority w:val="0"/>
    <w:rPr>
      <w:rFonts w:ascii="仿宋_GB2312" w:eastAsia="仿宋_GB2312" w:cs="仿宋_GB2312"/>
      <w:b/>
      <w:color w:val="000000"/>
      <w:sz w:val="22"/>
      <w:szCs w:val="22"/>
      <w:u w:val="none"/>
    </w:rPr>
  </w:style>
  <w:style w:type="character" w:customStyle="1" w:styleId="42">
    <w:name w:val="font51"/>
    <w:basedOn w:val="19"/>
    <w:qFormat/>
    <w:uiPriority w:val="0"/>
    <w:rPr>
      <w:rFonts w:hint="eastAsia" w:ascii="仿宋_GB2312" w:eastAsia="仿宋_GB2312" w:cs="仿宋_GB2312"/>
      <w:b/>
      <w:color w:val="000000"/>
      <w:sz w:val="24"/>
      <w:szCs w:val="24"/>
      <w:u w:val="none"/>
    </w:rPr>
  </w:style>
  <w:style w:type="character" w:customStyle="1" w:styleId="43">
    <w:name w:val="font101"/>
    <w:basedOn w:val="19"/>
    <w:qFormat/>
    <w:uiPriority w:val="0"/>
    <w:rPr>
      <w:rFonts w:hint="default" w:ascii="Times New Roman" w:hAnsi="Times New Roman" w:cs="Times New Roman"/>
      <w:color w:val="000000"/>
      <w:sz w:val="24"/>
      <w:szCs w:val="24"/>
      <w:u w:val="none"/>
    </w:rPr>
  </w:style>
  <w:style w:type="character" w:customStyle="1" w:styleId="44">
    <w:name w:val="font71"/>
    <w:basedOn w:val="19"/>
    <w:qFormat/>
    <w:uiPriority w:val="0"/>
    <w:rPr>
      <w:rFonts w:hint="eastAsia" w:ascii="仿宋_GB2312" w:eastAsia="仿宋_GB2312" w:cs="仿宋_GB2312"/>
      <w:color w:val="000000"/>
      <w:sz w:val="24"/>
      <w:szCs w:val="24"/>
      <w:u w:val="none"/>
    </w:rPr>
  </w:style>
  <w:style w:type="character" w:customStyle="1" w:styleId="45">
    <w:name w:val="font112"/>
    <w:basedOn w:val="19"/>
    <w:qFormat/>
    <w:uiPriority w:val="0"/>
    <w:rPr>
      <w:rFonts w:hint="default" w:ascii="Times New Roman" w:hAnsi="Times New Roman" w:cs="Times New Roman"/>
      <w:color w:val="000000"/>
      <w:sz w:val="24"/>
      <w:szCs w:val="24"/>
      <w:u w:val="none"/>
    </w:rPr>
  </w:style>
  <w:style w:type="character" w:customStyle="1" w:styleId="46">
    <w:name w:val="font121"/>
    <w:basedOn w:val="19"/>
    <w:qFormat/>
    <w:uiPriority w:val="0"/>
    <w:rPr>
      <w:rFonts w:hint="eastAsia" w:ascii="仿宋_GB2312" w:eastAsia="仿宋_GB2312" w:cs="仿宋_GB2312"/>
      <w:b/>
      <w:color w:val="000000"/>
      <w:sz w:val="22"/>
      <w:szCs w:val="22"/>
      <w:u w:val="none"/>
    </w:rPr>
  </w:style>
  <w:style w:type="character" w:customStyle="1" w:styleId="47">
    <w:name w:val="font131"/>
    <w:basedOn w:val="19"/>
    <w:qFormat/>
    <w:uiPriority w:val="0"/>
    <w:rPr>
      <w:rFonts w:hint="eastAsia" w:ascii="仿宋_GB2312" w:eastAsia="仿宋_GB2312" w:cs="仿宋_GB2312"/>
      <w:b/>
      <w:color w:val="000000"/>
      <w:sz w:val="22"/>
      <w:szCs w:val="22"/>
      <w:u w:val="none"/>
    </w:rPr>
  </w:style>
  <w:style w:type="paragraph" w:customStyle="1" w:styleId="48">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9">
    <w:name w:val="表头"/>
    <w:basedOn w:val="1"/>
    <w:qFormat/>
    <w:uiPriority w:val="0"/>
    <w:pPr>
      <w:spacing w:line="240" w:lineRule="auto"/>
      <w:ind w:firstLine="0" w:firstLineChars="0"/>
      <w:jc w:val="center"/>
    </w:pPr>
    <w:rPr>
      <w:rFonts w:eastAsia="黑体"/>
      <w:sz w:val="24"/>
    </w:rPr>
  </w:style>
  <w:style w:type="character" w:customStyle="1" w:styleId="50">
    <w:name w:val="font141"/>
    <w:basedOn w:val="19"/>
    <w:qFormat/>
    <w:uiPriority w:val="0"/>
    <w:rPr>
      <w:rFonts w:hint="eastAsia" w:ascii="仿宋" w:hAnsi="仿宋" w:eastAsia="仿宋" w:cs="仿宋"/>
      <w:b/>
      <w:bCs/>
      <w:color w:val="000000"/>
      <w:sz w:val="24"/>
      <w:szCs w:val="24"/>
      <w:u w:val="none"/>
    </w:rPr>
  </w:style>
  <w:style w:type="character" w:customStyle="1" w:styleId="51">
    <w:name w:val="font12"/>
    <w:basedOn w:val="19"/>
    <w:qFormat/>
    <w:uiPriority w:val="0"/>
    <w:rPr>
      <w:rFonts w:hint="default" w:ascii="Times New Roman" w:hAnsi="Times New Roman" w:cs="Times New Roman"/>
      <w:b/>
      <w:bCs/>
      <w:color w:val="000000"/>
      <w:sz w:val="22"/>
      <w:szCs w:val="22"/>
      <w:u w:val="none"/>
    </w:rPr>
  </w:style>
  <w:style w:type="character" w:customStyle="1" w:styleId="52">
    <w:name w:val="font111"/>
    <w:basedOn w:val="19"/>
    <w:qFormat/>
    <w:uiPriority w:val="0"/>
    <w:rPr>
      <w:rFonts w:hint="eastAsia" w:ascii="仿宋_GB2312" w:eastAsia="仿宋_GB2312" w:cs="仿宋_GB2312"/>
      <w:color w:val="000000"/>
      <w:sz w:val="24"/>
      <w:szCs w:val="24"/>
      <w:u w:val="none"/>
    </w:rPr>
  </w:style>
  <w:style w:type="character" w:customStyle="1" w:styleId="53">
    <w:name w:val="font122"/>
    <w:basedOn w:val="19"/>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26</Pages>
  <Words>10572</Words>
  <Characters>11452</Characters>
  <Lines>1</Lines>
  <Paragraphs>1</Paragraphs>
  <TotalTime>0</TotalTime>
  <ScaleCrop>false</ScaleCrop>
  <LinksUpToDate>false</LinksUpToDate>
  <CharactersWithSpaces>11639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2018-01-31T16:17:00Z</dcterms:created>
  <dc:creator>lenovo</dc:creator>
  <cp:lastModifiedBy>YYY</cp:lastModifiedBy>
  <cp:lastPrinted>2022-12-08T02:10:00Z</cp:lastPrinted>
  <dcterms:modified xsi:type="dcterms:W3CDTF">2023-04-26T03:15:47Z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04B72CA6889E4F228A753AE7D70E9E3E</vt:lpwstr>
  </property>
</Properties>
</file>