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黑体" w:eastAsia="方正小标宋简体"/>
          <w:w w:val="98"/>
          <w:sz w:val="44"/>
          <w:szCs w:val="44"/>
          <w:lang w:val="en-US" w:eastAsia="zh-CN"/>
        </w:rPr>
      </w:pPr>
      <w:r>
        <w:rPr>
          <w:rFonts w:hint="eastAsia" w:ascii="方正小标宋简体" w:hAnsi="黑体" w:eastAsia="方正小标宋简体"/>
          <w:w w:val="98"/>
          <w:sz w:val="44"/>
          <w:szCs w:val="44"/>
        </w:rPr>
        <w:t>贵阳市城市综合执法支队云岩大队</w:t>
      </w:r>
    </w:p>
    <w:p>
      <w:pPr>
        <w:jc w:val="center"/>
        <w:rPr>
          <w:rFonts w:ascii="Times New Roman" w:hAnsi="黑体" w:eastAsia="黑体" w:cs="宋体"/>
          <w:kern w:val="0"/>
          <w:sz w:val="24"/>
          <w:szCs w:val="24"/>
          <w:highlight w:val="none"/>
        </w:rPr>
      </w:pPr>
      <w:r>
        <w:rPr>
          <w:rFonts w:hint="eastAsia" w:ascii="方正小标宋简体" w:hAnsi="黑体" w:eastAsia="方正小标宋简体"/>
          <w:w w:val="98"/>
          <w:sz w:val="44"/>
          <w:szCs w:val="44"/>
        </w:rPr>
        <w:t>20</w:t>
      </w:r>
      <w:r>
        <w:rPr>
          <w:rFonts w:hint="eastAsia" w:ascii="方正小标宋简体" w:hAnsi="黑体" w:eastAsia="方正小标宋简体"/>
          <w:w w:val="98"/>
          <w:sz w:val="44"/>
          <w:szCs w:val="44"/>
          <w:lang w:val="en-US" w:eastAsia="zh-CN"/>
        </w:rPr>
        <w:t>21</w:t>
      </w:r>
      <w:r>
        <w:rPr>
          <w:rFonts w:hint="eastAsia" w:ascii="方正小标宋简体" w:hAnsi="黑体" w:eastAsia="方正小标宋简体"/>
          <w:w w:val="98"/>
          <w:sz w:val="44"/>
          <w:szCs w:val="44"/>
        </w:rPr>
        <w:t>年</w:t>
      </w:r>
      <w:r>
        <w:rPr>
          <w:rFonts w:hint="eastAsia" w:ascii="方正小标宋简体" w:hAnsi="黑体" w:eastAsia="方正小标宋简体"/>
          <w:w w:val="98"/>
          <w:sz w:val="44"/>
          <w:szCs w:val="44"/>
          <w:lang w:val="en-US" w:eastAsia="zh-CN"/>
        </w:rPr>
        <w:t>违法建筑拆除</w:t>
      </w:r>
      <w:r>
        <w:rPr>
          <w:rFonts w:hint="eastAsia" w:ascii="方正小标宋简体" w:hAnsi="黑体" w:eastAsia="方正小标宋简体"/>
          <w:w w:val="98"/>
          <w:sz w:val="44"/>
          <w:szCs w:val="44"/>
        </w:rPr>
        <w:t>项目</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jc w:val="center"/>
        <w:rPr>
          <w:rFonts w:ascii="方正小标宋简体" w:hAnsi="黑体" w:eastAsia="方正小标宋简体" w:cs="宋体"/>
          <w:kern w:val="0"/>
          <w:sz w:val="72"/>
          <w:szCs w:val="72"/>
          <w:highlight w:val="none"/>
        </w:rPr>
      </w:pPr>
      <w:r>
        <w:rPr>
          <w:rFonts w:hint="eastAsia" w:ascii="方正小标宋简体" w:hAnsi="黑体" w:eastAsia="方正小标宋简体" w:cs="宋体"/>
          <w:kern w:val="0"/>
          <w:sz w:val="72"/>
          <w:szCs w:val="72"/>
          <w:highlight w:val="none"/>
          <w:lang w:eastAsia="zh-CN"/>
        </w:rPr>
        <w:t>绩效评价</w:t>
      </w:r>
      <w:r>
        <w:rPr>
          <w:rFonts w:hint="eastAsia" w:ascii="方正小标宋简体" w:hAnsi="黑体" w:eastAsia="方正小标宋简体" w:cs="宋体"/>
          <w:kern w:val="0"/>
          <w:sz w:val="72"/>
          <w:szCs w:val="72"/>
          <w:highlight w:val="none"/>
        </w:rPr>
        <w:t>报告</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pStyle w:val="24"/>
        <w:rPr>
          <w:rFonts w:ascii="Times New Roman" w:hAnsi="黑体" w:eastAsia="黑体" w:cs="宋体"/>
          <w:kern w:val="0"/>
          <w:sz w:val="24"/>
          <w:szCs w:val="24"/>
          <w:highlight w:val="none"/>
        </w:rPr>
      </w:pPr>
    </w:p>
    <w:p>
      <w:pPr>
        <w:pStyle w:val="24"/>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spacing w:line="360" w:lineRule="auto"/>
        <w:ind w:firstLine="2240" w:firstLineChars="800"/>
        <w:jc w:val="left"/>
        <w:rPr>
          <w:rFonts w:hint="eastAsia" w:ascii="黑体" w:hAnsi="黑体" w:eastAsia="黑体" w:cs="宋体"/>
          <w:kern w:val="0"/>
          <w:sz w:val="28"/>
          <w:szCs w:val="28"/>
          <w:lang w:val="en-US" w:eastAsia="zh-CN"/>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39</w:t>
      </w:r>
      <w:r>
        <w:rPr>
          <w:rFonts w:hint="eastAsia" w:ascii="黑体" w:hAnsi="黑体" w:eastAsia="黑体" w:cs="宋体"/>
          <w:kern w:val="0"/>
          <w:sz w:val="28"/>
          <w:szCs w:val="28"/>
        </w:rPr>
        <w:t>号</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委托单位：贵阳市</w:t>
      </w:r>
      <w:r>
        <w:rPr>
          <w:rFonts w:hint="eastAsia" w:ascii="黑体" w:hAnsi="黑体" w:eastAsia="黑体" w:cs="宋体"/>
          <w:kern w:val="0"/>
          <w:sz w:val="28"/>
          <w:szCs w:val="28"/>
          <w:lang w:val="en-US" w:eastAsia="zh-CN"/>
        </w:rPr>
        <w:t>云岩</w:t>
      </w:r>
      <w:r>
        <w:rPr>
          <w:rFonts w:hint="eastAsia" w:ascii="黑体" w:hAnsi="黑体" w:eastAsia="黑体" w:cs="宋体"/>
          <w:kern w:val="0"/>
          <w:sz w:val="28"/>
          <w:szCs w:val="28"/>
        </w:rPr>
        <w:t>区财政</w:t>
      </w:r>
      <w:r>
        <w:rPr>
          <w:rFonts w:hint="eastAsia" w:ascii="黑体" w:hAnsi="黑体" w:eastAsia="黑体" w:cs="宋体"/>
          <w:kern w:val="0"/>
          <w:sz w:val="28"/>
          <w:szCs w:val="28"/>
          <w:lang w:val="en-US" w:eastAsia="zh-CN"/>
        </w:rPr>
        <w:t>局</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报告时间：202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31</w:t>
      </w:r>
      <w:r>
        <w:rPr>
          <w:rFonts w:hint="eastAsia" w:ascii="黑体" w:hAnsi="黑体" w:eastAsia="黑体" w:cs="宋体"/>
          <w:kern w:val="0"/>
          <w:sz w:val="28"/>
          <w:szCs w:val="28"/>
        </w:rPr>
        <w:t>日</w:t>
      </w:r>
    </w:p>
    <w:p>
      <w:pPr>
        <w:spacing w:line="360" w:lineRule="auto"/>
        <w:ind w:firstLine="1920" w:firstLineChars="800"/>
        <w:jc w:val="left"/>
        <w:rPr>
          <w:rFonts w:ascii="黑体" w:hAnsi="黑体" w:eastAsia="黑体" w:cs="宋体"/>
          <w:kern w:val="0"/>
          <w:sz w:val="24"/>
          <w:szCs w:val="24"/>
          <w:highlight w:val="none"/>
        </w:rPr>
      </w:pPr>
    </w:p>
    <w:p>
      <w:pPr>
        <w:rPr>
          <w:rFonts w:hint="eastAsia" w:ascii="黑体" w:hAnsi="宋体" w:eastAsia="黑体" w:cs="黑体"/>
          <w:color w:val="000000"/>
          <w:kern w:val="0"/>
          <w:sz w:val="2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8"/>
        <w:tblpPr w:leftFromText="180" w:rightFromText="180" w:vertAnchor="text" w:horzAnchor="margin" w:tblpY="-77"/>
        <w:tblOverlap w:val="never"/>
        <w:tblW w:w="8983" w:type="dxa"/>
        <w:tblInd w:w="0" w:type="dxa"/>
        <w:tblLayout w:type="fixed"/>
        <w:tblCellMar>
          <w:top w:w="17" w:type="dxa"/>
          <w:left w:w="17" w:type="dxa"/>
          <w:bottom w:w="17" w:type="dxa"/>
          <w:right w:w="17" w:type="dxa"/>
        </w:tblCellMar>
      </w:tblPr>
      <w:tblGrid>
        <w:gridCol w:w="1222"/>
        <w:gridCol w:w="885"/>
        <w:gridCol w:w="639"/>
        <w:gridCol w:w="492"/>
        <w:gridCol w:w="848"/>
        <w:gridCol w:w="854"/>
        <w:gridCol w:w="9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rPr>
                <w:rFonts w:ascii="黑体" w:hAnsi="宋体" w:eastAsia="黑体" w:cs="黑体"/>
                <w:color w:val="000000"/>
                <w:sz w:val="24"/>
                <w:highlight w:val="none"/>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91.13分</w:t>
            </w:r>
            <w:r>
              <w:rPr>
                <w:rStyle w:val="37"/>
                <w:rFonts w:hint="eastAsia" w:hAnsi="宋体"/>
                <w:highlight w:val="none"/>
              </w:rPr>
              <w:t xml:space="preserve">      </w:t>
            </w:r>
            <w:r>
              <w:rPr>
                <w:rFonts w:hint="eastAsia" w:ascii="黑体" w:hAnsi="宋体" w:eastAsia="黑体" w:cs="黑体"/>
                <w:color w:val="000000"/>
                <w:kern w:val="0"/>
                <w:sz w:val="24"/>
                <w:highlight w:val="none"/>
              </w:rPr>
              <w:t>评价等级：</w:t>
            </w:r>
            <w:r>
              <w:rPr>
                <w:rFonts w:hint="eastAsia" w:ascii="黑体" w:hAnsi="宋体" w:eastAsia="黑体" w:cs="黑体"/>
                <w:color w:val="000000"/>
                <w:sz w:val="24"/>
                <w:highlight w:val="none"/>
                <w:lang w:val="en-US" w:eastAsia="zh-CN"/>
              </w:rPr>
              <w:t xml:space="preserve">优 </w:t>
            </w:r>
            <w:r>
              <w:rPr>
                <w:rFonts w:hint="eastAsia" w:ascii="黑体" w:hAnsi="宋体" w:eastAsia="黑体" w:cs="黑体"/>
                <w:color w:val="000000"/>
                <w:kern w:val="0"/>
                <w:sz w:val="24"/>
                <w:highlight w:val="none"/>
                <w:lang w:val="en-US" w:eastAsia="zh-CN"/>
              </w:rPr>
              <w:t xml:space="preserve"> </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黑体" w:hAnsi="宋体" w:eastAsia="黑体" w:cs="黑体"/>
                <w:b/>
                <w:color w:val="000000"/>
                <w:sz w:val="36"/>
                <w:szCs w:val="36"/>
                <w:highlight w:val="none"/>
              </w:rPr>
            </w:pPr>
            <w:r>
              <w:rPr>
                <w:rFonts w:hint="eastAsia" w:ascii="黑体" w:hAnsi="宋体" w:eastAsia="黑体" w:cs="黑体"/>
                <w:b/>
                <w:color w:val="000000"/>
                <w:kern w:val="0"/>
                <w:sz w:val="36"/>
                <w:szCs w:val="36"/>
                <w:highlight w:val="none"/>
              </w:rPr>
              <w:t>概   要</w:t>
            </w:r>
          </w:p>
        </w:tc>
      </w:tr>
      <w:tr>
        <w:tblPrEx>
          <w:tblCellMar>
            <w:top w:w="17" w:type="dxa"/>
            <w:left w:w="17" w:type="dxa"/>
            <w:bottom w:w="17" w:type="dxa"/>
            <w:right w:w="17" w:type="dxa"/>
          </w:tblCellMar>
        </w:tblPrEx>
        <w:trPr>
          <w:trHeight w:val="330" w:hRule="atLeast"/>
        </w:trPr>
        <w:tc>
          <w:tcPr>
            <w:tcW w:w="8983" w:type="dxa"/>
            <w:gridSpan w:val="9"/>
            <w:noWrap w:val="0"/>
            <w:vAlign w:val="center"/>
          </w:tcPr>
          <w:p>
            <w:pPr>
              <w:widowControl/>
              <w:jc w:val="left"/>
              <w:textAlignment w:val="center"/>
              <w:rPr>
                <w:rFonts w:ascii="黑体" w:hAnsi="黑体" w:eastAsia="黑体" w:cs="仿宋_GB2312"/>
                <w:color w:val="000000"/>
                <w:sz w:val="22"/>
                <w:highlight w:val="none"/>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val="en-US" w:eastAsia="zh-CN"/>
              </w:rPr>
              <w:t>贵州黔元会计师事务所有限公司</w:t>
            </w:r>
            <w:r>
              <w:rPr>
                <w:rFonts w:hint="eastAsia" w:ascii="黑体" w:hAnsi="黑体" w:eastAsia="黑体" w:cs="仿宋_GB2312"/>
                <w:color w:val="000000"/>
                <w:kern w:val="0"/>
                <w:sz w:val="22"/>
                <w:highlight w:val="none"/>
              </w:rPr>
              <w:t xml:space="preserve">                </w:t>
            </w:r>
            <w:r>
              <w:rPr>
                <w:rFonts w:hint="eastAsia" w:ascii="黑体" w:hAnsi="黑体" w:eastAsia="黑体" w:cs="仿宋_GB2312"/>
                <w:color w:val="000000"/>
                <w:kern w:val="0"/>
                <w:sz w:val="22"/>
                <w:highlight w:val="none"/>
                <w:lang w:val="en-US" w:eastAsia="zh-CN"/>
              </w:rPr>
              <w:t xml:space="preserve"> </w:t>
            </w:r>
            <w:r>
              <w:rPr>
                <w:rFonts w:hint="eastAsia" w:ascii="黑体" w:hAnsi="黑体" w:eastAsia="黑体" w:cs="仿宋_GB2312"/>
                <w:color w:val="000000"/>
                <w:kern w:val="0"/>
                <w:sz w:val="22"/>
                <w:highlight w:val="none"/>
              </w:rPr>
              <w:t>单位：万元、个</w:t>
            </w:r>
          </w:p>
        </w:tc>
      </w:tr>
      <w:tr>
        <w:tblPrEx>
          <w:tblCellMar>
            <w:top w:w="17" w:type="dxa"/>
            <w:left w:w="17" w:type="dxa"/>
            <w:bottom w:w="17" w:type="dxa"/>
            <w:right w:w="17" w:type="dxa"/>
          </w:tblCellMar>
        </w:tblPrEx>
        <w:trPr>
          <w:trHeight w:val="359"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4692"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default" w:ascii="仿宋_GB2312" w:hAnsi="宋体" w:eastAsia="仿宋_GB2312" w:cs="仿宋_GB2312"/>
                <w:color w:val="000000"/>
                <w:w w:val="100"/>
                <w:sz w:val="20"/>
                <w:szCs w:val="20"/>
                <w:highlight w:val="none"/>
              </w:rPr>
              <w:t>贵阳市城市综合执法支队云岩大队</w:t>
            </w:r>
            <w:r>
              <w:rPr>
                <w:rFonts w:hint="default" w:ascii="仿宋_GB2312" w:hAnsi="宋体" w:eastAsia="仿宋_GB2312" w:cs="仿宋_GB2312"/>
                <w:color w:val="000000"/>
                <w:sz w:val="20"/>
                <w:szCs w:val="20"/>
                <w:highlight w:val="none"/>
                <w:lang w:val="en-US" w:eastAsia="zh-CN"/>
              </w:rPr>
              <w:t>2021年违法建筑拆除项目</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w:t>
            </w:r>
          </w:p>
        </w:tc>
      </w:tr>
      <w:tr>
        <w:tblPrEx>
          <w:tblCellMar>
            <w:top w:w="17" w:type="dxa"/>
            <w:left w:w="17" w:type="dxa"/>
            <w:bottom w:w="17" w:type="dxa"/>
            <w:right w:w="17" w:type="dxa"/>
          </w:tblCellMar>
        </w:tblPrEx>
        <w:trPr>
          <w:trHeight w:val="510"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864"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贵阳市云岩区综合行政执法局</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rPr>
            </w:pPr>
            <w:r>
              <w:rPr>
                <w:rFonts w:hint="eastAsia" w:ascii="仿宋_GB2312" w:hAnsi="仿宋_GB2312" w:eastAsia="仿宋_GB2312" w:cs="仿宋_GB2312"/>
                <w:sz w:val="20"/>
                <w:szCs w:val="20"/>
                <w:highlight w:val="none"/>
                <w:lang w:val="en-US" w:eastAsia="zh-CN"/>
              </w:rPr>
              <w:t>胡雷：135 9501 3006</w:t>
            </w:r>
          </w:p>
        </w:tc>
      </w:tr>
      <w:tr>
        <w:tblPrEx>
          <w:tblCellMar>
            <w:top w:w="17" w:type="dxa"/>
            <w:left w:w="17" w:type="dxa"/>
            <w:bottom w:w="17" w:type="dxa"/>
            <w:right w:w="17" w:type="dxa"/>
          </w:tblCellMar>
        </w:tblPrEx>
        <w:trPr>
          <w:trHeight w:val="576"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自评</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99.99</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优</w:t>
            </w:r>
          </w:p>
        </w:tc>
      </w:tr>
      <w:tr>
        <w:tblPrEx>
          <w:tblCellMar>
            <w:top w:w="17" w:type="dxa"/>
            <w:left w:w="17" w:type="dxa"/>
            <w:bottom w:w="17" w:type="dxa"/>
            <w:right w:w="17" w:type="dxa"/>
          </w:tblCellMar>
        </w:tblPrEx>
        <w:trPr>
          <w:trHeight w:val="453"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区级财政预算</w:t>
            </w:r>
            <w:r>
              <w:rPr>
                <w:rFonts w:hint="default" w:ascii="黑体" w:hAnsi="宋体" w:eastAsia="黑体" w:cs="黑体"/>
                <w:color w:val="000000"/>
                <w:kern w:val="0"/>
                <w:sz w:val="20"/>
                <w:szCs w:val="20"/>
                <w:highlight w:val="none"/>
                <w:lang w:val="en-US" w:eastAsia="zh-CN"/>
              </w:rPr>
              <w:t>安排资金</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431</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431</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453"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黑体" w:hAnsi="宋体" w:eastAsia="黑体" w:cs="黑体"/>
                <w:color w:val="000000"/>
                <w:sz w:val="20"/>
                <w:szCs w:val="20"/>
                <w:highlight w:val="none"/>
                <w:lang w:val="en-US" w:eastAsia="zh-CN"/>
              </w:rPr>
            </w:pPr>
            <w:r>
              <w:rPr>
                <w:rFonts w:ascii="Times New Roman" w:hAnsi="Times New Roman" w:eastAsia="黑体" w:cs="Times New Roman"/>
                <w:kern w:val="0"/>
                <w:sz w:val="20"/>
                <w:szCs w:val="20"/>
              </w:rPr>
              <w:t>项目类别</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sz w:val="20"/>
                <w:szCs w:val="20"/>
                <w:highlight w:val="none"/>
                <w:lang w:eastAsia="zh-CN"/>
              </w:rPr>
            </w:pPr>
            <w:r>
              <w:rPr>
                <w:rFonts w:hint="eastAsia" w:ascii="黑体" w:hAnsi="宋体" w:eastAsia="黑体" w:cs="黑体"/>
                <w:color w:val="000000"/>
                <w:kern w:val="0"/>
                <w:sz w:val="20"/>
                <w:szCs w:val="20"/>
                <w:highlight w:val="none"/>
                <w:lang w:eastAsia="zh-CN"/>
              </w:rPr>
              <w:t>抽查</w:t>
            </w:r>
            <w:r>
              <w:rPr>
                <w:rFonts w:hint="eastAsia" w:ascii="黑体" w:hAnsi="宋体" w:eastAsia="黑体" w:cs="黑体"/>
                <w:color w:val="000000"/>
                <w:kern w:val="0"/>
                <w:sz w:val="20"/>
                <w:szCs w:val="20"/>
                <w:highlight w:val="none"/>
                <w:lang w:val="en-US" w:eastAsia="zh-CN"/>
              </w:rPr>
              <w:t>项目</w:t>
            </w:r>
            <w:r>
              <w:rPr>
                <w:rFonts w:hint="eastAsia" w:ascii="黑体" w:hAnsi="宋体" w:eastAsia="黑体" w:cs="黑体"/>
                <w:color w:val="000000"/>
                <w:kern w:val="0"/>
                <w:sz w:val="20"/>
                <w:szCs w:val="20"/>
                <w:highlight w:val="none"/>
                <w:lang w:eastAsia="zh-CN"/>
              </w:rPr>
              <w:t>数</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474"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heme="minorHAnsi" w:hAnsiTheme="minorHAnsi" w:eastAsiaTheme="minorEastAsia" w:cstheme="minorBidi"/>
                <w:kern w:val="2"/>
                <w:sz w:val="21"/>
                <w:szCs w:val="22"/>
                <w:lang w:val="en-US" w:eastAsia="zh-CN"/>
              </w:rPr>
            </w:pPr>
            <w:r>
              <w:rPr>
                <w:rFonts w:hint="eastAsia" w:ascii="黑体" w:hAnsi="宋体" w:eastAsia="黑体" w:cs="黑体"/>
                <w:color w:val="000000"/>
                <w:kern w:val="0"/>
                <w:sz w:val="20"/>
                <w:szCs w:val="20"/>
                <w:highlight w:val="none"/>
                <w:lang w:val="en-US" w:eastAsia="zh-CN"/>
              </w:rPr>
              <w:t>项目数量</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w:t>
            </w:r>
            <w:r>
              <w:rPr>
                <w:rFonts w:hint="eastAsia" w:ascii="黑体" w:hAnsi="宋体" w:eastAsia="黑体" w:cs="黑体"/>
                <w:color w:val="000000"/>
                <w:kern w:val="0"/>
                <w:sz w:val="20"/>
                <w:szCs w:val="20"/>
                <w:highlight w:val="none"/>
                <w:lang w:val="en-US" w:eastAsia="zh-CN"/>
              </w:rPr>
              <w:t>项目</w:t>
            </w:r>
            <w:r>
              <w:rPr>
                <w:rFonts w:hint="eastAsia" w:ascii="黑体" w:hAnsi="宋体" w:eastAsia="黑体" w:cs="黑体"/>
                <w:color w:val="000000"/>
                <w:kern w:val="0"/>
                <w:sz w:val="20"/>
                <w:szCs w:val="20"/>
                <w:highlight w:val="none"/>
                <w:lang w:eastAsia="zh-CN"/>
              </w:rPr>
              <w:t>数</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val="en-US" w:eastAsia="zh-CN"/>
              </w:rPr>
              <w:t>1个</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770" w:hRule="atLeast"/>
        </w:trPr>
        <w:tc>
          <w:tcPr>
            <w:tcW w:w="122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85"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80</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有效调查</w:t>
            </w:r>
          </w:p>
          <w:p>
            <w:pPr>
              <w:widowControl/>
              <w:spacing w:line="320" w:lineRule="exact"/>
              <w:jc w:val="center"/>
              <w:textAlignment w:val="center"/>
              <w:rPr>
                <w:rFonts w:ascii="黑体" w:hAnsi="黑体" w:eastAsia="黑体" w:cs="仿宋_GB2312"/>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80</w:t>
            </w:r>
          </w:p>
        </w:tc>
        <w:tc>
          <w:tcPr>
            <w:tcW w:w="8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满意度</w:t>
            </w:r>
          </w:p>
          <w:p>
            <w:pPr>
              <w:widowControl/>
              <w:spacing w:line="320" w:lineRule="exact"/>
              <w:jc w:val="center"/>
              <w:textAlignment w:val="center"/>
              <w:rPr>
                <w:rFonts w:ascii="仿宋_GB2312" w:hAnsi="宋体" w:eastAsia="仿宋_GB2312" w:cs="仿宋_GB2312"/>
                <w:color w:val="000000"/>
                <w:kern w:val="0"/>
                <w:sz w:val="20"/>
                <w:szCs w:val="20"/>
                <w:highlight w:val="none"/>
              </w:rPr>
            </w:pPr>
            <w:r>
              <w:rPr>
                <w:rFonts w:hint="eastAsia" w:ascii="黑体" w:hAnsi="宋体" w:eastAsia="黑体" w:cs="黑体"/>
                <w:color w:val="000000"/>
                <w:kern w:val="0"/>
                <w:sz w:val="20"/>
                <w:szCs w:val="20"/>
                <w:highlight w:val="none"/>
              </w:rPr>
              <w:t>情况</w:t>
            </w:r>
          </w:p>
        </w:tc>
        <w:tc>
          <w:tcPr>
            <w:tcW w:w="40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0"/>
                <w:numId w:val="0"/>
              </w:numPr>
              <w:spacing w:line="320" w:lineRule="exact"/>
              <w:jc w:val="left"/>
              <w:textAlignment w:val="center"/>
              <w:rPr>
                <w:rFonts w:hint="default" w:ascii="仿宋_GB2312" w:hAnsi="宋体" w:eastAsia="仿宋_GB2312" w:cs="仿宋_GB2312"/>
                <w:color w:val="000000"/>
                <w:kern w:val="0"/>
                <w:sz w:val="20"/>
                <w:szCs w:val="20"/>
                <w:highlight w:val="none"/>
                <w:lang w:val="en-US" w:eastAsia="zh-CN"/>
              </w:rPr>
            </w:pPr>
            <w:r>
              <w:rPr>
                <w:rFonts w:hint="default" w:ascii="仿宋_GB2312" w:hAnsi="宋体" w:eastAsia="仿宋_GB2312" w:cs="仿宋_GB2312"/>
                <w:color w:val="000000"/>
                <w:kern w:val="0"/>
                <w:sz w:val="20"/>
                <w:szCs w:val="20"/>
                <w:highlight w:val="none"/>
                <w:lang w:val="en-US" w:eastAsia="zh-CN"/>
              </w:rPr>
              <w:t>群众满意度为95.50%</w:t>
            </w:r>
          </w:p>
        </w:tc>
      </w:tr>
      <w:tr>
        <w:tblPrEx>
          <w:tblCellMar>
            <w:top w:w="17" w:type="dxa"/>
            <w:left w:w="17" w:type="dxa"/>
            <w:bottom w:w="17" w:type="dxa"/>
            <w:right w:w="17" w:type="dxa"/>
          </w:tblCellMar>
        </w:tblPrEx>
        <w:trPr>
          <w:trHeight w:val="793" w:hRule="atLeast"/>
        </w:trPr>
        <w:tc>
          <w:tcPr>
            <w:tcW w:w="122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绩效目标</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实现情况</w:t>
            </w:r>
          </w:p>
        </w:tc>
        <w:tc>
          <w:tcPr>
            <w:tcW w:w="7761"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4"/>
              <w:rPr>
                <w:rFonts w:hint="default" w:ascii="仿宋_GB2312" w:hAnsi="宋体" w:eastAsia="仿宋_GB2312" w:cs="仿宋_GB2312"/>
                <w:color w:val="000000"/>
                <w:sz w:val="20"/>
                <w:szCs w:val="20"/>
                <w:highlight w:val="none"/>
                <w:lang w:val="en-US" w:eastAsia="zh-CN"/>
              </w:rPr>
            </w:pPr>
            <w:r>
              <w:rPr>
                <w:rFonts w:hint="default" w:ascii="仿宋_GB2312" w:hAnsi="宋体" w:eastAsia="仿宋_GB2312" w:cs="仿宋_GB2312"/>
                <w:color w:val="000000"/>
                <w:sz w:val="20"/>
                <w:szCs w:val="20"/>
                <w:highlight w:val="none"/>
                <w:lang w:val="en-US" w:eastAsia="zh-CN"/>
              </w:rPr>
              <w:t>2021年违法建筑拆除项目绩效目标合计</w:t>
            </w:r>
            <w:r>
              <w:rPr>
                <w:rFonts w:hint="eastAsia" w:ascii="仿宋_GB2312" w:hAnsi="宋体" w:cs="仿宋_GB2312"/>
                <w:color w:val="000000"/>
                <w:sz w:val="20"/>
                <w:szCs w:val="20"/>
                <w:highlight w:val="none"/>
                <w:lang w:val="en-US" w:eastAsia="zh-CN"/>
              </w:rPr>
              <w:t>4</w:t>
            </w:r>
            <w:r>
              <w:rPr>
                <w:rFonts w:hint="default" w:ascii="仿宋_GB2312" w:hAnsi="宋体" w:eastAsia="仿宋_GB2312" w:cs="仿宋_GB2312"/>
                <w:color w:val="000000"/>
                <w:sz w:val="20"/>
                <w:szCs w:val="20"/>
                <w:highlight w:val="none"/>
                <w:lang w:val="en-US" w:eastAsia="zh-CN"/>
              </w:rPr>
              <w:t>个，已完成3个，部分完成</w:t>
            </w:r>
            <w:r>
              <w:rPr>
                <w:rFonts w:hint="eastAsia" w:ascii="仿宋_GB2312" w:hAnsi="宋体" w:cs="仿宋_GB2312"/>
                <w:color w:val="000000"/>
                <w:sz w:val="20"/>
                <w:szCs w:val="20"/>
                <w:highlight w:val="none"/>
                <w:lang w:val="en-US" w:eastAsia="zh-CN"/>
              </w:rPr>
              <w:t>1</w:t>
            </w:r>
            <w:r>
              <w:rPr>
                <w:rFonts w:hint="default" w:ascii="仿宋_GB2312" w:hAnsi="宋体" w:eastAsia="仿宋_GB2312" w:cs="仿宋_GB2312"/>
                <w:color w:val="000000"/>
                <w:sz w:val="20"/>
                <w:szCs w:val="20"/>
                <w:highlight w:val="none"/>
                <w:lang w:val="en-US" w:eastAsia="zh-CN"/>
              </w:rPr>
              <w:t>个。</w:t>
            </w:r>
          </w:p>
        </w:tc>
      </w:tr>
      <w:tr>
        <w:tblPrEx>
          <w:tblCellMar>
            <w:top w:w="17" w:type="dxa"/>
            <w:left w:w="17" w:type="dxa"/>
            <w:bottom w:w="17" w:type="dxa"/>
            <w:right w:w="17" w:type="dxa"/>
          </w:tblCellMar>
        </w:tblPrEx>
        <w:trPr>
          <w:trHeight w:val="4638" w:hRule="atLeast"/>
        </w:trPr>
        <w:tc>
          <w:tcPr>
            <w:tcW w:w="122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简要情况</w:t>
            </w:r>
          </w:p>
        </w:tc>
        <w:tc>
          <w:tcPr>
            <w:tcW w:w="776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zh-CN" w:eastAsia="zh-CN"/>
              </w:rPr>
            </w:pPr>
            <w:r>
              <w:rPr>
                <w:rFonts w:hint="eastAsia" w:ascii="仿宋_GB2312" w:hAnsi="宋体" w:eastAsia="仿宋_GB2312" w:cs="仿宋_GB2312"/>
                <w:color w:val="000000"/>
                <w:sz w:val="20"/>
                <w:szCs w:val="20"/>
                <w:highlight w:val="none"/>
                <w:lang w:val="zh-CN" w:eastAsia="zh-CN"/>
              </w:rPr>
              <w:t>（一）预算管理方面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zh-CN" w:eastAsia="zh-CN"/>
              </w:rPr>
              <w:t>预算编制科学性</w:t>
            </w:r>
            <w:r>
              <w:rPr>
                <w:rFonts w:hint="eastAsia" w:ascii="仿宋_GB2312" w:hAnsi="宋体" w:eastAsia="仿宋_GB2312" w:cs="仿宋_GB2312"/>
                <w:color w:val="000000"/>
                <w:sz w:val="20"/>
                <w:szCs w:val="20"/>
                <w:highlight w:val="none"/>
                <w:lang w:val="en-US" w:eastAsia="zh-CN"/>
              </w:rPr>
              <w:t>有待提高</w:t>
            </w:r>
            <w:r>
              <w:rPr>
                <w:rFonts w:hint="eastAsia" w:ascii="仿宋_GB2312" w:hAnsi="宋体" w:eastAsia="仿宋_GB2312" w:cs="仿宋_GB2312"/>
                <w:color w:val="000000"/>
                <w:sz w:val="20"/>
                <w:szCs w:val="20"/>
                <w:highlight w:val="none"/>
                <w:lang w:val="zh-CN" w:eastAsia="zh-CN"/>
              </w:rPr>
              <w:t>。</w:t>
            </w:r>
            <w:r>
              <w:rPr>
                <w:rFonts w:hint="eastAsia" w:ascii="仿宋_GB2312" w:hAnsi="宋体" w:eastAsia="仿宋_GB2312" w:cs="仿宋_GB2312"/>
                <w:color w:val="000000"/>
                <w:sz w:val="20"/>
                <w:szCs w:val="20"/>
                <w:highlight w:val="none"/>
                <w:lang w:val="en-US" w:eastAsia="zh-CN"/>
              </w:rPr>
              <w:t>项目预算编制时，存在预算确定的项目投资额或资金量与工作任务不匹配，</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zh-CN" w:eastAsia="zh-CN"/>
              </w:rPr>
            </w:pPr>
            <w:r>
              <w:rPr>
                <w:rFonts w:hint="eastAsia" w:ascii="仿宋_GB2312" w:hAnsi="宋体" w:eastAsia="仿宋_GB2312" w:cs="仿宋_GB2312"/>
                <w:color w:val="000000"/>
                <w:sz w:val="20"/>
                <w:szCs w:val="20"/>
                <w:highlight w:val="none"/>
                <w:lang w:val="zh-CN" w:eastAsia="zh-CN"/>
              </w:rPr>
              <w:t>（</w:t>
            </w:r>
            <w:r>
              <w:rPr>
                <w:rFonts w:hint="eastAsia" w:ascii="仿宋_GB2312" w:hAnsi="宋体" w:eastAsia="仿宋_GB2312" w:cs="仿宋_GB2312"/>
                <w:color w:val="000000"/>
                <w:sz w:val="20"/>
                <w:szCs w:val="20"/>
                <w:highlight w:val="none"/>
                <w:lang w:val="en-US" w:eastAsia="zh-CN"/>
              </w:rPr>
              <w:t>二</w:t>
            </w:r>
            <w:r>
              <w:rPr>
                <w:rFonts w:hint="eastAsia" w:ascii="仿宋_GB2312" w:hAnsi="宋体" w:eastAsia="仿宋_GB2312" w:cs="仿宋_GB2312"/>
                <w:color w:val="000000"/>
                <w:sz w:val="20"/>
                <w:szCs w:val="20"/>
                <w:highlight w:val="none"/>
                <w:lang w:val="zh-CN" w:eastAsia="zh-CN"/>
              </w:rPr>
              <w:t>）</w:t>
            </w:r>
            <w:r>
              <w:rPr>
                <w:rFonts w:hint="eastAsia" w:ascii="仿宋_GB2312" w:hAnsi="宋体" w:eastAsia="仿宋_GB2312" w:cs="仿宋_GB2312"/>
                <w:color w:val="000000"/>
                <w:sz w:val="20"/>
                <w:szCs w:val="20"/>
                <w:highlight w:val="none"/>
                <w:lang w:val="en-US" w:eastAsia="zh-CN"/>
              </w:rPr>
              <w:t>资金</w:t>
            </w:r>
            <w:r>
              <w:rPr>
                <w:rFonts w:hint="eastAsia" w:ascii="仿宋_GB2312" w:hAnsi="宋体" w:eastAsia="仿宋_GB2312" w:cs="仿宋_GB2312"/>
                <w:color w:val="000000"/>
                <w:sz w:val="20"/>
                <w:szCs w:val="20"/>
                <w:highlight w:val="none"/>
                <w:lang w:val="zh-CN" w:eastAsia="zh-CN"/>
              </w:rPr>
              <w:t>管理方面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w:t>
            </w:r>
            <w:r>
              <w:rPr>
                <w:rFonts w:hint="eastAsia" w:ascii="仿宋_GB2312" w:hAnsi="宋体" w:eastAsia="仿宋_GB2312" w:cs="仿宋_GB2312"/>
                <w:color w:val="000000"/>
                <w:sz w:val="20"/>
                <w:szCs w:val="20"/>
                <w:highlight w:val="none"/>
                <w:lang w:val="zh-CN" w:eastAsia="zh-CN"/>
              </w:rPr>
              <w:t>．资金使用</w:t>
            </w:r>
            <w:r>
              <w:rPr>
                <w:rFonts w:hint="eastAsia" w:ascii="仿宋_GB2312" w:hAnsi="宋体" w:eastAsia="仿宋_GB2312" w:cs="仿宋_GB2312"/>
                <w:color w:val="000000"/>
                <w:sz w:val="20"/>
                <w:szCs w:val="20"/>
                <w:highlight w:val="none"/>
                <w:lang w:val="en-US" w:eastAsia="zh-CN"/>
              </w:rPr>
              <w:t>不</w:t>
            </w:r>
            <w:r>
              <w:rPr>
                <w:rFonts w:hint="eastAsia" w:ascii="仿宋_GB2312" w:hAnsi="宋体" w:eastAsia="仿宋_GB2312" w:cs="仿宋_GB2312"/>
                <w:color w:val="000000"/>
                <w:sz w:val="20"/>
                <w:szCs w:val="20"/>
                <w:highlight w:val="none"/>
                <w:lang w:val="zh-CN" w:eastAsia="zh-CN"/>
              </w:rPr>
              <w:t>合规，存在挤占资金的情况。项目预算</w:t>
            </w:r>
            <w:r>
              <w:rPr>
                <w:rFonts w:hint="eastAsia" w:ascii="仿宋_GB2312" w:hAnsi="宋体" w:eastAsia="仿宋_GB2312" w:cs="仿宋_GB2312"/>
                <w:color w:val="000000"/>
                <w:sz w:val="20"/>
                <w:szCs w:val="20"/>
                <w:highlight w:val="none"/>
                <w:lang w:val="en-US" w:eastAsia="zh-CN"/>
              </w:rPr>
              <w:t>资金</w:t>
            </w:r>
            <w:r>
              <w:rPr>
                <w:rFonts w:hint="eastAsia" w:ascii="仿宋_GB2312" w:hAnsi="宋体" w:eastAsia="仿宋_GB2312" w:cs="仿宋_GB2312"/>
                <w:color w:val="000000"/>
                <w:sz w:val="20"/>
                <w:szCs w:val="20"/>
                <w:highlight w:val="none"/>
                <w:lang w:val="zh-CN" w:eastAsia="zh-CN"/>
              </w:rPr>
              <w:t>为431万元，</w:t>
            </w:r>
            <w:r>
              <w:rPr>
                <w:rFonts w:hint="eastAsia" w:ascii="仿宋_GB2312" w:hAnsi="宋体" w:eastAsia="仿宋_GB2312" w:cs="仿宋_GB2312"/>
                <w:color w:val="000000"/>
                <w:sz w:val="20"/>
                <w:szCs w:val="20"/>
                <w:highlight w:val="none"/>
                <w:lang w:val="en-US" w:eastAsia="zh-CN"/>
              </w:rPr>
              <w:t>实际用于支付</w:t>
            </w:r>
            <w:r>
              <w:rPr>
                <w:rFonts w:hint="eastAsia" w:ascii="仿宋_GB2312" w:hAnsi="宋体" w:eastAsia="仿宋_GB2312" w:cs="仿宋_GB2312"/>
                <w:color w:val="000000"/>
                <w:sz w:val="20"/>
                <w:szCs w:val="20"/>
                <w:highlight w:val="none"/>
                <w:lang w:val="zh-CN" w:eastAsia="zh-CN"/>
              </w:rPr>
              <w:t>2021违法建筑拆除项目</w:t>
            </w:r>
            <w:r>
              <w:rPr>
                <w:rFonts w:hint="eastAsia" w:ascii="仿宋_GB2312" w:hAnsi="宋体" w:eastAsia="仿宋_GB2312" w:cs="仿宋_GB2312"/>
                <w:color w:val="000000"/>
                <w:sz w:val="20"/>
                <w:szCs w:val="20"/>
                <w:highlight w:val="none"/>
                <w:lang w:val="en-US" w:eastAsia="zh-CN"/>
              </w:rPr>
              <w:t>的资金为260.35万元，其他资金用于支付2020年本项目资金缺口部分。</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w:t>
            </w:r>
            <w:r>
              <w:rPr>
                <w:rFonts w:hint="eastAsia" w:ascii="仿宋_GB2312" w:hAnsi="宋体" w:eastAsia="仿宋_GB2312" w:cs="仿宋_GB2312"/>
                <w:color w:val="000000"/>
                <w:sz w:val="20"/>
                <w:szCs w:val="20"/>
                <w:highlight w:val="none"/>
                <w:lang w:val="zh-CN" w:eastAsia="zh-CN"/>
              </w:rPr>
              <w:t>．</w:t>
            </w:r>
            <w:r>
              <w:rPr>
                <w:rFonts w:hint="eastAsia" w:ascii="仿宋_GB2312" w:hAnsi="宋体" w:eastAsia="仿宋_GB2312" w:cs="仿宋_GB2312"/>
                <w:color w:val="000000"/>
                <w:sz w:val="20"/>
                <w:szCs w:val="20"/>
                <w:highlight w:val="none"/>
                <w:lang w:val="en-US" w:eastAsia="zh-CN"/>
              </w:rPr>
              <w:t>成本超预算控制范围。项目预算为431万元。项目2021年实际产生总成本522.81万元，实际已支付522.81万元，其中2021年支付260.35万元，2022年支付262.46万元。</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（三）绩效管理</w:t>
            </w:r>
            <w:r>
              <w:rPr>
                <w:rFonts w:hint="eastAsia" w:ascii="仿宋_GB2312" w:hAnsi="宋体" w:eastAsia="仿宋_GB2312" w:cs="仿宋_GB2312"/>
                <w:color w:val="000000"/>
                <w:sz w:val="20"/>
                <w:szCs w:val="20"/>
                <w:highlight w:val="none"/>
                <w:lang w:val="zh-CN" w:eastAsia="zh-CN"/>
              </w:rPr>
              <w:t>方面</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w:t>
            </w:r>
            <w:r>
              <w:rPr>
                <w:rFonts w:hint="eastAsia" w:ascii="仿宋_GB2312" w:hAnsi="宋体" w:eastAsia="仿宋_GB2312" w:cs="仿宋_GB2312"/>
                <w:color w:val="000000"/>
                <w:sz w:val="20"/>
                <w:szCs w:val="20"/>
                <w:highlight w:val="none"/>
                <w:lang w:val="zh-CN" w:eastAsia="zh-CN"/>
              </w:rPr>
              <w:t>．</w:t>
            </w:r>
            <w:r>
              <w:rPr>
                <w:rFonts w:hint="eastAsia" w:ascii="仿宋_GB2312" w:hAnsi="宋体" w:eastAsia="仿宋_GB2312" w:cs="仿宋_GB2312"/>
                <w:color w:val="000000"/>
                <w:sz w:val="20"/>
                <w:szCs w:val="20"/>
                <w:highlight w:val="none"/>
                <w:lang w:val="en-US" w:eastAsia="zh-CN"/>
              </w:rPr>
              <w:t>绩效自评不够规范、内容不够完善。绩效自评结果尚不能单独直观地反映</w:t>
            </w:r>
            <w:r>
              <w:rPr>
                <w:rFonts w:hint="eastAsia" w:ascii="仿宋_GB2312" w:hAnsi="宋体" w:eastAsia="仿宋_GB2312" w:cs="仿宋_GB2312"/>
                <w:color w:val="000000"/>
                <w:sz w:val="20"/>
                <w:szCs w:val="20"/>
                <w:highlight w:val="none"/>
                <w:lang w:eastAsia="zh-CN"/>
              </w:rPr>
              <w:t>202</w:t>
            </w:r>
            <w:r>
              <w:rPr>
                <w:rFonts w:hint="eastAsia" w:ascii="仿宋_GB2312" w:hAnsi="宋体" w:eastAsia="仿宋_GB2312" w:cs="仿宋_GB2312"/>
                <w:color w:val="000000"/>
                <w:sz w:val="20"/>
                <w:szCs w:val="20"/>
                <w:highlight w:val="none"/>
                <w:lang w:val="en-US" w:eastAsia="zh-CN"/>
              </w:rPr>
              <w:t>1</w:t>
            </w:r>
            <w:r>
              <w:rPr>
                <w:rFonts w:hint="eastAsia" w:ascii="仿宋_GB2312" w:hAnsi="宋体" w:eastAsia="仿宋_GB2312" w:cs="仿宋_GB2312"/>
                <w:color w:val="000000"/>
                <w:sz w:val="20"/>
                <w:szCs w:val="20"/>
                <w:highlight w:val="none"/>
                <w:lang w:eastAsia="zh-CN"/>
              </w:rPr>
              <w:t>年预算资金使用成效，</w:t>
            </w:r>
            <w:r>
              <w:rPr>
                <w:rFonts w:hint="eastAsia" w:ascii="仿宋_GB2312" w:hAnsi="宋体" w:eastAsia="仿宋_GB2312" w:cs="仿宋_GB2312"/>
                <w:color w:val="000000"/>
                <w:sz w:val="20"/>
                <w:szCs w:val="20"/>
                <w:highlight w:val="none"/>
                <w:lang w:val="en-US" w:eastAsia="zh-CN"/>
              </w:rPr>
              <w:t>且绩效自评表未明确项目年度总体目标及实施完成情况。</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2．部分指标设置不全面，或未通过清晰、可衡量的指标值予以体现。</w:t>
            </w:r>
          </w:p>
        </w:tc>
      </w:tr>
      <w:tr>
        <w:tblPrEx>
          <w:tblCellMar>
            <w:top w:w="17" w:type="dxa"/>
            <w:left w:w="17" w:type="dxa"/>
            <w:bottom w:w="17" w:type="dxa"/>
            <w:right w:w="17" w:type="dxa"/>
          </w:tblCellMar>
        </w:tblPrEx>
        <w:trPr>
          <w:trHeight w:val="386" w:hRule="atLeast"/>
        </w:trPr>
        <w:tc>
          <w:tcPr>
            <w:tcW w:w="1222"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简要建议</w:t>
            </w:r>
          </w:p>
        </w:tc>
        <w:tc>
          <w:tcPr>
            <w:tcW w:w="7761" w:type="dxa"/>
            <w:gridSpan w:val="8"/>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val="zh-CN"/>
              </w:rPr>
              <w:t>（</w:t>
            </w:r>
            <w:r>
              <w:rPr>
                <w:rFonts w:hint="eastAsia" w:ascii="仿宋_GB2312" w:hAnsi="宋体" w:eastAsia="仿宋_GB2312" w:cs="仿宋_GB2312"/>
                <w:color w:val="000000"/>
                <w:sz w:val="20"/>
                <w:szCs w:val="20"/>
                <w:highlight w:val="none"/>
                <w:lang w:val="en-US" w:eastAsia="zh-CN"/>
              </w:rPr>
              <w:t>一</w:t>
            </w:r>
            <w:r>
              <w:rPr>
                <w:rFonts w:hint="eastAsia" w:ascii="仿宋_GB2312" w:hAnsi="宋体" w:eastAsia="仿宋_GB2312" w:cs="仿宋_GB2312"/>
                <w:color w:val="000000"/>
                <w:sz w:val="20"/>
                <w:szCs w:val="20"/>
                <w:highlight w:val="none"/>
                <w:lang w:val="zh-CN"/>
              </w:rPr>
              <w:t>）</w:t>
            </w:r>
            <w:r>
              <w:rPr>
                <w:rFonts w:hint="eastAsia" w:ascii="仿宋_GB2312" w:hAnsi="宋体" w:eastAsia="仿宋_GB2312" w:cs="仿宋_GB2312"/>
                <w:color w:val="000000"/>
                <w:sz w:val="20"/>
                <w:szCs w:val="20"/>
                <w:highlight w:val="none"/>
              </w:rPr>
              <w:t>预算管理方面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val="en-US" w:eastAsia="zh-CN"/>
              </w:rPr>
              <w:t>加强预算编制培训工作，提高预算编制的科学性。</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zh-CN" w:eastAsia="zh-CN"/>
              </w:rPr>
            </w:pPr>
            <w:r>
              <w:rPr>
                <w:rFonts w:hint="eastAsia" w:ascii="仿宋_GB2312" w:hAnsi="宋体" w:eastAsia="仿宋_GB2312" w:cs="仿宋_GB2312"/>
                <w:color w:val="000000"/>
                <w:sz w:val="20"/>
                <w:szCs w:val="20"/>
                <w:highlight w:val="none"/>
                <w:lang w:val="zh-CN"/>
              </w:rPr>
              <w:t>（</w:t>
            </w:r>
            <w:r>
              <w:rPr>
                <w:rFonts w:hint="eastAsia" w:ascii="仿宋_GB2312" w:hAnsi="宋体" w:eastAsia="仿宋_GB2312" w:cs="仿宋_GB2312"/>
                <w:color w:val="000000"/>
                <w:sz w:val="20"/>
                <w:szCs w:val="20"/>
                <w:highlight w:val="none"/>
                <w:lang w:val="zh-CN" w:eastAsia="zh-CN"/>
              </w:rPr>
              <w:t>二</w:t>
            </w:r>
            <w:r>
              <w:rPr>
                <w:rFonts w:hint="eastAsia" w:ascii="仿宋_GB2312" w:hAnsi="宋体" w:eastAsia="仿宋_GB2312" w:cs="仿宋_GB2312"/>
                <w:color w:val="000000"/>
                <w:sz w:val="20"/>
                <w:szCs w:val="20"/>
                <w:highlight w:val="none"/>
                <w:lang w:val="zh-CN"/>
              </w:rPr>
              <w:t>）</w:t>
            </w:r>
            <w:r>
              <w:rPr>
                <w:rFonts w:hint="eastAsia" w:ascii="仿宋_GB2312" w:hAnsi="宋体" w:eastAsia="仿宋_GB2312" w:cs="仿宋_GB2312"/>
                <w:color w:val="000000"/>
                <w:sz w:val="20"/>
                <w:szCs w:val="20"/>
                <w:highlight w:val="none"/>
                <w:lang w:val="zh-CN" w:eastAsia="zh-CN"/>
              </w:rPr>
              <w:t>资金</w:t>
            </w:r>
            <w:r>
              <w:rPr>
                <w:rFonts w:hint="eastAsia" w:ascii="仿宋_GB2312" w:hAnsi="宋体" w:eastAsia="仿宋_GB2312" w:cs="仿宋_GB2312"/>
                <w:color w:val="000000"/>
                <w:sz w:val="20"/>
                <w:szCs w:val="20"/>
                <w:highlight w:val="none"/>
                <w:lang w:val="zh-CN"/>
              </w:rPr>
              <w:t>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en-US"/>
              </w:rPr>
            </w:pPr>
            <w:r>
              <w:rPr>
                <w:rFonts w:hint="eastAsia" w:ascii="仿宋_GB2312" w:hAnsi="宋体" w:eastAsia="仿宋_GB2312" w:cs="仿宋_GB2312"/>
                <w:color w:val="000000"/>
                <w:sz w:val="20"/>
                <w:szCs w:val="20"/>
                <w:highlight w:val="none"/>
                <w:lang w:val="en-US" w:eastAsia="zh-CN"/>
              </w:rPr>
              <w:t>严格按照项目预算批复的范围合理使用资金，严禁出现挤占支付的情况。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lang w:val="zh-CN" w:eastAsia="zh-CN"/>
              </w:rPr>
            </w:pPr>
            <w:r>
              <w:rPr>
                <w:rFonts w:hint="eastAsia" w:ascii="仿宋_GB2312" w:hAnsi="宋体" w:eastAsia="仿宋_GB2312" w:cs="仿宋_GB2312"/>
                <w:color w:val="000000"/>
                <w:sz w:val="20"/>
                <w:szCs w:val="20"/>
                <w:highlight w:val="none"/>
                <w:lang w:val="zh-CN" w:eastAsia="zh-CN"/>
              </w:rPr>
              <w:t>（三）</w:t>
            </w:r>
            <w:r>
              <w:rPr>
                <w:rFonts w:hint="eastAsia" w:ascii="仿宋_GB2312" w:hAnsi="宋体" w:eastAsia="仿宋_GB2312" w:cs="仿宋_GB2312"/>
                <w:color w:val="000000"/>
                <w:sz w:val="20"/>
                <w:szCs w:val="20"/>
                <w:highlight w:val="none"/>
                <w:lang w:val="zh-CN"/>
              </w:rPr>
              <w:t>绩效管理方面</w:t>
            </w:r>
          </w:p>
          <w:p>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0" w:firstLineChars="0"/>
              <w:jc w:val="left"/>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lang w:val="en-US" w:eastAsia="zh-CN"/>
              </w:rPr>
              <w:t>加强部门内部相关工作人员绩效管理培训和学习，</w:t>
            </w:r>
            <w:r>
              <w:rPr>
                <w:rFonts w:hint="eastAsia" w:ascii="仿宋_GB2312" w:hAnsi="宋体" w:eastAsia="仿宋_GB2312" w:cs="仿宋_GB2312"/>
                <w:color w:val="000000"/>
                <w:sz w:val="20"/>
                <w:szCs w:val="20"/>
                <w:highlight w:val="none"/>
              </w:rPr>
              <w:t>积极推进预算绩效管理工作，深入学习财政支出绩效知识，进一步规范财政支出绩效管理。</w:t>
            </w:r>
          </w:p>
        </w:tc>
      </w:tr>
      <w:tr>
        <w:tblPrEx>
          <w:tblCellMar>
            <w:top w:w="17" w:type="dxa"/>
            <w:left w:w="17" w:type="dxa"/>
            <w:bottom w:w="17" w:type="dxa"/>
            <w:right w:w="17" w:type="dxa"/>
          </w:tblCellMar>
        </w:tblPrEx>
        <w:trPr>
          <w:trHeight w:val="90" w:hRule="atLeast"/>
        </w:trPr>
        <w:tc>
          <w:tcPr>
            <w:tcW w:w="122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评价结果</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应用建议</w:t>
            </w:r>
          </w:p>
        </w:tc>
        <w:tc>
          <w:tcPr>
            <w:tcW w:w="7761"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numPr>
                <w:ilvl w:val="-1"/>
                <w:numId w:val="0"/>
              </w:numPr>
              <w:spacing w:line="400" w:lineRule="exact"/>
              <w:ind w:firstLine="0" w:firstLineChars="0"/>
              <w:jc w:val="both"/>
              <w:textAlignment w:val="auto"/>
              <w:outlineLvl w:val="9"/>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pacing w:val="0"/>
                <w:sz w:val="20"/>
                <w:szCs w:val="20"/>
                <w:highlight w:val="none"/>
              </w:rPr>
              <w:t>建议</w:t>
            </w:r>
            <w:r>
              <w:rPr>
                <w:rFonts w:hint="eastAsia" w:ascii="仿宋_GB2312" w:hAnsi="宋体" w:eastAsia="仿宋_GB2312" w:cs="仿宋_GB2312"/>
                <w:color w:val="000000"/>
                <w:spacing w:val="0"/>
                <w:sz w:val="20"/>
                <w:szCs w:val="20"/>
                <w:highlight w:val="none"/>
                <w:lang w:val="en-US" w:eastAsia="zh-CN"/>
              </w:rPr>
              <w:t>采用零基预算，根据以后年度工作任务合理安排。</w:t>
            </w:r>
            <w:r>
              <w:rPr>
                <w:rFonts w:hint="eastAsia" w:ascii="仿宋_GB2312" w:hAnsi="宋体" w:eastAsia="仿宋_GB2312" w:cs="仿宋_GB2312"/>
                <w:color w:val="000000"/>
                <w:sz w:val="20"/>
                <w:szCs w:val="20"/>
                <w:highlight w:val="none"/>
              </w:rPr>
              <w:t>并规范预算资金使用管理，进一步强化绩效管理，充分发挥</w:t>
            </w:r>
            <w:r>
              <w:rPr>
                <w:rFonts w:hint="eastAsia" w:ascii="仿宋_GB2312" w:hAnsi="宋体" w:eastAsia="仿宋_GB2312" w:cs="仿宋_GB2312"/>
                <w:color w:val="000000"/>
                <w:sz w:val="20"/>
                <w:szCs w:val="20"/>
                <w:highlight w:val="none"/>
                <w:lang w:val="en-US" w:eastAsia="zh-CN"/>
              </w:rPr>
              <w:t>财政</w:t>
            </w:r>
            <w:r>
              <w:rPr>
                <w:rFonts w:hint="eastAsia" w:ascii="仿宋_GB2312" w:hAnsi="宋体" w:eastAsia="仿宋_GB2312" w:cs="仿宋_GB2312"/>
                <w:color w:val="000000"/>
                <w:sz w:val="20"/>
                <w:szCs w:val="20"/>
                <w:highlight w:val="none"/>
              </w:rPr>
              <w:t>资金使用效益。</w:t>
            </w:r>
          </w:p>
        </w:tc>
      </w:tr>
    </w:tbl>
    <w:tbl>
      <w:tblPr>
        <w:tblStyle w:val="18"/>
        <w:tblpPr w:leftFromText="180" w:rightFromText="180" w:vertAnchor="text" w:horzAnchor="margin" w:tblpY="1"/>
        <w:tblOverlap w:val="never"/>
        <w:tblW w:w="8983" w:type="dxa"/>
        <w:tblInd w:w="0" w:type="dxa"/>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17" w:type="dxa"/>
          <w:bottom w:w="17" w:type="dxa"/>
          <w:right w:w="17" w:type="dxa"/>
        </w:tblCellMar>
      </w:tblPr>
      <w:tblGrid>
        <w:gridCol w:w="2059"/>
        <w:gridCol w:w="2252"/>
        <w:gridCol w:w="2238"/>
        <w:gridCol w:w="2434"/>
      </w:tblGrid>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1012" w:hRule="atLeast"/>
        </w:trPr>
        <w:tc>
          <w:tcPr>
            <w:tcW w:w="2059"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评价时间</w:t>
            </w:r>
          </w:p>
        </w:tc>
        <w:tc>
          <w:tcPr>
            <w:tcW w:w="2252" w:type="dxa"/>
            <w:tcBorders>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8</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30</w:t>
            </w:r>
            <w:r>
              <w:rPr>
                <w:rFonts w:hint="eastAsia" w:ascii="仿宋_GB2312" w:hAnsi="宋体" w:eastAsia="仿宋_GB2312" w:cs="仿宋_GB2312"/>
                <w:color w:val="000000"/>
                <w:sz w:val="20"/>
                <w:szCs w:val="20"/>
                <w:highlight w:val="none"/>
              </w:rPr>
              <w:t>日—20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12</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31</w:t>
            </w:r>
            <w:r>
              <w:rPr>
                <w:rFonts w:hint="eastAsia" w:ascii="仿宋_GB2312" w:hAnsi="宋体" w:eastAsia="仿宋_GB2312" w:cs="仿宋_GB2312"/>
                <w:color w:val="000000"/>
                <w:sz w:val="20"/>
                <w:szCs w:val="20"/>
                <w:highlight w:val="none"/>
              </w:rPr>
              <w:t>日</w:t>
            </w:r>
          </w:p>
        </w:tc>
        <w:tc>
          <w:tcPr>
            <w:tcW w:w="2238"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评价机构报告编号</w:t>
            </w:r>
          </w:p>
        </w:tc>
        <w:tc>
          <w:tcPr>
            <w:tcW w:w="2434" w:type="dxa"/>
            <w:tcBorders>
              <w:tl2br w:val="nil"/>
              <w:tr2bl w:val="nil"/>
            </w:tcBorders>
            <w:noWrap w:val="0"/>
            <w:vAlign w:val="center"/>
          </w:tcPr>
          <w:p>
            <w:pPr>
              <w:widowControl/>
              <w:spacing w:line="320" w:lineRule="exact"/>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贵州黔元</w:t>
            </w:r>
          </w:p>
          <w:p>
            <w:pPr>
              <w:widowControl/>
              <w:spacing w:line="320" w:lineRule="exact"/>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绩效字〔2022〕第</w:t>
            </w:r>
            <w:r>
              <w:rPr>
                <w:rFonts w:hint="eastAsia" w:ascii="仿宋_GB2312" w:hAnsi="宋体" w:eastAsia="仿宋_GB2312" w:cs="仿宋_GB2312"/>
                <w:color w:val="000000"/>
                <w:sz w:val="20"/>
                <w:szCs w:val="20"/>
                <w:highlight w:val="none"/>
                <w:lang w:val="en-US" w:eastAsia="zh-CN"/>
              </w:rPr>
              <w:t>39</w:t>
            </w:r>
            <w:r>
              <w:rPr>
                <w:rFonts w:hint="eastAsia" w:ascii="仿宋_GB2312" w:hAnsi="宋体" w:eastAsia="仿宋_GB2312" w:cs="仿宋_GB2312"/>
                <w:color w:val="000000"/>
                <w:sz w:val="20"/>
                <w:szCs w:val="20"/>
                <w:highlight w:val="none"/>
              </w:rPr>
              <w:t>号</w:t>
            </w: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2234" w:hRule="atLeast"/>
        </w:trPr>
        <w:tc>
          <w:tcPr>
            <w:tcW w:w="2059"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lang w:eastAsia="zh-CN"/>
              </w:rPr>
              <w:t>项目主评人</w:t>
            </w:r>
            <w:r>
              <w:rPr>
                <w:rFonts w:hint="eastAsia" w:ascii="黑体" w:hAnsi="黑体" w:eastAsia="黑体" w:cs="仿宋_GB2312"/>
                <w:color w:val="000000"/>
                <w:sz w:val="20"/>
                <w:szCs w:val="20"/>
                <w:highlight w:val="none"/>
              </w:rPr>
              <w:t>（签字）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252" w:type="dxa"/>
            <w:tcBorders>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p>
          <w:p>
            <w:pPr>
              <w:pStyle w:val="24"/>
              <w:rPr>
                <w:rFonts w:ascii="仿宋_GB2312" w:hAnsi="宋体" w:eastAsia="仿宋_GB2312" w:cs="仿宋_GB2312"/>
                <w:color w:val="000000"/>
                <w:sz w:val="20"/>
                <w:szCs w:val="20"/>
                <w:highlight w:val="none"/>
              </w:rPr>
            </w:pPr>
          </w:p>
          <w:p>
            <w:pPr>
              <w:pStyle w:val="24"/>
              <w:rPr>
                <w:rFonts w:ascii="仿宋_GB2312" w:hAnsi="宋体" w:eastAsia="仿宋_GB2312" w:cs="仿宋_GB2312"/>
                <w:color w:val="000000"/>
                <w:sz w:val="20"/>
                <w:szCs w:val="20"/>
                <w:highlight w:val="none"/>
              </w:rPr>
            </w:pPr>
          </w:p>
          <w:p>
            <w:pPr>
              <w:widowControl/>
              <w:spacing w:line="320" w:lineRule="exact"/>
              <w:jc w:val="left"/>
              <w:textAlignment w:val="center"/>
              <w:rPr>
                <w:rFonts w:ascii="仿宋_GB2312" w:hAnsi="宋体" w:eastAsia="仿宋_GB2312" w:cs="仿宋_GB2312"/>
                <w:color w:val="000000"/>
                <w:sz w:val="20"/>
                <w:szCs w:val="20"/>
                <w:highlight w:val="none"/>
              </w:rPr>
            </w:pPr>
          </w:p>
          <w:p>
            <w:pPr>
              <w:widowControl/>
              <w:spacing w:line="32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宫经全：13985455127</w:t>
            </w:r>
          </w:p>
        </w:tc>
        <w:tc>
          <w:tcPr>
            <w:tcW w:w="2238"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法定代表人（签字）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434" w:type="dxa"/>
            <w:tcBorders>
              <w:tl2br w:val="nil"/>
              <w:tr2bl w:val="nil"/>
            </w:tcBorders>
            <w:noWrap w:val="0"/>
            <w:vAlign w:val="center"/>
          </w:tcPr>
          <w:p>
            <w:pPr>
              <w:widowControl/>
              <w:spacing w:line="320" w:lineRule="exact"/>
              <w:jc w:val="left"/>
              <w:textAlignment w:val="center"/>
              <w:rPr>
                <w:rFonts w:hint="eastAsia" w:ascii="仿宋_GB2312" w:hAnsi="仿宋_GB2312" w:eastAsia="仿宋_GB2312" w:cs="仿宋_GB2312"/>
                <w:sz w:val="20"/>
                <w:szCs w:val="20"/>
                <w:highlight w:val="none"/>
              </w:rPr>
            </w:pPr>
          </w:p>
          <w:p>
            <w:pPr>
              <w:pStyle w:val="24"/>
              <w:rPr>
                <w:rFonts w:hint="eastAsia" w:ascii="仿宋_GB2312" w:hAnsi="仿宋_GB2312" w:eastAsia="仿宋_GB2312" w:cs="仿宋_GB2312"/>
                <w:sz w:val="20"/>
                <w:szCs w:val="20"/>
                <w:highlight w:val="none"/>
              </w:rPr>
            </w:pPr>
          </w:p>
          <w:p>
            <w:pPr>
              <w:pStyle w:val="24"/>
              <w:rPr>
                <w:rFonts w:hint="eastAsia" w:ascii="仿宋_GB2312" w:hAnsi="仿宋_GB2312" w:eastAsia="仿宋_GB2312" w:cs="仿宋_GB2312"/>
                <w:sz w:val="20"/>
                <w:szCs w:val="20"/>
                <w:highlight w:val="none"/>
              </w:rPr>
            </w:pPr>
          </w:p>
          <w:p>
            <w:pPr>
              <w:widowControl/>
              <w:spacing w:line="320" w:lineRule="exact"/>
              <w:jc w:val="left"/>
              <w:textAlignment w:val="center"/>
              <w:rPr>
                <w:rFonts w:hint="eastAsia" w:ascii="仿宋_GB2312" w:hAnsi="仿宋_GB2312" w:eastAsia="仿宋_GB2312" w:cs="仿宋_GB2312"/>
                <w:sz w:val="20"/>
                <w:szCs w:val="20"/>
                <w:highlight w:val="none"/>
              </w:rPr>
            </w:pPr>
          </w:p>
          <w:p>
            <w:pPr>
              <w:widowControl/>
              <w:spacing w:line="320" w:lineRule="exact"/>
              <w:jc w:val="left"/>
              <w:textAlignment w:val="center"/>
              <w:rPr>
                <w:rFonts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陈万琪：</w:t>
            </w:r>
            <w:r>
              <w:rPr>
                <w:rFonts w:ascii="仿宋_GB2312" w:hAnsi="仿宋_GB2312" w:eastAsia="仿宋_GB2312" w:cs="仿宋_GB2312"/>
                <w:sz w:val="20"/>
                <w:szCs w:val="20"/>
                <w:highlight w:val="none"/>
              </w:rPr>
              <w:t>13985006396</w:t>
            </w:r>
          </w:p>
        </w:tc>
      </w:tr>
    </w:tbl>
    <w:p>
      <w:pPr>
        <w:jc w:val="center"/>
        <w:rPr>
          <w:rFonts w:hint="eastAsia" w:ascii="方正小标宋简体" w:eastAsia="方正小标宋简体"/>
          <w:sz w:val="36"/>
          <w:szCs w:val="36"/>
          <w:highlight w:val="none"/>
        </w:rPr>
      </w:pPr>
    </w:p>
    <w:p>
      <w:pPr>
        <w:jc w:val="center"/>
        <w:rPr>
          <w:rFonts w:hint="eastAsia" w:ascii="方正小标宋简体" w:eastAsia="方正小标宋简体"/>
          <w:sz w:val="36"/>
          <w:szCs w:val="36"/>
          <w:highlight w:val="none"/>
        </w:rPr>
      </w:pPr>
    </w:p>
    <w:p>
      <w:pPr>
        <w:jc w:val="center"/>
        <w:rPr>
          <w:rFonts w:hint="eastAsia" w:ascii="方正小标宋简体" w:eastAsia="方正小标宋简体"/>
          <w:sz w:val="36"/>
          <w:szCs w:val="36"/>
          <w:highlight w:val="none"/>
        </w:rPr>
      </w:pPr>
    </w:p>
    <w:p>
      <w:pPr>
        <w:jc w:val="center"/>
        <w:rPr>
          <w:rFonts w:hint="eastAsia" w:ascii="方正小标宋简体" w:eastAsia="方正小标宋简体"/>
          <w:sz w:val="36"/>
          <w:szCs w:val="36"/>
          <w:highlight w:val="none"/>
        </w:rPr>
      </w:pPr>
    </w:p>
    <w:p>
      <w:pPr>
        <w:jc w:val="center"/>
        <w:rPr>
          <w:rFonts w:hint="eastAsia" w:ascii="方正小标宋简体" w:eastAsia="方正小标宋简体"/>
          <w:sz w:val="36"/>
          <w:szCs w:val="36"/>
          <w:highlight w:val="none"/>
        </w:rPr>
      </w:pPr>
    </w:p>
    <w:p>
      <w:pPr>
        <w:jc w:val="center"/>
        <w:rPr>
          <w:rFonts w:hint="eastAsia" w:ascii="方正小标宋简体" w:eastAsia="方正小标宋简体"/>
          <w:sz w:val="36"/>
          <w:szCs w:val="36"/>
          <w:highlight w:val="none"/>
        </w:rPr>
      </w:pPr>
    </w:p>
    <w:p>
      <w:pPr>
        <w:jc w:val="center"/>
        <w:rPr>
          <w:rFonts w:hint="eastAsia" w:ascii="方正小标宋简体" w:eastAsia="方正小标宋简体"/>
          <w:sz w:val="36"/>
          <w:szCs w:val="36"/>
          <w:highlight w:val="none"/>
        </w:rPr>
      </w:pPr>
    </w:p>
    <w:p>
      <w:pPr>
        <w:pStyle w:val="2"/>
        <w:rPr>
          <w:rFonts w:hint="eastAsia" w:ascii="方正小标宋简体" w:eastAsia="方正小标宋简体"/>
          <w:sz w:val="36"/>
          <w:szCs w:val="36"/>
          <w:highlight w:val="none"/>
        </w:rPr>
      </w:pPr>
    </w:p>
    <w:p>
      <w:pPr>
        <w:pStyle w:val="2"/>
        <w:rPr>
          <w:rFonts w:hint="eastAsia" w:ascii="方正小标宋简体" w:eastAsia="方正小标宋简体"/>
          <w:sz w:val="36"/>
          <w:szCs w:val="36"/>
          <w:highlight w:val="none"/>
        </w:rPr>
      </w:pPr>
    </w:p>
    <w:p>
      <w:pPr>
        <w:pStyle w:val="2"/>
        <w:ind w:left="0" w:leftChars="0" w:firstLine="0" w:firstLineChars="0"/>
        <w:rPr>
          <w:rFonts w:hint="eastAsia" w:ascii="方正小标宋简体" w:eastAsia="方正小标宋简体"/>
          <w:sz w:val="36"/>
          <w:szCs w:val="36"/>
          <w:highlight w:val="none"/>
        </w:rPr>
      </w:pPr>
    </w:p>
    <w:p>
      <w:pPr>
        <w:jc w:val="center"/>
        <w:rPr>
          <w:rFonts w:hint="eastAsia" w:ascii="方正小标宋简体" w:eastAsia="方正小标宋简体"/>
          <w:sz w:val="36"/>
          <w:szCs w:val="36"/>
          <w:highlight w:val="none"/>
        </w:rPr>
      </w:pPr>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spacing w:val="6"/>
          <w:highlight w:val="none"/>
        </w:rPr>
      </w:pPr>
      <w:bookmarkStart w:id="0" w:name="_Toc24329"/>
      <w:bookmarkStart w:id="1" w:name="_Toc22300"/>
      <w:bookmarkStart w:id="2" w:name="_Toc16295"/>
      <w:bookmarkStart w:id="3" w:name="_Toc12545"/>
      <w:bookmarkStart w:id="4" w:name="_Toc12766"/>
      <w:bookmarkStart w:id="5" w:name="_Toc29412"/>
      <w:bookmarkStart w:id="6" w:name="_Toc25748"/>
      <w:bookmarkStart w:id="7" w:name="_Toc6906"/>
      <w:bookmarkStart w:id="8" w:name="_Toc30498"/>
      <w:bookmarkStart w:id="9" w:name="_Toc31236"/>
      <w:bookmarkStart w:id="10" w:name="_Toc15159"/>
      <w:bookmarkStart w:id="11" w:name="_Toc5363"/>
      <w:bookmarkStart w:id="12" w:name="_Toc6327"/>
      <w:bookmarkStart w:id="13" w:name="_Toc28719"/>
      <w:bookmarkStart w:id="14" w:name="_Toc6110"/>
      <w:bookmarkStart w:id="15" w:name="_Toc17009"/>
      <w:bookmarkStart w:id="16" w:name="_Toc30744"/>
      <w:bookmarkStart w:id="17" w:name="_Toc25305"/>
      <w:bookmarkStart w:id="18" w:name="_Toc19299"/>
      <w:bookmarkStart w:id="19" w:name="_Toc1193"/>
      <w:bookmarkStart w:id="20" w:name="_Toc12079"/>
      <w:bookmarkStart w:id="21" w:name="_Toc28980"/>
      <w:bookmarkStart w:id="22" w:name="_Toc14205"/>
      <w:bookmarkStart w:id="23" w:name="_Toc2662"/>
      <w:bookmarkStart w:id="24" w:name="_Toc14860"/>
      <w:bookmarkStart w:id="25" w:name="_Toc15338"/>
      <w:bookmarkStart w:id="26" w:name="_Toc8051"/>
      <w:bookmarkStart w:id="27" w:name="_Toc1391"/>
      <w:bookmarkStart w:id="28" w:name="_Toc23747"/>
      <w:bookmarkStart w:id="29" w:name="_Toc9684"/>
      <w:bookmarkStart w:id="30" w:name="_Toc30987"/>
      <w:bookmarkStart w:id="31" w:name="_Toc12290"/>
      <w:bookmarkStart w:id="32" w:name="_Toc11919"/>
      <w:bookmarkStart w:id="33" w:name="_Toc30388"/>
      <w:r>
        <w:rPr>
          <w:rFonts w:hint="eastAsia"/>
          <w:spacing w:val="6"/>
          <w:highlight w:val="none"/>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eastAsia" w:hAnsi="仿宋" w:eastAsia="楷体_GB2312"/>
          <w:spacing w:val="6"/>
          <w:szCs w:val="32"/>
          <w:highlight w:val="none"/>
          <w:lang w:val="en-US" w:eastAsia="zh-CN"/>
        </w:rPr>
      </w:pPr>
      <w:bookmarkStart w:id="34" w:name="_Toc286"/>
      <w:bookmarkStart w:id="35" w:name="_Toc27289"/>
      <w:bookmarkStart w:id="36" w:name="_Toc9213"/>
      <w:bookmarkStart w:id="37" w:name="_Toc11765"/>
      <w:bookmarkStart w:id="38" w:name="_Toc32693"/>
      <w:bookmarkStart w:id="39" w:name="_Toc4534"/>
      <w:bookmarkStart w:id="40" w:name="_Toc12188"/>
      <w:bookmarkStart w:id="41" w:name="_Toc17123"/>
      <w:bookmarkStart w:id="42" w:name="_Toc12643"/>
      <w:bookmarkStart w:id="43" w:name="_Toc12975"/>
      <w:bookmarkStart w:id="44" w:name="_Toc2255"/>
      <w:bookmarkStart w:id="45" w:name="_Toc28210"/>
      <w:bookmarkStart w:id="46" w:name="_Toc8811"/>
      <w:bookmarkStart w:id="47" w:name="_Toc24129"/>
      <w:bookmarkStart w:id="48" w:name="_Toc28486"/>
      <w:bookmarkStart w:id="49" w:name="_Toc27860"/>
      <w:bookmarkStart w:id="50" w:name="_Toc5632"/>
      <w:bookmarkStart w:id="51" w:name="_Toc16625"/>
      <w:bookmarkStart w:id="52" w:name="_Toc29893"/>
      <w:bookmarkStart w:id="53" w:name="_Toc13002"/>
      <w:bookmarkStart w:id="54" w:name="_Toc12996"/>
      <w:bookmarkStart w:id="55" w:name="_Toc8687"/>
      <w:bookmarkStart w:id="56" w:name="_Toc31337"/>
      <w:bookmarkStart w:id="57" w:name="_Toc20737"/>
      <w:bookmarkStart w:id="58" w:name="_Toc22895"/>
      <w:bookmarkStart w:id="59" w:name="_Toc15957"/>
      <w:bookmarkStart w:id="60" w:name="_Toc21550"/>
      <w:bookmarkStart w:id="61" w:name="_Toc29321"/>
      <w:bookmarkStart w:id="62" w:name="_Toc383"/>
      <w:bookmarkStart w:id="63" w:name="_Toc19009"/>
      <w:bookmarkStart w:id="64" w:name="_Toc6363"/>
      <w:bookmarkStart w:id="65" w:name="_Toc21755"/>
      <w:bookmarkStart w:id="66" w:name="_Toc13580"/>
      <w:bookmarkStart w:id="67" w:name="_Toc8727"/>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（一）</w:t>
      </w:r>
      <w:r>
        <w:rPr>
          <w:rFonts w:hAnsi="仿宋"/>
          <w:spacing w:val="6"/>
          <w:szCs w:val="32"/>
          <w:highlight w:val="none"/>
          <w:lang w:val="zh-CN"/>
        </w:rPr>
        <w:fldChar w:fldCharType="end"/>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hint="eastAsia" w:hAnsi="仿宋"/>
          <w:spacing w:val="6"/>
          <w:szCs w:val="32"/>
          <w:highlight w:val="none"/>
          <w:lang w:val="en-US" w:eastAsia="zh-CN"/>
        </w:rPr>
        <w:t>项目概况</w:t>
      </w:r>
      <w:bookmarkEnd w:id="59"/>
      <w:bookmarkEnd w:id="60"/>
      <w:bookmarkEnd w:id="61"/>
      <w:bookmarkEnd w:id="62"/>
      <w:bookmarkEnd w:id="63"/>
      <w:bookmarkEnd w:id="64"/>
      <w:bookmarkEnd w:id="65"/>
      <w:bookmarkEnd w:id="66"/>
      <w:bookmarkEnd w:id="67"/>
    </w:p>
    <w:p>
      <w:pPr>
        <w:keepNext w:val="0"/>
        <w:keepLines w:val="0"/>
        <w:pageBreakBefore w:val="0"/>
        <w:widowControl w:val="0"/>
        <w:kinsoku/>
        <w:wordWrap/>
        <w:overflowPunct/>
        <w:topLinePunct w:val="0"/>
        <w:autoSpaceDE/>
        <w:autoSpaceDN/>
        <w:bidi w:val="0"/>
        <w:adjustRightInd/>
        <w:snapToGrid/>
        <w:ind w:firstLine="664" w:firstLineChars="200"/>
        <w:textAlignment w:val="auto"/>
        <w:outlineLvl w:val="9"/>
        <w:rPr>
          <w:rFonts w:hint="default"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lang w:val="zh-CN"/>
        </w:rPr>
        <w:t>．</w:t>
      </w:r>
      <w:r>
        <w:rPr>
          <w:rFonts w:hint="eastAsia" w:ascii="仿宋_GB2312" w:hAnsi="仿宋_GB2312" w:eastAsia="仿宋_GB2312" w:cs="仿宋_GB2312"/>
          <w:spacing w:val="6"/>
          <w:sz w:val="32"/>
          <w:szCs w:val="32"/>
          <w:highlight w:val="none"/>
          <w:lang w:val="en-US" w:eastAsia="zh-CN"/>
        </w:rPr>
        <w:t>项目背景</w:t>
      </w:r>
    </w:p>
    <w:p>
      <w:pPr>
        <w:widowControl w:val="0"/>
        <w:spacing w:line="590" w:lineRule="exact"/>
        <w:ind w:firstLine="640"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z w:val="32"/>
          <w:szCs w:val="32"/>
          <w:lang w:val="en-US" w:eastAsia="zh-CN"/>
        </w:rPr>
        <w:t>2021年1月18，</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市指挥部办公室下发的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2021年贵阳市依法严厉打击违法建设行为专项整治行动工作目标的通知》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筑违建整指办通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号）要求，</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保障</w:t>
      </w:r>
      <w:r>
        <w:rPr>
          <w:rFonts w:hint="eastAsia" w:ascii="仿宋_GB2312" w:hAnsi="仿宋_GB2312" w:eastAsia="仿宋_GB2312" w:cs="仿宋_GB2312"/>
          <w:sz w:val="32"/>
          <w:szCs w:val="32"/>
          <w:lang w:val="en-US" w:eastAsia="zh-CN"/>
        </w:rPr>
        <w:t>贵阳</w:t>
      </w:r>
      <w:r>
        <w:rPr>
          <w:rFonts w:hint="eastAsia" w:ascii="仿宋_GB2312" w:hAnsi="仿宋_GB2312" w:eastAsia="仿宋_GB2312" w:cs="仿宋_GB2312"/>
          <w:sz w:val="32"/>
          <w:szCs w:val="32"/>
        </w:rPr>
        <w:t>市生态文明城市建设，依法严厉打击各类违法建设行为，狠刹</w:t>
      </w:r>
      <w:r>
        <w:rPr>
          <w:rFonts w:hint="eastAsia" w:ascii="仿宋_GB2312" w:hAnsi="仿宋_GB2312" w:eastAsia="仿宋_GB2312" w:cs="仿宋_GB2312"/>
          <w:sz w:val="32"/>
          <w:szCs w:val="32"/>
          <w:lang w:val="en-US" w:eastAsia="zh-CN"/>
        </w:rPr>
        <w:t>贵阳</w:t>
      </w:r>
      <w:r>
        <w:rPr>
          <w:rFonts w:hint="eastAsia" w:ascii="仿宋_GB2312" w:hAnsi="仿宋_GB2312" w:eastAsia="仿宋_GB2312" w:cs="仿宋_GB2312"/>
          <w:sz w:val="32"/>
          <w:szCs w:val="32"/>
        </w:rPr>
        <w:t>市违法</w:t>
      </w:r>
      <w:r>
        <w:rPr>
          <w:rFonts w:hint="eastAsia" w:ascii="仿宋_GB2312" w:hAnsi="仿宋_GB2312" w:eastAsia="仿宋_GB2312" w:cs="仿宋_GB2312"/>
          <w:sz w:val="32"/>
          <w:szCs w:val="32"/>
          <w:lang w:val="en-US" w:eastAsia="zh-CN"/>
        </w:rPr>
        <w:t>建</w:t>
      </w:r>
      <w:r>
        <w:rPr>
          <w:rFonts w:hint="eastAsia" w:ascii="仿宋_GB2312" w:hAnsi="仿宋_GB2312" w:eastAsia="仿宋_GB2312" w:cs="仿宋_GB2312"/>
          <w:sz w:val="32"/>
          <w:szCs w:val="32"/>
        </w:rPr>
        <w:t>设之风。按照市委、市政府关于打击违法建设控拆违工作“力度不减、标准不降”的总体要求，各区（市、县）、经开区按照全市控拆违工作的总体安排部署，紧紧围绕经济发展和生态建设两条主线，强力开展控违拆违工作。</w:t>
      </w:r>
    </w:p>
    <w:p>
      <w:pPr>
        <w:widowControl w:val="0"/>
        <w:spacing w:line="590" w:lineRule="exact"/>
        <w:ind w:firstLine="664" w:firstLineChars="200"/>
        <w:jc w:val="both"/>
        <w:rPr>
          <w:rFonts w:hint="default"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2</w:t>
      </w:r>
      <w:r>
        <w:rPr>
          <w:rFonts w:hint="eastAsia" w:ascii="仿宋_GB2312" w:hAnsi="仿宋_GB2312" w:eastAsia="仿宋_GB2312" w:cs="仿宋_GB2312"/>
          <w:spacing w:val="6"/>
          <w:sz w:val="32"/>
          <w:szCs w:val="32"/>
          <w:highlight w:val="none"/>
          <w:lang w:val="zh-CN"/>
        </w:rPr>
        <w:t>．</w:t>
      </w:r>
      <w:r>
        <w:rPr>
          <w:rFonts w:hint="eastAsia" w:ascii="仿宋_GB2312" w:hAnsi="仿宋_GB2312" w:eastAsia="仿宋_GB2312" w:cs="仿宋_GB2312"/>
          <w:spacing w:val="6"/>
          <w:sz w:val="32"/>
          <w:szCs w:val="32"/>
          <w:highlight w:val="none"/>
          <w:lang w:val="en-US" w:eastAsia="zh-CN"/>
        </w:rPr>
        <w:t>主要内容及实施情况</w:t>
      </w:r>
    </w:p>
    <w:p>
      <w:pPr>
        <w:widowControl w:val="0"/>
        <w:spacing w:line="590" w:lineRule="exact"/>
        <w:ind w:firstLine="664"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pacing w:val="6"/>
          <w:sz w:val="32"/>
          <w:szCs w:val="32"/>
          <w:highlight w:val="none"/>
        </w:rPr>
        <w:t>2021年，按照市委、市政府关于打击违法建设控拆违工作“力度不减、标准不降”的总体要求，在2020年控拆工作目标全面超额完成的基础上，依据目前各区（市、县）、经开区违法建设行为存量及管控实际情况，2021年确保</w:t>
      </w:r>
      <w:r>
        <w:rPr>
          <w:rFonts w:hint="eastAsia" w:ascii="仿宋_GB2312" w:hAnsi="仿宋_GB2312" w:eastAsia="仿宋_GB2312" w:cs="仿宋_GB2312"/>
          <w:spacing w:val="6"/>
          <w:sz w:val="32"/>
          <w:szCs w:val="32"/>
          <w:highlight w:val="none"/>
          <w:lang w:val="en-US" w:eastAsia="zh-CN"/>
        </w:rPr>
        <w:t>云岩区</w:t>
      </w:r>
      <w:r>
        <w:rPr>
          <w:rFonts w:hint="eastAsia" w:ascii="仿宋_GB2312" w:hAnsi="仿宋_GB2312" w:eastAsia="仿宋_GB2312" w:cs="仿宋_GB2312"/>
          <w:spacing w:val="6"/>
          <w:sz w:val="32"/>
          <w:szCs w:val="32"/>
          <w:highlight w:val="none"/>
        </w:rPr>
        <w:t>拆除违法建筑面积30万平方米；新增违法违章建筑案件总数量不</w:t>
      </w:r>
      <w:r>
        <w:rPr>
          <w:rFonts w:hint="eastAsia" w:ascii="仿宋_GB2312" w:hAnsi="仿宋_GB2312" w:eastAsia="仿宋_GB2312" w:cs="仿宋_GB2312"/>
          <w:spacing w:val="6"/>
          <w:sz w:val="32"/>
          <w:szCs w:val="32"/>
          <w:highlight w:val="none"/>
          <w:lang w:val="en-US" w:eastAsia="zh-CN"/>
        </w:rPr>
        <w:t>超过</w:t>
      </w:r>
      <w:r>
        <w:rPr>
          <w:rFonts w:hint="eastAsia" w:ascii="仿宋_GB2312" w:hAnsi="仿宋_GB2312" w:eastAsia="仿宋_GB2312" w:cs="仿宋_GB2312"/>
          <w:spacing w:val="6"/>
          <w:sz w:val="32"/>
          <w:szCs w:val="32"/>
          <w:highlight w:val="none"/>
        </w:rPr>
        <w:t>50起；</w:t>
      </w:r>
      <w:r>
        <w:rPr>
          <w:rFonts w:hint="eastAsia" w:ascii="仿宋_GB2312" w:hAnsi="仿宋_GB2312" w:eastAsia="仿宋_GB2312" w:cs="仿宋_GB2312"/>
          <w:spacing w:val="6"/>
          <w:sz w:val="32"/>
          <w:szCs w:val="32"/>
          <w:highlight w:val="none"/>
          <w:lang w:val="en-US" w:eastAsia="zh-CN"/>
        </w:rPr>
        <w:t>截止2021年12月31日，本项目已完成上级目标任务。</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3．项目资金概况</w:t>
      </w:r>
    </w:p>
    <w:p>
      <w:pPr>
        <w:widowControl w:val="0"/>
        <w:spacing w:line="590" w:lineRule="exact"/>
        <w:ind w:firstLine="640" w:firstLineChars="200"/>
        <w:jc w:val="both"/>
        <w:rPr>
          <w:rFonts w:hint="default" w:ascii="仿宋_GB2312" w:hAnsi="仿宋_GB2312" w:eastAsia="仿宋_GB2312" w:cs="仿宋_GB2312"/>
          <w:sz w:val="32"/>
          <w:szCs w:val="32"/>
          <w:highlight w:val="none"/>
          <w:lang w:val="en-US" w:eastAsia="zh-CN"/>
        </w:rPr>
      </w:pPr>
      <w:bookmarkStart w:id="68" w:name="_Toc28875"/>
      <w:bookmarkStart w:id="69" w:name="_Toc21623"/>
      <w:bookmarkStart w:id="70" w:name="_Toc12077"/>
      <w:bookmarkStart w:id="71" w:name="_Toc12683"/>
      <w:r>
        <w:rPr>
          <w:rFonts w:hint="eastAsia" w:ascii="仿宋_GB2312" w:hAnsi="仿宋_GB2312" w:eastAsia="仿宋_GB2312" w:cs="仿宋_GB2312"/>
          <w:sz w:val="32"/>
          <w:szCs w:val="32"/>
          <w:highlight w:val="none"/>
          <w:lang w:val="en-US" w:eastAsia="zh-CN"/>
        </w:rPr>
        <w:t>（1）项目资金预算及到位情况</w:t>
      </w:r>
    </w:p>
    <w:p>
      <w:pPr>
        <w:widowControl w:val="0"/>
        <w:spacing w:line="590" w:lineRule="exact"/>
        <w:ind w:firstLine="640" w:firstLineChars="200"/>
        <w:jc w:val="both"/>
        <w:rPr>
          <w:rFonts w:hint="eastAsia" w:ascii="仿宋_GB2312" w:hAnsi="仿宋_GB2312" w:eastAsia="仿宋_GB2312" w:cs="仿宋_GB2312"/>
          <w:sz w:val="32"/>
          <w:szCs w:val="32"/>
          <w:highlight w:val="green"/>
          <w:lang w:val="en-US" w:eastAsia="zh-CN"/>
        </w:rPr>
      </w:pPr>
      <w:r>
        <w:rPr>
          <w:rFonts w:hint="eastAsia" w:ascii="仿宋_GB2312" w:hAnsi="仿宋_GB2312" w:eastAsia="仿宋_GB2312" w:cs="仿宋_GB2312"/>
          <w:sz w:val="32"/>
          <w:szCs w:val="32"/>
          <w:lang w:val="en-US" w:eastAsia="zh-CN"/>
        </w:rPr>
        <w:t>根据区财政局《关于下达2021年财政预算指标的通知》（云财字〔2021〕2号）文件，</w:t>
      </w:r>
      <w:r>
        <w:rPr>
          <w:rFonts w:hint="eastAsia" w:ascii="仿宋_GB2312" w:hAnsi="仿宋_GB2312" w:eastAsia="仿宋_GB2312" w:cs="仿宋_GB2312"/>
          <w:spacing w:val="6"/>
          <w:sz w:val="32"/>
          <w:szCs w:val="32"/>
          <w:lang w:val="en-US" w:eastAsia="zh-CN"/>
        </w:rPr>
        <w:t>区综合执法大队</w:t>
      </w:r>
      <w:r>
        <w:rPr>
          <w:rFonts w:hint="eastAsia" w:ascii="仿宋_GB2312" w:hAnsi="仿宋_GB2312" w:eastAsia="仿宋_GB2312" w:cs="仿宋_GB2312"/>
          <w:spacing w:val="6"/>
          <w:sz w:val="32"/>
          <w:szCs w:val="32"/>
        </w:rPr>
        <w:t>20</w:t>
      </w:r>
      <w:r>
        <w:rPr>
          <w:rFonts w:hint="eastAsia" w:ascii="仿宋_GB2312" w:hAnsi="仿宋_GB2312" w:eastAsia="仿宋_GB2312" w:cs="仿宋_GB2312"/>
          <w:spacing w:val="6"/>
          <w:sz w:val="32"/>
          <w:szCs w:val="32"/>
          <w:lang w:val="en-US" w:eastAsia="zh-CN"/>
        </w:rPr>
        <w:t>21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违法建筑拆除项目</w:t>
      </w:r>
      <w:r>
        <w:rPr>
          <w:rFonts w:hint="eastAsia" w:ascii="仿宋_GB2312" w:hAnsi="仿宋_GB2312" w:eastAsia="仿宋_GB2312" w:cs="仿宋_GB2312"/>
          <w:sz w:val="32"/>
          <w:szCs w:val="32"/>
          <w:highlight w:val="none"/>
          <w:lang w:val="en-US" w:eastAsia="zh-CN"/>
        </w:rPr>
        <w:t>预算为431万元。预算指标已全额下达。</w:t>
      </w:r>
    </w:p>
    <w:p>
      <w:pPr>
        <w:widowControl w:val="0"/>
        <w:spacing w:line="59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（2）项目资金使用及结余情况</w:t>
      </w:r>
    </w:p>
    <w:p>
      <w:pPr>
        <w:widowControl w:val="0"/>
        <w:spacing w:line="59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2021年本项目预算资金为431万元，实际使用项目资金431万元，无结转结余。</w:t>
      </w:r>
      <w:bookmarkStart w:id="72" w:name="_Toc14706"/>
      <w:bookmarkStart w:id="73" w:name="_Toc22724"/>
      <w:bookmarkStart w:id="74" w:name="_Toc18218"/>
      <w:bookmarkStart w:id="75" w:name="_Toc6292"/>
      <w:bookmarkStart w:id="76" w:name="_Toc23751"/>
      <w:bookmarkStart w:id="77" w:name="_Toc30573"/>
      <w:bookmarkStart w:id="78" w:name="_Toc7768"/>
      <w:bookmarkStart w:id="79" w:name="_Toc12227"/>
      <w:bookmarkStart w:id="80" w:name="_Toc20306"/>
      <w:bookmarkStart w:id="81" w:name="_Toc30638"/>
      <w:bookmarkStart w:id="82" w:name="_Toc29235"/>
      <w:bookmarkStart w:id="83" w:name="_Toc22093"/>
      <w:bookmarkStart w:id="84" w:name="_Toc30360"/>
      <w:bookmarkStart w:id="85" w:name="_Toc13986"/>
      <w:bookmarkStart w:id="86" w:name="_Toc3639"/>
      <w:bookmarkStart w:id="87" w:name="_Toc31686"/>
      <w:bookmarkStart w:id="88" w:name="_Toc5300"/>
      <w:bookmarkStart w:id="89" w:name="_Toc22749"/>
      <w:bookmarkStart w:id="90" w:name="_Toc32675"/>
      <w:bookmarkStart w:id="91" w:name="_Toc3459"/>
      <w:bookmarkStart w:id="92" w:name="_Toc23233"/>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default" w:hAnsi="仿宋"/>
          <w:spacing w:val="6"/>
          <w:szCs w:val="32"/>
          <w:highlight w:val="none"/>
        </w:rPr>
      </w:pPr>
      <w:bookmarkStart w:id="93" w:name="_Toc18360"/>
      <w:bookmarkStart w:id="94" w:name="_Toc5204"/>
      <w:bookmarkStart w:id="95" w:name="_Toc19480"/>
      <w:bookmarkStart w:id="96" w:name="_Toc8567"/>
      <w:bookmarkStart w:id="97" w:name="_Toc11968"/>
      <w:bookmarkStart w:id="98" w:name="_Toc27751"/>
      <w:bookmarkStart w:id="99" w:name="_Toc28076"/>
      <w:bookmarkStart w:id="100" w:name="_Toc31234"/>
      <w:bookmarkStart w:id="101" w:name="_Toc23844"/>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w:t>
      </w:r>
      <w:r>
        <w:rPr>
          <w:rFonts w:hint="eastAsia" w:hAnsi="仿宋"/>
          <w:spacing w:val="6"/>
          <w:szCs w:val="32"/>
          <w:highlight w:val="none"/>
          <w:lang w:val="en-US" w:eastAsia="zh-CN"/>
        </w:rPr>
        <w:t>二</w:t>
      </w:r>
      <w:r>
        <w:rPr>
          <w:rFonts w:hAnsi="仿宋"/>
          <w:spacing w:val="6"/>
          <w:szCs w:val="32"/>
          <w:highlight w:val="none"/>
          <w:lang w:val="zh-CN"/>
        </w:rPr>
        <w:t>）</w:t>
      </w:r>
      <w:r>
        <w:rPr>
          <w:rFonts w:hAnsi="仿宋"/>
          <w:spacing w:val="6"/>
          <w:szCs w:val="32"/>
          <w:highlight w:val="none"/>
          <w:lang w:val="zh-CN"/>
        </w:rPr>
        <w:fldChar w:fldCharType="end"/>
      </w:r>
      <w:r>
        <w:rPr>
          <w:rFonts w:hint="eastAsia" w:hAnsi="仿宋"/>
          <w:spacing w:val="6"/>
          <w:szCs w:val="32"/>
          <w:highlight w:val="none"/>
          <w:lang w:val="en-US" w:eastAsia="zh-CN"/>
        </w:rPr>
        <w:t>项目支出绩效目标及指标设立情况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rPr>
        <w:t>我们在与</w:t>
      </w:r>
      <w:r>
        <w:rPr>
          <w:rFonts w:hint="eastAsia" w:ascii="仿宋_GB2312" w:hAnsi="仿宋_GB2312" w:eastAsia="仿宋_GB2312" w:cs="仿宋_GB2312"/>
          <w:spacing w:val="6"/>
          <w:sz w:val="32"/>
          <w:szCs w:val="32"/>
          <w:lang w:val="en-US" w:eastAsia="zh-CN"/>
        </w:rPr>
        <w:t>区综合执法大队</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业务处室充分沟通的基础上，根据</w:t>
      </w:r>
      <w:r>
        <w:rPr>
          <w:rFonts w:hint="eastAsia" w:ascii="仿宋_GB2312" w:hAnsi="仿宋_GB2312" w:eastAsia="仿宋_GB2312" w:cs="仿宋_GB2312"/>
          <w:spacing w:val="6"/>
          <w:sz w:val="32"/>
          <w:szCs w:val="32"/>
          <w:lang w:val="en-US" w:eastAsia="zh-CN"/>
        </w:rPr>
        <w:t>区综合执法大队</w:t>
      </w:r>
      <w:r>
        <w:rPr>
          <w:rFonts w:hint="eastAsia" w:ascii="仿宋_GB2312" w:hAnsi="仿宋_GB2312" w:eastAsia="仿宋_GB2312" w:cs="仿宋_GB2312"/>
          <w:spacing w:val="6"/>
          <w:sz w:val="32"/>
          <w:szCs w:val="32"/>
        </w:rPr>
        <w:t>提供的项目绩效目标表</w:t>
      </w:r>
      <w:r>
        <w:rPr>
          <w:rFonts w:hint="eastAsia" w:ascii="仿宋_GB2312" w:hAnsi="仿宋_GB2312" w:eastAsia="仿宋_GB2312" w:cs="仿宋_GB2312"/>
          <w:spacing w:val="6"/>
          <w:sz w:val="32"/>
          <w:szCs w:val="32"/>
          <w:lang w:eastAsia="zh-CN"/>
        </w:rPr>
        <w:t>以及</w:t>
      </w:r>
      <w:r>
        <w:rPr>
          <w:rFonts w:hint="eastAsia" w:ascii="仿宋_GB2312" w:hAnsi="仿宋_GB2312" w:eastAsia="仿宋_GB2312" w:cs="仿宋_GB2312"/>
          <w:spacing w:val="6"/>
          <w:kern w:val="0"/>
          <w:sz w:val="32"/>
          <w:szCs w:val="32"/>
          <w:lang w:val="en-US" w:eastAsia="zh-CN"/>
        </w:rPr>
        <w:t>上级部门下发相关文件</w:t>
      </w:r>
      <w:r>
        <w:rPr>
          <w:rFonts w:hint="eastAsia" w:ascii="仿宋_GB2312" w:hAnsi="仿宋_GB2312" w:eastAsia="仿宋_GB2312" w:cs="仿宋_GB2312"/>
          <w:spacing w:val="6"/>
          <w:sz w:val="32"/>
          <w:szCs w:val="32"/>
        </w:rPr>
        <w:t>等资料结合项目实际情况对项目绩效目标和绩效指标进行再次梳理。再次梳理的绩效目标</w:t>
      </w:r>
      <w:r>
        <w:rPr>
          <w:rFonts w:hint="eastAsia" w:ascii="仿宋_GB2312" w:hAnsi="仿宋_GB2312" w:eastAsia="仿宋_GB2312" w:cs="仿宋_GB2312"/>
          <w:spacing w:val="6"/>
          <w:sz w:val="32"/>
          <w:szCs w:val="32"/>
          <w:lang w:val="en-US" w:eastAsia="zh-CN"/>
        </w:rPr>
        <w:t>如下：</w:t>
      </w:r>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绩效目标</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b w:val="0"/>
          <w:bCs w:val="0"/>
          <w:spacing w:val="6"/>
          <w:sz w:val="32"/>
          <w:szCs w:val="32"/>
          <w:highlight w:val="none"/>
          <w:lang w:val="en-US" w:eastAsia="zh-CN"/>
        </w:rPr>
      </w:pPr>
      <w:r>
        <w:rPr>
          <w:rFonts w:hint="eastAsia" w:ascii="仿宋_GB2312" w:hAnsi="仿宋_GB2312" w:eastAsia="仿宋_GB2312" w:cs="仿宋_GB2312"/>
          <w:b w:val="0"/>
          <w:bCs w:val="0"/>
          <w:spacing w:val="6"/>
          <w:sz w:val="32"/>
          <w:szCs w:val="32"/>
          <w:highlight w:val="none"/>
          <w:lang w:val="en-US" w:eastAsia="zh-CN"/>
        </w:rPr>
        <w:t>目标1：完成项目当年违法建筑计划拆除面积30万㎡。</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b w:val="0"/>
          <w:bCs w:val="0"/>
          <w:spacing w:val="6"/>
          <w:sz w:val="32"/>
          <w:szCs w:val="32"/>
          <w:highlight w:val="none"/>
          <w:lang w:val="en-US" w:eastAsia="zh-CN"/>
        </w:rPr>
      </w:pPr>
      <w:r>
        <w:rPr>
          <w:rFonts w:hint="eastAsia" w:ascii="仿宋_GB2312" w:hAnsi="仿宋_GB2312" w:eastAsia="仿宋_GB2312" w:cs="仿宋_GB2312"/>
          <w:b w:val="0"/>
          <w:bCs w:val="0"/>
          <w:spacing w:val="6"/>
          <w:sz w:val="32"/>
          <w:szCs w:val="32"/>
          <w:highlight w:val="none"/>
          <w:lang w:val="en-US" w:eastAsia="zh-CN"/>
        </w:rPr>
        <w:t>目标2：开展大数据管控违法建筑工作；开展城区屋顶违法建筑专项整治行动；并配合区督办督查部门组织开展全区控拆违工作的目标考核工作。</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b w:val="0"/>
          <w:bCs w:val="0"/>
          <w:spacing w:val="6"/>
          <w:sz w:val="32"/>
          <w:szCs w:val="32"/>
          <w:highlight w:val="none"/>
          <w:lang w:val="en-US" w:eastAsia="zh-CN"/>
        </w:rPr>
      </w:pPr>
      <w:r>
        <w:rPr>
          <w:rFonts w:hint="eastAsia" w:ascii="仿宋_GB2312" w:hAnsi="仿宋_GB2312" w:eastAsia="仿宋_GB2312" w:cs="仿宋_GB2312"/>
          <w:b w:val="0"/>
          <w:bCs w:val="0"/>
          <w:spacing w:val="6"/>
          <w:sz w:val="32"/>
          <w:szCs w:val="32"/>
          <w:highlight w:val="none"/>
          <w:lang w:val="en-US" w:eastAsia="zh-CN"/>
        </w:rPr>
        <w:t>目标3：“严格控制增量，逐步消化存量”的工作总思路，新增违法建筑户数控制在50起管控范围内。</w:t>
      </w:r>
    </w:p>
    <w:p>
      <w:pPr>
        <w:spacing w:line="590" w:lineRule="exact"/>
        <w:ind w:firstLine="664" w:firstLineChars="200"/>
        <w:rPr>
          <w:rFonts w:hint="eastAsia" w:ascii="仿宋_GB2312" w:hAnsi="仿宋_GB2312" w:eastAsia="仿宋_GB2312" w:cs="仿宋_GB2312"/>
          <w:b w:val="0"/>
          <w:bCs w:val="0"/>
          <w:spacing w:val="6"/>
          <w:sz w:val="32"/>
          <w:szCs w:val="32"/>
          <w:highlight w:val="none"/>
          <w:lang w:val="en-US" w:eastAsia="zh-CN"/>
        </w:rPr>
      </w:pPr>
      <w:r>
        <w:rPr>
          <w:rFonts w:hint="eastAsia" w:ascii="仿宋_GB2312" w:hAnsi="仿宋_GB2312" w:eastAsia="仿宋_GB2312" w:cs="仿宋_GB2312"/>
          <w:b w:val="0"/>
          <w:bCs w:val="0"/>
          <w:spacing w:val="6"/>
          <w:sz w:val="32"/>
          <w:szCs w:val="32"/>
          <w:highlight w:val="none"/>
          <w:lang w:val="en-US" w:eastAsia="zh-CN"/>
        </w:rPr>
        <w:t>目标4：通过拆除违法建筑，建筑质量和消防安全隐患减少，项目实施提高居民生命和财产安全。</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绩效指标</w:t>
      </w:r>
    </w:p>
    <w:p>
      <w:pPr>
        <w:widowControl w:val="0"/>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设置了产出数量、产出质量、产出成本、社会效益、可持续影响、满意度等指标，绩效目标细化分解后的绩效指标情况详见附件</w:t>
      </w:r>
      <w:r>
        <w:rPr>
          <w:rFonts w:hint="eastAsia" w:ascii="仿宋_GB2312" w:hAnsi="仿宋_GB2312" w:eastAsia="仿宋_GB2312" w:cs="仿宋_GB2312"/>
          <w:spacing w:val="6"/>
          <w:sz w:val="32"/>
          <w:szCs w:val="32"/>
          <w:highlight w:val="none"/>
          <w:lang w:val="en-US" w:eastAsia="zh-CN"/>
        </w:rPr>
        <w:t>。</w:t>
      </w:r>
    </w:p>
    <w:p>
      <w:pPr>
        <w:pStyle w:val="4"/>
        <w:ind w:left="0" w:leftChars="0" w:firstLine="664" w:firstLineChars="200"/>
        <w:rPr>
          <w:rFonts w:hint="eastAsia" w:eastAsia="黑体"/>
          <w:spacing w:val="6"/>
          <w:highlight w:val="none"/>
          <w:lang w:val="en-US" w:eastAsia="zh-CN"/>
        </w:rPr>
      </w:pPr>
      <w:bookmarkStart w:id="102" w:name="_Toc24126"/>
      <w:bookmarkStart w:id="103" w:name="_Toc25973"/>
      <w:bookmarkStart w:id="104" w:name="_Toc7504"/>
      <w:bookmarkStart w:id="105" w:name="_Toc9242"/>
      <w:bookmarkStart w:id="106" w:name="_Toc8780"/>
      <w:bookmarkStart w:id="107" w:name="_Toc21902"/>
      <w:bookmarkStart w:id="108" w:name="_Toc15311"/>
      <w:bookmarkStart w:id="109" w:name="_Toc3187"/>
      <w:bookmarkStart w:id="110" w:name="_Toc14"/>
      <w:bookmarkStart w:id="111" w:name="_Toc28023"/>
      <w:bookmarkStart w:id="112" w:name="_Toc22200"/>
      <w:bookmarkStart w:id="113" w:name="_Toc12994"/>
      <w:bookmarkStart w:id="114" w:name="_Toc15898"/>
      <w:bookmarkStart w:id="115" w:name="_Toc26716"/>
      <w:bookmarkStart w:id="116" w:name="_Toc28707"/>
      <w:bookmarkStart w:id="117" w:name="_Toc8630"/>
      <w:bookmarkStart w:id="118" w:name="_Toc14372"/>
      <w:bookmarkStart w:id="119" w:name="_Toc27816"/>
      <w:bookmarkStart w:id="120" w:name="_Toc10633"/>
      <w:bookmarkStart w:id="121" w:name="_Toc14131"/>
      <w:bookmarkStart w:id="122" w:name="_Toc1279"/>
      <w:bookmarkStart w:id="123" w:name="_Toc7982"/>
      <w:bookmarkStart w:id="124" w:name="_Toc17451"/>
      <w:bookmarkStart w:id="125" w:name="_Toc12654"/>
      <w:bookmarkStart w:id="126" w:name="_Toc1312"/>
      <w:bookmarkStart w:id="127" w:name="_Toc8665"/>
      <w:bookmarkStart w:id="128" w:name="_Toc14235"/>
      <w:bookmarkStart w:id="129" w:name="_Toc11796"/>
      <w:bookmarkStart w:id="130" w:name="_Toc19137"/>
      <w:bookmarkStart w:id="131" w:name="_Toc8335"/>
      <w:bookmarkStart w:id="132" w:name="_Toc16234"/>
      <w:bookmarkStart w:id="133" w:name="_Toc14722"/>
      <w:bookmarkStart w:id="134" w:name="_Toc14823"/>
      <w:bookmarkStart w:id="135" w:name="_Toc8600"/>
      <w:r>
        <w:rPr>
          <w:rFonts w:hint="eastAsia"/>
          <w:spacing w:val="6"/>
          <w:highlight w:val="none"/>
        </w:rPr>
        <w:t>二、</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Start w:id="136" w:name="_Toc13542"/>
      <w:bookmarkStart w:id="137" w:name="_Toc12124"/>
      <w:bookmarkStart w:id="138" w:name="_Toc20694"/>
      <w:bookmarkStart w:id="139" w:name="_Toc4904"/>
      <w:bookmarkStart w:id="140" w:name="_Toc5673"/>
      <w:bookmarkStart w:id="141" w:name="_Toc27999"/>
      <w:bookmarkStart w:id="142" w:name="_Toc17944"/>
      <w:bookmarkStart w:id="143" w:name="_Toc17924"/>
      <w:bookmarkStart w:id="144" w:name="_Toc14529"/>
      <w:bookmarkStart w:id="145" w:name="_Toc10098"/>
      <w:bookmarkStart w:id="146" w:name="_Toc14693"/>
      <w:bookmarkStart w:id="147" w:name="_Toc19828361"/>
      <w:bookmarkStart w:id="148" w:name="_Toc32259"/>
      <w:bookmarkStart w:id="149" w:name="_Toc7459"/>
      <w:bookmarkStart w:id="150" w:name="_Toc20950"/>
      <w:bookmarkStart w:id="151" w:name="_Toc28947"/>
      <w:bookmarkStart w:id="152" w:name="_Toc2521"/>
      <w:bookmarkStart w:id="153" w:name="_Toc27671"/>
      <w:bookmarkStart w:id="154" w:name="_Toc32102"/>
      <w:bookmarkStart w:id="155" w:name="_Toc30386"/>
      <w:bookmarkStart w:id="156" w:name="_Toc3552"/>
      <w:bookmarkStart w:id="157" w:name="_Toc13344"/>
      <w:bookmarkStart w:id="158" w:name="_Toc24688"/>
      <w:bookmarkStart w:id="159" w:name="_Toc152"/>
      <w:bookmarkStart w:id="160" w:name="_Toc2216"/>
      <w:bookmarkStart w:id="161" w:name="_Toc19173"/>
      <w:bookmarkStart w:id="162" w:name="_Toc7912"/>
      <w:bookmarkStart w:id="163" w:name="_Toc15001"/>
      <w:bookmarkStart w:id="164" w:name="_Toc20454"/>
      <w:bookmarkStart w:id="165" w:name="_Toc10405"/>
      <w:bookmarkStart w:id="166" w:name="_Toc25340"/>
      <w:bookmarkStart w:id="167" w:name="_Toc16521"/>
      <w:bookmarkStart w:id="168" w:name="_Toc8734"/>
      <w:bookmarkStart w:id="169" w:name="_Toc31810"/>
      <w:bookmarkStart w:id="170" w:name="_Toc6387"/>
      <w:r>
        <w:rPr>
          <w:rFonts w:hint="eastAsia"/>
          <w:spacing w:val="6"/>
          <w:highlight w:val="none"/>
          <w:lang w:eastAsia="zh-CN"/>
        </w:rPr>
        <w:t>绩效评价</w:t>
      </w:r>
      <w:r>
        <w:rPr>
          <w:rFonts w:hint="eastAsia"/>
          <w:spacing w:val="6"/>
          <w:highlight w:val="none"/>
          <w:lang w:val="en-US" w:eastAsia="zh-CN"/>
        </w:rPr>
        <w:t>综合评价情况及评价结论</w:t>
      </w:r>
      <w:bookmarkEnd w:id="136"/>
      <w:bookmarkEnd w:id="137"/>
      <w:bookmarkEnd w:id="138"/>
      <w:bookmarkEnd w:id="139"/>
      <w:bookmarkEnd w:id="140"/>
      <w:bookmarkEnd w:id="141"/>
      <w:bookmarkEnd w:id="142"/>
      <w:bookmarkEnd w:id="143"/>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default" w:hAnsi="Times New Roman"/>
          <w:spacing w:val="6"/>
          <w:szCs w:val="32"/>
          <w:highlight w:val="none"/>
        </w:rPr>
      </w:pPr>
      <w:bookmarkStart w:id="171" w:name="_Toc15304"/>
      <w:bookmarkStart w:id="172" w:name="_Toc21629"/>
      <w:bookmarkStart w:id="173" w:name="_Toc9647"/>
      <w:bookmarkStart w:id="174" w:name="_Toc19100"/>
      <w:bookmarkStart w:id="175" w:name="_Toc27758"/>
      <w:bookmarkStart w:id="176" w:name="_Toc15067"/>
      <w:bookmarkStart w:id="177" w:name="_Toc5614"/>
      <w:bookmarkStart w:id="178" w:name="_Toc17262"/>
      <w:bookmarkStart w:id="179" w:name="_Toc21081"/>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Times New Roman"/>
          <w:spacing w:val="6"/>
          <w:szCs w:val="32"/>
          <w:highlight w:val="none"/>
          <w:lang w:val="zh-CN"/>
        </w:rPr>
        <w:t>（</w:t>
      </w:r>
      <w:r>
        <w:rPr>
          <w:rFonts w:hint="eastAsia" w:hAnsi="Times New Roman"/>
          <w:spacing w:val="6"/>
          <w:szCs w:val="32"/>
          <w:highlight w:val="none"/>
          <w:lang w:val="en-US" w:eastAsia="zh-CN"/>
        </w:rPr>
        <w:t>一</w:t>
      </w:r>
      <w:r>
        <w:rPr>
          <w:rFonts w:hAnsi="Times New Roman"/>
          <w:spacing w:val="6"/>
          <w:szCs w:val="32"/>
          <w:highlight w:val="none"/>
          <w:lang w:val="zh-CN"/>
        </w:rPr>
        <w:t>）</w:t>
      </w:r>
      <w:r>
        <w:rPr>
          <w:rFonts w:hint="eastAsia" w:hAnsi="Times New Roman"/>
          <w:spacing w:val="6"/>
          <w:szCs w:val="32"/>
          <w:highlight w:val="none"/>
          <w:lang w:val="en-US" w:eastAsia="zh-CN"/>
        </w:rPr>
        <w:t>绩效评价综合结论</w:t>
      </w:r>
      <w:r>
        <w:rPr>
          <w:rFonts w:hAnsi="Times New Roman"/>
          <w:spacing w:val="6"/>
          <w:szCs w:val="32"/>
          <w:highlight w:val="none"/>
          <w:lang w:val="zh-CN"/>
        </w:rPr>
        <w:fldChar w:fldCharType="end"/>
      </w:r>
      <w:bookmarkEnd w:id="171"/>
      <w:bookmarkEnd w:id="172"/>
      <w:bookmarkEnd w:id="173"/>
      <w:bookmarkEnd w:id="174"/>
      <w:bookmarkEnd w:id="175"/>
      <w:bookmarkEnd w:id="176"/>
      <w:bookmarkEnd w:id="177"/>
      <w:bookmarkEnd w:id="178"/>
      <w:bookmarkEnd w:id="179"/>
    </w:p>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Pr>
        <w:widowControl w:val="0"/>
        <w:spacing w:after="0" w:afterLines="0" w:line="590" w:lineRule="exact"/>
        <w:ind w:firstLine="664" w:firstLineChars="200"/>
        <w:jc w:val="both"/>
        <w:rPr>
          <w:rFonts w:hint="eastAsia" w:ascii="仿宋_GB2312" w:hAnsi="Times New Roman" w:eastAsia="仿宋_GB2312" w:cs="Times New Roman"/>
          <w:spacing w:val="6"/>
          <w:sz w:val="32"/>
          <w:szCs w:val="32"/>
          <w:highlight w:val="none"/>
          <w:lang w:eastAsia="zh-CN"/>
        </w:rPr>
      </w:pPr>
      <w:bookmarkStart w:id="180" w:name="_Hlk49420951"/>
      <w:r>
        <w:rPr>
          <w:rFonts w:hint="eastAsia" w:ascii="仿宋_GB2312" w:hAnsi="仿宋_GB2312" w:eastAsia="仿宋_GB2312" w:cs="仿宋_GB2312"/>
          <w:spacing w:val="6"/>
          <w:sz w:val="32"/>
          <w:szCs w:val="32"/>
        </w:rPr>
        <w:t>本项目</w:t>
      </w:r>
      <w:r>
        <w:rPr>
          <w:rFonts w:hint="eastAsia" w:ascii="仿宋_GB2312" w:hAnsi="仿宋_GB2312" w:eastAsia="仿宋_GB2312" w:cs="仿宋_GB2312"/>
          <w:spacing w:val="6"/>
          <w:sz w:val="32"/>
          <w:szCs w:val="32"/>
          <w:lang w:val="en-US" w:eastAsia="zh-CN"/>
        </w:rPr>
        <w:t>的</w:t>
      </w:r>
      <w:r>
        <w:rPr>
          <w:rFonts w:hint="eastAsia" w:ascii="仿宋_GB2312" w:hAnsi="仿宋_GB2312" w:eastAsia="仿宋_GB2312" w:cs="仿宋_GB2312"/>
          <w:spacing w:val="6"/>
          <w:sz w:val="32"/>
          <w:szCs w:val="32"/>
        </w:rPr>
        <w:t>实施为保障</w:t>
      </w:r>
      <w:r>
        <w:rPr>
          <w:rFonts w:hint="eastAsia" w:ascii="仿宋_GB2312" w:hAnsi="仿宋_GB2312" w:eastAsia="仿宋_GB2312" w:cs="仿宋_GB2312"/>
          <w:spacing w:val="6"/>
          <w:sz w:val="32"/>
          <w:szCs w:val="32"/>
          <w:lang w:val="en-US" w:eastAsia="zh-CN"/>
        </w:rPr>
        <w:t>贵阳</w:t>
      </w:r>
      <w:r>
        <w:rPr>
          <w:rFonts w:hint="eastAsia" w:ascii="仿宋_GB2312" w:hAnsi="仿宋_GB2312" w:eastAsia="仿宋_GB2312" w:cs="仿宋_GB2312"/>
          <w:spacing w:val="6"/>
          <w:sz w:val="32"/>
          <w:szCs w:val="32"/>
        </w:rPr>
        <w:t>市生态文明城市建设，依法严厉打击各类违法建设行为，狠刹</w:t>
      </w:r>
      <w:r>
        <w:rPr>
          <w:rFonts w:hint="eastAsia" w:ascii="仿宋_GB2312" w:hAnsi="仿宋_GB2312" w:eastAsia="仿宋_GB2312" w:cs="仿宋_GB2312"/>
          <w:spacing w:val="6"/>
          <w:sz w:val="32"/>
          <w:szCs w:val="32"/>
          <w:lang w:val="en-US" w:eastAsia="zh-CN"/>
        </w:rPr>
        <w:t>贵阳</w:t>
      </w:r>
      <w:r>
        <w:rPr>
          <w:rFonts w:hint="eastAsia" w:ascii="仿宋_GB2312" w:hAnsi="仿宋_GB2312" w:eastAsia="仿宋_GB2312" w:cs="仿宋_GB2312"/>
          <w:spacing w:val="6"/>
          <w:sz w:val="32"/>
          <w:szCs w:val="32"/>
        </w:rPr>
        <w:t>市违法建设之风。以控增量、减存量、保项目、促发展的工作思路，</w:t>
      </w:r>
      <w:r>
        <w:rPr>
          <w:rFonts w:hint="eastAsia" w:ascii="仿宋" w:eastAsia="仿宋" w:hAnsiTheme="minorHAnsi" w:cstheme="minorBidi"/>
          <w:sz w:val="32"/>
          <w:szCs w:val="32"/>
        </w:rPr>
        <w:t>围绕经济发展和生态建设两条主线，强力开展控违拆违工作。</w:t>
      </w:r>
      <w:r>
        <w:rPr>
          <w:rFonts w:hint="eastAsia" w:ascii="仿宋_GB2312" w:hAnsi="仿宋_GB2312" w:eastAsia="仿宋_GB2312" w:cs="仿宋_GB2312"/>
          <w:spacing w:val="6"/>
          <w:sz w:val="32"/>
          <w:szCs w:val="32"/>
        </w:rPr>
        <w:t>项目实施效果得到了群众普遍认可，取得了较高的满意度。</w:t>
      </w:r>
      <w:r>
        <w:rPr>
          <w:rFonts w:hint="eastAsia" w:ascii="仿宋_GB2312" w:hAnsi="仿宋_GB2312" w:eastAsia="仿宋_GB2312" w:cs="仿宋_GB2312"/>
          <w:spacing w:val="6"/>
          <w:sz w:val="32"/>
          <w:szCs w:val="32"/>
          <w:lang w:val="en-US" w:eastAsia="zh-CN"/>
        </w:rPr>
        <w:t>但在实施</w:t>
      </w:r>
      <w:r>
        <w:rPr>
          <w:rFonts w:hint="eastAsia" w:ascii="仿宋_GB2312" w:hAnsi="仿宋_GB2312" w:eastAsia="仿宋_GB2312" w:cs="仿宋_GB2312"/>
          <w:spacing w:val="6"/>
          <w:sz w:val="32"/>
          <w:szCs w:val="32"/>
        </w:rPr>
        <w:t>本</w:t>
      </w:r>
      <w:r>
        <w:rPr>
          <w:rFonts w:hint="eastAsia" w:ascii="仿宋_GB2312" w:hAnsi="仿宋_GB2312" w:eastAsia="仿宋_GB2312" w:cs="仿宋_GB2312"/>
          <w:spacing w:val="6"/>
          <w:sz w:val="32"/>
          <w:szCs w:val="32"/>
          <w:lang w:val="en-US" w:eastAsia="zh-CN"/>
        </w:rPr>
        <w:t>过程中仍</w:t>
      </w:r>
      <w:r>
        <w:rPr>
          <w:rFonts w:hint="eastAsia" w:ascii="仿宋_GB2312" w:hAnsi="仿宋_GB2312" w:eastAsia="仿宋_GB2312" w:cs="仿宋_GB2312"/>
          <w:spacing w:val="6"/>
          <w:sz w:val="32"/>
          <w:szCs w:val="32"/>
        </w:rPr>
        <w:t>存在</w:t>
      </w:r>
      <w:r>
        <w:rPr>
          <w:rFonts w:hint="eastAsia" w:ascii="仿宋_GB2312" w:hAnsi="仿宋_GB2312" w:eastAsia="仿宋_GB2312" w:cs="仿宋_GB2312"/>
          <w:spacing w:val="6"/>
          <w:sz w:val="32"/>
          <w:szCs w:val="32"/>
          <w:lang w:val="en-US" w:eastAsia="zh-CN"/>
        </w:rPr>
        <w:t>一些不足之处，如：绩效指标</w:t>
      </w:r>
      <w:r>
        <w:rPr>
          <w:rFonts w:hint="default" w:ascii="仿宋_GB2312" w:hAnsi="仿宋_GB2312" w:eastAsia="仿宋_GB2312" w:cs="仿宋_GB2312"/>
          <w:spacing w:val="6"/>
          <w:sz w:val="32"/>
          <w:szCs w:val="32"/>
          <w:lang w:val="en-US" w:eastAsia="zh-CN"/>
        </w:rPr>
        <w:t>未通过清晰、可衡量的指标值予以体现</w:t>
      </w:r>
      <w:r>
        <w:rPr>
          <w:rFonts w:hint="eastAsia" w:ascii="仿宋_GB2312" w:hAnsi="仿宋_GB2312" w:eastAsia="仿宋_GB2312" w:cs="仿宋_GB2312"/>
          <w:spacing w:val="6"/>
          <w:sz w:val="32"/>
          <w:szCs w:val="32"/>
          <w:lang w:val="en-US" w:eastAsia="zh-CN"/>
        </w:rPr>
        <w:t>；</w:t>
      </w:r>
      <w:r>
        <w:rPr>
          <w:rFonts w:hint="default" w:ascii="仿宋_GB2312" w:hAnsi="仿宋_GB2312" w:eastAsia="仿宋_GB2312" w:cs="仿宋_GB2312"/>
          <w:spacing w:val="6"/>
          <w:sz w:val="32"/>
          <w:szCs w:val="32"/>
          <w:lang w:val="en-US" w:eastAsia="zh-CN"/>
        </w:rPr>
        <w:t>预算编制未经过科学论证</w:t>
      </w:r>
      <w:r>
        <w:rPr>
          <w:rFonts w:hint="eastAsia" w:ascii="仿宋_GB2312" w:hAnsi="仿宋_GB2312" w:eastAsia="仿宋_GB2312" w:cs="仿宋_GB2312"/>
          <w:spacing w:val="6"/>
          <w:sz w:val="32"/>
          <w:szCs w:val="32"/>
          <w:lang w:val="en-US" w:eastAsia="zh-CN"/>
        </w:rPr>
        <w:t>；</w:t>
      </w:r>
      <w:r>
        <w:rPr>
          <w:rFonts w:hint="default" w:ascii="仿宋_GB2312" w:hAnsi="仿宋_GB2312" w:eastAsia="仿宋_GB2312" w:cs="仿宋_GB2312"/>
          <w:spacing w:val="6"/>
          <w:sz w:val="32"/>
          <w:szCs w:val="32"/>
          <w:lang w:val="en-US" w:eastAsia="zh-CN"/>
        </w:rPr>
        <w:t>预算额度测算依据不充分</w:t>
      </w:r>
      <w:r>
        <w:rPr>
          <w:rFonts w:hint="eastAsia" w:ascii="仿宋_GB2312" w:hAnsi="仿宋_GB2312" w:eastAsia="仿宋_GB2312" w:cs="仿宋_GB2312"/>
          <w:spacing w:val="6"/>
          <w:sz w:val="32"/>
          <w:szCs w:val="32"/>
          <w:lang w:val="en-US" w:eastAsia="zh-CN"/>
        </w:rPr>
        <w:t>；</w:t>
      </w:r>
      <w:r>
        <w:rPr>
          <w:rFonts w:hint="default" w:ascii="仿宋_GB2312" w:hAnsi="仿宋_GB2312" w:eastAsia="仿宋_GB2312" w:cs="仿宋_GB2312"/>
          <w:spacing w:val="6"/>
          <w:sz w:val="32"/>
          <w:szCs w:val="32"/>
          <w:lang w:val="en-US" w:eastAsia="zh-CN"/>
        </w:rPr>
        <w:t>预算确定的项目投资额或资金量与工作任务不相匹配</w:t>
      </w:r>
      <w:r>
        <w:rPr>
          <w:rFonts w:hint="eastAsia" w:ascii="仿宋_GB2312" w:hAnsi="仿宋_GB2312" w:eastAsia="仿宋_GB2312" w:cs="仿宋_GB2312"/>
          <w:spacing w:val="6"/>
          <w:sz w:val="32"/>
          <w:szCs w:val="32"/>
          <w:lang w:val="en-US" w:eastAsia="zh-CN"/>
        </w:rPr>
        <w:t>；</w:t>
      </w:r>
      <w:r>
        <w:rPr>
          <w:rFonts w:hint="default" w:ascii="仿宋_GB2312" w:hAnsi="仿宋_GB2312" w:eastAsia="仿宋_GB2312" w:cs="仿宋_GB2312"/>
          <w:spacing w:val="6"/>
          <w:sz w:val="32"/>
          <w:szCs w:val="32"/>
          <w:lang w:val="en-US" w:eastAsia="zh-CN"/>
        </w:rPr>
        <w:t>存在挤占预算资金的情况</w:t>
      </w:r>
      <w:r>
        <w:rPr>
          <w:rFonts w:hint="eastAsia" w:ascii="仿宋_GB2312" w:hAnsi="仿宋_GB2312" w:eastAsia="仿宋_GB2312" w:cs="仿宋_GB2312"/>
          <w:spacing w:val="6"/>
          <w:sz w:val="32"/>
          <w:szCs w:val="32"/>
          <w:lang w:val="en-US" w:eastAsia="zh-CN"/>
        </w:rPr>
        <w:t>；实际支出金额超过预算控制范围。</w:t>
      </w:r>
    </w:p>
    <w:p>
      <w:pPr>
        <w:widowControl w:val="0"/>
        <w:spacing w:after="0" w:afterLines="0" w:line="590" w:lineRule="exact"/>
        <w:ind w:firstLine="640"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z w:val="32"/>
          <w:szCs w:val="32"/>
        </w:rPr>
        <w:t>经综合评定</w:t>
      </w:r>
      <w:r>
        <w:rPr>
          <w:rFonts w:hint="eastAsia" w:ascii="仿宋_GB2312" w:hAnsi="仿宋_GB2312" w:eastAsia="仿宋_GB2312" w:cs="仿宋_GB2312"/>
          <w:spacing w:val="6"/>
          <w:sz w:val="32"/>
          <w:szCs w:val="32"/>
          <w:lang w:val="zh-CN"/>
        </w:rPr>
        <w:t>，绩效评价得分为：</w:t>
      </w:r>
      <w:r>
        <w:rPr>
          <w:rFonts w:hint="eastAsia" w:ascii="仿宋_GB2312" w:hAnsi="仿宋_GB2312" w:eastAsia="仿宋_GB2312" w:cs="仿宋_GB2312"/>
          <w:spacing w:val="6"/>
          <w:sz w:val="32"/>
          <w:szCs w:val="32"/>
          <w:highlight w:val="none"/>
          <w:lang w:val="en-US" w:eastAsia="zh-CN"/>
        </w:rPr>
        <w:t>91.13</w:t>
      </w:r>
      <w:r>
        <w:rPr>
          <w:rFonts w:hint="eastAsia" w:ascii="仿宋_GB2312" w:hAnsi="仿宋_GB2312" w:eastAsia="仿宋_GB2312" w:cs="仿宋_GB2312"/>
          <w:spacing w:val="6"/>
          <w:sz w:val="32"/>
          <w:szCs w:val="32"/>
          <w:highlight w:val="none"/>
          <w:lang w:val="zh-CN"/>
        </w:rPr>
        <w:t>分，评定等级为：</w:t>
      </w:r>
      <w:r>
        <w:rPr>
          <w:rFonts w:hint="eastAsia" w:ascii="仿宋_GB2312" w:hAnsi="仿宋_GB2312" w:eastAsia="仿宋_GB2312" w:cs="仿宋_GB2312"/>
          <w:spacing w:val="6"/>
          <w:sz w:val="32"/>
          <w:szCs w:val="32"/>
          <w:highlight w:val="none"/>
          <w:lang w:val="en-US" w:eastAsia="zh-CN"/>
        </w:rPr>
        <w:t>优</w:t>
      </w:r>
      <w:r>
        <w:rPr>
          <w:rFonts w:hint="eastAsia" w:ascii="仿宋_GB2312" w:hAnsi="仿宋_GB2312" w:eastAsia="仿宋_GB2312" w:cs="仿宋_GB2312"/>
          <w:spacing w:val="6"/>
          <w:sz w:val="32"/>
          <w:szCs w:val="32"/>
          <w:highlight w:val="none"/>
          <w:lang w:val="zh-CN"/>
        </w:rPr>
        <w:t>。评价得分汇总情况详见下表：</w:t>
      </w:r>
    </w:p>
    <w:tbl>
      <w:tblPr>
        <w:tblStyle w:val="18"/>
        <w:tblW w:w="4998" w:type="pct"/>
        <w:jc w:val="center"/>
        <w:tblLayout w:type="autofit"/>
        <w:tblCellMar>
          <w:top w:w="0" w:type="dxa"/>
          <w:left w:w="108" w:type="dxa"/>
          <w:bottom w:w="0" w:type="dxa"/>
          <w:right w:w="108" w:type="dxa"/>
        </w:tblCellMar>
      </w:tblPr>
      <w:tblGrid>
        <w:gridCol w:w="1295"/>
        <w:gridCol w:w="2147"/>
        <w:gridCol w:w="1910"/>
        <w:gridCol w:w="1910"/>
        <w:gridCol w:w="1908"/>
      </w:tblGrid>
      <w:tr>
        <w:tblPrEx>
          <w:tblCellMar>
            <w:top w:w="0" w:type="dxa"/>
            <w:left w:w="108" w:type="dxa"/>
            <w:bottom w:w="0" w:type="dxa"/>
            <w:right w:w="108" w:type="dxa"/>
          </w:tblCellMar>
        </w:tblPrEx>
        <w:trPr>
          <w:trHeight w:val="738" w:hRule="exact"/>
          <w:tblHeader/>
          <w:jc w:val="center"/>
        </w:trPr>
        <w:tc>
          <w:tcPr>
            <w:tcW w:w="706"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序号</w:t>
            </w:r>
          </w:p>
        </w:tc>
        <w:tc>
          <w:tcPr>
            <w:tcW w:w="1169"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一级指标</w:t>
            </w:r>
          </w:p>
        </w:tc>
        <w:tc>
          <w:tcPr>
            <w:tcW w:w="1041"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 xml:space="preserve"> </w:t>
            </w:r>
            <w:r>
              <w:rPr>
                <w:rFonts w:hint="eastAsia" w:ascii="仿宋_GB2312" w:hAnsi="仿宋_GB2312" w:eastAsia="仿宋_GB2312" w:cs="仿宋_GB2312"/>
                <w:b/>
                <w:bCs/>
                <w:sz w:val="28"/>
                <w:szCs w:val="28"/>
                <w:highlight w:val="none"/>
                <w:lang w:val="en-US" w:eastAsia="zh-CN"/>
              </w:rPr>
              <w:t>指标分值</w:t>
            </w:r>
            <w:r>
              <w:rPr>
                <w:rFonts w:hint="eastAsia" w:ascii="仿宋_GB2312" w:hAnsi="仿宋_GB2312" w:eastAsia="仿宋_GB2312" w:cs="仿宋_GB2312"/>
                <w:b/>
                <w:bCs/>
                <w:sz w:val="28"/>
                <w:szCs w:val="28"/>
                <w:highlight w:val="none"/>
              </w:rPr>
              <w:t xml:space="preserve"> </w:t>
            </w:r>
          </w:p>
        </w:tc>
        <w:tc>
          <w:tcPr>
            <w:tcW w:w="1041"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 xml:space="preserve"> 得分 </w:t>
            </w:r>
          </w:p>
        </w:tc>
        <w:tc>
          <w:tcPr>
            <w:tcW w:w="1040"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得分率</w:t>
            </w:r>
          </w:p>
        </w:tc>
      </w:tr>
      <w:tr>
        <w:tblPrEx>
          <w:tblCellMar>
            <w:top w:w="0" w:type="dxa"/>
            <w:left w:w="108" w:type="dxa"/>
            <w:bottom w:w="0" w:type="dxa"/>
            <w:right w:w="108" w:type="dxa"/>
          </w:tblCellMar>
        </w:tblPrEx>
        <w:trPr>
          <w:trHeight w:val="599" w:hRule="exact"/>
          <w:jc w:val="center"/>
        </w:trPr>
        <w:tc>
          <w:tcPr>
            <w:tcW w:w="706"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w:t>
            </w:r>
          </w:p>
        </w:tc>
        <w:tc>
          <w:tcPr>
            <w:tcW w:w="1169"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决</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策</w:t>
            </w:r>
          </w:p>
        </w:tc>
        <w:tc>
          <w:tcPr>
            <w:tcW w:w="1041"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default" w:ascii="仿宋_GB2312" w:hAnsi="仿宋_GB2312" w:eastAsia="仿宋_GB2312" w:cs="仿宋_GB2312"/>
                <w:sz w:val="28"/>
                <w:szCs w:val="28"/>
                <w:highlight w:val="none"/>
                <w:lang w:val="en-US" w:bidi="ar"/>
              </w:rPr>
            </w:pPr>
            <w:r>
              <w:rPr>
                <w:rFonts w:hint="eastAsia" w:ascii="仿宋_GB2312" w:hAnsi="仿宋_GB2312" w:eastAsia="仿宋_GB2312" w:cs="仿宋_GB2312"/>
                <w:i w:val="0"/>
                <w:iCs w:val="0"/>
                <w:color w:val="000000"/>
                <w:kern w:val="0"/>
                <w:sz w:val="28"/>
                <w:szCs w:val="28"/>
                <w:u w:val="none"/>
                <w:lang w:val="en-US" w:eastAsia="zh-CN" w:bidi="ar"/>
              </w:rPr>
              <w:t>16.00</w:t>
            </w:r>
          </w:p>
        </w:tc>
        <w:tc>
          <w:tcPr>
            <w:tcW w:w="1041" w:type="pct"/>
            <w:tcBorders>
              <w:top w:val="single" w:color="auto" w:sz="4" w:space="0"/>
              <w:left w:val="single" w:color="auto" w:sz="4" w:space="0"/>
              <w:bottom w:val="single" w:color="auto" w:sz="4" w:space="0"/>
              <w:right w:val="single" w:color="auto" w:sz="4" w:space="0"/>
            </w:tcBorders>
            <w:noWrap/>
            <w:vAlign w:val="center"/>
          </w:tcPr>
          <w:p>
            <w:pPr>
              <w:jc w:val="right"/>
              <w:textAlignment w:val="center"/>
              <w:rPr>
                <w:rFonts w:hint="eastAsia" w:ascii="仿宋_GB2312" w:hAnsi="仿宋_GB2312" w:eastAsia="仿宋_GB2312" w:cs="仿宋_GB2312"/>
                <w:sz w:val="28"/>
                <w:szCs w:val="28"/>
                <w:highlight w:val="none"/>
                <w:lang w:bidi="ar"/>
              </w:rPr>
            </w:pPr>
            <w:r>
              <w:rPr>
                <w:rFonts w:hint="eastAsia" w:ascii="仿宋_GB2312" w:hAnsi="仿宋_GB2312" w:eastAsia="仿宋_GB2312" w:cs="仿宋_GB2312"/>
                <w:sz w:val="28"/>
                <w:szCs w:val="28"/>
                <w:highlight w:val="none"/>
                <w:lang w:val="en-US" w:eastAsia="zh-CN" w:bidi="ar"/>
              </w:rPr>
              <w:t>12.00</w:t>
            </w:r>
          </w:p>
        </w:tc>
        <w:tc>
          <w:tcPr>
            <w:tcW w:w="1040"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2"/>
                <w:sz w:val="28"/>
                <w:szCs w:val="28"/>
                <w:u w:val="none"/>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75.00%</w:t>
            </w:r>
          </w:p>
        </w:tc>
      </w:tr>
      <w:tr>
        <w:tblPrEx>
          <w:tblCellMar>
            <w:top w:w="0" w:type="dxa"/>
            <w:left w:w="108" w:type="dxa"/>
            <w:bottom w:w="0" w:type="dxa"/>
            <w:right w:w="108" w:type="dxa"/>
          </w:tblCellMar>
        </w:tblPrEx>
        <w:trPr>
          <w:trHeight w:val="598" w:hRule="exact"/>
          <w:jc w:val="center"/>
        </w:trPr>
        <w:tc>
          <w:tcPr>
            <w:tcW w:w="706"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w:t>
            </w:r>
          </w:p>
        </w:tc>
        <w:tc>
          <w:tcPr>
            <w:tcW w:w="1169"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过</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程</w:t>
            </w:r>
          </w:p>
        </w:tc>
        <w:tc>
          <w:tcPr>
            <w:tcW w:w="1041"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default" w:ascii="仿宋_GB2312" w:hAnsi="仿宋_GB2312" w:eastAsia="仿宋_GB2312" w:cs="仿宋_GB2312"/>
                <w:sz w:val="28"/>
                <w:szCs w:val="28"/>
                <w:highlight w:val="none"/>
                <w:lang w:val="en-US"/>
              </w:rPr>
            </w:pPr>
            <w:r>
              <w:rPr>
                <w:rFonts w:hint="eastAsia" w:ascii="仿宋_GB2312" w:hAnsi="仿宋_GB2312" w:eastAsia="仿宋_GB2312" w:cs="仿宋_GB2312"/>
                <w:i w:val="0"/>
                <w:iCs w:val="0"/>
                <w:color w:val="000000"/>
                <w:kern w:val="0"/>
                <w:sz w:val="28"/>
                <w:szCs w:val="28"/>
                <w:u w:val="none"/>
                <w:lang w:val="en-US" w:eastAsia="zh-CN" w:bidi="ar"/>
              </w:rPr>
              <w:t>19.00</w:t>
            </w:r>
          </w:p>
        </w:tc>
        <w:tc>
          <w:tcPr>
            <w:tcW w:w="1041" w:type="pct"/>
            <w:tcBorders>
              <w:top w:val="single" w:color="auto" w:sz="4" w:space="0"/>
              <w:left w:val="single" w:color="auto" w:sz="4" w:space="0"/>
              <w:bottom w:val="single" w:color="auto" w:sz="4" w:space="0"/>
              <w:right w:val="single" w:color="auto" w:sz="4" w:space="0"/>
            </w:tcBorders>
            <w:noWrap/>
            <w:vAlign w:val="center"/>
          </w:tcPr>
          <w:p>
            <w:pPr>
              <w:jc w:val="right"/>
              <w:textAlignment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bidi="ar"/>
              </w:rPr>
              <w:t>18.00</w:t>
            </w:r>
          </w:p>
        </w:tc>
        <w:tc>
          <w:tcPr>
            <w:tcW w:w="1040"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i w:val="0"/>
                <w:iCs w:val="0"/>
                <w:color w:val="000000"/>
                <w:kern w:val="0"/>
                <w:sz w:val="28"/>
                <w:szCs w:val="28"/>
                <w:u w:val="none"/>
                <w:lang w:val="en-US" w:eastAsia="zh-CN" w:bidi="ar"/>
              </w:rPr>
              <w:t>94.74%</w:t>
            </w:r>
          </w:p>
        </w:tc>
      </w:tr>
      <w:tr>
        <w:tblPrEx>
          <w:tblCellMar>
            <w:top w:w="0" w:type="dxa"/>
            <w:left w:w="108" w:type="dxa"/>
            <w:bottom w:w="0" w:type="dxa"/>
            <w:right w:w="108" w:type="dxa"/>
          </w:tblCellMar>
        </w:tblPrEx>
        <w:trPr>
          <w:trHeight w:val="572" w:hRule="exact"/>
          <w:jc w:val="center"/>
        </w:trPr>
        <w:tc>
          <w:tcPr>
            <w:tcW w:w="706"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w:t>
            </w:r>
          </w:p>
        </w:tc>
        <w:tc>
          <w:tcPr>
            <w:tcW w:w="1169"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产</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出</w:t>
            </w:r>
          </w:p>
        </w:tc>
        <w:tc>
          <w:tcPr>
            <w:tcW w:w="1041"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default" w:ascii="仿宋_GB2312" w:hAnsi="仿宋_GB2312" w:eastAsia="仿宋_GB2312" w:cs="仿宋_GB2312"/>
                <w:sz w:val="28"/>
                <w:szCs w:val="28"/>
                <w:highlight w:val="none"/>
                <w:lang w:val="en-US"/>
              </w:rPr>
            </w:pPr>
            <w:r>
              <w:rPr>
                <w:rFonts w:hint="eastAsia" w:ascii="仿宋_GB2312" w:hAnsi="仿宋_GB2312" w:eastAsia="仿宋_GB2312" w:cs="仿宋_GB2312"/>
                <w:i w:val="0"/>
                <w:iCs w:val="0"/>
                <w:color w:val="000000"/>
                <w:kern w:val="0"/>
                <w:sz w:val="28"/>
                <w:szCs w:val="28"/>
                <w:u w:val="none"/>
                <w:lang w:val="en-US" w:eastAsia="zh-CN" w:bidi="ar"/>
              </w:rPr>
              <w:t>31.50</w:t>
            </w:r>
          </w:p>
        </w:tc>
        <w:tc>
          <w:tcPr>
            <w:tcW w:w="1041" w:type="pct"/>
            <w:tcBorders>
              <w:top w:val="single" w:color="auto" w:sz="4" w:space="0"/>
              <w:left w:val="single" w:color="auto" w:sz="4" w:space="0"/>
              <w:bottom w:val="single" w:color="auto" w:sz="4" w:space="0"/>
              <w:right w:val="single" w:color="auto" w:sz="4" w:space="0"/>
            </w:tcBorders>
            <w:noWrap/>
            <w:vAlign w:val="center"/>
          </w:tcPr>
          <w:p>
            <w:pPr>
              <w:jc w:val="right"/>
              <w:textAlignment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bidi="ar"/>
              </w:rPr>
              <w:t>28.00</w:t>
            </w:r>
          </w:p>
        </w:tc>
        <w:tc>
          <w:tcPr>
            <w:tcW w:w="1040"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i w:val="0"/>
                <w:iCs w:val="0"/>
                <w:color w:val="000000"/>
                <w:kern w:val="0"/>
                <w:sz w:val="28"/>
                <w:szCs w:val="28"/>
                <w:u w:val="none"/>
                <w:lang w:val="en-US" w:eastAsia="zh-CN" w:bidi="ar"/>
              </w:rPr>
              <w:t>88.89%</w:t>
            </w:r>
          </w:p>
        </w:tc>
      </w:tr>
      <w:tr>
        <w:tblPrEx>
          <w:tblCellMar>
            <w:top w:w="0" w:type="dxa"/>
            <w:left w:w="108" w:type="dxa"/>
            <w:bottom w:w="0" w:type="dxa"/>
            <w:right w:w="108" w:type="dxa"/>
          </w:tblCellMar>
        </w:tblPrEx>
        <w:trPr>
          <w:trHeight w:val="592" w:hRule="exact"/>
          <w:jc w:val="center"/>
        </w:trPr>
        <w:tc>
          <w:tcPr>
            <w:tcW w:w="706"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169"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益</w:t>
            </w:r>
          </w:p>
        </w:tc>
        <w:tc>
          <w:tcPr>
            <w:tcW w:w="1041"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default" w:ascii="仿宋_GB2312" w:hAnsi="仿宋_GB2312" w:eastAsia="仿宋_GB2312" w:cs="仿宋_GB2312"/>
                <w:sz w:val="28"/>
                <w:szCs w:val="28"/>
                <w:lang w:val="en-US"/>
              </w:rPr>
            </w:pPr>
            <w:r>
              <w:rPr>
                <w:rFonts w:hint="eastAsia" w:ascii="仿宋_GB2312" w:hAnsi="仿宋_GB2312" w:eastAsia="仿宋_GB2312" w:cs="仿宋_GB2312"/>
                <w:i w:val="0"/>
                <w:iCs w:val="0"/>
                <w:color w:val="000000"/>
                <w:kern w:val="0"/>
                <w:sz w:val="28"/>
                <w:szCs w:val="28"/>
                <w:u w:val="none"/>
                <w:lang w:val="en-US" w:eastAsia="zh-CN" w:bidi="ar"/>
              </w:rPr>
              <w:t>33.50</w:t>
            </w:r>
          </w:p>
        </w:tc>
        <w:tc>
          <w:tcPr>
            <w:tcW w:w="1041" w:type="pct"/>
            <w:tcBorders>
              <w:top w:val="single" w:color="auto" w:sz="4" w:space="0"/>
              <w:left w:val="single" w:color="auto" w:sz="4" w:space="0"/>
              <w:bottom w:val="single" w:color="auto" w:sz="4" w:space="0"/>
              <w:right w:val="single" w:color="auto" w:sz="4" w:space="0"/>
            </w:tcBorders>
            <w:noWrap/>
            <w:vAlign w:val="center"/>
          </w:tcPr>
          <w:p>
            <w:pPr>
              <w:jc w:val="righ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bidi="ar"/>
              </w:rPr>
              <w:t>33.13</w:t>
            </w:r>
          </w:p>
        </w:tc>
        <w:tc>
          <w:tcPr>
            <w:tcW w:w="1040"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98.90%</w:t>
            </w:r>
          </w:p>
        </w:tc>
      </w:tr>
      <w:tr>
        <w:tblPrEx>
          <w:tblCellMar>
            <w:top w:w="0" w:type="dxa"/>
            <w:left w:w="108" w:type="dxa"/>
            <w:bottom w:w="0" w:type="dxa"/>
            <w:right w:w="108" w:type="dxa"/>
          </w:tblCellMar>
        </w:tblPrEx>
        <w:trPr>
          <w:trHeight w:val="628" w:hRule="exact"/>
          <w:jc w:val="center"/>
        </w:trPr>
        <w:tc>
          <w:tcPr>
            <w:tcW w:w="1876" w:type="pct"/>
            <w:gridSpan w:val="2"/>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合计</w:t>
            </w:r>
          </w:p>
        </w:tc>
        <w:tc>
          <w:tcPr>
            <w:tcW w:w="1041" w:type="pct"/>
            <w:tcBorders>
              <w:top w:val="single" w:color="auto" w:sz="4" w:space="0"/>
              <w:left w:val="single" w:color="auto" w:sz="4" w:space="0"/>
              <w:bottom w:val="single" w:color="auto" w:sz="4" w:space="0"/>
              <w:right w:val="single" w:color="auto" w:sz="4" w:space="0"/>
            </w:tcBorders>
            <w:noWrap/>
            <w:vAlign w:val="center"/>
          </w:tcPr>
          <w:p>
            <w:pPr>
              <w:jc w:val="right"/>
              <w:textAlignment w:val="center"/>
              <w:rPr>
                <w:rFonts w:hint="eastAsia" w:ascii="仿宋_GB2312" w:hAnsi="仿宋_GB2312" w:eastAsia="仿宋_GB2312" w:cs="仿宋_GB2312"/>
                <w:b/>
                <w:bCs/>
                <w:sz w:val="28"/>
                <w:szCs w:val="28"/>
                <w:lang w:bidi="ar"/>
              </w:rPr>
            </w:pPr>
            <w:r>
              <w:rPr>
                <w:rFonts w:hint="eastAsia" w:ascii="仿宋_GB2312" w:hAnsi="仿宋_GB2312" w:eastAsia="仿宋_GB2312" w:cs="仿宋_GB2312"/>
                <w:b/>
                <w:bCs/>
                <w:sz w:val="28"/>
                <w:szCs w:val="28"/>
                <w:lang w:val="en-US" w:eastAsia="zh-CN" w:bidi="ar"/>
              </w:rPr>
              <w:t>100.00</w:t>
            </w:r>
          </w:p>
        </w:tc>
        <w:tc>
          <w:tcPr>
            <w:tcW w:w="1041"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kern w:val="2"/>
                <w:sz w:val="28"/>
                <w:szCs w:val="28"/>
                <w:u w:val="none"/>
                <w:lang w:val="en-US" w:eastAsia="zh-CN" w:bidi="ar-SA"/>
              </w:rPr>
            </w:pPr>
            <w:r>
              <w:rPr>
                <w:rFonts w:hint="eastAsia" w:ascii="仿宋_GB2312" w:hAnsi="仿宋_GB2312" w:eastAsia="仿宋_GB2312" w:cs="仿宋_GB2312"/>
                <w:b/>
                <w:bCs/>
                <w:i w:val="0"/>
                <w:iCs w:val="0"/>
                <w:color w:val="000000"/>
                <w:kern w:val="0"/>
                <w:sz w:val="28"/>
                <w:szCs w:val="28"/>
                <w:u w:val="none"/>
                <w:lang w:val="en-US" w:eastAsia="zh-CN" w:bidi="ar"/>
              </w:rPr>
              <w:t>91.13</w:t>
            </w:r>
          </w:p>
        </w:tc>
        <w:tc>
          <w:tcPr>
            <w:tcW w:w="1040" w:type="pc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kern w:val="2"/>
                <w:sz w:val="28"/>
                <w:szCs w:val="28"/>
                <w:u w:val="none"/>
                <w:lang w:val="en-US" w:eastAsia="zh-CN" w:bidi="ar-SA"/>
              </w:rPr>
            </w:pPr>
            <w:r>
              <w:rPr>
                <w:rFonts w:hint="eastAsia" w:ascii="仿宋_GB2312" w:hAnsi="仿宋_GB2312" w:eastAsia="仿宋_GB2312" w:cs="仿宋_GB2312"/>
                <w:b/>
                <w:bCs/>
                <w:i w:val="0"/>
                <w:iCs w:val="0"/>
                <w:color w:val="000000"/>
                <w:kern w:val="0"/>
                <w:sz w:val="28"/>
                <w:szCs w:val="28"/>
                <w:u w:val="none"/>
                <w:lang w:val="en-US" w:eastAsia="zh-CN" w:bidi="ar"/>
              </w:rPr>
              <w:t>91.13%</w:t>
            </w:r>
          </w:p>
        </w:tc>
      </w:tr>
    </w:tbl>
    <w:p>
      <w:pPr>
        <w:pStyle w:val="5"/>
        <w:keepNext w:val="0"/>
        <w:keepLines w:val="0"/>
        <w:widowControl w:val="0"/>
        <w:spacing w:before="0" w:after="0" w:line="590" w:lineRule="exact"/>
        <w:ind w:firstLine="664" w:firstLineChars="200"/>
        <w:rPr>
          <w:rFonts w:hint="eastAsia" w:hAnsi="Times New Roman"/>
          <w:spacing w:val="6"/>
          <w:szCs w:val="32"/>
          <w:highlight w:val="none"/>
          <w:lang w:val="en-US" w:eastAsia="zh-CN"/>
        </w:rPr>
      </w:pPr>
      <w:bookmarkStart w:id="181" w:name="_Toc29942"/>
      <w:bookmarkStart w:id="182" w:name="_Toc2001"/>
      <w:bookmarkStart w:id="183" w:name="_Toc19228"/>
      <w:bookmarkStart w:id="184" w:name="_Toc9726"/>
      <w:bookmarkStart w:id="185" w:name="_Toc16273"/>
      <w:bookmarkStart w:id="186" w:name="_Toc15851"/>
      <w:bookmarkStart w:id="187" w:name="_Toc16380"/>
      <w:bookmarkStart w:id="188" w:name="_Toc7867"/>
      <w:bookmarkStart w:id="189" w:name="_Toc5049"/>
      <w:bookmarkStart w:id="190" w:name="_Toc11270"/>
      <w:bookmarkStart w:id="191" w:name="_Toc7997"/>
      <w:bookmarkStart w:id="192" w:name="_Toc3660"/>
      <w:bookmarkStart w:id="193" w:name="_Toc25495"/>
      <w:bookmarkStart w:id="194" w:name="_Toc11518"/>
      <w:bookmarkStart w:id="195" w:name="_Toc459"/>
      <w:bookmarkStart w:id="196" w:name="_Toc41306284"/>
      <w:bookmarkStart w:id="197" w:name="_Toc4385"/>
      <w:bookmarkStart w:id="198" w:name="_Toc10032"/>
      <w:bookmarkStart w:id="199" w:name="_Toc32724"/>
      <w:bookmarkStart w:id="200" w:name="_Toc28691"/>
      <w:bookmarkStart w:id="201" w:name="_Toc19455"/>
      <w:bookmarkStart w:id="202" w:name="_Toc68"/>
      <w:bookmarkStart w:id="203" w:name="_Toc5761"/>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楷体_GB2312"/>
          <w:spacing w:val="6"/>
          <w:szCs w:val="36"/>
          <w:highlight w:val="none"/>
          <w:lang w:val="zh-CN"/>
        </w:rPr>
        <w:t>（</w:t>
      </w:r>
      <w:r>
        <w:rPr>
          <w:rFonts w:hint="eastAsia" w:hAnsi="楷体_GB2312"/>
          <w:spacing w:val="6"/>
          <w:szCs w:val="36"/>
          <w:highlight w:val="none"/>
          <w:lang w:val="en-US" w:eastAsia="zh-CN"/>
        </w:rPr>
        <w:t>二</w:t>
      </w:r>
      <w:r>
        <w:rPr>
          <w:rFonts w:hAnsi="楷体_GB2312"/>
          <w:spacing w:val="6"/>
          <w:szCs w:val="36"/>
          <w:highlight w:val="none"/>
          <w:lang w:val="zh-CN"/>
        </w:rPr>
        <w:t>）</w:t>
      </w:r>
      <w:r>
        <w:rPr>
          <w:rFonts w:hAnsi="楷体_GB2312"/>
          <w:spacing w:val="6"/>
          <w:szCs w:val="36"/>
          <w:highlight w:val="none"/>
          <w:lang w:val="zh-CN"/>
        </w:rPr>
        <w:fldChar w:fldCharType="end"/>
      </w:r>
      <w:r>
        <w:rPr>
          <w:rFonts w:hint="eastAsia" w:hAnsi="楷体_GB2312"/>
          <w:spacing w:val="6"/>
          <w:szCs w:val="36"/>
          <w:highlight w:val="none"/>
          <w:lang w:val="en-US" w:eastAsia="zh-CN"/>
        </w:rPr>
        <w:t>绩效目标实现情况</w:t>
      </w:r>
      <w:bookmarkEnd w:id="181"/>
      <w:bookmarkEnd w:id="182"/>
      <w:bookmarkEnd w:id="183"/>
      <w:bookmarkEnd w:id="184"/>
      <w:bookmarkEnd w:id="185"/>
      <w:bookmarkEnd w:id="186"/>
      <w:bookmarkEnd w:id="187"/>
      <w:bookmarkEnd w:id="188"/>
      <w:bookmarkEnd w:id="189"/>
    </w:p>
    <w:p>
      <w:pPr>
        <w:widowControl w:val="0"/>
        <w:spacing w:line="590" w:lineRule="exact"/>
        <w:ind w:firstLine="664" w:firstLineChars="200"/>
        <w:jc w:val="left"/>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rPr>
        <w:t>结合项目实际情况，与</w:t>
      </w:r>
      <w:r>
        <w:rPr>
          <w:rFonts w:hint="eastAsia" w:ascii="仿宋_GB2312" w:hAnsi="仿宋_GB2312" w:eastAsia="仿宋_GB2312" w:cs="仿宋_GB2312"/>
          <w:spacing w:val="6"/>
          <w:sz w:val="32"/>
          <w:szCs w:val="32"/>
          <w:lang w:val="en-US" w:eastAsia="zh-CN"/>
        </w:rPr>
        <w:t>区综合执法大队</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业务处室充分沟通后再次梳理的20</w:t>
      </w:r>
      <w:r>
        <w:rPr>
          <w:rFonts w:hint="eastAsia" w:ascii="仿宋_GB2312" w:hAnsi="仿宋_GB2312" w:eastAsia="仿宋_GB2312" w:cs="仿宋_GB2312"/>
          <w:spacing w:val="6"/>
          <w:sz w:val="32"/>
          <w:szCs w:val="32"/>
          <w:lang w:val="en-US" w:eastAsia="zh-CN"/>
        </w:rPr>
        <w:t>21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违法建筑拆除项目</w:t>
      </w:r>
      <w:r>
        <w:rPr>
          <w:rFonts w:hint="eastAsia" w:ascii="仿宋_GB2312" w:hAnsi="仿宋_GB2312" w:eastAsia="仿宋_GB2312" w:cs="仿宋_GB2312"/>
          <w:spacing w:val="6"/>
          <w:sz w:val="32"/>
          <w:szCs w:val="32"/>
        </w:rPr>
        <w:t>绩效目标合计</w:t>
      </w:r>
      <w:r>
        <w:rPr>
          <w:rFonts w:hint="eastAsia" w:ascii="仿宋_GB2312" w:hAnsi="仿宋_GB2312" w:eastAsia="仿宋_GB2312" w:cs="仿宋_GB2312"/>
          <w:spacing w:val="6"/>
          <w:sz w:val="32"/>
          <w:szCs w:val="32"/>
          <w:lang w:val="en-US" w:eastAsia="zh-CN"/>
        </w:rPr>
        <w:t>4</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3</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，部分完成</w:t>
      </w:r>
      <w:r>
        <w:rPr>
          <w:rFonts w:hint="eastAsia" w:ascii="仿宋_GB2312" w:hAnsi="仿宋_GB2312" w:eastAsia="仿宋_GB2312" w:cs="仿宋_GB2312"/>
          <w:spacing w:val="6"/>
          <w:sz w:val="32"/>
          <w:szCs w:val="32"/>
          <w:lang w:val="en-US" w:eastAsia="zh-CN"/>
        </w:rPr>
        <w:t>1个</w:t>
      </w:r>
      <w:r>
        <w:rPr>
          <w:rFonts w:hint="eastAsia" w:ascii="仿宋_GB2312" w:hAnsi="仿宋_GB2312" w:eastAsia="仿宋_GB2312" w:cs="仿宋_GB2312"/>
          <w:spacing w:val="6"/>
          <w:sz w:val="32"/>
          <w:szCs w:val="32"/>
        </w:rPr>
        <w:t>；绩效指标合计</w:t>
      </w:r>
      <w:r>
        <w:rPr>
          <w:rFonts w:hint="eastAsia" w:ascii="仿宋_GB2312" w:hAnsi="仿宋_GB2312" w:eastAsia="仿宋_GB2312" w:cs="仿宋_GB2312"/>
          <w:spacing w:val="6"/>
          <w:sz w:val="32"/>
          <w:szCs w:val="32"/>
          <w:lang w:val="en-US" w:eastAsia="zh-CN"/>
        </w:rPr>
        <w:t>12</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9</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未完成1</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，部分完成</w:t>
      </w:r>
      <w:r>
        <w:rPr>
          <w:rFonts w:hint="eastAsia" w:ascii="仿宋_GB2312" w:hAnsi="仿宋_GB2312" w:eastAsia="仿宋_GB2312" w:cs="仿宋_GB2312"/>
          <w:spacing w:val="6"/>
          <w:sz w:val="32"/>
          <w:szCs w:val="32"/>
          <w:lang w:val="en-US" w:eastAsia="zh-CN"/>
        </w:rPr>
        <w:t>1个，基本完成1个</w:t>
      </w:r>
      <w:r>
        <w:rPr>
          <w:rFonts w:hint="eastAsia" w:ascii="仿宋_GB2312" w:hAnsi="仿宋_GB2312" w:eastAsia="仿宋_GB2312" w:cs="仿宋_GB2312"/>
          <w:spacing w:val="6"/>
          <w:sz w:val="32"/>
          <w:szCs w:val="32"/>
        </w:rPr>
        <w:t>。绩效目标及绩效指标完成情况详见下表：</w:t>
      </w:r>
    </w:p>
    <w:tbl>
      <w:tblPr>
        <w:tblStyle w:val="1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40"/>
        <w:gridCol w:w="1396"/>
        <w:gridCol w:w="1524"/>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33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2020年总体目标</w:t>
            </w:r>
          </w:p>
        </w:tc>
        <w:tc>
          <w:tcPr>
            <w:tcW w:w="1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2020年总体目标完成情况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8" w:hRule="atLeast"/>
        </w:trPr>
        <w:tc>
          <w:tcPr>
            <w:tcW w:w="33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left"/>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目标1：完成项目当年违法建筑计划拆除面积30万㎡。</w:t>
            </w:r>
          </w:p>
          <w:p>
            <w:pPr>
              <w:keepNext w:val="0"/>
              <w:keepLines w:val="0"/>
              <w:widowControl/>
              <w:suppressLineNumbers w:val="0"/>
              <w:spacing w:line="400" w:lineRule="exact"/>
              <w:jc w:val="left"/>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目标2：开展大数据管控违法建筑工作、城区屋顶违法建筑专项整治行动、全区控拆违工作的目标考核。</w:t>
            </w:r>
          </w:p>
          <w:p>
            <w:pPr>
              <w:keepNext w:val="0"/>
              <w:keepLines w:val="0"/>
              <w:widowControl/>
              <w:suppressLineNumbers w:val="0"/>
              <w:spacing w:line="400" w:lineRule="exact"/>
              <w:jc w:val="left"/>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目标3：新增违法建筑户数控制在50起管控范围内。</w:t>
            </w:r>
          </w:p>
          <w:p>
            <w:pPr>
              <w:keepNext w:val="0"/>
              <w:keepLines w:val="0"/>
              <w:widowControl/>
              <w:suppressLineNumbers w:val="0"/>
              <w:spacing w:line="400" w:lineRule="exact"/>
              <w:jc w:val="left"/>
              <w:textAlignment w:val="center"/>
              <w:rPr>
                <w:rFonts w:hint="default" w:ascii="Times New Roman" w:hAnsi="Times New Roman" w:eastAsia="仿宋_GB2312" w:cs="Times New Roman"/>
                <w:i w:val="0"/>
                <w:iCs w:val="0"/>
                <w:color w:val="000000"/>
                <w:sz w:val="24"/>
                <w:szCs w:val="24"/>
                <w:u w:val="none"/>
              </w:rPr>
            </w:pPr>
            <w:r>
              <w:rPr>
                <w:rFonts w:hint="eastAsia" w:ascii="仿宋_GB2312" w:hAnsi="仿宋_GB2312" w:eastAsia="仿宋_GB2312" w:cs="仿宋_GB2312"/>
                <w:i w:val="0"/>
                <w:iCs w:val="0"/>
                <w:color w:val="000000"/>
                <w:sz w:val="24"/>
                <w:szCs w:val="24"/>
                <w:u w:val="none"/>
                <w:lang w:val="en-US" w:eastAsia="zh-CN"/>
              </w:rPr>
              <w:t>目标4：提高群众违法建筑意识、居民生命和财产安全。</w:t>
            </w:r>
          </w:p>
        </w:tc>
        <w:tc>
          <w:tcPr>
            <w:tcW w:w="1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default" w:ascii="Times New Roman" w:hAnsi="Times New Roman" w:eastAsia="仿宋_GB2312" w:cs="Times New Roman"/>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目标1：已完成。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  目标2：部分完成。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目标3：已完成。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目标4：已完成。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0"/>
                <w:rFonts w:hint="default" w:ascii="Times New Roman" w:hAnsi="Times New Roman" w:eastAsia="仿宋_GB2312" w:cs="Times New Roman"/>
                <w:lang w:val="en-US" w:eastAsia="zh-CN" w:bidi="ar"/>
              </w:rPr>
              <w:t>三级指标</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0"/>
                <w:rFonts w:hint="default" w:ascii="Times New Roman" w:hAnsi="Times New Roman" w:eastAsia="仿宋_GB2312" w:cs="Times New Roman"/>
                <w:lang w:val="en-US" w:eastAsia="zh-CN" w:bidi="ar"/>
              </w:rPr>
              <w:t>指标值</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0"/>
                <w:rFonts w:hint="default" w:ascii="Times New Roman" w:hAnsi="Times New Roman" w:eastAsia="仿宋_GB2312" w:cs="Times New Roman"/>
                <w:lang w:val="en-US" w:eastAsia="zh-CN" w:bidi="ar"/>
              </w:rPr>
              <w:t>指标完成情况</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0"/>
                <w:rFonts w:hint="default" w:ascii="Times New Roman" w:hAnsi="Times New Roman" w:eastAsia="仿宋_GB2312" w:cs="Times New Roman"/>
                <w:lang w:val="en-US" w:eastAsia="zh-CN" w:bidi="ar"/>
              </w:rPr>
              <w:t>完成情况说明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违法建筑面积拆除情况</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≥30万㎡</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30.10万㎡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违法建筑</w:t>
            </w:r>
            <w:r>
              <w:rPr>
                <w:rFonts w:hint="eastAsia" w:ascii="仿宋_GB2312" w:hAnsi="仿宋_GB2312" w:eastAsia="仿宋_GB2312" w:cs="仿宋_GB2312"/>
                <w:color w:val="000000"/>
                <w:kern w:val="0"/>
                <w:sz w:val="24"/>
                <w:szCs w:val="24"/>
                <w:highlight w:val="none"/>
                <w:u w:val="none"/>
                <w:lang w:bidi="ar"/>
              </w:rPr>
              <w:t>控拆违</w:t>
            </w:r>
            <w:r>
              <w:rPr>
                <w:rFonts w:hint="eastAsia" w:ascii="仿宋_GB2312" w:hAnsi="仿宋_GB2312" w:eastAsia="仿宋_GB2312" w:cs="仿宋_GB2312"/>
                <w:i w:val="0"/>
                <w:iCs w:val="0"/>
                <w:color w:val="000000"/>
                <w:kern w:val="0"/>
                <w:sz w:val="24"/>
                <w:szCs w:val="24"/>
                <w:highlight w:val="none"/>
                <w:u w:val="none"/>
                <w:lang w:val="en-US" w:eastAsia="zh-CN" w:bidi="ar"/>
              </w:rPr>
              <w:t>工作开展情况</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开展</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部分完成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违法建筑新增管控情况</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≤50户</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FF"/>
                <w:sz w:val="24"/>
                <w:szCs w:val="24"/>
                <w:highlight w:val="none"/>
                <w:u w:val="none"/>
                <w:lang w:val="en-US" w:eastAsia="zh-CN"/>
              </w:rPr>
              <w:t>3</w:t>
            </w:r>
            <w:r>
              <w:rPr>
                <w:rFonts w:hint="eastAsia" w:ascii="仿宋_GB2312" w:hAnsi="仿宋_GB2312" w:eastAsia="仿宋_GB2312" w:cs="仿宋_GB2312"/>
                <w:i w:val="0"/>
                <w:iCs w:val="0"/>
                <w:color w:val="000000"/>
                <w:kern w:val="0"/>
                <w:sz w:val="24"/>
                <w:szCs w:val="24"/>
                <w:highlight w:val="none"/>
                <w:u w:val="none"/>
                <w:lang w:val="en-US" w:eastAsia="zh-CN" w:bidi="ar"/>
              </w:rPr>
              <w:t>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违法建筑实施办法</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建立</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建立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违法建筑案件转办率</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成本控制有效性</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≤431万元</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522.81万元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违法建筑拆除成本</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按标准执行</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按标准执行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政策知晓率</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提高居民生命和财产安全保障</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违法建筑举报情况</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≤1938件</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1580件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群众违法建筑意识提高</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基本完成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群众满意度</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95.50%</w:t>
            </w:r>
          </w:p>
        </w:tc>
      </w:tr>
    </w:tbl>
    <w:p>
      <w:pPr>
        <w:pStyle w:val="4"/>
        <w:keepNext w:val="0"/>
        <w:keepLines w:val="0"/>
        <w:widowControl w:val="0"/>
        <w:spacing w:before="0" w:after="0" w:line="590" w:lineRule="exact"/>
        <w:ind w:firstLine="640" w:firstLineChars="200"/>
        <w:rPr>
          <w:rFonts w:hint="eastAsia" w:ascii="黑体" w:hAnsi="黑体" w:eastAsia="黑体"/>
          <w:b w:val="0"/>
          <w:sz w:val="32"/>
          <w:szCs w:val="32"/>
        </w:rPr>
      </w:pPr>
      <w:bookmarkStart w:id="204" w:name="_Toc25325"/>
      <w:bookmarkStart w:id="205" w:name="_Toc10314"/>
      <w:bookmarkStart w:id="206" w:name="_Toc31962"/>
      <w:bookmarkStart w:id="207" w:name="_Toc17114"/>
      <w:bookmarkStart w:id="208" w:name="_Toc19843"/>
      <w:bookmarkStart w:id="209" w:name="_Toc27524"/>
      <w:bookmarkStart w:id="210" w:name="_Toc3542"/>
      <w:bookmarkStart w:id="211" w:name="_Toc11865"/>
      <w:bookmarkStart w:id="212" w:name="_Toc3556"/>
      <w:bookmarkStart w:id="213" w:name="_Toc27431"/>
      <w:bookmarkStart w:id="214" w:name="_Toc7292"/>
      <w:bookmarkStart w:id="215" w:name="_Toc31515"/>
      <w:bookmarkStart w:id="216" w:name="_Toc15702"/>
      <w:bookmarkStart w:id="217" w:name="_Toc32153"/>
      <w:r>
        <w:rPr>
          <w:rFonts w:hint="eastAsia"/>
          <w:b w:val="0"/>
          <w:sz w:val="32"/>
          <w:szCs w:val="32"/>
          <w:lang w:val="en-US" w:eastAsia="zh-CN"/>
        </w:rPr>
        <w:t>三</w:t>
      </w:r>
      <w:r>
        <w:rPr>
          <w:rFonts w:hint="eastAsia" w:ascii="黑体" w:hAnsi="黑体" w:eastAsia="黑体"/>
          <w:b w:val="0"/>
          <w:sz w:val="32"/>
          <w:szCs w:val="32"/>
        </w:rPr>
        <w:t>、存在问题及原因分析</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pPr>
        <w:widowControl w:val="0"/>
        <w:numPr>
          <w:ilvl w:val="-1"/>
          <w:numId w:val="0"/>
        </w:numPr>
        <w:spacing w:beforeLines="0" w:line="590" w:lineRule="exact"/>
        <w:ind w:firstLine="640" w:firstLineChars="200"/>
        <w:jc w:val="both"/>
        <w:outlineLvl w:val="1"/>
        <w:rPr>
          <w:rFonts w:hint="eastAsia" w:ascii="楷体_GB2312" w:hAnsi="楷体_GB2312" w:eastAsia="楷体_GB2312" w:cs="楷体_GB2312"/>
          <w:spacing w:val="0"/>
          <w:sz w:val="32"/>
          <w:szCs w:val="32"/>
          <w:lang w:val="zh-CN"/>
        </w:rPr>
      </w:pPr>
      <w:bookmarkStart w:id="218" w:name="_Toc10248"/>
      <w:bookmarkStart w:id="219" w:name="_Toc18553"/>
      <w:bookmarkStart w:id="220" w:name="_Toc21838"/>
      <w:bookmarkStart w:id="221" w:name="_Toc1791"/>
      <w:bookmarkStart w:id="222" w:name="_Toc16524"/>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zh-CN" w:eastAsia="zh-CN"/>
        </w:rPr>
        <w:t>一</w:t>
      </w:r>
      <w:r>
        <w:rPr>
          <w:rFonts w:hint="eastAsia" w:ascii="楷体_GB2312" w:hAnsi="楷体_GB2312" w:eastAsia="楷体_GB2312" w:cs="楷体_GB2312"/>
          <w:sz w:val="32"/>
          <w:szCs w:val="32"/>
          <w:lang w:val="zh-CN"/>
        </w:rPr>
        <w:t>）</w:t>
      </w:r>
      <w:r>
        <w:rPr>
          <w:rFonts w:hint="eastAsia" w:ascii="楷体_GB2312" w:hAnsi="楷体_GB2312" w:eastAsia="楷体_GB2312" w:cs="楷体_GB2312"/>
          <w:spacing w:val="0"/>
          <w:sz w:val="32"/>
          <w:szCs w:val="32"/>
          <w:lang w:val="zh-CN"/>
        </w:rPr>
        <w:t>预算管理方面</w:t>
      </w:r>
      <w:bookmarkEnd w:id="218"/>
      <w:bookmarkEnd w:id="219"/>
      <w:bookmarkEnd w:id="220"/>
      <w:bookmarkEnd w:id="221"/>
      <w:bookmarkEnd w:id="222"/>
    </w:p>
    <w:p>
      <w:pPr>
        <w:adjustRightInd w:val="0"/>
        <w:spacing w:beforeLines="0" w:line="590" w:lineRule="exact"/>
        <w:ind w:firstLine="640" w:firstLineChars="200"/>
        <w:outlineLvl w:val="9"/>
        <w:rPr>
          <w:rFonts w:hint="eastAsia" w:ascii="仿宋_GB2312" w:hAnsi="仿宋_GB2312" w:eastAsia="仿宋_GB2312" w:cs="仿宋_GB2312"/>
          <w:bCs w:val="0"/>
          <w:spacing w:val="0"/>
          <w:sz w:val="32"/>
          <w:szCs w:val="32"/>
          <w:lang w:val="en-US" w:eastAsia="zh-CN"/>
        </w:rPr>
      </w:pPr>
      <w:r>
        <w:rPr>
          <w:rFonts w:hint="eastAsia" w:ascii="仿宋_GB2312" w:hAnsi="仿宋_GB2312" w:eastAsia="仿宋_GB2312" w:cs="仿宋_GB2312"/>
          <w:bCs w:val="0"/>
          <w:spacing w:val="0"/>
          <w:sz w:val="32"/>
          <w:szCs w:val="32"/>
          <w:highlight w:val="none"/>
          <w:lang w:val="zh-CN" w:eastAsia="zh-CN"/>
        </w:rPr>
        <w:t>预算编制科学性</w:t>
      </w:r>
      <w:r>
        <w:rPr>
          <w:rFonts w:hint="eastAsia" w:ascii="仿宋_GB2312" w:hAnsi="仿宋_GB2312" w:eastAsia="仿宋_GB2312" w:cs="仿宋_GB2312"/>
          <w:bCs w:val="0"/>
          <w:spacing w:val="0"/>
          <w:sz w:val="32"/>
          <w:szCs w:val="32"/>
          <w:highlight w:val="none"/>
          <w:lang w:val="en-US" w:eastAsia="zh-CN"/>
        </w:rPr>
        <w:t>有待提高</w:t>
      </w:r>
      <w:r>
        <w:rPr>
          <w:rFonts w:hint="eastAsia" w:ascii="仿宋_GB2312" w:hAnsi="仿宋_GB2312" w:eastAsia="仿宋_GB2312" w:cs="仿宋_GB2312"/>
          <w:bCs w:val="0"/>
          <w:spacing w:val="0"/>
          <w:sz w:val="32"/>
          <w:szCs w:val="32"/>
          <w:highlight w:val="none"/>
          <w:lang w:val="zh-CN" w:eastAsia="zh-CN"/>
        </w:rPr>
        <w:t>。</w:t>
      </w:r>
      <w:r>
        <w:rPr>
          <w:rFonts w:hint="eastAsia" w:ascii="仿宋_GB2312" w:hAnsi="仿宋_GB2312" w:eastAsia="仿宋_GB2312" w:cs="仿宋_GB2312"/>
          <w:bCs w:val="0"/>
          <w:spacing w:val="0"/>
          <w:sz w:val="32"/>
          <w:szCs w:val="32"/>
          <w:lang w:val="en-US" w:eastAsia="zh-CN"/>
        </w:rPr>
        <w:t>项目预算编制时未经过科学论证，存在预算确定的项目投资额或资金量与工作任务不匹配。</w:t>
      </w:r>
      <w:r>
        <w:rPr>
          <w:rFonts w:hint="eastAsia" w:ascii="仿宋_GB2312" w:hAnsi="仿宋_GB2312" w:eastAsia="仿宋_GB2312" w:cs="仿宋_GB2312"/>
          <w:bCs/>
          <w:spacing w:val="6"/>
          <w:sz w:val="32"/>
          <w:szCs w:val="32"/>
          <w:highlight w:val="none"/>
          <w:lang w:val="en-US" w:eastAsia="zh-CN"/>
        </w:rPr>
        <w:t>2021年违法建筑拆除项目预算为431万元，但项目当年实际产生总成本为522.81万元，</w:t>
      </w:r>
      <w:r>
        <w:rPr>
          <w:rFonts w:hint="eastAsia" w:ascii="仿宋_GB2312" w:hAnsi="仿宋_GB2312" w:eastAsia="仿宋_GB2312" w:cs="仿宋_GB2312"/>
          <w:bCs w:val="0"/>
          <w:spacing w:val="0"/>
          <w:sz w:val="32"/>
          <w:szCs w:val="32"/>
          <w:lang w:val="en-US" w:eastAsia="zh-CN"/>
        </w:rPr>
        <w:t>预算确定的项目投资额与实际产生的总成本相差91.81万元。</w:t>
      </w:r>
    </w:p>
    <w:p>
      <w:pPr>
        <w:adjustRightInd w:val="0"/>
        <w:spacing w:beforeLines="0" w:line="590" w:lineRule="exact"/>
        <w:ind w:firstLine="664" w:firstLineChars="200"/>
        <w:outlineLvl w:val="9"/>
        <w:rPr>
          <w:rFonts w:hint="default" w:ascii="楷体_GB2312" w:hAnsi="楷体_GB2312" w:eastAsia="楷体_GB2312" w:cs="楷体_GB2312"/>
          <w:sz w:val="32"/>
          <w:szCs w:val="32"/>
        </w:rPr>
      </w:pPr>
      <w:r>
        <w:rPr>
          <w:rFonts w:hint="default" w:ascii="仿宋_GB2312" w:hAnsi="仿宋_GB2312" w:eastAsia="仿宋_GB2312" w:cs="仿宋_GB2312"/>
          <w:bCs/>
          <w:spacing w:val="6"/>
          <w:sz w:val="32"/>
          <w:szCs w:val="32"/>
          <w:highlight w:val="none"/>
          <w:lang w:val="en-US" w:eastAsia="zh-CN"/>
        </w:rPr>
        <w:t>主要原因</w:t>
      </w:r>
      <w:r>
        <w:rPr>
          <w:rFonts w:hint="eastAsia" w:ascii="仿宋_GB2312" w:hAnsi="仿宋_GB2312" w:eastAsia="仿宋_GB2312" w:cs="仿宋_GB2312"/>
          <w:bCs/>
          <w:spacing w:val="6"/>
          <w:sz w:val="32"/>
          <w:szCs w:val="32"/>
          <w:highlight w:val="none"/>
          <w:lang w:val="en-US" w:eastAsia="zh-CN"/>
        </w:rPr>
        <w:t>系对《中共中央 国务院关于全面实施预算绩效管理的意见》（中发〔2018〕34号）和《省财政厅关于批复2018年度省级主管部门项目支出绩效目标的通知》（黔财绩〔2018〕1号）等文件学习不够深入，政策落实力度不够，对预算绩效管理政策制度研究不够深入、全面。</w:t>
      </w:r>
    </w:p>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Pr>
        <w:widowControl w:val="0"/>
        <w:adjustRightInd w:val="0"/>
        <w:spacing w:line="590" w:lineRule="exact"/>
        <w:ind w:firstLine="640" w:firstLineChars="200"/>
        <w:jc w:val="both"/>
        <w:outlineLvl w:val="1"/>
        <w:rPr>
          <w:rFonts w:hint="eastAsia" w:ascii="楷体_GB2312" w:hAnsi="楷体_GB2312" w:eastAsia="楷体_GB2312" w:cs="楷体_GB2312"/>
          <w:sz w:val="32"/>
          <w:szCs w:val="32"/>
          <w:lang w:val="zh-CN" w:eastAsia="zh-CN"/>
        </w:rPr>
      </w:pPr>
      <w:bookmarkStart w:id="223" w:name="_Toc14980"/>
      <w:bookmarkStart w:id="224" w:name="_Toc25781"/>
      <w:bookmarkStart w:id="225" w:name="_Toc25401"/>
      <w:bookmarkStart w:id="226" w:name="_Toc26609"/>
      <w:bookmarkStart w:id="227" w:name="_Toc4780"/>
      <w:bookmarkStart w:id="228" w:name="_Toc25552"/>
      <w:bookmarkStart w:id="229" w:name="_Toc20954"/>
      <w:bookmarkStart w:id="230" w:name="_Toc25162"/>
      <w:bookmarkStart w:id="231" w:name="_Toc28548"/>
      <w:bookmarkStart w:id="232" w:name="_Toc531300200"/>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资金</w:t>
      </w:r>
      <w:r>
        <w:rPr>
          <w:rFonts w:hint="eastAsia" w:ascii="楷体_GB2312" w:hAnsi="楷体_GB2312" w:eastAsia="楷体_GB2312" w:cs="楷体_GB2312"/>
          <w:sz w:val="32"/>
          <w:szCs w:val="32"/>
          <w:lang w:val="zh-CN"/>
        </w:rPr>
        <w:t>管理方面</w:t>
      </w:r>
      <w:bookmarkEnd w:id="223"/>
      <w:bookmarkEnd w:id="224"/>
      <w:bookmarkEnd w:id="225"/>
      <w:bookmarkEnd w:id="226"/>
      <w:bookmarkEnd w:id="227"/>
      <w:bookmarkEnd w:id="228"/>
      <w:bookmarkEnd w:id="229"/>
      <w:bookmarkEnd w:id="230"/>
    </w:p>
    <w:bookmarkEnd w:id="231"/>
    <w:p>
      <w:pPr>
        <w:widowControl w:val="0"/>
        <w:adjustRightInd w:val="0"/>
        <w:spacing w:beforeLines="0" w:line="590" w:lineRule="exact"/>
        <w:ind w:firstLine="664" w:firstLineChars="200"/>
        <w:jc w:val="both"/>
        <w:outlineLvl w:val="9"/>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bCs/>
          <w:spacing w:val="6"/>
          <w:sz w:val="32"/>
          <w:szCs w:val="32"/>
          <w:highlight w:val="none"/>
          <w:lang w:val="en-US" w:eastAsia="zh-CN"/>
        </w:rPr>
        <w:t>1</w:t>
      </w:r>
      <w:r>
        <w:rPr>
          <w:rFonts w:hint="eastAsia" w:ascii="仿宋_GB2312" w:hAnsi="仿宋_GB2312" w:eastAsia="仿宋_GB2312" w:cs="仿宋_GB2312"/>
          <w:bCs/>
          <w:spacing w:val="6"/>
          <w:sz w:val="32"/>
          <w:szCs w:val="32"/>
          <w:highlight w:val="none"/>
          <w:lang w:val="zh-CN" w:eastAsia="zh-CN"/>
        </w:rPr>
        <w:t>．资金使用</w:t>
      </w:r>
      <w:r>
        <w:rPr>
          <w:rFonts w:hint="eastAsia" w:ascii="仿宋_GB2312" w:hAnsi="仿宋_GB2312" w:eastAsia="仿宋_GB2312" w:cs="仿宋_GB2312"/>
          <w:bCs/>
          <w:spacing w:val="6"/>
          <w:sz w:val="32"/>
          <w:szCs w:val="32"/>
          <w:highlight w:val="none"/>
          <w:lang w:val="en-US" w:eastAsia="zh-CN"/>
        </w:rPr>
        <w:t>不</w:t>
      </w:r>
      <w:r>
        <w:rPr>
          <w:rFonts w:hint="eastAsia" w:ascii="仿宋_GB2312" w:hAnsi="仿宋_GB2312" w:eastAsia="仿宋_GB2312" w:cs="仿宋_GB2312"/>
          <w:bCs/>
          <w:spacing w:val="6"/>
          <w:sz w:val="32"/>
          <w:szCs w:val="32"/>
          <w:highlight w:val="none"/>
          <w:lang w:val="zh-CN" w:eastAsia="zh-CN"/>
        </w:rPr>
        <w:t>合规，</w:t>
      </w:r>
      <w:r>
        <w:rPr>
          <w:rFonts w:hint="eastAsia" w:ascii="仿宋_GB2312" w:hAnsi="仿宋_GB2312" w:eastAsia="仿宋_GB2312" w:cs="仿宋_GB2312"/>
          <w:sz w:val="32"/>
          <w:szCs w:val="32"/>
          <w:lang w:val="zh-CN" w:eastAsia="zh-CN"/>
        </w:rPr>
        <w:t>存在挤占资金的情况</w:t>
      </w:r>
    </w:p>
    <w:p>
      <w:pPr>
        <w:widowControl w:val="0"/>
        <w:adjustRightInd w:val="0"/>
        <w:spacing w:beforeLines="0" w:line="590" w:lineRule="exact"/>
        <w:ind w:firstLine="640" w:firstLineChars="200"/>
        <w:jc w:val="both"/>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zh-CN" w:eastAsia="zh-CN"/>
        </w:rPr>
        <w:t>根据区财政局《关于下达2021年财政预算指标的通知》（云财字〔2021〕2号）文件，区综合执法大队2021年违法建筑拆除项目预算</w:t>
      </w:r>
      <w:r>
        <w:rPr>
          <w:rFonts w:hint="eastAsia" w:ascii="仿宋_GB2312" w:hAnsi="仿宋_GB2312" w:eastAsia="仿宋_GB2312" w:cs="仿宋_GB2312"/>
          <w:sz w:val="32"/>
          <w:szCs w:val="32"/>
          <w:lang w:val="en-US" w:eastAsia="zh-CN"/>
        </w:rPr>
        <w:t>指标</w:t>
      </w:r>
      <w:r>
        <w:rPr>
          <w:rFonts w:hint="eastAsia" w:ascii="仿宋_GB2312" w:hAnsi="仿宋_GB2312" w:eastAsia="仿宋_GB2312" w:cs="仿宋_GB2312"/>
          <w:sz w:val="32"/>
          <w:szCs w:val="32"/>
          <w:lang w:val="zh-CN" w:eastAsia="zh-CN"/>
        </w:rPr>
        <w:t>为431万元，</w:t>
      </w:r>
      <w:r>
        <w:rPr>
          <w:rFonts w:hint="eastAsia" w:ascii="仿宋_GB2312" w:hAnsi="仿宋_GB2312" w:eastAsia="仿宋_GB2312" w:cs="仿宋_GB2312"/>
          <w:sz w:val="32"/>
          <w:szCs w:val="32"/>
          <w:highlight w:val="none"/>
          <w:lang w:val="en-US" w:eastAsia="zh-CN"/>
        </w:rPr>
        <w:t>项目预算指标已全额下达，根据项目支付明细，实际用于支</w:t>
      </w:r>
      <w:r>
        <w:rPr>
          <w:rFonts w:hint="eastAsia" w:ascii="仿宋_GB2312" w:hAnsi="仿宋_GB2312" w:eastAsia="仿宋_GB2312" w:cs="仿宋_GB2312"/>
          <w:b w:val="0"/>
          <w:bCs w:val="0"/>
          <w:sz w:val="32"/>
          <w:szCs w:val="32"/>
          <w:highlight w:val="none"/>
          <w:lang w:val="en-US" w:eastAsia="zh-CN"/>
        </w:rPr>
        <w:t>付</w:t>
      </w:r>
      <w:r>
        <w:rPr>
          <w:rFonts w:hint="eastAsia" w:ascii="仿宋_GB2312" w:hAnsi="仿宋_GB2312" w:eastAsia="仿宋_GB2312" w:cs="仿宋_GB2312"/>
          <w:b w:val="0"/>
          <w:bCs w:val="0"/>
          <w:sz w:val="32"/>
          <w:szCs w:val="32"/>
          <w:lang w:val="zh-CN" w:eastAsia="zh-CN"/>
        </w:rPr>
        <w:t>2021违法建筑拆除项目</w:t>
      </w:r>
      <w:r>
        <w:rPr>
          <w:rFonts w:hint="eastAsia" w:ascii="仿宋_GB2312" w:hAnsi="仿宋_GB2312" w:eastAsia="仿宋_GB2312" w:cs="仿宋_GB2312"/>
          <w:b w:val="0"/>
          <w:bCs w:val="0"/>
          <w:sz w:val="32"/>
          <w:szCs w:val="32"/>
          <w:lang w:val="en-US" w:eastAsia="zh-CN"/>
        </w:rPr>
        <w:t>的资金为260.35万元，其他资金用于支付2020年项目资金渠口部分。</w:t>
      </w:r>
    </w:p>
    <w:p>
      <w:pPr>
        <w:widowControl w:val="0"/>
        <w:adjustRightInd w:val="0"/>
        <w:spacing w:beforeLines="0" w:line="590" w:lineRule="exact"/>
        <w:ind w:firstLine="664" w:firstLineChars="200"/>
        <w:jc w:val="both"/>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val="0"/>
          <w:spacing w:val="6"/>
          <w:kern w:val="2"/>
          <w:sz w:val="32"/>
          <w:szCs w:val="32"/>
          <w:highlight w:val="none"/>
          <w:lang w:val="zh-CN" w:eastAsia="zh-CN"/>
        </w:rPr>
        <w:t>主要原因系</w:t>
      </w:r>
      <w:r>
        <w:rPr>
          <w:rFonts w:hint="eastAsia" w:ascii="仿宋_GB2312" w:hAnsi="仿宋_GB2312" w:eastAsia="仿宋_GB2312" w:cs="仿宋_GB2312"/>
          <w:bCs w:val="0"/>
          <w:spacing w:val="6"/>
          <w:kern w:val="2"/>
          <w:sz w:val="32"/>
          <w:szCs w:val="32"/>
          <w:highlight w:val="none"/>
          <w:lang w:val="en-US" w:eastAsia="zh-CN"/>
        </w:rPr>
        <w:t>本项目为</w:t>
      </w:r>
      <w:r>
        <w:rPr>
          <w:rFonts w:hint="eastAsia" w:ascii="仿宋_GB2312" w:hAnsi="仿宋_GB2312" w:eastAsia="仿宋_GB2312" w:cs="仿宋_GB2312"/>
          <w:sz w:val="32"/>
          <w:szCs w:val="32"/>
          <w:lang w:val="en-US" w:eastAsia="zh-CN"/>
        </w:rPr>
        <w:t>长期项目，项目预算指标与实际完成工作量不匹配，每年存在大量的资金缺口，针对资金缺口部分，形成滚动式资金支付使用。</w:t>
      </w:r>
    </w:p>
    <w:p>
      <w:pPr>
        <w:widowControl w:val="0"/>
        <w:numPr>
          <w:ilvl w:val="0"/>
          <w:numId w:val="2"/>
        </w:numPr>
        <w:adjustRightInd w:val="0"/>
        <w:spacing w:beforeLines="0" w:line="590" w:lineRule="exact"/>
        <w:ind w:left="-10" w:firstLine="664" w:firstLineChars="200"/>
        <w:jc w:val="both"/>
        <w:outlineLvl w:val="9"/>
        <w:rPr>
          <w:rFonts w:hint="default"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成本超预算控制范围</w:t>
      </w:r>
    </w:p>
    <w:p>
      <w:pPr>
        <w:widowControl w:val="0"/>
        <w:numPr>
          <w:ilvl w:val="-1"/>
          <w:numId w:val="0"/>
        </w:numPr>
        <w:adjustRightInd w:val="0"/>
        <w:spacing w:beforeLines="0" w:line="590" w:lineRule="exact"/>
        <w:ind w:left="0" w:firstLine="664" w:firstLineChars="200"/>
        <w:jc w:val="both"/>
        <w:outlineLvl w:val="9"/>
        <w:rPr>
          <w:rFonts w:hint="eastAsia"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根据区财政局《关于下达2021年财政预算指标的通知》（云财字〔2021〕2号）文件，区综合执法大队2021年违法建筑拆除项目预算为431万元。根据2021年及2022年项目支付明细反映，该项目2021年实际产生总成本522.81万元，实际已支付522.81万元，其中2021年支付260.35万元，2022年支付262.46万元。</w:t>
      </w:r>
    </w:p>
    <w:p>
      <w:pPr>
        <w:widowControl w:val="0"/>
        <w:numPr>
          <w:ilvl w:val="-1"/>
          <w:numId w:val="0"/>
        </w:numPr>
        <w:adjustRightInd w:val="0"/>
        <w:spacing w:beforeLines="0" w:line="590" w:lineRule="exact"/>
        <w:ind w:left="0" w:firstLine="664" w:firstLineChars="200"/>
        <w:jc w:val="both"/>
        <w:outlineLvl w:val="9"/>
        <w:rPr>
          <w:rFonts w:hint="default"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val="0"/>
          <w:spacing w:val="6"/>
          <w:kern w:val="2"/>
          <w:sz w:val="32"/>
          <w:szCs w:val="32"/>
          <w:highlight w:val="none"/>
          <w:lang w:val="zh-CN" w:eastAsia="zh-CN"/>
        </w:rPr>
        <w:t>主要原因系</w:t>
      </w:r>
      <w:r>
        <w:rPr>
          <w:rFonts w:hint="eastAsia" w:ascii="仿宋_GB2312" w:hAnsi="仿宋_GB2312" w:eastAsia="仿宋_GB2312" w:cs="仿宋_GB2312"/>
          <w:sz w:val="32"/>
          <w:szCs w:val="32"/>
          <w:lang w:val="en-US" w:eastAsia="zh-CN"/>
        </w:rPr>
        <w:t>项目预算指标与实际完成工作量不匹配，为推动项目实施及完成当年目标任务，存在成本超预算控制范围。</w:t>
      </w:r>
    </w:p>
    <w:p>
      <w:pPr>
        <w:widowControl w:val="0"/>
        <w:adjustRightInd w:val="0"/>
        <w:spacing w:beforeLines="0" w:line="590" w:lineRule="exact"/>
        <w:ind w:firstLine="640" w:firstLineChars="200"/>
        <w:jc w:val="both"/>
        <w:outlineLvl w:val="1"/>
        <w:rPr>
          <w:rFonts w:ascii="仿宋_GB2312" w:hAnsi="仿宋_GB2312" w:eastAsia="仿宋_GB2312" w:cs="仿宋_GB2312"/>
          <w:bCs/>
          <w:spacing w:val="6"/>
          <w:sz w:val="32"/>
          <w:szCs w:val="32"/>
        </w:rPr>
      </w:pPr>
      <w:bookmarkStart w:id="233" w:name="_Toc12244"/>
      <w:bookmarkStart w:id="234" w:name="_Toc13851"/>
      <w:bookmarkStart w:id="235" w:name="_Toc6381"/>
      <w:bookmarkStart w:id="236" w:name="_Toc1262"/>
      <w:bookmarkStart w:id="237" w:name="_Toc16925"/>
      <w:bookmarkStart w:id="238" w:name="_Toc6506"/>
      <w:bookmarkStart w:id="239" w:name="_Toc6067"/>
      <w:bookmarkStart w:id="240" w:name="_Toc7898"/>
      <w:bookmarkStart w:id="241" w:name="_Toc14698"/>
      <w:r>
        <w:rPr>
          <w:rFonts w:hint="eastAsia" w:ascii="楷体_GB2312" w:hAnsi="楷体_GB2312" w:eastAsia="楷体_GB2312" w:cs="楷体_GB2312"/>
          <w:sz w:val="32"/>
          <w:szCs w:val="32"/>
          <w:lang w:val="en-US" w:eastAsia="zh-CN"/>
        </w:rPr>
        <w:t>（三）绩效管理</w:t>
      </w:r>
      <w:r>
        <w:rPr>
          <w:rFonts w:hint="eastAsia" w:ascii="楷体_GB2312" w:hAnsi="楷体_GB2312" w:eastAsia="楷体_GB2312" w:cs="楷体_GB2312"/>
          <w:sz w:val="32"/>
          <w:szCs w:val="32"/>
          <w:lang w:val="zh-CN" w:eastAsia="zh-CN"/>
        </w:rPr>
        <w:t>方面</w:t>
      </w:r>
      <w:bookmarkEnd w:id="233"/>
      <w:bookmarkEnd w:id="234"/>
      <w:bookmarkEnd w:id="235"/>
      <w:bookmarkEnd w:id="236"/>
      <w:bookmarkEnd w:id="237"/>
      <w:bookmarkEnd w:id="238"/>
      <w:bookmarkEnd w:id="239"/>
      <w:bookmarkEnd w:id="240"/>
      <w:bookmarkEnd w:id="241"/>
    </w:p>
    <w:p>
      <w:pPr>
        <w:widowControl w:val="0"/>
        <w:numPr>
          <w:ilvl w:val="0"/>
          <w:numId w:val="0"/>
        </w:numPr>
        <w:adjustRightInd/>
        <w:spacing w:beforeLines="0"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bCs/>
          <w:spacing w:val="6"/>
          <w:sz w:val="32"/>
          <w:szCs w:val="32"/>
          <w:highlight w:val="none"/>
          <w:lang w:val="en-US" w:eastAsia="zh-CN"/>
        </w:rPr>
        <w:t>1</w:t>
      </w:r>
      <w:r>
        <w:rPr>
          <w:rFonts w:hint="eastAsia" w:ascii="仿宋_GB2312" w:hAnsi="仿宋_GB2312" w:eastAsia="仿宋_GB2312" w:cs="仿宋_GB2312"/>
          <w:bCs/>
          <w:spacing w:val="6"/>
          <w:sz w:val="32"/>
          <w:szCs w:val="32"/>
          <w:highlight w:val="none"/>
          <w:lang w:val="zh-CN" w:eastAsia="zh-CN"/>
        </w:rPr>
        <w:t>．</w:t>
      </w:r>
      <w:r>
        <w:rPr>
          <w:rFonts w:hint="eastAsia" w:ascii="仿宋_GB2312" w:hAnsi="仿宋_GB2312" w:eastAsia="仿宋_GB2312" w:cs="仿宋_GB2312"/>
          <w:spacing w:val="6"/>
          <w:sz w:val="32"/>
          <w:szCs w:val="32"/>
          <w:lang w:val="en-US" w:eastAsia="zh-CN"/>
        </w:rPr>
        <w:t>绩效自评不够规范、内容不够完善</w:t>
      </w:r>
    </w:p>
    <w:p>
      <w:pPr>
        <w:widowControl w:val="0"/>
        <w:numPr>
          <w:ilvl w:val="0"/>
          <w:numId w:val="0"/>
        </w:numPr>
        <w:adjustRightInd/>
        <w:spacing w:beforeLines="0" w:line="590" w:lineRule="exact"/>
        <w:ind w:firstLine="664" w:firstLineChars="200"/>
        <w:jc w:val="both"/>
        <w:rPr>
          <w:rFonts w:hint="default" w:ascii="仿宋_GB2312" w:hAnsi="仿宋_GB2312" w:eastAsia="仿宋_GB2312" w:cs="仿宋_GB2312"/>
          <w:bCs/>
          <w:spacing w:val="6"/>
          <w:sz w:val="32"/>
          <w:szCs w:val="32"/>
          <w:lang w:val="en-US" w:eastAsia="zh-CN"/>
        </w:rPr>
      </w:pPr>
      <w:r>
        <w:rPr>
          <w:rFonts w:hint="eastAsia" w:ascii="仿宋_GB2312" w:hAnsi="仿宋_GB2312" w:eastAsia="仿宋_GB2312" w:cs="仿宋_GB2312"/>
          <w:spacing w:val="6"/>
          <w:sz w:val="32"/>
          <w:szCs w:val="32"/>
          <w:highlight w:val="none"/>
        </w:rPr>
        <w:t>截至现场评价结束日，</w:t>
      </w:r>
      <w:r>
        <w:rPr>
          <w:rFonts w:hint="eastAsia" w:ascii="仿宋_GB2312" w:hAnsi="仿宋_GB2312" w:eastAsia="仿宋_GB2312" w:cs="仿宋_GB2312"/>
          <w:spacing w:val="6"/>
          <w:sz w:val="32"/>
          <w:szCs w:val="32"/>
          <w:lang w:val="en-US" w:eastAsia="zh-CN"/>
        </w:rPr>
        <w:t>区综合执法大队</w:t>
      </w:r>
      <w:r>
        <w:rPr>
          <w:rFonts w:hint="eastAsia" w:ascii="仿宋_GB2312" w:hAnsi="仿宋_GB2312" w:eastAsia="仿宋_GB2312" w:cs="仿宋_GB2312"/>
          <w:spacing w:val="6"/>
          <w:sz w:val="32"/>
          <w:szCs w:val="32"/>
          <w:highlight w:val="none"/>
        </w:rPr>
        <w:t>向评价小组提交</w:t>
      </w:r>
      <w:r>
        <w:rPr>
          <w:rFonts w:hint="eastAsia" w:ascii="仿宋_GB2312" w:hAnsi="仿宋_GB2312" w:eastAsia="仿宋_GB2312" w:cs="仿宋_GB2312"/>
          <w:spacing w:val="6"/>
          <w:sz w:val="32"/>
          <w:szCs w:val="32"/>
          <w:highlight w:val="none"/>
          <w:lang w:val="en-US" w:eastAsia="zh-CN"/>
        </w:rPr>
        <w:t>2021</w:t>
      </w:r>
      <w:r>
        <w:rPr>
          <w:rFonts w:hint="eastAsia" w:ascii="仿宋_GB2312" w:hAnsi="仿宋_GB2312" w:eastAsia="仿宋_GB2312" w:cs="仿宋_GB2312"/>
          <w:spacing w:val="6"/>
          <w:sz w:val="32"/>
          <w:szCs w:val="32"/>
          <w:highlight w:val="none"/>
        </w:rPr>
        <w:t>年</w:t>
      </w:r>
      <w:r>
        <w:rPr>
          <w:rFonts w:hint="eastAsia" w:ascii="仿宋_GB2312" w:hAnsi="仿宋_GB2312" w:eastAsia="仿宋_GB2312" w:cs="仿宋_GB2312"/>
          <w:spacing w:val="6"/>
          <w:sz w:val="32"/>
          <w:szCs w:val="32"/>
          <w:highlight w:val="none"/>
          <w:lang w:val="en-US" w:eastAsia="zh-CN"/>
        </w:rPr>
        <w:t>项目</w:t>
      </w:r>
      <w:r>
        <w:rPr>
          <w:rFonts w:hint="eastAsia" w:ascii="仿宋_GB2312" w:hAnsi="仿宋_GB2312" w:eastAsia="仿宋_GB2312" w:cs="仿宋_GB2312"/>
          <w:spacing w:val="6"/>
          <w:sz w:val="32"/>
          <w:szCs w:val="32"/>
          <w:highlight w:val="none"/>
        </w:rPr>
        <w:t>支出绩效自评表，</w:t>
      </w:r>
      <w:r>
        <w:rPr>
          <w:rFonts w:hint="eastAsia" w:ascii="仿宋_GB2312" w:hAnsi="仿宋_GB2312" w:eastAsia="仿宋_GB2312" w:cs="仿宋_GB2312"/>
          <w:sz w:val="32"/>
          <w:szCs w:val="32"/>
          <w:lang w:val="en-US" w:eastAsia="zh-CN"/>
        </w:rPr>
        <w:t>绩效自评工作</w:t>
      </w:r>
      <w:r>
        <w:rPr>
          <w:rFonts w:hint="eastAsia" w:ascii="仿宋_GB2312" w:hAnsi="仿宋_GB2312" w:eastAsia="仿宋_GB2312" w:cs="仿宋_GB2312"/>
          <w:spacing w:val="6"/>
          <w:sz w:val="32"/>
          <w:szCs w:val="32"/>
          <w:lang w:val="en-US" w:eastAsia="zh-CN"/>
        </w:rPr>
        <w:t>从项目产出、效益2个方面对</w:t>
      </w:r>
      <w:r>
        <w:rPr>
          <w:rFonts w:hint="eastAsia" w:ascii="仿宋_GB2312" w:hAnsi="仿宋_GB2312" w:eastAsia="仿宋_GB2312" w:cs="仿宋_GB2312"/>
          <w:spacing w:val="6"/>
          <w:sz w:val="32"/>
          <w:szCs w:val="32"/>
        </w:rPr>
        <w:t>20</w:t>
      </w:r>
      <w:r>
        <w:rPr>
          <w:rFonts w:hint="eastAsia" w:ascii="仿宋_GB2312" w:hAnsi="仿宋_GB2312" w:eastAsia="仿宋_GB2312" w:cs="仿宋_GB2312"/>
          <w:spacing w:val="6"/>
          <w:sz w:val="32"/>
          <w:szCs w:val="32"/>
          <w:lang w:val="en-US" w:eastAsia="zh-CN"/>
        </w:rPr>
        <w:t>21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违法建筑拆除项目开展绩效自评工作，反映了2021年项目的实施成效</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绩效自评结果尚不能单独直观地反映</w:t>
      </w:r>
      <w:r>
        <w:rPr>
          <w:rFonts w:hint="eastAsia" w:ascii="仿宋_GB2312" w:hAnsi="仿宋_GB2312" w:eastAsia="仿宋_GB2312" w:cs="仿宋_GB2312"/>
          <w:spacing w:val="6"/>
          <w:sz w:val="32"/>
          <w:szCs w:val="32"/>
        </w:rPr>
        <w:t>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年预算资金使用成效</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且绩效自评表未明确项目年度总体目标及实施完成情况，也未编制其项目自评报告，其绩效自评内容不完全符合</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筑党办发〔2020〕2 号</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等文件要求</w:t>
      </w:r>
      <w:r>
        <w:rPr>
          <w:rFonts w:hint="eastAsia" w:ascii="仿宋_GB2312" w:hAnsi="仿宋_GB2312" w:eastAsia="仿宋_GB2312" w:cs="仿宋_GB2312"/>
          <w:spacing w:val="6"/>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beforeLines="0" w:line="590" w:lineRule="exact"/>
        <w:ind w:firstLine="664" w:firstLineChars="200"/>
        <w:textAlignment w:val="auto"/>
        <w:rPr>
          <w:rFonts w:hint="eastAsia" w:ascii="仿宋_GB2312" w:hAnsi="仿宋_GB2312" w:eastAsia="仿宋_GB2312" w:cs="仿宋_GB2312"/>
          <w:bCs/>
          <w:spacing w:val="6"/>
          <w:sz w:val="32"/>
          <w:szCs w:val="32"/>
          <w:highlight w:val="none"/>
          <w:lang w:val="en-US" w:eastAsia="zh-CN"/>
        </w:rPr>
      </w:pPr>
      <w:bookmarkStart w:id="242" w:name="_Toc14926"/>
      <w:bookmarkStart w:id="243" w:name="_Toc1253"/>
      <w:bookmarkStart w:id="244" w:name="_Toc18641"/>
      <w:bookmarkStart w:id="245" w:name="_Toc12627"/>
      <w:bookmarkStart w:id="246" w:name="_Toc11877"/>
      <w:bookmarkStart w:id="247" w:name="_Toc30801"/>
      <w:bookmarkStart w:id="248" w:name="_Toc32484"/>
      <w:bookmarkStart w:id="249" w:name="_Toc41306291"/>
      <w:bookmarkStart w:id="250" w:name="_Toc2626"/>
      <w:bookmarkStart w:id="251" w:name="_Toc29124"/>
      <w:bookmarkStart w:id="252" w:name="_Toc11161"/>
      <w:bookmarkStart w:id="253" w:name="_Toc8981"/>
      <w:r>
        <w:rPr>
          <w:rFonts w:hint="eastAsia" w:ascii="仿宋_GB2312" w:hAnsi="仿宋_GB2312" w:eastAsia="仿宋_GB2312" w:cs="仿宋_GB2312"/>
          <w:bCs/>
          <w:spacing w:val="6"/>
          <w:sz w:val="32"/>
          <w:szCs w:val="32"/>
          <w:highlight w:val="none"/>
          <w:lang w:val="en-US" w:eastAsia="zh-CN"/>
        </w:rPr>
        <w:t>2．部分指标设置不全面，或未通过清晰、可衡量的指标值予以体现</w:t>
      </w:r>
    </w:p>
    <w:p>
      <w:pPr>
        <w:widowControl w:val="0"/>
        <w:numPr>
          <w:ilvl w:val="0"/>
          <w:numId w:val="0"/>
        </w:numPr>
        <w:spacing w:beforeLines="0" w:line="590" w:lineRule="exact"/>
        <w:ind w:firstLine="664" w:firstLineChars="200"/>
        <w:jc w:val="both"/>
        <w:rPr>
          <w:rFonts w:hint="eastAsia" w:ascii="仿宋_GB2312" w:hAnsi="仿宋_GB2312" w:eastAsia="仿宋_GB2312" w:cs="仿宋_GB2312"/>
          <w:bCs w:val="0"/>
          <w:spacing w:val="6"/>
          <w:sz w:val="32"/>
          <w:szCs w:val="32"/>
          <w:highlight w:val="none"/>
          <w:lang w:val="zh-CN" w:eastAsia="zh-CN"/>
        </w:rPr>
      </w:pPr>
      <w:r>
        <w:rPr>
          <w:rFonts w:hint="eastAsia" w:ascii="仿宋_GB2312" w:hAnsi="仿宋_GB2312" w:eastAsia="仿宋_GB2312" w:cs="仿宋_GB2312"/>
          <w:bCs w:val="0"/>
          <w:spacing w:val="6"/>
          <w:sz w:val="32"/>
          <w:szCs w:val="32"/>
          <w:highlight w:val="none"/>
          <w:lang w:val="en-US" w:eastAsia="zh-CN"/>
        </w:rPr>
        <w:t>该项目目标计划已细化分解为具体的绩效指标，但</w:t>
      </w:r>
      <w:r>
        <w:rPr>
          <w:rFonts w:hint="eastAsia" w:ascii="仿宋_GB2312" w:hAnsi="仿宋_GB2312" w:eastAsia="仿宋_GB2312" w:cs="仿宋_GB2312"/>
          <w:spacing w:val="6"/>
          <w:sz w:val="32"/>
          <w:szCs w:val="32"/>
          <w:highlight w:val="none"/>
        </w:rPr>
        <w:t>部分绩效指标及指标值设置不合理</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bCs w:val="0"/>
          <w:spacing w:val="6"/>
          <w:sz w:val="32"/>
          <w:szCs w:val="32"/>
          <w:highlight w:val="none"/>
          <w:lang w:val="zh-CN" w:eastAsia="zh-CN"/>
        </w:rPr>
        <w:t>未通过清晰、可衡量的指标值予以体现</w:t>
      </w:r>
      <w:r>
        <w:rPr>
          <w:rFonts w:hint="eastAsia" w:ascii="仿宋_GB2312" w:hAnsi="仿宋_GB2312" w:eastAsia="仿宋_GB2312" w:cs="仿宋_GB2312"/>
          <w:spacing w:val="6"/>
          <w:sz w:val="32"/>
          <w:szCs w:val="32"/>
          <w:highlight w:val="none"/>
          <w:lang w:val="en-US" w:eastAsia="zh-CN"/>
        </w:rPr>
        <w:t>，</w:t>
      </w:r>
      <w:r>
        <w:rPr>
          <w:rFonts w:hint="eastAsia" w:ascii="仿宋_GB2312" w:hAnsi="仿宋_GB2312" w:eastAsia="仿宋_GB2312" w:cs="仿宋_GB2312"/>
          <w:spacing w:val="6"/>
          <w:sz w:val="32"/>
          <w:szCs w:val="32"/>
          <w:highlight w:val="none"/>
        </w:rPr>
        <w:t>如</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数量指标仅有</w:t>
      </w:r>
      <w:r>
        <w:rPr>
          <w:rFonts w:hint="eastAsia" w:ascii="仿宋_GB2312" w:hAnsi="仿宋_GB2312" w:eastAsia="仿宋_GB2312" w:cs="仿宋_GB2312"/>
          <w:spacing w:val="6"/>
          <w:sz w:val="32"/>
          <w:szCs w:val="32"/>
          <w:highlight w:val="none"/>
          <w:lang w:val="en-US" w:eastAsia="zh-CN"/>
        </w:rPr>
        <w:t>2021年</w:t>
      </w:r>
      <w:r>
        <w:rPr>
          <w:rFonts w:hint="eastAsia" w:ascii="仿宋_GB2312" w:hAnsi="仿宋_GB2312" w:eastAsia="仿宋_GB2312" w:cs="仿宋_GB2312"/>
          <w:spacing w:val="6"/>
          <w:sz w:val="32"/>
          <w:szCs w:val="32"/>
          <w:highlight w:val="none"/>
        </w:rPr>
        <w:t>拆违平方数</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lang w:val="en-US" w:eastAsia="zh-CN"/>
        </w:rPr>
        <w:t>未设置2021年新增管控</w:t>
      </w:r>
      <w:r>
        <w:rPr>
          <w:rFonts w:hint="eastAsia" w:ascii="仿宋_GB2312" w:hAnsi="仿宋_GB2312" w:eastAsia="仿宋_GB2312" w:cs="仿宋_GB2312"/>
          <w:spacing w:val="6"/>
          <w:sz w:val="32"/>
          <w:szCs w:val="32"/>
          <w:highlight w:val="none"/>
        </w:rPr>
        <w:t>数</w:t>
      </w:r>
      <w:r>
        <w:rPr>
          <w:rFonts w:hint="eastAsia" w:ascii="仿宋_GB2312" w:hAnsi="仿宋_GB2312" w:eastAsia="仿宋_GB2312" w:cs="仿宋_GB2312"/>
          <w:spacing w:val="6"/>
          <w:sz w:val="32"/>
          <w:szCs w:val="32"/>
          <w:highlight w:val="none"/>
          <w:lang w:val="en-US" w:eastAsia="zh-CN"/>
        </w:rPr>
        <w:t>等</w:t>
      </w:r>
      <w:r>
        <w:rPr>
          <w:rFonts w:hint="eastAsia" w:ascii="仿宋_GB2312" w:hAnsi="仿宋_GB2312" w:eastAsia="仿宋_GB2312" w:cs="仿宋_GB2312"/>
          <w:spacing w:val="6"/>
          <w:sz w:val="32"/>
          <w:szCs w:val="32"/>
          <w:highlight w:val="none"/>
        </w:rPr>
        <w:t>绩效指标</w:t>
      </w:r>
      <w:r>
        <w:rPr>
          <w:rFonts w:hint="eastAsia" w:ascii="仿宋_GB2312" w:hAnsi="仿宋_GB2312" w:eastAsia="仿宋_GB2312" w:cs="仿宋_GB2312"/>
          <w:spacing w:val="6"/>
          <w:sz w:val="32"/>
          <w:szCs w:val="32"/>
          <w:highlight w:val="none"/>
          <w:lang w:val="en-US" w:eastAsia="zh-CN"/>
        </w:rPr>
        <w:t>，且社会效益中执法工作能力、居民生活环境、市容秩序管控能力等指标值的完成值为达成预期指标，未</w:t>
      </w:r>
      <w:r>
        <w:rPr>
          <w:rFonts w:hint="eastAsia" w:ascii="仿宋_GB2312" w:hAnsi="仿宋_GB2312" w:eastAsia="仿宋_GB2312" w:cs="仿宋_GB2312"/>
          <w:bCs w:val="0"/>
          <w:spacing w:val="6"/>
          <w:sz w:val="32"/>
          <w:szCs w:val="32"/>
          <w:highlight w:val="none"/>
          <w:lang w:val="zh-CN" w:eastAsia="zh-CN"/>
        </w:rPr>
        <w:t>通过可衡量的指标值予以体现。</w:t>
      </w:r>
    </w:p>
    <w:p>
      <w:pPr>
        <w:widowControl w:val="0"/>
        <w:adjustRightInd w:val="0"/>
        <w:spacing w:beforeLines="0" w:line="590" w:lineRule="exact"/>
        <w:ind w:firstLine="664" w:firstLineChars="200"/>
        <w:jc w:val="both"/>
        <w:outlineLvl w:val="9"/>
        <w:rPr>
          <w:rFonts w:hint="eastAsia" w:ascii="仿宋_GB2312" w:hAnsi="仿宋_GB2312" w:eastAsia="仿宋_GB2312" w:cs="仿宋_GB2312"/>
          <w:bCs w:val="0"/>
          <w:spacing w:val="6"/>
          <w:sz w:val="32"/>
          <w:szCs w:val="32"/>
          <w:highlight w:val="none"/>
          <w:lang w:val="zh-CN" w:eastAsia="zh-CN"/>
        </w:rPr>
      </w:pPr>
      <w:r>
        <w:rPr>
          <w:rFonts w:hint="default" w:ascii="仿宋_GB2312" w:hAnsi="仿宋_GB2312" w:eastAsia="仿宋_GB2312" w:cs="仿宋_GB2312"/>
          <w:bCs/>
          <w:spacing w:val="6"/>
          <w:sz w:val="32"/>
          <w:szCs w:val="32"/>
          <w:highlight w:val="none"/>
          <w:lang w:val="en-US" w:eastAsia="zh-CN"/>
        </w:rPr>
        <w:t>主要原因</w:t>
      </w:r>
      <w:r>
        <w:rPr>
          <w:rFonts w:hint="eastAsia" w:ascii="仿宋_GB2312" w:hAnsi="仿宋_GB2312" w:eastAsia="仿宋_GB2312" w:cs="仿宋_GB2312"/>
          <w:bCs/>
          <w:spacing w:val="6"/>
          <w:sz w:val="32"/>
          <w:szCs w:val="32"/>
          <w:highlight w:val="none"/>
          <w:lang w:val="en-US" w:eastAsia="zh-CN"/>
        </w:rPr>
        <w:t>系对《中共中央 国务院关于全面实施预算绩效管理的意见》（中发〔2018〕34号）和《省财政厅关于批复2018年度省级主管部门项目支出绩效目标的通知》（黔财绩〔2018〕1号）等文件学习不够深入，政策落实力度不够，对预算绩效管理政策制度及财政资金支出绩效指标体系研究不够深入、全面。</w:t>
      </w:r>
    </w:p>
    <w:p>
      <w:pPr>
        <w:pStyle w:val="4"/>
        <w:widowControl w:val="0"/>
        <w:spacing w:beforeLines="0" w:line="590" w:lineRule="exact"/>
        <w:ind w:firstLine="664" w:firstLineChars="200"/>
        <w:jc w:val="both"/>
        <w:outlineLvl w:val="0"/>
        <w:rPr>
          <w:rFonts w:hint="eastAsia" w:ascii="黑体" w:hAnsi="黑体" w:eastAsia="黑体" w:cs="黑体"/>
          <w:spacing w:val="6"/>
          <w:sz w:val="32"/>
          <w:szCs w:val="32"/>
          <w:lang w:val="zh-CN"/>
        </w:rPr>
      </w:pPr>
      <w:bookmarkStart w:id="254" w:name="_Toc7782"/>
      <w:bookmarkStart w:id="255" w:name="_Toc18322"/>
      <w:bookmarkStart w:id="256" w:name="_Toc27612"/>
      <w:bookmarkStart w:id="257" w:name="_Toc31566"/>
      <w:bookmarkStart w:id="258" w:name="_Toc8193"/>
      <w:bookmarkStart w:id="259" w:name="_Toc16463"/>
      <w:bookmarkStart w:id="260" w:name="_Toc31625"/>
      <w:bookmarkStart w:id="261" w:name="_Toc4873"/>
      <w:r>
        <w:rPr>
          <w:rFonts w:hint="eastAsia" w:cs="黑体"/>
          <w:spacing w:val="6"/>
          <w:sz w:val="32"/>
          <w:szCs w:val="32"/>
          <w:lang w:val="en-US" w:eastAsia="zh-CN"/>
        </w:rPr>
        <w:t>四</w:t>
      </w:r>
      <w:r>
        <w:rPr>
          <w:rFonts w:hint="eastAsia" w:ascii="黑体" w:hAnsi="黑体" w:eastAsia="黑体" w:cs="黑体"/>
          <w:spacing w:val="6"/>
          <w:sz w:val="32"/>
          <w:szCs w:val="32"/>
          <w:lang w:val="en-US" w:eastAsia="zh-CN"/>
        </w:rPr>
        <w:t>、</w:t>
      </w:r>
      <w:r>
        <w:rPr>
          <w:rFonts w:hint="eastAsia"/>
        </w:rPr>
        <w:t>针对问题提出的建议</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pPr>
        <w:widowControl w:val="0"/>
        <w:numPr>
          <w:ilvl w:val="-1"/>
          <w:numId w:val="0"/>
        </w:numPr>
        <w:spacing w:beforeLines="0" w:line="590" w:lineRule="exact"/>
        <w:ind w:firstLine="664" w:firstLineChars="200"/>
        <w:jc w:val="both"/>
        <w:outlineLvl w:val="1"/>
        <w:rPr>
          <w:rFonts w:hint="eastAsia" w:ascii="楷体_GB2312" w:hAnsi="楷体_GB2312" w:eastAsia="楷体_GB2312" w:cs="楷体_GB2312"/>
          <w:spacing w:val="6"/>
          <w:sz w:val="32"/>
          <w:szCs w:val="32"/>
        </w:rPr>
      </w:pPr>
      <w:bookmarkStart w:id="262" w:name="_Toc22218"/>
      <w:bookmarkStart w:id="263" w:name="_Toc14988"/>
      <w:bookmarkStart w:id="264" w:name="_Toc26231"/>
      <w:bookmarkStart w:id="265" w:name="_Toc13137"/>
      <w:bookmarkStart w:id="266" w:name="_Toc940"/>
      <w:r>
        <w:rPr>
          <w:rFonts w:hint="eastAsia" w:ascii="楷体_GB2312" w:hAnsi="楷体_GB2312" w:eastAsia="楷体_GB2312" w:cs="楷体_GB2312"/>
          <w:spacing w:val="6"/>
          <w:sz w:val="32"/>
          <w:szCs w:val="32"/>
          <w:lang w:val="zh-CN"/>
        </w:rPr>
        <w:t>（</w:t>
      </w:r>
      <w:r>
        <w:rPr>
          <w:rFonts w:hint="eastAsia" w:ascii="楷体_GB2312" w:hAnsi="楷体_GB2312" w:eastAsia="楷体_GB2312" w:cs="楷体_GB2312"/>
          <w:spacing w:val="6"/>
          <w:sz w:val="32"/>
          <w:szCs w:val="32"/>
          <w:lang w:val="en-US" w:eastAsia="zh-CN"/>
        </w:rPr>
        <w:t>一</w:t>
      </w:r>
      <w:r>
        <w:rPr>
          <w:rFonts w:hint="eastAsia" w:ascii="楷体_GB2312" w:hAnsi="楷体_GB2312" w:eastAsia="楷体_GB2312" w:cs="楷体_GB2312"/>
          <w:spacing w:val="6"/>
          <w:sz w:val="32"/>
          <w:szCs w:val="32"/>
          <w:lang w:val="zh-CN"/>
        </w:rPr>
        <w:t>）</w:t>
      </w:r>
      <w:r>
        <w:rPr>
          <w:rFonts w:hint="eastAsia" w:ascii="楷体_GB2312" w:hAnsi="楷体_GB2312" w:eastAsia="楷体_GB2312" w:cs="楷体_GB2312"/>
          <w:spacing w:val="6"/>
          <w:sz w:val="32"/>
          <w:szCs w:val="32"/>
        </w:rPr>
        <w:t>预算管理方面</w:t>
      </w:r>
      <w:bookmarkEnd w:id="262"/>
      <w:bookmarkEnd w:id="263"/>
      <w:bookmarkEnd w:id="264"/>
      <w:bookmarkEnd w:id="265"/>
      <w:bookmarkEnd w:id="266"/>
    </w:p>
    <w:p>
      <w:pPr>
        <w:widowControl w:val="0"/>
        <w:adjustRightInd w:val="0"/>
        <w:spacing w:line="590" w:lineRule="exact"/>
        <w:ind w:firstLine="664" w:firstLineChars="200"/>
        <w:jc w:val="both"/>
        <w:outlineLvl w:val="9"/>
        <w:rPr>
          <w:rFonts w:hint="eastAsia" w:ascii="仿宋_GB2312" w:hAnsi="仿宋_GB2312" w:eastAsia="仿宋_GB2312" w:cs="仿宋_GB2312"/>
          <w:spacing w:val="6"/>
          <w:sz w:val="32"/>
          <w:szCs w:val="32"/>
          <w:lang w:eastAsia="zh-CN"/>
        </w:rPr>
      </w:pPr>
      <w:r>
        <w:rPr>
          <w:rFonts w:hint="default" w:ascii="仿宋_GB2312" w:hAnsi="仿宋_GB2312" w:eastAsia="仿宋_GB2312" w:cs="仿宋_GB2312"/>
          <w:bCs/>
          <w:spacing w:val="6"/>
          <w:sz w:val="32"/>
          <w:szCs w:val="32"/>
          <w:highlight w:val="none"/>
          <w:lang w:val="en-US" w:eastAsia="zh-CN"/>
        </w:rPr>
        <w:t>建议</w:t>
      </w:r>
      <w:r>
        <w:rPr>
          <w:rFonts w:hint="eastAsia" w:ascii="仿宋_GB2312" w:hAnsi="仿宋_GB2312" w:eastAsia="仿宋_GB2312" w:cs="仿宋_GB2312"/>
          <w:spacing w:val="6"/>
          <w:sz w:val="32"/>
          <w:szCs w:val="32"/>
          <w:lang w:val="en-US" w:eastAsia="zh-CN"/>
        </w:rPr>
        <w:t>区综合执法大队</w:t>
      </w:r>
      <w:r>
        <w:rPr>
          <w:rFonts w:hint="default" w:ascii="仿宋_GB2312" w:hAnsi="仿宋_GB2312" w:eastAsia="仿宋_GB2312" w:cs="仿宋_GB2312"/>
          <w:bCs/>
          <w:spacing w:val="6"/>
          <w:sz w:val="32"/>
          <w:szCs w:val="32"/>
          <w:highlight w:val="none"/>
          <w:lang w:val="en-US" w:eastAsia="zh-CN"/>
        </w:rPr>
        <w:t>在以后年度申报预算时，</w:t>
      </w:r>
      <w:r>
        <w:rPr>
          <w:rFonts w:hint="eastAsia" w:ascii="仿宋_GB2312" w:hAnsi="仿宋_GB2312" w:eastAsia="仿宋_GB2312" w:cs="仿宋_GB2312"/>
          <w:bCs w:val="0"/>
          <w:spacing w:val="0"/>
          <w:sz w:val="32"/>
          <w:szCs w:val="32"/>
          <w:lang w:val="en-US" w:eastAsia="zh-CN"/>
        </w:rPr>
        <w:t>明确项目预算投资额与实际工作任务的资金匹配性，</w:t>
      </w:r>
      <w:r>
        <w:rPr>
          <w:rFonts w:hint="eastAsia" w:ascii="仿宋_GB2312" w:hAnsi="仿宋_GB2312" w:eastAsia="仿宋_GB2312" w:cs="仿宋_GB2312"/>
          <w:bCs/>
          <w:spacing w:val="6"/>
          <w:sz w:val="32"/>
          <w:szCs w:val="32"/>
          <w:highlight w:val="none"/>
          <w:lang w:val="en-US" w:eastAsia="zh-CN"/>
        </w:rPr>
        <w:t>合理编制预算</w:t>
      </w:r>
      <w:r>
        <w:rPr>
          <w:rFonts w:hint="default" w:ascii="仿宋_GB2312" w:hAnsi="仿宋_GB2312" w:eastAsia="仿宋_GB2312" w:cs="仿宋_GB2312"/>
          <w:bCs/>
          <w:spacing w:val="6"/>
          <w:sz w:val="32"/>
          <w:szCs w:val="32"/>
          <w:highlight w:val="none"/>
          <w:lang w:val="en-US" w:eastAsia="zh-CN"/>
        </w:rPr>
        <w:t>，同时，加强预算编制培训工作，提高预算编制的科学性。</w:t>
      </w:r>
    </w:p>
    <w:p>
      <w:pPr>
        <w:widowControl w:val="0"/>
        <w:numPr>
          <w:ilvl w:val="0"/>
          <w:numId w:val="0"/>
        </w:numPr>
        <w:adjustRightInd/>
        <w:spacing w:beforeLines="0" w:line="590" w:lineRule="exact"/>
        <w:ind w:firstLine="664" w:firstLineChars="200"/>
        <w:jc w:val="both"/>
        <w:outlineLvl w:val="1"/>
        <w:rPr>
          <w:rFonts w:hint="eastAsia" w:ascii="楷体_GB2312" w:hAnsi="楷体_GB2312" w:eastAsia="楷体_GB2312" w:cs="楷体_GB2312"/>
          <w:spacing w:val="6"/>
          <w:sz w:val="32"/>
          <w:szCs w:val="32"/>
          <w:lang w:val="zh-CN" w:eastAsia="zh-CN"/>
        </w:rPr>
      </w:pPr>
      <w:bookmarkStart w:id="267" w:name="_Toc22383"/>
      <w:bookmarkStart w:id="268" w:name="_Toc27454"/>
      <w:bookmarkStart w:id="269" w:name="_Toc16874"/>
      <w:bookmarkStart w:id="270" w:name="_Toc23311"/>
      <w:bookmarkStart w:id="271" w:name="_Toc16389"/>
      <w:bookmarkStart w:id="272" w:name="_Toc20928"/>
      <w:bookmarkStart w:id="273" w:name="_Toc32191"/>
      <w:bookmarkStart w:id="274" w:name="_Toc30704"/>
      <w:bookmarkStart w:id="275" w:name="_Toc25965"/>
      <w:r>
        <w:rPr>
          <w:rFonts w:hint="eastAsia" w:ascii="楷体_GB2312" w:hAnsi="楷体_GB2312" w:eastAsia="楷体_GB2312" w:cs="楷体_GB2312"/>
          <w:spacing w:val="6"/>
          <w:sz w:val="32"/>
          <w:szCs w:val="32"/>
          <w:lang w:val="zh-CN"/>
        </w:rPr>
        <w:t>（</w:t>
      </w:r>
      <w:r>
        <w:rPr>
          <w:rFonts w:hint="eastAsia" w:ascii="楷体_GB2312" w:hAnsi="楷体_GB2312" w:eastAsia="楷体_GB2312" w:cs="楷体_GB2312"/>
          <w:spacing w:val="6"/>
          <w:sz w:val="32"/>
          <w:szCs w:val="32"/>
          <w:lang w:val="zh-CN" w:eastAsia="zh-CN"/>
        </w:rPr>
        <w:t>二</w:t>
      </w:r>
      <w:r>
        <w:rPr>
          <w:rFonts w:hint="eastAsia" w:ascii="楷体_GB2312" w:hAnsi="楷体_GB2312" w:eastAsia="楷体_GB2312" w:cs="楷体_GB2312"/>
          <w:spacing w:val="6"/>
          <w:sz w:val="32"/>
          <w:szCs w:val="32"/>
          <w:lang w:val="zh-CN"/>
        </w:rPr>
        <w:t>）</w:t>
      </w:r>
      <w:r>
        <w:rPr>
          <w:rFonts w:hint="eastAsia" w:ascii="楷体_GB2312" w:hAnsi="楷体_GB2312" w:eastAsia="楷体_GB2312" w:cs="楷体_GB2312"/>
          <w:spacing w:val="6"/>
          <w:sz w:val="32"/>
          <w:szCs w:val="32"/>
          <w:lang w:val="zh-CN" w:eastAsia="zh-CN"/>
        </w:rPr>
        <w:t>资金</w:t>
      </w:r>
      <w:r>
        <w:rPr>
          <w:rFonts w:hint="eastAsia" w:ascii="楷体_GB2312" w:hAnsi="楷体_GB2312" w:eastAsia="楷体_GB2312" w:cs="楷体_GB2312"/>
          <w:spacing w:val="6"/>
          <w:sz w:val="32"/>
          <w:szCs w:val="32"/>
          <w:lang w:val="zh-CN"/>
        </w:rPr>
        <w:t>管理方面</w:t>
      </w:r>
      <w:bookmarkEnd w:id="267"/>
      <w:bookmarkEnd w:id="268"/>
      <w:bookmarkEnd w:id="269"/>
      <w:bookmarkEnd w:id="270"/>
      <w:bookmarkEnd w:id="271"/>
      <w:bookmarkEnd w:id="272"/>
      <w:bookmarkEnd w:id="273"/>
      <w:bookmarkEnd w:id="274"/>
    </w:p>
    <w:bookmarkEnd w:id="275"/>
    <w:p>
      <w:pPr>
        <w:widowControl w:val="0"/>
        <w:spacing w:line="590" w:lineRule="exact"/>
        <w:ind w:firstLine="664" w:firstLineChars="200"/>
        <w:jc w:val="both"/>
        <w:rPr>
          <w:rFonts w:hint="default" w:ascii="仿宋_GB2312" w:hAnsi="仿宋_GB2312" w:eastAsia="仿宋_GB2312" w:cs="仿宋_GB2312"/>
          <w:spacing w:val="6"/>
          <w:sz w:val="32"/>
          <w:szCs w:val="32"/>
          <w:lang w:val="en-US"/>
        </w:rPr>
      </w:pPr>
      <w:bookmarkStart w:id="276" w:name="_Toc9007"/>
      <w:r>
        <w:rPr>
          <w:rFonts w:hint="default" w:ascii="仿宋_GB2312" w:hAnsi="仿宋_GB2312" w:eastAsia="仿宋_GB2312" w:cs="仿宋_GB2312"/>
          <w:bCs/>
          <w:spacing w:val="6"/>
          <w:sz w:val="32"/>
          <w:szCs w:val="32"/>
          <w:highlight w:val="none"/>
          <w:lang w:val="en-US" w:eastAsia="zh-CN"/>
        </w:rPr>
        <w:t>建议</w:t>
      </w:r>
      <w:r>
        <w:rPr>
          <w:rFonts w:hint="eastAsia" w:ascii="仿宋_GB2312" w:hAnsi="仿宋_GB2312" w:eastAsia="仿宋_GB2312" w:cs="仿宋_GB2312"/>
          <w:spacing w:val="6"/>
          <w:sz w:val="32"/>
          <w:szCs w:val="32"/>
          <w:lang w:val="en-US" w:eastAsia="zh-CN"/>
        </w:rPr>
        <w:t>区综合执法大队</w:t>
      </w:r>
      <w:r>
        <w:rPr>
          <w:rFonts w:hint="eastAsia" w:ascii="仿宋_GB2312" w:hAnsi="仿宋_GB2312" w:eastAsia="仿宋_GB2312" w:cs="仿宋_GB2312"/>
          <w:bCs/>
          <w:spacing w:val="6"/>
          <w:sz w:val="32"/>
          <w:szCs w:val="32"/>
          <w:highlight w:val="none"/>
          <w:lang w:val="en-US" w:eastAsia="zh-CN"/>
        </w:rPr>
        <w:t>严格按照项目预算批复的范围合理使用资金，</w:t>
      </w:r>
      <w:r>
        <w:rPr>
          <w:rFonts w:hint="eastAsia" w:ascii="仿宋_GB2312" w:hAnsi="仿宋_GB2312" w:eastAsia="仿宋_GB2312" w:cs="仿宋_GB2312"/>
          <w:spacing w:val="6"/>
          <w:sz w:val="32"/>
          <w:szCs w:val="32"/>
          <w:highlight w:val="none"/>
          <w:lang w:val="en-US" w:eastAsia="zh-CN"/>
        </w:rPr>
        <w:t>严禁出现挤占支付的情况。</w:t>
      </w:r>
    </w:p>
    <w:p>
      <w:pPr>
        <w:widowControl w:val="0"/>
        <w:numPr>
          <w:ilvl w:val="0"/>
          <w:numId w:val="0"/>
        </w:numPr>
        <w:spacing w:beforeLines="0" w:line="590" w:lineRule="exact"/>
        <w:ind w:firstLine="664" w:firstLineChars="200"/>
        <w:jc w:val="both"/>
        <w:outlineLvl w:val="1"/>
        <w:rPr>
          <w:rFonts w:hint="eastAsia" w:ascii="楷体_GB2312" w:hAnsi="楷体_GB2312" w:eastAsia="楷体_GB2312" w:cs="楷体_GB2312"/>
          <w:spacing w:val="6"/>
          <w:sz w:val="32"/>
          <w:szCs w:val="32"/>
          <w:lang w:val="zh-CN" w:eastAsia="zh-CN"/>
        </w:rPr>
      </w:pPr>
      <w:bookmarkStart w:id="277" w:name="_Toc21713"/>
      <w:bookmarkStart w:id="278" w:name="_Toc7872"/>
      <w:bookmarkStart w:id="279" w:name="_Toc22900"/>
      <w:bookmarkStart w:id="280" w:name="_Toc25694"/>
      <w:bookmarkStart w:id="281" w:name="_Toc19406"/>
      <w:bookmarkStart w:id="282" w:name="_Toc9008"/>
      <w:bookmarkStart w:id="283" w:name="_Toc32402"/>
      <w:bookmarkStart w:id="284" w:name="_Toc18890"/>
      <w:r>
        <w:rPr>
          <w:rFonts w:hint="eastAsia" w:ascii="楷体_GB2312" w:hAnsi="楷体_GB2312" w:eastAsia="楷体_GB2312" w:cs="楷体_GB2312"/>
          <w:spacing w:val="6"/>
          <w:sz w:val="32"/>
          <w:szCs w:val="32"/>
          <w:lang w:val="zh-CN" w:eastAsia="zh-CN"/>
        </w:rPr>
        <w:t>（三）</w:t>
      </w:r>
      <w:r>
        <w:rPr>
          <w:rFonts w:hint="eastAsia" w:ascii="楷体_GB2312" w:hAnsi="楷体_GB2312" w:eastAsia="楷体_GB2312" w:cs="楷体_GB2312"/>
          <w:spacing w:val="6"/>
          <w:sz w:val="32"/>
          <w:szCs w:val="32"/>
          <w:lang w:val="zh-CN"/>
        </w:rPr>
        <w:t>绩效管理方面</w:t>
      </w:r>
      <w:bookmarkEnd w:id="276"/>
      <w:bookmarkEnd w:id="277"/>
      <w:bookmarkEnd w:id="278"/>
      <w:bookmarkEnd w:id="279"/>
      <w:bookmarkEnd w:id="280"/>
      <w:bookmarkEnd w:id="281"/>
      <w:bookmarkEnd w:id="282"/>
      <w:bookmarkEnd w:id="283"/>
      <w:bookmarkEnd w:id="284"/>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default" w:ascii="仿宋_GB2312" w:hAnsi="仿宋_GB2312" w:eastAsia="仿宋_GB2312" w:cs="仿宋_GB2312"/>
          <w:bCs/>
          <w:spacing w:val="6"/>
          <w:sz w:val="32"/>
          <w:szCs w:val="32"/>
          <w:highlight w:val="none"/>
          <w:lang w:val="en-US" w:eastAsia="zh-CN"/>
        </w:rPr>
        <w:t>建议</w:t>
      </w:r>
      <w:r>
        <w:rPr>
          <w:rFonts w:hint="eastAsia" w:ascii="仿宋_GB2312" w:hAnsi="仿宋_GB2312" w:eastAsia="仿宋_GB2312" w:cs="仿宋_GB2312"/>
          <w:spacing w:val="6"/>
          <w:sz w:val="32"/>
          <w:szCs w:val="32"/>
          <w:lang w:val="en-US" w:eastAsia="zh-CN"/>
        </w:rPr>
        <w:t>区综合执法大队</w:t>
      </w:r>
      <w:r>
        <w:rPr>
          <w:rFonts w:hint="default" w:ascii="仿宋_GB2312" w:hAnsi="仿宋_GB2312" w:eastAsia="仿宋_GB2312" w:cs="仿宋_GB2312"/>
          <w:bCs/>
          <w:spacing w:val="6"/>
          <w:sz w:val="32"/>
          <w:szCs w:val="32"/>
          <w:highlight w:val="none"/>
          <w:lang w:val="en-US" w:eastAsia="zh-CN"/>
        </w:rPr>
        <w:t>在以后年度编制绩效目标时，加强部门内部相关工作人员绩效管理培训和学习，根据项目实际情况设置项目绩效目标，</w:t>
      </w:r>
      <w:r>
        <w:rPr>
          <w:rFonts w:hint="eastAsia" w:ascii="仿宋_GB2312" w:hAnsi="仿宋_GB2312" w:eastAsia="仿宋_GB2312" w:cs="仿宋_GB2312"/>
          <w:spacing w:val="6"/>
          <w:sz w:val="32"/>
          <w:szCs w:val="32"/>
          <w:highlight w:val="none"/>
        </w:rPr>
        <w:t>进一步加大财政支出绩效知识推行力度，积极推进预算绩效管理工作，深入学习财政支出绩效知识，进一步规范财政支出绩效管理。</w:t>
      </w:r>
    </w:p>
    <w:p>
      <w:pPr>
        <w:widowControl w:val="0"/>
        <w:spacing w:line="590" w:lineRule="exact"/>
        <w:ind w:firstLine="664" w:firstLineChars="200"/>
        <w:jc w:val="both"/>
        <w:outlineLvl w:val="0"/>
        <w:rPr>
          <w:rFonts w:ascii="黑体" w:hAnsi="黑体" w:eastAsia="黑体"/>
          <w:color w:val="auto"/>
          <w:spacing w:val="6"/>
          <w:sz w:val="32"/>
          <w:szCs w:val="32"/>
          <w:highlight w:val="none"/>
        </w:rPr>
      </w:pPr>
      <w:bookmarkStart w:id="285" w:name="_Toc3462"/>
      <w:bookmarkStart w:id="286" w:name="_Toc26017"/>
      <w:bookmarkStart w:id="287" w:name="_Toc21085"/>
      <w:bookmarkStart w:id="288" w:name="_Toc2462"/>
      <w:bookmarkStart w:id="289" w:name="_Toc19552"/>
      <w:bookmarkStart w:id="290" w:name="_Toc21435"/>
      <w:bookmarkStart w:id="291" w:name="_Toc15590"/>
      <w:bookmarkStart w:id="292" w:name="_Toc6701"/>
      <w:bookmarkStart w:id="293" w:name="_Toc11118"/>
      <w:bookmarkStart w:id="294" w:name="_Toc29135"/>
      <w:bookmarkStart w:id="295" w:name="_Toc3847"/>
      <w:bookmarkStart w:id="296" w:name="_Toc8689"/>
      <w:bookmarkStart w:id="297" w:name="_Toc27229"/>
      <w:bookmarkStart w:id="298" w:name="_Toc32407"/>
      <w:bookmarkStart w:id="299" w:name="_Toc3549"/>
      <w:bookmarkStart w:id="300" w:name="_Toc41306292"/>
      <w:bookmarkStart w:id="301" w:name="_Toc21954"/>
      <w:bookmarkStart w:id="302" w:name="_Toc16746"/>
      <w:bookmarkStart w:id="303" w:name="_Toc27604"/>
      <w:bookmarkStart w:id="304" w:name="_Toc15360"/>
      <w:bookmarkStart w:id="305" w:name="_Toc10685"/>
      <w:bookmarkStart w:id="306" w:name="_Toc1213"/>
      <w:r>
        <w:rPr>
          <w:rFonts w:hint="eastAsia" w:ascii="黑体" w:hAnsi="黑体" w:eastAsia="黑体"/>
          <w:color w:val="auto"/>
          <w:spacing w:val="6"/>
          <w:sz w:val="32"/>
          <w:szCs w:val="32"/>
          <w:highlight w:val="none"/>
          <w:lang w:val="en-US" w:eastAsia="zh-CN"/>
        </w:rPr>
        <w:t>五</w:t>
      </w:r>
      <w:r>
        <w:rPr>
          <w:rFonts w:hint="eastAsia" w:ascii="黑体" w:hAnsi="黑体" w:eastAsia="黑体"/>
          <w:color w:val="auto"/>
          <w:spacing w:val="6"/>
          <w:sz w:val="32"/>
          <w:szCs w:val="32"/>
          <w:highlight w:val="none"/>
        </w:rPr>
        <w:t>、绩效评价结果应用建议</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pPr>
        <w:widowControl w:val="0"/>
        <w:spacing w:line="590" w:lineRule="exact"/>
        <w:ind w:firstLine="577" w:firstLineChars="275"/>
        <w:jc w:val="both"/>
        <w:outlineLvl w:val="1"/>
        <w:rPr>
          <w:rFonts w:ascii="Times New Roman" w:hAnsi="Times New Roman" w:eastAsia="楷体_GB2312" w:cs="Times New Roman"/>
          <w:color w:val="auto"/>
          <w:spacing w:val="6"/>
          <w:sz w:val="32"/>
          <w:szCs w:val="32"/>
          <w:highlight w:val="none"/>
          <w:lang w:val="zh-CN"/>
        </w:rPr>
      </w:pPr>
      <w:bookmarkStart w:id="307" w:name="_Toc26381"/>
      <w:bookmarkStart w:id="308" w:name="_Toc17488"/>
      <w:bookmarkStart w:id="309" w:name="_Toc32273"/>
      <w:bookmarkStart w:id="310" w:name="_Toc26169"/>
      <w:bookmarkStart w:id="311" w:name="_Toc3285"/>
      <w:bookmarkStart w:id="312" w:name="_Toc9129"/>
      <w:bookmarkStart w:id="313" w:name="_Toc19768"/>
      <w:bookmarkStart w:id="314" w:name="_Toc10211"/>
      <w:bookmarkStart w:id="315" w:name="_Toc15841"/>
      <w:bookmarkStart w:id="316" w:name="_Toc28647"/>
      <w:bookmarkStart w:id="317" w:name="_Toc7921"/>
      <w:bookmarkStart w:id="318" w:name="_Toc25393"/>
      <w:bookmarkStart w:id="319" w:name="_Toc17434"/>
      <w:bookmarkStart w:id="320" w:name="_Toc16664"/>
      <w:bookmarkStart w:id="321" w:name="_Toc26409"/>
      <w:bookmarkStart w:id="322" w:name="_Toc23941"/>
      <w:bookmarkStart w:id="323" w:name="_Toc10694"/>
      <w:bookmarkStart w:id="324" w:name="_Toc18208"/>
      <w:bookmarkStart w:id="325" w:name="_Toc830"/>
      <w:bookmarkStart w:id="326" w:name="_Toc19723"/>
      <w:r>
        <w:rPr>
          <w:color w:val="auto"/>
          <w:highlight w:val="none"/>
        </w:rPr>
        <w:fldChar w:fldCharType="begin"/>
      </w:r>
      <w:r>
        <w:rPr>
          <w:color w:val="auto"/>
          <w:highlight w:val="none"/>
        </w:rPr>
        <w:instrText xml:space="preserve"> HYPERLINK \l "_Toc434746187" </w:instrText>
      </w:r>
      <w:r>
        <w:rPr>
          <w:color w:val="auto"/>
          <w:highlight w:val="none"/>
        </w:rPr>
        <w:fldChar w:fldCharType="separate"/>
      </w:r>
      <w:bookmarkStart w:id="327" w:name="_Toc41306293"/>
      <w:bookmarkStart w:id="328" w:name="_Toc531300193"/>
      <w:r>
        <w:rPr>
          <w:rFonts w:hint="eastAsia" w:ascii="Times New Roman" w:hAnsi="Times New Roman" w:eastAsia="楷体_GB2312" w:cs="Times New Roman"/>
          <w:color w:val="auto"/>
          <w:spacing w:val="6"/>
          <w:sz w:val="32"/>
          <w:szCs w:val="32"/>
          <w:highlight w:val="none"/>
          <w:lang w:val="zh-CN"/>
        </w:rPr>
        <w:t>（一）对发现的问题及时整改</w:t>
      </w:r>
      <w:bookmarkEnd w:id="327"/>
      <w:bookmarkEnd w:id="328"/>
      <w:r>
        <w:rPr>
          <w:rFonts w:hint="eastAsia" w:ascii="Times New Roman" w:hAnsi="Times New Roman" w:eastAsia="楷体_GB2312" w:cs="Times New Roman"/>
          <w:color w:val="auto"/>
          <w:spacing w:val="6"/>
          <w:sz w:val="32"/>
          <w:szCs w:val="32"/>
          <w:highlight w:val="none"/>
          <w:lang w:val="zh-CN"/>
        </w:rPr>
        <w:fldChar w:fldCharType="end"/>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pPr>
        <w:widowControl w:val="0"/>
        <w:spacing w:line="590" w:lineRule="exact"/>
        <w:ind w:firstLine="664" w:firstLineChars="200"/>
        <w:jc w:val="both"/>
        <w:rPr>
          <w:rFonts w:hint="eastAsia" w:ascii="Times New Roman" w:hAnsi="Times New Roman" w:eastAsia="仿宋_GB2312" w:cs="Times New Roman"/>
          <w:spacing w:val="6"/>
          <w:sz w:val="32"/>
          <w:szCs w:val="32"/>
        </w:rPr>
      </w:pPr>
      <w:r>
        <w:rPr>
          <w:rFonts w:hint="eastAsia" w:ascii="Times New Roman" w:hAnsi="Times New Roman" w:eastAsia="仿宋_GB2312" w:cs="Times New Roman"/>
          <w:color w:val="auto"/>
          <w:spacing w:val="6"/>
          <w:sz w:val="32"/>
          <w:szCs w:val="32"/>
          <w:highlight w:val="none"/>
        </w:rPr>
        <w:t>针对本次</w:t>
      </w:r>
      <w:r>
        <w:rPr>
          <w:rFonts w:hint="eastAsia" w:ascii="Times New Roman" w:hAnsi="Times New Roman" w:eastAsia="仿宋_GB2312" w:cs="Times New Roman"/>
          <w:color w:val="auto"/>
          <w:spacing w:val="6"/>
          <w:sz w:val="32"/>
          <w:szCs w:val="32"/>
          <w:highlight w:val="none"/>
          <w:lang w:eastAsia="zh-CN"/>
        </w:rPr>
        <w:t>绩效评价</w:t>
      </w:r>
      <w:r>
        <w:rPr>
          <w:rFonts w:hint="eastAsia" w:ascii="Times New Roman" w:hAnsi="Times New Roman" w:eastAsia="仿宋_GB2312" w:cs="Times New Roman"/>
          <w:color w:val="auto"/>
          <w:spacing w:val="6"/>
          <w:sz w:val="32"/>
          <w:szCs w:val="32"/>
          <w:highlight w:val="none"/>
        </w:rPr>
        <w:t>中发现的问题，建议</w:t>
      </w:r>
      <w:r>
        <w:rPr>
          <w:rFonts w:hint="eastAsia" w:ascii="仿宋_GB2312" w:hAnsi="仿宋_GB2312" w:eastAsia="仿宋_GB2312" w:cs="仿宋_GB2312"/>
          <w:color w:val="auto"/>
          <w:spacing w:val="6"/>
          <w:sz w:val="32"/>
          <w:szCs w:val="32"/>
          <w:highlight w:val="none"/>
          <w:lang w:val="en-US" w:eastAsia="zh-CN"/>
        </w:rPr>
        <w:t>区综合执法大队</w:t>
      </w:r>
      <w:r>
        <w:rPr>
          <w:rFonts w:hint="eastAsia" w:ascii="Times New Roman" w:hAnsi="Times New Roman" w:eastAsia="仿宋_GB2312" w:cs="Times New Roman"/>
          <w:color w:val="auto"/>
          <w:spacing w:val="6"/>
          <w:sz w:val="32"/>
          <w:szCs w:val="32"/>
          <w:highlight w:val="none"/>
        </w:rPr>
        <w:t>对存在的问题及时进行整改，并将整改情况书面上报相关部门。</w:t>
      </w:r>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329" w:name="_Toc24672"/>
      <w:bookmarkStart w:id="330" w:name="_Toc11904"/>
      <w:bookmarkStart w:id="331" w:name="_Toc4598"/>
      <w:bookmarkStart w:id="332" w:name="_Toc2449"/>
      <w:bookmarkStart w:id="333" w:name="_Toc10397"/>
      <w:bookmarkStart w:id="334" w:name="_Toc30691"/>
      <w:bookmarkStart w:id="335" w:name="_Toc24135"/>
      <w:bookmarkStart w:id="336" w:name="_Toc1702"/>
      <w:bookmarkStart w:id="337" w:name="_Toc8626"/>
      <w:bookmarkStart w:id="338" w:name="_Toc8134"/>
      <w:bookmarkStart w:id="339" w:name="_Toc20297"/>
      <w:bookmarkStart w:id="340" w:name="_Toc3617"/>
      <w:bookmarkStart w:id="341" w:name="_Toc2301"/>
      <w:bookmarkStart w:id="342" w:name="_Toc22879"/>
      <w:bookmarkStart w:id="343" w:name="_Toc25877"/>
      <w:bookmarkStart w:id="344" w:name="_Toc22196"/>
      <w:bookmarkStart w:id="345" w:name="_Toc22016"/>
      <w:bookmarkStart w:id="346" w:name="_Toc25099"/>
      <w:bookmarkStart w:id="347" w:name="_Toc27429"/>
      <w:bookmarkStart w:id="348" w:name="_Toc12009"/>
      <w:bookmarkStart w:id="349" w:name="_Toc25602"/>
      <w:r>
        <w:fldChar w:fldCharType="begin"/>
      </w:r>
      <w:r>
        <w:instrText xml:space="preserve"> HYPERLINK \l "_Toc434746187" </w:instrText>
      </w:r>
      <w:r>
        <w:fldChar w:fldCharType="separate"/>
      </w:r>
      <w:bookmarkStart w:id="350" w:name="_Toc41306294"/>
      <w:bookmarkStart w:id="351" w:name="_Toc531300194"/>
      <w:r>
        <w:rPr>
          <w:rFonts w:hint="eastAsia" w:ascii="Times New Roman" w:hAnsi="Times New Roman" w:eastAsia="楷体_GB2312" w:cs="Times New Roman"/>
          <w:spacing w:val="6"/>
          <w:sz w:val="32"/>
          <w:szCs w:val="32"/>
          <w:lang w:val="zh-CN"/>
        </w:rPr>
        <w:t>（二）以后年度预算安排建议</w:t>
      </w:r>
      <w:bookmarkEnd w:id="350"/>
      <w:bookmarkEnd w:id="351"/>
      <w:r>
        <w:rPr>
          <w:rFonts w:hint="eastAsia" w:ascii="Times New Roman" w:hAnsi="Times New Roman" w:eastAsia="楷体_GB2312" w:cs="Times New Roman"/>
          <w:spacing w:val="6"/>
          <w:sz w:val="32"/>
          <w:szCs w:val="32"/>
          <w:lang w:val="zh-CN"/>
        </w:rPr>
        <w:fldChar w:fldCharType="end"/>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pPr>
        <w:widowControl w:val="0"/>
        <w:spacing w:line="590" w:lineRule="exact"/>
        <w:ind w:firstLine="664" w:firstLineChars="200"/>
        <w:jc w:val="both"/>
        <w:outlineLvl w:val="9"/>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项目实施</w:t>
      </w:r>
      <w:r>
        <w:rPr>
          <w:rFonts w:hint="eastAsia" w:ascii="仿宋_GB2312" w:hAnsi="仿宋_GB2312" w:eastAsia="仿宋_GB2312" w:cs="仿宋_GB2312"/>
          <w:spacing w:val="6"/>
          <w:sz w:val="32"/>
          <w:szCs w:val="32"/>
          <w:lang w:val="en-US" w:eastAsia="zh-CN"/>
        </w:rPr>
        <w:t>提高了群众违法建筑意识及居民生命和财产安全率</w:t>
      </w:r>
      <w:r>
        <w:rPr>
          <w:rFonts w:hint="eastAsia" w:ascii="仿宋_GB2312" w:hAnsi="仿宋_GB2312" w:eastAsia="仿宋_GB2312" w:cs="仿宋_GB2312"/>
          <w:spacing w:val="6"/>
          <w:sz w:val="32"/>
          <w:szCs w:val="32"/>
        </w:rPr>
        <w:t>，取得了较高的满意度。</w:t>
      </w:r>
    </w:p>
    <w:p>
      <w:pPr>
        <w:widowControl w:val="0"/>
        <w:spacing w:line="590" w:lineRule="exact"/>
        <w:ind w:firstLine="664" w:firstLineChars="200"/>
        <w:jc w:val="both"/>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spacing w:val="6"/>
          <w:sz w:val="32"/>
          <w:szCs w:val="32"/>
        </w:rPr>
        <w:t>建议</w:t>
      </w:r>
      <w:r>
        <w:rPr>
          <w:rFonts w:hint="eastAsia" w:ascii="仿宋_GB2312" w:hAnsi="仿宋_GB2312" w:eastAsia="仿宋_GB2312" w:cs="仿宋_GB2312"/>
          <w:spacing w:val="6"/>
          <w:sz w:val="32"/>
          <w:szCs w:val="32"/>
          <w:lang w:val="en-US" w:eastAsia="zh-CN"/>
        </w:rPr>
        <w:t>采用零基预算，根据以后年度工作任务合理安排。</w:t>
      </w:r>
      <w:r>
        <w:rPr>
          <w:rFonts w:hint="eastAsia" w:ascii="Times New Roman" w:hAnsi="Times New Roman" w:eastAsia="仿宋_GB2312" w:cs="Times New Roman"/>
          <w:sz w:val="32"/>
          <w:szCs w:val="32"/>
        </w:rPr>
        <w:t>并规范预算资金使用管理，进一步强化绩效管理，充分发挥</w:t>
      </w:r>
      <w:r>
        <w:rPr>
          <w:rFonts w:hint="eastAsia" w:ascii="Times New Roman" w:hAnsi="Times New Roman" w:eastAsia="仿宋_GB2312" w:cs="Times New Roman"/>
          <w:sz w:val="32"/>
          <w:szCs w:val="32"/>
          <w:lang w:val="en-US" w:eastAsia="zh-CN"/>
        </w:rPr>
        <w:t>财政</w:t>
      </w:r>
      <w:r>
        <w:rPr>
          <w:rFonts w:hint="eastAsia" w:ascii="Times New Roman" w:hAnsi="Times New Roman" w:eastAsia="仿宋_GB2312" w:cs="Times New Roman"/>
          <w:sz w:val="32"/>
          <w:szCs w:val="32"/>
        </w:rPr>
        <w:t>资金使用效益。</w:t>
      </w:r>
    </w:p>
    <w:p>
      <w:pPr>
        <w:widowControl w:val="0"/>
        <w:spacing w:line="590" w:lineRule="exact"/>
        <w:ind w:firstLine="577" w:firstLineChars="275"/>
        <w:jc w:val="both"/>
        <w:outlineLvl w:val="1"/>
        <w:rPr>
          <w:rFonts w:ascii="仿宋_GB2312" w:hAnsi="仿宋" w:eastAsia="楷体_GB2312" w:cs="Times New Roman"/>
          <w:spacing w:val="6"/>
          <w:sz w:val="32"/>
          <w:szCs w:val="32"/>
          <w:lang w:val="zh-CN"/>
        </w:rPr>
      </w:pPr>
      <w:bookmarkStart w:id="352" w:name="_Toc32066"/>
      <w:bookmarkStart w:id="353" w:name="_Toc31702"/>
      <w:bookmarkStart w:id="354" w:name="_Toc8032"/>
      <w:bookmarkStart w:id="355" w:name="_Toc20621"/>
      <w:bookmarkStart w:id="356" w:name="_Toc5688"/>
      <w:bookmarkStart w:id="357" w:name="_Toc20085"/>
      <w:bookmarkStart w:id="358" w:name="_Toc11627"/>
      <w:bookmarkStart w:id="359" w:name="_Toc12167"/>
      <w:bookmarkStart w:id="360" w:name="_Toc12311"/>
      <w:bookmarkStart w:id="361" w:name="_Toc910"/>
      <w:bookmarkStart w:id="362" w:name="_Toc24868"/>
      <w:bookmarkStart w:id="363" w:name="_Toc1721"/>
      <w:bookmarkStart w:id="364" w:name="_Toc7046"/>
      <w:bookmarkStart w:id="365" w:name="_Toc32250"/>
      <w:bookmarkStart w:id="366" w:name="_Toc4184"/>
      <w:bookmarkStart w:id="367" w:name="_Toc20729"/>
      <w:bookmarkStart w:id="368" w:name="_Toc12020"/>
      <w:bookmarkStart w:id="369" w:name="_Toc548"/>
      <w:bookmarkStart w:id="370" w:name="_Toc14838"/>
      <w:bookmarkStart w:id="371" w:name="_Toc22696"/>
      <w:r>
        <w:fldChar w:fldCharType="begin"/>
      </w:r>
      <w:r>
        <w:instrText xml:space="preserve"> HYPERLINK \l "_Toc434746187" </w:instrText>
      </w:r>
      <w:r>
        <w:fldChar w:fldCharType="separate"/>
      </w:r>
      <w:bookmarkStart w:id="372" w:name="_Toc41306295"/>
      <w:bookmarkStart w:id="373" w:name="_Toc531300195"/>
      <w:r>
        <w:rPr>
          <w:rFonts w:hint="eastAsia" w:ascii="仿宋_GB2312" w:hAnsi="仿宋" w:eastAsia="楷体_GB2312" w:cs="Times New Roman"/>
          <w:spacing w:val="6"/>
          <w:sz w:val="32"/>
          <w:szCs w:val="32"/>
          <w:lang w:val="zh-CN"/>
        </w:rPr>
        <w:t>（三）评价结果公开</w:t>
      </w:r>
      <w:bookmarkEnd w:id="372"/>
      <w:bookmarkEnd w:id="373"/>
      <w:r>
        <w:rPr>
          <w:rFonts w:hint="eastAsia" w:ascii="仿宋_GB2312" w:hAnsi="仿宋" w:eastAsia="楷体_GB2312" w:cs="Times New Roman"/>
          <w:spacing w:val="6"/>
          <w:sz w:val="32"/>
          <w:szCs w:val="32"/>
          <w:lang w:val="zh-CN"/>
        </w:rPr>
        <w:fldChar w:fldCharType="end"/>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bookmarkEnd w:id="232"/>
    <w:p>
      <w:pPr>
        <w:widowControl w:val="0"/>
        <w:spacing w:line="590" w:lineRule="exact"/>
        <w:ind w:firstLine="640" w:firstLineChars="200"/>
        <w:jc w:val="both"/>
        <w:outlineLvl w:val="9"/>
        <w:rPr>
          <w:rFonts w:hint="eastAsia" w:ascii="Times New Roman" w:hAnsi="Times New Roman" w:eastAsia="黑体" w:cs="Times New Roman"/>
          <w:spacing w:val="6"/>
          <w:sz w:val="32"/>
          <w:szCs w:val="32"/>
        </w:rPr>
      </w:pPr>
      <w:r>
        <w:rPr>
          <w:rFonts w:hint="eastAsia" w:ascii="仿宋_GB2312" w:hAnsi="仿宋_GB2312" w:eastAsia="仿宋_GB2312" w:cs="仿宋_GB2312"/>
          <w:sz w:val="32"/>
          <w:szCs w:val="32"/>
        </w:rPr>
        <w:t>建议按照中共中央 国务院《关于全面实施预算绩效管理的意见》（中发〔2018〕34号）和《中共贵州省委 贵州省人民政府关于全面实施预算绩效管理的实施意见》（黔党发〔2019〕29号）等文件规定，大力推进绩效信息公开透明，回应社会关切，自觉接受人大和社会各界监督。</w:t>
      </w:r>
      <w:bookmarkStart w:id="374" w:name="_Toc30675"/>
      <w:bookmarkStart w:id="375" w:name="_Toc5275"/>
      <w:bookmarkStart w:id="376" w:name="_Toc1249"/>
      <w:bookmarkStart w:id="377" w:name="_Toc41306296"/>
      <w:bookmarkStart w:id="378" w:name="_Toc17876"/>
    </w:p>
    <w:bookmarkEnd w:id="180"/>
    <w:bookmarkEnd w:id="374"/>
    <w:bookmarkEnd w:id="375"/>
    <w:bookmarkEnd w:id="376"/>
    <w:bookmarkEnd w:id="377"/>
    <w:bookmarkEnd w:id="378"/>
    <w:p>
      <w:pPr>
        <w:pStyle w:val="1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textAlignment w:val="auto"/>
        <w:outlineLvl w:val="2"/>
        <w:rPr>
          <w:rFonts w:hint="default" w:ascii="Times New Roman" w:hAnsi="Times New Roman" w:eastAsia="黑体" w:cs="Times New Roman"/>
          <w:b w:val="0"/>
          <w:bCs w:val="0"/>
          <w:kern w:val="2"/>
          <w:sz w:val="32"/>
          <w:szCs w:val="21"/>
          <w:highlight w:val="none"/>
          <w:lang w:val="en-US" w:eastAsia="zh-CN" w:bidi="ar-SA"/>
        </w:rPr>
      </w:pPr>
      <w:bookmarkStart w:id="379" w:name="_GoBack"/>
      <w:bookmarkEnd w:id="379"/>
    </w:p>
    <w:sectPr>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040" w:firstLineChars="1800"/>
      <w:rPr>
        <w:rStyle w:val="21"/>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2"/>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12"/>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442FD"/>
    <w:multiLevelType w:val="singleLevel"/>
    <w:tmpl w:val="1F0442FD"/>
    <w:lvl w:ilvl="0" w:tentative="0">
      <w:start w:val="2"/>
      <w:numFmt w:val="decimal"/>
      <w:suff w:val="nothing"/>
      <w:lvlText w:val="%1．"/>
      <w:lvlJc w:val="left"/>
    </w:lvl>
  </w:abstractNum>
  <w:abstractNum w:abstractNumId="1">
    <w:nsid w:val="31ED0E64"/>
    <w:multiLevelType w:val="singleLevel"/>
    <w:tmpl w:val="31ED0E64"/>
    <w:lvl w:ilvl="0" w:tentative="0">
      <w:start w:val="2"/>
      <w:numFmt w:val="decimal"/>
      <w:suff w:val="nothing"/>
      <w:lvlText w:val="%1．"/>
      <w:lvlJc w:val="left"/>
      <w:pPr>
        <w:ind w:left="-1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08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67E71"/>
    <w:rsid w:val="01BF645F"/>
    <w:rsid w:val="01D0720E"/>
    <w:rsid w:val="01E925F2"/>
    <w:rsid w:val="01EE77BF"/>
    <w:rsid w:val="021F72B2"/>
    <w:rsid w:val="02366DA0"/>
    <w:rsid w:val="024971C1"/>
    <w:rsid w:val="024D5B94"/>
    <w:rsid w:val="026412FF"/>
    <w:rsid w:val="026818CF"/>
    <w:rsid w:val="026E0318"/>
    <w:rsid w:val="02A52145"/>
    <w:rsid w:val="02D26E72"/>
    <w:rsid w:val="02F41103"/>
    <w:rsid w:val="02F53E74"/>
    <w:rsid w:val="02FB7869"/>
    <w:rsid w:val="03315E11"/>
    <w:rsid w:val="03BC007F"/>
    <w:rsid w:val="03EB3FC7"/>
    <w:rsid w:val="040717CA"/>
    <w:rsid w:val="040E5C29"/>
    <w:rsid w:val="041600AC"/>
    <w:rsid w:val="043D69E1"/>
    <w:rsid w:val="044A7004"/>
    <w:rsid w:val="04671583"/>
    <w:rsid w:val="046A2703"/>
    <w:rsid w:val="04DB522D"/>
    <w:rsid w:val="050836B4"/>
    <w:rsid w:val="0510144C"/>
    <w:rsid w:val="052F698C"/>
    <w:rsid w:val="053805F8"/>
    <w:rsid w:val="05571533"/>
    <w:rsid w:val="055D4CB6"/>
    <w:rsid w:val="05A07FB5"/>
    <w:rsid w:val="05B70155"/>
    <w:rsid w:val="05CA4673"/>
    <w:rsid w:val="05D00854"/>
    <w:rsid w:val="05E86706"/>
    <w:rsid w:val="05EB3E85"/>
    <w:rsid w:val="05F626C2"/>
    <w:rsid w:val="06440003"/>
    <w:rsid w:val="06EE0FAD"/>
    <w:rsid w:val="06F4622C"/>
    <w:rsid w:val="07037896"/>
    <w:rsid w:val="071C1AB9"/>
    <w:rsid w:val="072A35FB"/>
    <w:rsid w:val="07673691"/>
    <w:rsid w:val="07675D60"/>
    <w:rsid w:val="079A234F"/>
    <w:rsid w:val="07BD350D"/>
    <w:rsid w:val="07BE76F9"/>
    <w:rsid w:val="07ED67BF"/>
    <w:rsid w:val="07FB5842"/>
    <w:rsid w:val="0810522F"/>
    <w:rsid w:val="08251C3E"/>
    <w:rsid w:val="086B433E"/>
    <w:rsid w:val="087C3235"/>
    <w:rsid w:val="089524A2"/>
    <w:rsid w:val="08A44134"/>
    <w:rsid w:val="08C32FB7"/>
    <w:rsid w:val="08C80360"/>
    <w:rsid w:val="094C130B"/>
    <w:rsid w:val="096E6557"/>
    <w:rsid w:val="097612D8"/>
    <w:rsid w:val="09776B1A"/>
    <w:rsid w:val="09870B6B"/>
    <w:rsid w:val="09D6522B"/>
    <w:rsid w:val="0A2E55C3"/>
    <w:rsid w:val="0A38598E"/>
    <w:rsid w:val="0A4F305E"/>
    <w:rsid w:val="0AAC140A"/>
    <w:rsid w:val="0ADC74B5"/>
    <w:rsid w:val="0AEB5D03"/>
    <w:rsid w:val="0AFF6A33"/>
    <w:rsid w:val="0B0A632C"/>
    <w:rsid w:val="0B1933FA"/>
    <w:rsid w:val="0B3A110D"/>
    <w:rsid w:val="0B64529C"/>
    <w:rsid w:val="0B762C6A"/>
    <w:rsid w:val="0B942AEA"/>
    <w:rsid w:val="0B9841B0"/>
    <w:rsid w:val="0B9F443A"/>
    <w:rsid w:val="0BAB2AC2"/>
    <w:rsid w:val="0BBF193C"/>
    <w:rsid w:val="0BFD257C"/>
    <w:rsid w:val="0BFE018D"/>
    <w:rsid w:val="0C2A396B"/>
    <w:rsid w:val="0C2D7D84"/>
    <w:rsid w:val="0C345149"/>
    <w:rsid w:val="0C6D10C4"/>
    <w:rsid w:val="0C6E7CC4"/>
    <w:rsid w:val="0C870841"/>
    <w:rsid w:val="0C8804C9"/>
    <w:rsid w:val="0CD4772C"/>
    <w:rsid w:val="0D8F691E"/>
    <w:rsid w:val="0DAC0FC0"/>
    <w:rsid w:val="0DBD6E33"/>
    <w:rsid w:val="0DC95DFB"/>
    <w:rsid w:val="0DCA67D5"/>
    <w:rsid w:val="0DE23BDC"/>
    <w:rsid w:val="0DEC2FD8"/>
    <w:rsid w:val="0DFC7201"/>
    <w:rsid w:val="0E5701F3"/>
    <w:rsid w:val="0E597024"/>
    <w:rsid w:val="0E5F1975"/>
    <w:rsid w:val="0E7712A1"/>
    <w:rsid w:val="0E9244A6"/>
    <w:rsid w:val="0F0C791F"/>
    <w:rsid w:val="0F591BF7"/>
    <w:rsid w:val="0F860A96"/>
    <w:rsid w:val="0FCA5173"/>
    <w:rsid w:val="0FCA7061"/>
    <w:rsid w:val="0FDC0328"/>
    <w:rsid w:val="0FF40D67"/>
    <w:rsid w:val="102B630D"/>
    <w:rsid w:val="105D2F0D"/>
    <w:rsid w:val="10610C1D"/>
    <w:rsid w:val="10674688"/>
    <w:rsid w:val="10955F12"/>
    <w:rsid w:val="10B15F44"/>
    <w:rsid w:val="10B80B26"/>
    <w:rsid w:val="10C831A7"/>
    <w:rsid w:val="10CB33F3"/>
    <w:rsid w:val="10CC44AD"/>
    <w:rsid w:val="111609D1"/>
    <w:rsid w:val="11374D2A"/>
    <w:rsid w:val="116A372A"/>
    <w:rsid w:val="118A2781"/>
    <w:rsid w:val="11AF7CB9"/>
    <w:rsid w:val="11BF6ECB"/>
    <w:rsid w:val="11CE6D9D"/>
    <w:rsid w:val="11E025C1"/>
    <w:rsid w:val="11F272DE"/>
    <w:rsid w:val="120664A5"/>
    <w:rsid w:val="1226602C"/>
    <w:rsid w:val="123D0E8B"/>
    <w:rsid w:val="123D5DA2"/>
    <w:rsid w:val="123E0B14"/>
    <w:rsid w:val="1261343A"/>
    <w:rsid w:val="12766890"/>
    <w:rsid w:val="128F38DC"/>
    <w:rsid w:val="12A31AFE"/>
    <w:rsid w:val="12CB2316"/>
    <w:rsid w:val="13054260"/>
    <w:rsid w:val="130C2A5B"/>
    <w:rsid w:val="13367C35"/>
    <w:rsid w:val="133A5DF2"/>
    <w:rsid w:val="134F6889"/>
    <w:rsid w:val="13566E1F"/>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F709F"/>
    <w:rsid w:val="15593C77"/>
    <w:rsid w:val="15776601"/>
    <w:rsid w:val="15782840"/>
    <w:rsid w:val="158A46FA"/>
    <w:rsid w:val="15A05276"/>
    <w:rsid w:val="15A10AA3"/>
    <w:rsid w:val="15A613ED"/>
    <w:rsid w:val="15B03EEA"/>
    <w:rsid w:val="15D54C31"/>
    <w:rsid w:val="15E52FAF"/>
    <w:rsid w:val="1604750E"/>
    <w:rsid w:val="1616746A"/>
    <w:rsid w:val="162168E1"/>
    <w:rsid w:val="16232E7E"/>
    <w:rsid w:val="162A06D0"/>
    <w:rsid w:val="167E01C7"/>
    <w:rsid w:val="16B2239E"/>
    <w:rsid w:val="16D74074"/>
    <w:rsid w:val="16F44210"/>
    <w:rsid w:val="17051E8C"/>
    <w:rsid w:val="17213F37"/>
    <w:rsid w:val="174A3117"/>
    <w:rsid w:val="175156BB"/>
    <w:rsid w:val="177535F3"/>
    <w:rsid w:val="17876CD8"/>
    <w:rsid w:val="17991F6C"/>
    <w:rsid w:val="17AB3003"/>
    <w:rsid w:val="17AD21DF"/>
    <w:rsid w:val="17DA5E62"/>
    <w:rsid w:val="18073366"/>
    <w:rsid w:val="18091368"/>
    <w:rsid w:val="181B5321"/>
    <w:rsid w:val="18296387"/>
    <w:rsid w:val="187A3F69"/>
    <w:rsid w:val="189F0600"/>
    <w:rsid w:val="18AB48E3"/>
    <w:rsid w:val="18F6567A"/>
    <w:rsid w:val="191B4248"/>
    <w:rsid w:val="19290BBF"/>
    <w:rsid w:val="19343A40"/>
    <w:rsid w:val="193957B5"/>
    <w:rsid w:val="196D7F1B"/>
    <w:rsid w:val="1979726C"/>
    <w:rsid w:val="19A90B8D"/>
    <w:rsid w:val="19AB6351"/>
    <w:rsid w:val="19C37425"/>
    <w:rsid w:val="19DB0028"/>
    <w:rsid w:val="19DE5125"/>
    <w:rsid w:val="19F44735"/>
    <w:rsid w:val="19F9675D"/>
    <w:rsid w:val="1A0D61C7"/>
    <w:rsid w:val="1A176F1F"/>
    <w:rsid w:val="1A3112FC"/>
    <w:rsid w:val="1A3268EA"/>
    <w:rsid w:val="1A3D7353"/>
    <w:rsid w:val="1A4B3691"/>
    <w:rsid w:val="1A582845"/>
    <w:rsid w:val="1A5A434F"/>
    <w:rsid w:val="1A78107D"/>
    <w:rsid w:val="1AAD3841"/>
    <w:rsid w:val="1AB729F0"/>
    <w:rsid w:val="1AD350C2"/>
    <w:rsid w:val="1AFC6CAA"/>
    <w:rsid w:val="1B003A3A"/>
    <w:rsid w:val="1B1C0FCD"/>
    <w:rsid w:val="1B1F290F"/>
    <w:rsid w:val="1B352E36"/>
    <w:rsid w:val="1B3E6055"/>
    <w:rsid w:val="1B62011E"/>
    <w:rsid w:val="1B82212A"/>
    <w:rsid w:val="1B8E3D13"/>
    <w:rsid w:val="1BC44BC3"/>
    <w:rsid w:val="1BDC6CBF"/>
    <w:rsid w:val="1C1A2140"/>
    <w:rsid w:val="1C5546C9"/>
    <w:rsid w:val="1C5B3D52"/>
    <w:rsid w:val="1C65417E"/>
    <w:rsid w:val="1C715F47"/>
    <w:rsid w:val="1C8E2171"/>
    <w:rsid w:val="1CCB7B47"/>
    <w:rsid w:val="1CCF56FE"/>
    <w:rsid w:val="1CF9370A"/>
    <w:rsid w:val="1D1D282B"/>
    <w:rsid w:val="1D203231"/>
    <w:rsid w:val="1D216739"/>
    <w:rsid w:val="1D4F7665"/>
    <w:rsid w:val="1D5C4CAA"/>
    <w:rsid w:val="1D8553CF"/>
    <w:rsid w:val="1D937E42"/>
    <w:rsid w:val="1DC60FD4"/>
    <w:rsid w:val="1DE019AC"/>
    <w:rsid w:val="1DEE7632"/>
    <w:rsid w:val="1E193D15"/>
    <w:rsid w:val="1E3D0A3F"/>
    <w:rsid w:val="1E48161D"/>
    <w:rsid w:val="1E5D0DA8"/>
    <w:rsid w:val="1E6C0D71"/>
    <w:rsid w:val="1E7C4C85"/>
    <w:rsid w:val="1EF42A3F"/>
    <w:rsid w:val="1F017683"/>
    <w:rsid w:val="1F2C1918"/>
    <w:rsid w:val="1F323B00"/>
    <w:rsid w:val="1F3A7109"/>
    <w:rsid w:val="1F4E720F"/>
    <w:rsid w:val="1F722094"/>
    <w:rsid w:val="1FA91432"/>
    <w:rsid w:val="1FCE3404"/>
    <w:rsid w:val="1FD27F61"/>
    <w:rsid w:val="1FE024EA"/>
    <w:rsid w:val="1FF446FA"/>
    <w:rsid w:val="202B7515"/>
    <w:rsid w:val="20476854"/>
    <w:rsid w:val="204A0D08"/>
    <w:rsid w:val="20796E60"/>
    <w:rsid w:val="207E3C6E"/>
    <w:rsid w:val="20850F2A"/>
    <w:rsid w:val="20AA0E15"/>
    <w:rsid w:val="20AC2ED5"/>
    <w:rsid w:val="20D55460"/>
    <w:rsid w:val="212B3875"/>
    <w:rsid w:val="21384777"/>
    <w:rsid w:val="213900B3"/>
    <w:rsid w:val="21402683"/>
    <w:rsid w:val="214E3C8D"/>
    <w:rsid w:val="21564609"/>
    <w:rsid w:val="2172075E"/>
    <w:rsid w:val="218F26EC"/>
    <w:rsid w:val="21970268"/>
    <w:rsid w:val="21B67E14"/>
    <w:rsid w:val="21DE511C"/>
    <w:rsid w:val="21F2725D"/>
    <w:rsid w:val="21F7407A"/>
    <w:rsid w:val="21FA0F0C"/>
    <w:rsid w:val="22443F52"/>
    <w:rsid w:val="22800F5B"/>
    <w:rsid w:val="22A6148F"/>
    <w:rsid w:val="22B068DF"/>
    <w:rsid w:val="22C11AA0"/>
    <w:rsid w:val="22C62F3A"/>
    <w:rsid w:val="22F912D1"/>
    <w:rsid w:val="2324394A"/>
    <w:rsid w:val="2328248D"/>
    <w:rsid w:val="2333099E"/>
    <w:rsid w:val="234647AA"/>
    <w:rsid w:val="23573815"/>
    <w:rsid w:val="2367752F"/>
    <w:rsid w:val="23753B32"/>
    <w:rsid w:val="2380657F"/>
    <w:rsid w:val="238621A3"/>
    <w:rsid w:val="23AD3F39"/>
    <w:rsid w:val="23D5432C"/>
    <w:rsid w:val="23F1591B"/>
    <w:rsid w:val="24051C87"/>
    <w:rsid w:val="24354C4F"/>
    <w:rsid w:val="24470B4A"/>
    <w:rsid w:val="24832ECC"/>
    <w:rsid w:val="248C46D2"/>
    <w:rsid w:val="24DB4E93"/>
    <w:rsid w:val="2509275D"/>
    <w:rsid w:val="250D0121"/>
    <w:rsid w:val="250D22FE"/>
    <w:rsid w:val="25172298"/>
    <w:rsid w:val="251972DF"/>
    <w:rsid w:val="25286633"/>
    <w:rsid w:val="253B4C73"/>
    <w:rsid w:val="25672E21"/>
    <w:rsid w:val="256D11CB"/>
    <w:rsid w:val="257162D7"/>
    <w:rsid w:val="2572129F"/>
    <w:rsid w:val="25A84F81"/>
    <w:rsid w:val="26017463"/>
    <w:rsid w:val="2620569F"/>
    <w:rsid w:val="26264CA5"/>
    <w:rsid w:val="26367B9D"/>
    <w:rsid w:val="263A13A7"/>
    <w:rsid w:val="264579D4"/>
    <w:rsid w:val="26570D9B"/>
    <w:rsid w:val="265B4A98"/>
    <w:rsid w:val="26680B82"/>
    <w:rsid w:val="267F7F34"/>
    <w:rsid w:val="26B15823"/>
    <w:rsid w:val="26C458D9"/>
    <w:rsid w:val="26C6266E"/>
    <w:rsid w:val="26F96584"/>
    <w:rsid w:val="26FA043B"/>
    <w:rsid w:val="27270BA0"/>
    <w:rsid w:val="27292897"/>
    <w:rsid w:val="272A512B"/>
    <w:rsid w:val="273057C2"/>
    <w:rsid w:val="2736007B"/>
    <w:rsid w:val="27364029"/>
    <w:rsid w:val="27485B61"/>
    <w:rsid w:val="274B08D6"/>
    <w:rsid w:val="27572352"/>
    <w:rsid w:val="27A63803"/>
    <w:rsid w:val="27AA66DF"/>
    <w:rsid w:val="27DE54C8"/>
    <w:rsid w:val="27DF5F83"/>
    <w:rsid w:val="28065029"/>
    <w:rsid w:val="28181A49"/>
    <w:rsid w:val="2881192B"/>
    <w:rsid w:val="28A571BF"/>
    <w:rsid w:val="28BA0544"/>
    <w:rsid w:val="28C825D9"/>
    <w:rsid w:val="28CA538C"/>
    <w:rsid w:val="28CB2378"/>
    <w:rsid w:val="28CC1CA9"/>
    <w:rsid w:val="28CF33C4"/>
    <w:rsid w:val="292213A3"/>
    <w:rsid w:val="29244BC3"/>
    <w:rsid w:val="294444A6"/>
    <w:rsid w:val="29502024"/>
    <w:rsid w:val="29626D9C"/>
    <w:rsid w:val="2983444B"/>
    <w:rsid w:val="29AE4DCD"/>
    <w:rsid w:val="29CD7446"/>
    <w:rsid w:val="29D86C3D"/>
    <w:rsid w:val="2A0C4A85"/>
    <w:rsid w:val="2A182384"/>
    <w:rsid w:val="2A471C5B"/>
    <w:rsid w:val="2A47667E"/>
    <w:rsid w:val="2A7D17D9"/>
    <w:rsid w:val="2A997F46"/>
    <w:rsid w:val="2AA720BD"/>
    <w:rsid w:val="2AB23553"/>
    <w:rsid w:val="2AC6544B"/>
    <w:rsid w:val="2AFB2465"/>
    <w:rsid w:val="2B0C5681"/>
    <w:rsid w:val="2B2379C3"/>
    <w:rsid w:val="2B6215F2"/>
    <w:rsid w:val="2BB875F8"/>
    <w:rsid w:val="2BCA7BD5"/>
    <w:rsid w:val="2BEE6654"/>
    <w:rsid w:val="2BF06118"/>
    <w:rsid w:val="2C082643"/>
    <w:rsid w:val="2C09361F"/>
    <w:rsid w:val="2C0B09FB"/>
    <w:rsid w:val="2C5F50E7"/>
    <w:rsid w:val="2C80640C"/>
    <w:rsid w:val="2C9F0618"/>
    <w:rsid w:val="2CB044A6"/>
    <w:rsid w:val="2CD3475D"/>
    <w:rsid w:val="2CF471CC"/>
    <w:rsid w:val="2D031F0A"/>
    <w:rsid w:val="2D2B1BF1"/>
    <w:rsid w:val="2D300C2A"/>
    <w:rsid w:val="2D9F4C9A"/>
    <w:rsid w:val="2DBB19C8"/>
    <w:rsid w:val="2DF16206"/>
    <w:rsid w:val="2E1A2792"/>
    <w:rsid w:val="2E2A3C72"/>
    <w:rsid w:val="2E756EE4"/>
    <w:rsid w:val="2E7A6780"/>
    <w:rsid w:val="2E903AA6"/>
    <w:rsid w:val="2E954DE4"/>
    <w:rsid w:val="2E990EE5"/>
    <w:rsid w:val="2EA74AB7"/>
    <w:rsid w:val="2EEA3EEB"/>
    <w:rsid w:val="2EFE3990"/>
    <w:rsid w:val="2F3474BC"/>
    <w:rsid w:val="2F376972"/>
    <w:rsid w:val="2F5510E8"/>
    <w:rsid w:val="2F915184"/>
    <w:rsid w:val="2FDB35FD"/>
    <w:rsid w:val="2FDB65AB"/>
    <w:rsid w:val="303655A9"/>
    <w:rsid w:val="30416A11"/>
    <w:rsid w:val="30513795"/>
    <w:rsid w:val="3053208E"/>
    <w:rsid w:val="308356D8"/>
    <w:rsid w:val="30EB1091"/>
    <w:rsid w:val="30FA2B83"/>
    <w:rsid w:val="31132AF6"/>
    <w:rsid w:val="31435308"/>
    <w:rsid w:val="316E7B6E"/>
    <w:rsid w:val="31777A59"/>
    <w:rsid w:val="31812D76"/>
    <w:rsid w:val="31B43FAE"/>
    <w:rsid w:val="32073DFD"/>
    <w:rsid w:val="32566F80"/>
    <w:rsid w:val="326233D5"/>
    <w:rsid w:val="326B0EC2"/>
    <w:rsid w:val="326C44C8"/>
    <w:rsid w:val="32BA614A"/>
    <w:rsid w:val="32D1566D"/>
    <w:rsid w:val="32E5345D"/>
    <w:rsid w:val="32EA3EBA"/>
    <w:rsid w:val="330274F1"/>
    <w:rsid w:val="33142F7A"/>
    <w:rsid w:val="334F62FB"/>
    <w:rsid w:val="337335DF"/>
    <w:rsid w:val="337749FD"/>
    <w:rsid w:val="339D73B6"/>
    <w:rsid w:val="33AE4D73"/>
    <w:rsid w:val="33C91820"/>
    <w:rsid w:val="33CD5020"/>
    <w:rsid w:val="33D86AEF"/>
    <w:rsid w:val="33EC19CF"/>
    <w:rsid w:val="33FB1B8D"/>
    <w:rsid w:val="33FB32EE"/>
    <w:rsid w:val="33FF598D"/>
    <w:rsid w:val="34621545"/>
    <w:rsid w:val="348B0BD6"/>
    <w:rsid w:val="34AA0C12"/>
    <w:rsid w:val="34B2110A"/>
    <w:rsid w:val="34C22379"/>
    <w:rsid w:val="34C50876"/>
    <w:rsid w:val="353C6C05"/>
    <w:rsid w:val="355B21DB"/>
    <w:rsid w:val="355E734D"/>
    <w:rsid w:val="35A013B7"/>
    <w:rsid w:val="35C72AF8"/>
    <w:rsid w:val="35D02BB2"/>
    <w:rsid w:val="35E51E53"/>
    <w:rsid w:val="35F6A475"/>
    <w:rsid w:val="364524C4"/>
    <w:rsid w:val="365D549E"/>
    <w:rsid w:val="366521B7"/>
    <w:rsid w:val="36757D1C"/>
    <w:rsid w:val="36826112"/>
    <w:rsid w:val="36A070EC"/>
    <w:rsid w:val="36B42A54"/>
    <w:rsid w:val="36D143C2"/>
    <w:rsid w:val="36F44BA5"/>
    <w:rsid w:val="370C25EC"/>
    <w:rsid w:val="375D5EFF"/>
    <w:rsid w:val="3769177D"/>
    <w:rsid w:val="378C0C0A"/>
    <w:rsid w:val="379530C6"/>
    <w:rsid w:val="37995C56"/>
    <w:rsid w:val="37A02467"/>
    <w:rsid w:val="37AA2A2B"/>
    <w:rsid w:val="37E976EC"/>
    <w:rsid w:val="380D4B9D"/>
    <w:rsid w:val="38121C1A"/>
    <w:rsid w:val="381A0DF2"/>
    <w:rsid w:val="381D0A3E"/>
    <w:rsid w:val="388C1269"/>
    <w:rsid w:val="38986075"/>
    <w:rsid w:val="38A428D6"/>
    <w:rsid w:val="38AA65E7"/>
    <w:rsid w:val="38B00B27"/>
    <w:rsid w:val="38B4055C"/>
    <w:rsid w:val="38C45D4D"/>
    <w:rsid w:val="38D8249D"/>
    <w:rsid w:val="38EF702B"/>
    <w:rsid w:val="38FA1B06"/>
    <w:rsid w:val="390846BD"/>
    <w:rsid w:val="394542C6"/>
    <w:rsid w:val="394C2D4E"/>
    <w:rsid w:val="3983203B"/>
    <w:rsid w:val="39A63FD7"/>
    <w:rsid w:val="39BF5F6B"/>
    <w:rsid w:val="39C15FF9"/>
    <w:rsid w:val="39F51765"/>
    <w:rsid w:val="39FF6276"/>
    <w:rsid w:val="3A8B0BD2"/>
    <w:rsid w:val="3AB43A4E"/>
    <w:rsid w:val="3AB914E9"/>
    <w:rsid w:val="3ABE2873"/>
    <w:rsid w:val="3AEB3CFC"/>
    <w:rsid w:val="3B30679B"/>
    <w:rsid w:val="3B7A345D"/>
    <w:rsid w:val="3B9F7C34"/>
    <w:rsid w:val="3BDF562E"/>
    <w:rsid w:val="3BE21CC8"/>
    <w:rsid w:val="3C18525E"/>
    <w:rsid w:val="3C332BE8"/>
    <w:rsid w:val="3C495BA9"/>
    <w:rsid w:val="3C601413"/>
    <w:rsid w:val="3C846DAF"/>
    <w:rsid w:val="3C8A2EAE"/>
    <w:rsid w:val="3CB96983"/>
    <w:rsid w:val="3CD24E3D"/>
    <w:rsid w:val="3D1F2F22"/>
    <w:rsid w:val="3D1F799D"/>
    <w:rsid w:val="3D271999"/>
    <w:rsid w:val="3D607867"/>
    <w:rsid w:val="3D7777D0"/>
    <w:rsid w:val="3D811E42"/>
    <w:rsid w:val="3D837D98"/>
    <w:rsid w:val="3D922A13"/>
    <w:rsid w:val="3D9E02C2"/>
    <w:rsid w:val="3DC106F4"/>
    <w:rsid w:val="3E2B3F62"/>
    <w:rsid w:val="3E396A25"/>
    <w:rsid w:val="3E4D46A5"/>
    <w:rsid w:val="3E52118C"/>
    <w:rsid w:val="3E91345E"/>
    <w:rsid w:val="3ECC2AD7"/>
    <w:rsid w:val="3EDE5E36"/>
    <w:rsid w:val="3EF43A44"/>
    <w:rsid w:val="3F361EF8"/>
    <w:rsid w:val="3F4C7A99"/>
    <w:rsid w:val="3F5E0CFB"/>
    <w:rsid w:val="3F6820E8"/>
    <w:rsid w:val="3F785E92"/>
    <w:rsid w:val="3F9000D1"/>
    <w:rsid w:val="3FA31F73"/>
    <w:rsid w:val="3FB32FC5"/>
    <w:rsid w:val="3FDF0148"/>
    <w:rsid w:val="3FE63E16"/>
    <w:rsid w:val="40252866"/>
    <w:rsid w:val="402F04A0"/>
    <w:rsid w:val="408840AB"/>
    <w:rsid w:val="409509DC"/>
    <w:rsid w:val="409E77BA"/>
    <w:rsid w:val="40A57984"/>
    <w:rsid w:val="40BE6BF1"/>
    <w:rsid w:val="415E2689"/>
    <w:rsid w:val="41643F29"/>
    <w:rsid w:val="41823BD3"/>
    <w:rsid w:val="419E1033"/>
    <w:rsid w:val="41D852BC"/>
    <w:rsid w:val="41ED7AF0"/>
    <w:rsid w:val="41F13BCE"/>
    <w:rsid w:val="41FB072E"/>
    <w:rsid w:val="420348D1"/>
    <w:rsid w:val="42097B6B"/>
    <w:rsid w:val="422D76F8"/>
    <w:rsid w:val="42394329"/>
    <w:rsid w:val="42436F15"/>
    <w:rsid w:val="424400E8"/>
    <w:rsid w:val="42BD7C58"/>
    <w:rsid w:val="42C306F7"/>
    <w:rsid w:val="42C813D6"/>
    <w:rsid w:val="42D00689"/>
    <w:rsid w:val="42E62E31"/>
    <w:rsid w:val="42FB44D6"/>
    <w:rsid w:val="42FC0E4A"/>
    <w:rsid w:val="42FE5507"/>
    <w:rsid w:val="432943E8"/>
    <w:rsid w:val="43373249"/>
    <w:rsid w:val="436B7E50"/>
    <w:rsid w:val="43954197"/>
    <w:rsid w:val="43B82D74"/>
    <w:rsid w:val="43CE2A24"/>
    <w:rsid w:val="43D60DB0"/>
    <w:rsid w:val="43DB6720"/>
    <w:rsid w:val="43E76BE2"/>
    <w:rsid w:val="440627D9"/>
    <w:rsid w:val="44092AA1"/>
    <w:rsid w:val="440C3942"/>
    <w:rsid w:val="44135B78"/>
    <w:rsid w:val="442B0775"/>
    <w:rsid w:val="44406369"/>
    <w:rsid w:val="44556E66"/>
    <w:rsid w:val="448122BC"/>
    <w:rsid w:val="44B03FEF"/>
    <w:rsid w:val="44B10046"/>
    <w:rsid w:val="44DF2AE7"/>
    <w:rsid w:val="44E93244"/>
    <w:rsid w:val="4504546D"/>
    <w:rsid w:val="4528670D"/>
    <w:rsid w:val="452A5D48"/>
    <w:rsid w:val="455276EB"/>
    <w:rsid w:val="45713DE8"/>
    <w:rsid w:val="45C32D56"/>
    <w:rsid w:val="45CC78C7"/>
    <w:rsid w:val="45FE7AE7"/>
    <w:rsid w:val="463020CF"/>
    <w:rsid w:val="46373BE9"/>
    <w:rsid w:val="46524D89"/>
    <w:rsid w:val="468A544C"/>
    <w:rsid w:val="468B1BCE"/>
    <w:rsid w:val="46AC19EA"/>
    <w:rsid w:val="46AD6653"/>
    <w:rsid w:val="46B74165"/>
    <w:rsid w:val="46CA4FFB"/>
    <w:rsid w:val="46DD6398"/>
    <w:rsid w:val="471B661C"/>
    <w:rsid w:val="472752D8"/>
    <w:rsid w:val="47541B92"/>
    <w:rsid w:val="47900390"/>
    <w:rsid w:val="47A348CC"/>
    <w:rsid w:val="47B82C9D"/>
    <w:rsid w:val="47F037D9"/>
    <w:rsid w:val="48384B20"/>
    <w:rsid w:val="483940A5"/>
    <w:rsid w:val="489719B6"/>
    <w:rsid w:val="489E512A"/>
    <w:rsid w:val="48BA25C3"/>
    <w:rsid w:val="48D56883"/>
    <w:rsid w:val="48D82045"/>
    <w:rsid w:val="48EB31DC"/>
    <w:rsid w:val="493F2F15"/>
    <w:rsid w:val="49532D21"/>
    <w:rsid w:val="49657F06"/>
    <w:rsid w:val="49764533"/>
    <w:rsid w:val="49925A51"/>
    <w:rsid w:val="49AB61D0"/>
    <w:rsid w:val="49C41488"/>
    <w:rsid w:val="49FF3F32"/>
    <w:rsid w:val="4A017DCC"/>
    <w:rsid w:val="4A0A565D"/>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8B10CA"/>
    <w:rsid w:val="4BA029BD"/>
    <w:rsid w:val="4BAA5015"/>
    <w:rsid w:val="4BB14D2D"/>
    <w:rsid w:val="4BB330D0"/>
    <w:rsid w:val="4BBD259D"/>
    <w:rsid w:val="4BE33A37"/>
    <w:rsid w:val="4BF04B51"/>
    <w:rsid w:val="4C3E2A39"/>
    <w:rsid w:val="4C4E3980"/>
    <w:rsid w:val="4C65207D"/>
    <w:rsid w:val="4C672411"/>
    <w:rsid w:val="4CC004FA"/>
    <w:rsid w:val="4CD27102"/>
    <w:rsid w:val="4CDB41B8"/>
    <w:rsid w:val="4CDD5E4B"/>
    <w:rsid w:val="4CDE0D61"/>
    <w:rsid w:val="4D0A770A"/>
    <w:rsid w:val="4D156FC5"/>
    <w:rsid w:val="4D6D77F9"/>
    <w:rsid w:val="4DA6502A"/>
    <w:rsid w:val="4DA76A63"/>
    <w:rsid w:val="4DC40A29"/>
    <w:rsid w:val="4E0A344B"/>
    <w:rsid w:val="4E6A36F3"/>
    <w:rsid w:val="4E93737E"/>
    <w:rsid w:val="4EA12770"/>
    <w:rsid w:val="4EC046F5"/>
    <w:rsid w:val="4EC93D5C"/>
    <w:rsid w:val="4ECA12B4"/>
    <w:rsid w:val="4EF0641F"/>
    <w:rsid w:val="4EF53B2A"/>
    <w:rsid w:val="4F0F4C4F"/>
    <w:rsid w:val="4F315A8C"/>
    <w:rsid w:val="4F490370"/>
    <w:rsid w:val="4F544D29"/>
    <w:rsid w:val="4F5B7C85"/>
    <w:rsid w:val="4F635298"/>
    <w:rsid w:val="4F9454BF"/>
    <w:rsid w:val="4F9C52B7"/>
    <w:rsid w:val="4FC96B8B"/>
    <w:rsid w:val="4FDA6C8F"/>
    <w:rsid w:val="4FF74967"/>
    <w:rsid w:val="4FFF7151"/>
    <w:rsid w:val="50253FD1"/>
    <w:rsid w:val="502C1819"/>
    <w:rsid w:val="502E1606"/>
    <w:rsid w:val="503E4B73"/>
    <w:rsid w:val="503F546A"/>
    <w:rsid w:val="50575F45"/>
    <w:rsid w:val="505A5C1E"/>
    <w:rsid w:val="50813B06"/>
    <w:rsid w:val="508654A4"/>
    <w:rsid w:val="509153C8"/>
    <w:rsid w:val="509C25F0"/>
    <w:rsid w:val="50B271A1"/>
    <w:rsid w:val="50C81174"/>
    <w:rsid w:val="511C5162"/>
    <w:rsid w:val="513F29B7"/>
    <w:rsid w:val="517023EE"/>
    <w:rsid w:val="51813D34"/>
    <w:rsid w:val="519A1758"/>
    <w:rsid w:val="51AF1B37"/>
    <w:rsid w:val="51C51E76"/>
    <w:rsid w:val="51CC39AC"/>
    <w:rsid w:val="51E51128"/>
    <w:rsid w:val="522937E0"/>
    <w:rsid w:val="522C3F9D"/>
    <w:rsid w:val="5238713E"/>
    <w:rsid w:val="52D34235"/>
    <w:rsid w:val="534B1A77"/>
    <w:rsid w:val="534B7672"/>
    <w:rsid w:val="536C1090"/>
    <w:rsid w:val="53737C03"/>
    <w:rsid w:val="539A6D7C"/>
    <w:rsid w:val="539E5D3D"/>
    <w:rsid w:val="53EF5A68"/>
    <w:rsid w:val="540079CA"/>
    <w:rsid w:val="54027532"/>
    <w:rsid w:val="540C4F60"/>
    <w:rsid w:val="5419059C"/>
    <w:rsid w:val="54263A70"/>
    <w:rsid w:val="54501B0D"/>
    <w:rsid w:val="545F479A"/>
    <w:rsid w:val="546D5136"/>
    <w:rsid w:val="547450D0"/>
    <w:rsid w:val="54777114"/>
    <w:rsid w:val="54872B15"/>
    <w:rsid w:val="54915A97"/>
    <w:rsid w:val="549D6A7C"/>
    <w:rsid w:val="54C74AA6"/>
    <w:rsid w:val="54CE47AF"/>
    <w:rsid w:val="54D359CD"/>
    <w:rsid w:val="54F27669"/>
    <w:rsid w:val="553A5D2A"/>
    <w:rsid w:val="557425CC"/>
    <w:rsid w:val="55766E6E"/>
    <w:rsid w:val="5587746A"/>
    <w:rsid w:val="55B04437"/>
    <w:rsid w:val="55F01018"/>
    <w:rsid w:val="563665FD"/>
    <w:rsid w:val="56784506"/>
    <w:rsid w:val="56A936AC"/>
    <w:rsid w:val="56BA1C1B"/>
    <w:rsid w:val="56C83A42"/>
    <w:rsid w:val="56FA6D9E"/>
    <w:rsid w:val="573F3C29"/>
    <w:rsid w:val="57623859"/>
    <w:rsid w:val="5767274F"/>
    <w:rsid w:val="57715B3F"/>
    <w:rsid w:val="579E3DE8"/>
    <w:rsid w:val="57A17216"/>
    <w:rsid w:val="57D216E2"/>
    <w:rsid w:val="57D24171"/>
    <w:rsid w:val="57D60097"/>
    <w:rsid w:val="57D66949"/>
    <w:rsid w:val="57DC6A48"/>
    <w:rsid w:val="58156F93"/>
    <w:rsid w:val="5827352B"/>
    <w:rsid w:val="586056D5"/>
    <w:rsid w:val="587D6570"/>
    <w:rsid w:val="58826D4F"/>
    <w:rsid w:val="589128D7"/>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B3797"/>
    <w:rsid w:val="59A71B88"/>
    <w:rsid w:val="59AE04C2"/>
    <w:rsid w:val="59AE4E80"/>
    <w:rsid w:val="59E86C16"/>
    <w:rsid w:val="59ED2DB1"/>
    <w:rsid w:val="59F8019B"/>
    <w:rsid w:val="5A0278DF"/>
    <w:rsid w:val="5A190E8E"/>
    <w:rsid w:val="5A23356B"/>
    <w:rsid w:val="5A487E05"/>
    <w:rsid w:val="5A53173B"/>
    <w:rsid w:val="5A943606"/>
    <w:rsid w:val="5AAA653F"/>
    <w:rsid w:val="5AB90D1D"/>
    <w:rsid w:val="5ACE62ED"/>
    <w:rsid w:val="5B1E17B1"/>
    <w:rsid w:val="5B2A40D0"/>
    <w:rsid w:val="5B627C79"/>
    <w:rsid w:val="5B651940"/>
    <w:rsid w:val="5B7752B2"/>
    <w:rsid w:val="5B9D3C91"/>
    <w:rsid w:val="5C284E5F"/>
    <w:rsid w:val="5C3C237D"/>
    <w:rsid w:val="5C513549"/>
    <w:rsid w:val="5C6E6E89"/>
    <w:rsid w:val="5C705231"/>
    <w:rsid w:val="5CA55B5B"/>
    <w:rsid w:val="5CAA1701"/>
    <w:rsid w:val="5CC92078"/>
    <w:rsid w:val="5CD50D73"/>
    <w:rsid w:val="5CEC60C7"/>
    <w:rsid w:val="5CF33B63"/>
    <w:rsid w:val="5D323CF7"/>
    <w:rsid w:val="5D5A3682"/>
    <w:rsid w:val="5D647EB1"/>
    <w:rsid w:val="5D9756B6"/>
    <w:rsid w:val="5DAB6C09"/>
    <w:rsid w:val="5DB47DAE"/>
    <w:rsid w:val="5DB535EE"/>
    <w:rsid w:val="5DD62B9F"/>
    <w:rsid w:val="5DF529F6"/>
    <w:rsid w:val="5DFA4DF5"/>
    <w:rsid w:val="5DFD04B0"/>
    <w:rsid w:val="5E495643"/>
    <w:rsid w:val="5E5B734D"/>
    <w:rsid w:val="5E88771E"/>
    <w:rsid w:val="5EE50805"/>
    <w:rsid w:val="5F542679"/>
    <w:rsid w:val="5F683DAD"/>
    <w:rsid w:val="5F721E93"/>
    <w:rsid w:val="5F7B0384"/>
    <w:rsid w:val="5FBD661B"/>
    <w:rsid w:val="5FC82634"/>
    <w:rsid w:val="5FCE4DAE"/>
    <w:rsid w:val="600E5982"/>
    <w:rsid w:val="60187C5D"/>
    <w:rsid w:val="60192A4F"/>
    <w:rsid w:val="60196D73"/>
    <w:rsid w:val="602559E8"/>
    <w:rsid w:val="605F5644"/>
    <w:rsid w:val="607A7BA9"/>
    <w:rsid w:val="60952901"/>
    <w:rsid w:val="60A769D5"/>
    <w:rsid w:val="60A94E27"/>
    <w:rsid w:val="60AA1B42"/>
    <w:rsid w:val="60BA6E11"/>
    <w:rsid w:val="60CE5CE0"/>
    <w:rsid w:val="610D1DA7"/>
    <w:rsid w:val="610E08BB"/>
    <w:rsid w:val="610F2538"/>
    <w:rsid w:val="611A26C4"/>
    <w:rsid w:val="61236265"/>
    <w:rsid w:val="61424A9B"/>
    <w:rsid w:val="61487C66"/>
    <w:rsid w:val="615D2ABF"/>
    <w:rsid w:val="616E2687"/>
    <w:rsid w:val="61892938"/>
    <w:rsid w:val="61956448"/>
    <w:rsid w:val="61AD6848"/>
    <w:rsid w:val="61B22E46"/>
    <w:rsid w:val="61CD3E9E"/>
    <w:rsid w:val="61CE3444"/>
    <w:rsid w:val="61EB6F89"/>
    <w:rsid w:val="61F914DB"/>
    <w:rsid w:val="61FB1170"/>
    <w:rsid w:val="62340F33"/>
    <w:rsid w:val="62385B9D"/>
    <w:rsid w:val="624D7F7B"/>
    <w:rsid w:val="628E5793"/>
    <w:rsid w:val="62A24636"/>
    <w:rsid w:val="62AB50D5"/>
    <w:rsid w:val="62AB618D"/>
    <w:rsid w:val="62E10125"/>
    <w:rsid w:val="62E369AA"/>
    <w:rsid w:val="62E927C6"/>
    <w:rsid w:val="630A568F"/>
    <w:rsid w:val="63152ED4"/>
    <w:rsid w:val="631D691C"/>
    <w:rsid w:val="632A078C"/>
    <w:rsid w:val="635A1B7D"/>
    <w:rsid w:val="636C661F"/>
    <w:rsid w:val="63777206"/>
    <w:rsid w:val="637A2200"/>
    <w:rsid w:val="638915AD"/>
    <w:rsid w:val="63B10689"/>
    <w:rsid w:val="63B774D5"/>
    <w:rsid w:val="63FA115E"/>
    <w:rsid w:val="640A1FA5"/>
    <w:rsid w:val="64771B6A"/>
    <w:rsid w:val="648E755D"/>
    <w:rsid w:val="64CE3708"/>
    <w:rsid w:val="64DB4C47"/>
    <w:rsid w:val="64DE04C9"/>
    <w:rsid w:val="64EE150A"/>
    <w:rsid w:val="64FC6714"/>
    <w:rsid w:val="65005F10"/>
    <w:rsid w:val="65076735"/>
    <w:rsid w:val="65096DD2"/>
    <w:rsid w:val="65415492"/>
    <w:rsid w:val="65736522"/>
    <w:rsid w:val="65AB2B63"/>
    <w:rsid w:val="65BD4108"/>
    <w:rsid w:val="65C411ED"/>
    <w:rsid w:val="65CA13E4"/>
    <w:rsid w:val="65CB583A"/>
    <w:rsid w:val="65D02A4F"/>
    <w:rsid w:val="65EE47FE"/>
    <w:rsid w:val="65F46315"/>
    <w:rsid w:val="660233C9"/>
    <w:rsid w:val="662D29B4"/>
    <w:rsid w:val="663A5F3D"/>
    <w:rsid w:val="666E275C"/>
    <w:rsid w:val="669F0ADA"/>
    <w:rsid w:val="66AB017E"/>
    <w:rsid w:val="67053766"/>
    <w:rsid w:val="6746409B"/>
    <w:rsid w:val="675D5863"/>
    <w:rsid w:val="67643C12"/>
    <w:rsid w:val="67900263"/>
    <w:rsid w:val="679E3210"/>
    <w:rsid w:val="67B71080"/>
    <w:rsid w:val="67EA3A94"/>
    <w:rsid w:val="67FB2AE9"/>
    <w:rsid w:val="680A7FD6"/>
    <w:rsid w:val="68312EAF"/>
    <w:rsid w:val="683507BE"/>
    <w:rsid w:val="68451127"/>
    <w:rsid w:val="684C12C1"/>
    <w:rsid w:val="685F0CD2"/>
    <w:rsid w:val="68692E91"/>
    <w:rsid w:val="68692F69"/>
    <w:rsid w:val="68940B0A"/>
    <w:rsid w:val="689F5BD1"/>
    <w:rsid w:val="68AC3D57"/>
    <w:rsid w:val="68B63CD3"/>
    <w:rsid w:val="68CF7C43"/>
    <w:rsid w:val="68DF0EAB"/>
    <w:rsid w:val="69016A08"/>
    <w:rsid w:val="69D866C6"/>
    <w:rsid w:val="69F861E6"/>
    <w:rsid w:val="6A21309F"/>
    <w:rsid w:val="6A3D338C"/>
    <w:rsid w:val="6A454B85"/>
    <w:rsid w:val="6A482AAF"/>
    <w:rsid w:val="6A941E18"/>
    <w:rsid w:val="6A9D0F41"/>
    <w:rsid w:val="6AA113ED"/>
    <w:rsid w:val="6ACB3B1B"/>
    <w:rsid w:val="6AD42C9D"/>
    <w:rsid w:val="6AED1E34"/>
    <w:rsid w:val="6B0E62E1"/>
    <w:rsid w:val="6B2166BD"/>
    <w:rsid w:val="6B41702A"/>
    <w:rsid w:val="6B4E5A26"/>
    <w:rsid w:val="6B54748C"/>
    <w:rsid w:val="6B57179B"/>
    <w:rsid w:val="6B5C3188"/>
    <w:rsid w:val="6B617384"/>
    <w:rsid w:val="6B7B3DBF"/>
    <w:rsid w:val="6B882545"/>
    <w:rsid w:val="6BBA42EA"/>
    <w:rsid w:val="6BBE2563"/>
    <w:rsid w:val="6BF504BB"/>
    <w:rsid w:val="6BFC4560"/>
    <w:rsid w:val="6C023ED5"/>
    <w:rsid w:val="6C1437AA"/>
    <w:rsid w:val="6C851D38"/>
    <w:rsid w:val="6C8978CF"/>
    <w:rsid w:val="6C9169FC"/>
    <w:rsid w:val="6CCA3F84"/>
    <w:rsid w:val="6CE35E9B"/>
    <w:rsid w:val="6CF82CD9"/>
    <w:rsid w:val="6D6502CE"/>
    <w:rsid w:val="6D9240B6"/>
    <w:rsid w:val="6DB419BD"/>
    <w:rsid w:val="6E0E1ECC"/>
    <w:rsid w:val="6E2957FB"/>
    <w:rsid w:val="6E6D51F2"/>
    <w:rsid w:val="6E7F2C6B"/>
    <w:rsid w:val="6EA2541F"/>
    <w:rsid w:val="6EAE3E73"/>
    <w:rsid w:val="6EC25185"/>
    <w:rsid w:val="6ED00439"/>
    <w:rsid w:val="6EF62EC0"/>
    <w:rsid w:val="6EFC5550"/>
    <w:rsid w:val="6F0D2199"/>
    <w:rsid w:val="6F0F7DCB"/>
    <w:rsid w:val="6F284C65"/>
    <w:rsid w:val="6F2F2F24"/>
    <w:rsid w:val="6F312DD8"/>
    <w:rsid w:val="6F421919"/>
    <w:rsid w:val="6F735E73"/>
    <w:rsid w:val="6F8D13C7"/>
    <w:rsid w:val="6FC3526C"/>
    <w:rsid w:val="6FC72A57"/>
    <w:rsid w:val="6FE20A31"/>
    <w:rsid w:val="6FE87B87"/>
    <w:rsid w:val="6FF7297A"/>
    <w:rsid w:val="6FFE1AE2"/>
    <w:rsid w:val="700F12CD"/>
    <w:rsid w:val="701428CE"/>
    <w:rsid w:val="70327E1E"/>
    <w:rsid w:val="704F7779"/>
    <w:rsid w:val="708F4923"/>
    <w:rsid w:val="70B25961"/>
    <w:rsid w:val="70B75B8D"/>
    <w:rsid w:val="70BF6591"/>
    <w:rsid w:val="711A18D2"/>
    <w:rsid w:val="712966A9"/>
    <w:rsid w:val="714D6817"/>
    <w:rsid w:val="71524046"/>
    <w:rsid w:val="71533ADD"/>
    <w:rsid w:val="717D1E65"/>
    <w:rsid w:val="71A66CC4"/>
    <w:rsid w:val="720555E9"/>
    <w:rsid w:val="72193393"/>
    <w:rsid w:val="72331CBD"/>
    <w:rsid w:val="724701E1"/>
    <w:rsid w:val="725255EA"/>
    <w:rsid w:val="72BF19FC"/>
    <w:rsid w:val="72D9434B"/>
    <w:rsid w:val="72F372FD"/>
    <w:rsid w:val="72F82052"/>
    <w:rsid w:val="730C26C5"/>
    <w:rsid w:val="733266A8"/>
    <w:rsid w:val="73495B13"/>
    <w:rsid w:val="735815B6"/>
    <w:rsid w:val="738A7EAD"/>
    <w:rsid w:val="739D7139"/>
    <w:rsid w:val="73D52A30"/>
    <w:rsid w:val="73DD0E3C"/>
    <w:rsid w:val="74236B2B"/>
    <w:rsid w:val="74455D52"/>
    <w:rsid w:val="74531D63"/>
    <w:rsid w:val="747760CD"/>
    <w:rsid w:val="748F7B9E"/>
    <w:rsid w:val="74A84EFE"/>
    <w:rsid w:val="750A62DD"/>
    <w:rsid w:val="75277DE4"/>
    <w:rsid w:val="75322466"/>
    <w:rsid w:val="7564418B"/>
    <w:rsid w:val="757440DB"/>
    <w:rsid w:val="757A05DB"/>
    <w:rsid w:val="75816E28"/>
    <w:rsid w:val="759A5286"/>
    <w:rsid w:val="75ED33C8"/>
    <w:rsid w:val="76004CA4"/>
    <w:rsid w:val="76425EE2"/>
    <w:rsid w:val="7653072E"/>
    <w:rsid w:val="766E623E"/>
    <w:rsid w:val="76822B21"/>
    <w:rsid w:val="768C5471"/>
    <w:rsid w:val="768D3BBF"/>
    <w:rsid w:val="769D58AC"/>
    <w:rsid w:val="76AA4B74"/>
    <w:rsid w:val="76B66965"/>
    <w:rsid w:val="76CA5D5C"/>
    <w:rsid w:val="77074F83"/>
    <w:rsid w:val="77220BD7"/>
    <w:rsid w:val="77414AC2"/>
    <w:rsid w:val="7748610F"/>
    <w:rsid w:val="775A38CC"/>
    <w:rsid w:val="776F67CD"/>
    <w:rsid w:val="77722FE6"/>
    <w:rsid w:val="777D2FED"/>
    <w:rsid w:val="7782689D"/>
    <w:rsid w:val="77976DFF"/>
    <w:rsid w:val="77A05771"/>
    <w:rsid w:val="77C21737"/>
    <w:rsid w:val="77E13603"/>
    <w:rsid w:val="77E77201"/>
    <w:rsid w:val="78116B04"/>
    <w:rsid w:val="78315D73"/>
    <w:rsid w:val="78336A8F"/>
    <w:rsid w:val="78355045"/>
    <w:rsid w:val="783D3E40"/>
    <w:rsid w:val="78716670"/>
    <w:rsid w:val="78965C28"/>
    <w:rsid w:val="78D953FA"/>
    <w:rsid w:val="78F37672"/>
    <w:rsid w:val="79345A3C"/>
    <w:rsid w:val="79372DC5"/>
    <w:rsid w:val="79374D5A"/>
    <w:rsid w:val="793A2AF8"/>
    <w:rsid w:val="793B28A6"/>
    <w:rsid w:val="796E5F2A"/>
    <w:rsid w:val="7974588C"/>
    <w:rsid w:val="79933EDD"/>
    <w:rsid w:val="799776C8"/>
    <w:rsid w:val="79A53549"/>
    <w:rsid w:val="79AB350C"/>
    <w:rsid w:val="79E403F0"/>
    <w:rsid w:val="79EB5BE8"/>
    <w:rsid w:val="79F227D0"/>
    <w:rsid w:val="79FC6EBF"/>
    <w:rsid w:val="7A065A32"/>
    <w:rsid w:val="7A481500"/>
    <w:rsid w:val="7A587B79"/>
    <w:rsid w:val="7A99482C"/>
    <w:rsid w:val="7ACC2E74"/>
    <w:rsid w:val="7ACC428D"/>
    <w:rsid w:val="7AF5295B"/>
    <w:rsid w:val="7B1607CA"/>
    <w:rsid w:val="7B3E05B4"/>
    <w:rsid w:val="7B6056F6"/>
    <w:rsid w:val="7B6E6A55"/>
    <w:rsid w:val="7B7E586C"/>
    <w:rsid w:val="7B8B0C38"/>
    <w:rsid w:val="7B9850A6"/>
    <w:rsid w:val="7BE032DA"/>
    <w:rsid w:val="7BF049EB"/>
    <w:rsid w:val="7C146461"/>
    <w:rsid w:val="7C221215"/>
    <w:rsid w:val="7C377446"/>
    <w:rsid w:val="7C5A6DFB"/>
    <w:rsid w:val="7C6E35CD"/>
    <w:rsid w:val="7CA00D26"/>
    <w:rsid w:val="7CB623F6"/>
    <w:rsid w:val="7CC30BB4"/>
    <w:rsid w:val="7CD12BEF"/>
    <w:rsid w:val="7CD9506D"/>
    <w:rsid w:val="7CE02C9B"/>
    <w:rsid w:val="7D076221"/>
    <w:rsid w:val="7D144EB5"/>
    <w:rsid w:val="7D2A222C"/>
    <w:rsid w:val="7D6D2AF7"/>
    <w:rsid w:val="7D713FBB"/>
    <w:rsid w:val="7D8A60E2"/>
    <w:rsid w:val="7DC16FDD"/>
    <w:rsid w:val="7E0A5B14"/>
    <w:rsid w:val="7E121FB6"/>
    <w:rsid w:val="7E2205D3"/>
    <w:rsid w:val="7E385C8F"/>
    <w:rsid w:val="7E3C6F26"/>
    <w:rsid w:val="7E521976"/>
    <w:rsid w:val="7E5B31B8"/>
    <w:rsid w:val="7E6A484C"/>
    <w:rsid w:val="7E9D6F63"/>
    <w:rsid w:val="7EEB718E"/>
    <w:rsid w:val="7EFF380E"/>
    <w:rsid w:val="7F053BD5"/>
    <w:rsid w:val="7F47353B"/>
    <w:rsid w:val="7F555E1A"/>
    <w:rsid w:val="7F680ECA"/>
    <w:rsid w:val="7FAA326A"/>
    <w:rsid w:val="7FB76A3C"/>
    <w:rsid w:val="7FBF449C"/>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7"/>
    <w:qFormat/>
    <w:uiPriority w:val="9"/>
    <w:pPr>
      <w:spacing w:line="590" w:lineRule="exact"/>
      <w:ind w:firstLine="880" w:firstLineChars="200"/>
      <w:outlineLvl w:val="0"/>
    </w:pPr>
    <w:rPr>
      <w:rFonts w:ascii="黑体" w:hAnsi="黑体" w:eastAsia="黑体"/>
      <w:bCs/>
      <w:kern w:val="44"/>
      <w:sz w:val="32"/>
      <w:szCs w:val="44"/>
    </w:rPr>
  </w:style>
  <w:style w:type="paragraph" w:styleId="5">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6">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uiPriority w:val="99"/>
    <w:pPr>
      <w:ind w:firstLine="420" w:firstLineChars="200"/>
    </w:pPr>
  </w:style>
  <w:style w:type="paragraph" w:styleId="3">
    <w:name w:val="Body Text Indent"/>
    <w:basedOn w:val="1"/>
    <w:semiHidden/>
    <w:unhideWhenUsed/>
    <w:uiPriority w:val="99"/>
    <w:pPr>
      <w:spacing w:after="120" w:afterLines="0" w:afterAutospacing="0"/>
      <w:ind w:left="420" w:leftChars="200"/>
    </w:pPr>
  </w:style>
  <w:style w:type="paragraph" w:styleId="7">
    <w:name w:val="Normal Indent"/>
    <w:basedOn w:val="1"/>
    <w:next w:val="1"/>
    <w:qFormat/>
    <w:uiPriority w:val="0"/>
    <w:pPr>
      <w:ind w:firstLine="420" w:firstLineChars="200"/>
    </w:pPr>
  </w:style>
  <w:style w:type="paragraph" w:styleId="8">
    <w:name w:val="annotation text"/>
    <w:basedOn w:val="1"/>
    <w:link w:val="31"/>
    <w:semiHidden/>
    <w:unhideWhenUsed/>
    <w:qFormat/>
    <w:uiPriority w:val="99"/>
    <w:pPr>
      <w:jc w:val="left"/>
    </w:pPr>
  </w:style>
  <w:style w:type="paragraph" w:styleId="9">
    <w:name w:val="Body Text"/>
    <w:basedOn w:val="1"/>
    <w:next w:val="1"/>
    <w:qFormat/>
    <w:uiPriority w:val="1"/>
    <w:pPr>
      <w:ind w:left="119"/>
    </w:pPr>
    <w:rPr>
      <w:rFonts w:ascii="仿宋_GB2312" w:hAnsi="仿宋_GB2312" w:eastAsia="仿宋_GB2312" w:cs="Times New Roman"/>
      <w:sz w:val="30"/>
      <w:szCs w:val="30"/>
      <w:lang w:eastAsia="en-US"/>
    </w:rPr>
  </w:style>
  <w:style w:type="paragraph" w:styleId="10">
    <w:name w:val="toc 3"/>
    <w:basedOn w:val="1"/>
    <w:next w:val="1"/>
    <w:unhideWhenUsed/>
    <w:qFormat/>
    <w:uiPriority w:val="39"/>
    <w:pPr>
      <w:widowControl/>
      <w:spacing w:after="100" w:line="276" w:lineRule="auto"/>
      <w:ind w:left="440"/>
      <w:jc w:val="left"/>
    </w:pPr>
    <w:rPr>
      <w:kern w:val="0"/>
      <w:sz w:val="22"/>
    </w:rPr>
  </w:style>
  <w:style w:type="paragraph" w:styleId="11">
    <w:name w:val="Balloon Text"/>
    <w:basedOn w:val="1"/>
    <w:link w:val="29"/>
    <w:semiHidden/>
    <w:unhideWhenUsed/>
    <w:qFormat/>
    <w:uiPriority w:val="99"/>
    <w:rPr>
      <w:sz w:val="18"/>
      <w:szCs w:val="18"/>
    </w:rPr>
  </w:style>
  <w:style w:type="paragraph" w:styleId="12">
    <w:name w:val="footer"/>
    <w:basedOn w:val="1"/>
    <w:next w:val="13"/>
    <w:link w:val="26"/>
    <w:unhideWhenUsed/>
    <w:qFormat/>
    <w:uiPriority w:val="99"/>
    <w:pPr>
      <w:tabs>
        <w:tab w:val="center" w:pos="4153"/>
        <w:tab w:val="right" w:pos="8306"/>
      </w:tabs>
      <w:snapToGrid w:val="0"/>
      <w:jc w:val="left"/>
    </w:pPr>
    <w:rPr>
      <w:sz w:val="18"/>
      <w:szCs w:val="18"/>
    </w:rPr>
  </w:style>
  <w:style w:type="paragraph" w:styleId="13">
    <w:name w:val="Normal (Web)"/>
    <w:basedOn w:val="1"/>
    <w:next w:val="12"/>
    <w:semiHidden/>
    <w:unhideWhenUsed/>
    <w:qFormat/>
    <w:uiPriority w:val="99"/>
    <w:pPr>
      <w:spacing w:before="0" w:beforeAutospacing="1" w:after="0" w:afterAutospacing="1"/>
      <w:ind w:left="0" w:right="0"/>
      <w:jc w:val="left"/>
    </w:pPr>
    <w:rPr>
      <w:kern w:val="0"/>
      <w:sz w:val="24"/>
      <w:lang w:val="en-US" w:eastAsia="zh-CN" w:bidi="ar"/>
    </w:rPr>
  </w:style>
  <w:style w:type="paragraph" w:styleId="14">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spacing w:line="540" w:lineRule="exact"/>
    </w:pPr>
    <w:rPr>
      <w:rFonts w:ascii="Times New Roman" w:hAnsi="Times New Roman" w:eastAsia="黑体" w:cs="Times New Roman"/>
      <w:sz w:val="28"/>
      <w:szCs w:val="24"/>
    </w:rPr>
  </w:style>
  <w:style w:type="paragraph" w:styleId="16">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7">
    <w:name w:val="annotation subject"/>
    <w:basedOn w:val="8"/>
    <w:next w:val="8"/>
    <w:link w:val="32"/>
    <w:semiHidden/>
    <w:unhideWhenUsed/>
    <w:qFormat/>
    <w:uiPriority w:val="99"/>
    <w:rPr>
      <w:b/>
      <w:bCs/>
    </w:rPr>
  </w:style>
  <w:style w:type="table" w:styleId="19">
    <w:name w:val="Table Grid"/>
    <w:basedOn w:val="1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1">
    <w:name w:val="page number"/>
    <w:basedOn w:val="20"/>
    <w:qFormat/>
    <w:uiPriority w:val="0"/>
  </w:style>
  <w:style w:type="character" w:styleId="22">
    <w:name w:val="Hyperlink"/>
    <w:unhideWhenUsed/>
    <w:qFormat/>
    <w:uiPriority w:val="99"/>
    <w:rPr>
      <w:color w:val="0000FF"/>
      <w:u w:val="single"/>
    </w:rPr>
  </w:style>
  <w:style w:type="character" w:styleId="23">
    <w:name w:val="annotation reference"/>
    <w:basedOn w:val="20"/>
    <w:semiHidden/>
    <w:unhideWhenUsed/>
    <w:qFormat/>
    <w:uiPriority w:val="99"/>
    <w:rPr>
      <w:sz w:val="21"/>
      <w:szCs w:val="21"/>
    </w:rPr>
  </w:style>
  <w:style w:type="paragraph" w:customStyle="1" w:styleId="24">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5">
    <w:name w:val="页眉 字符"/>
    <w:basedOn w:val="20"/>
    <w:link w:val="14"/>
    <w:qFormat/>
    <w:uiPriority w:val="99"/>
    <w:rPr>
      <w:sz w:val="18"/>
      <w:szCs w:val="18"/>
    </w:rPr>
  </w:style>
  <w:style w:type="character" w:customStyle="1" w:styleId="26">
    <w:name w:val="页脚 字符"/>
    <w:basedOn w:val="20"/>
    <w:link w:val="12"/>
    <w:qFormat/>
    <w:uiPriority w:val="99"/>
    <w:rPr>
      <w:sz w:val="18"/>
      <w:szCs w:val="18"/>
    </w:rPr>
  </w:style>
  <w:style w:type="character" w:customStyle="1" w:styleId="27">
    <w:name w:val="标题 1 字符"/>
    <w:basedOn w:val="20"/>
    <w:link w:val="4"/>
    <w:qFormat/>
    <w:uiPriority w:val="9"/>
    <w:rPr>
      <w:rFonts w:ascii="黑体" w:hAnsi="黑体" w:eastAsia="黑体"/>
      <w:bCs/>
      <w:kern w:val="44"/>
      <w:sz w:val="32"/>
      <w:szCs w:val="44"/>
    </w:rPr>
  </w:style>
  <w:style w:type="paragraph" w:customStyle="1" w:styleId="28">
    <w:name w:val="TOC 标题1"/>
    <w:basedOn w:val="4"/>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9">
    <w:name w:val="批注框文本 字符"/>
    <w:basedOn w:val="20"/>
    <w:link w:val="11"/>
    <w:semiHidden/>
    <w:qFormat/>
    <w:uiPriority w:val="99"/>
    <w:rPr>
      <w:sz w:val="18"/>
      <w:szCs w:val="18"/>
    </w:rPr>
  </w:style>
  <w:style w:type="paragraph" w:styleId="30">
    <w:name w:val="List Paragraph"/>
    <w:basedOn w:val="1"/>
    <w:qFormat/>
    <w:uiPriority w:val="34"/>
    <w:pPr>
      <w:ind w:firstLine="420" w:firstLineChars="200"/>
    </w:pPr>
  </w:style>
  <w:style w:type="character" w:customStyle="1" w:styleId="31">
    <w:name w:val="批注文字 字符"/>
    <w:basedOn w:val="20"/>
    <w:link w:val="8"/>
    <w:semiHidden/>
    <w:qFormat/>
    <w:uiPriority w:val="99"/>
  </w:style>
  <w:style w:type="character" w:customStyle="1" w:styleId="32">
    <w:name w:val="批注主题 字符"/>
    <w:basedOn w:val="31"/>
    <w:link w:val="17"/>
    <w:semiHidden/>
    <w:qFormat/>
    <w:uiPriority w:val="99"/>
    <w:rPr>
      <w:b/>
      <w:bCs/>
    </w:rPr>
  </w:style>
  <w:style w:type="character" w:customStyle="1" w:styleId="33">
    <w:name w:val="font11"/>
    <w:basedOn w:val="20"/>
    <w:qFormat/>
    <w:uiPriority w:val="0"/>
    <w:rPr>
      <w:rFonts w:ascii="仿宋_GB2312" w:eastAsia="仿宋_GB2312" w:cs="仿宋_GB2312"/>
      <w:color w:val="000000"/>
      <w:sz w:val="22"/>
      <w:szCs w:val="22"/>
      <w:u w:val="none"/>
    </w:rPr>
  </w:style>
  <w:style w:type="character" w:customStyle="1" w:styleId="34">
    <w:name w:val="font81"/>
    <w:basedOn w:val="20"/>
    <w:qFormat/>
    <w:uiPriority w:val="0"/>
    <w:rPr>
      <w:rFonts w:hint="default" w:ascii="Times New Roman" w:hAnsi="Times New Roman" w:cs="Times New Roman"/>
      <w:b/>
      <w:color w:val="000000"/>
      <w:sz w:val="22"/>
      <w:szCs w:val="22"/>
      <w:u w:val="none"/>
    </w:rPr>
  </w:style>
  <w:style w:type="character" w:customStyle="1" w:styleId="35">
    <w:name w:val="font21"/>
    <w:basedOn w:val="20"/>
    <w:qFormat/>
    <w:uiPriority w:val="0"/>
    <w:rPr>
      <w:rFonts w:ascii="仿宋_GB2312" w:eastAsia="仿宋_GB2312" w:cs="仿宋_GB2312"/>
      <w:color w:val="000000"/>
      <w:sz w:val="22"/>
      <w:szCs w:val="22"/>
      <w:u w:val="none"/>
    </w:rPr>
  </w:style>
  <w:style w:type="character" w:customStyle="1" w:styleId="36">
    <w:name w:val="font31"/>
    <w:basedOn w:val="20"/>
    <w:qFormat/>
    <w:uiPriority w:val="0"/>
    <w:rPr>
      <w:rFonts w:ascii="仿宋_GB2312" w:eastAsia="仿宋_GB2312" w:cs="仿宋_GB2312"/>
      <w:color w:val="000000"/>
      <w:sz w:val="22"/>
      <w:szCs w:val="22"/>
      <w:u w:val="none"/>
    </w:rPr>
  </w:style>
  <w:style w:type="character" w:customStyle="1" w:styleId="37">
    <w:name w:val="font41"/>
    <w:basedOn w:val="20"/>
    <w:qFormat/>
    <w:uiPriority w:val="0"/>
    <w:rPr>
      <w:rFonts w:hint="default" w:ascii="Times New Roman" w:hAnsi="Times New Roman" w:cs="Times New Roman"/>
      <w:color w:val="000000"/>
      <w:sz w:val="22"/>
      <w:szCs w:val="22"/>
      <w:u w:val="none"/>
    </w:rPr>
  </w:style>
  <w:style w:type="character" w:customStyle="1" w:styleId="38">
    <w:name w:val="font01"/>
    <w:basedOn w:val="20"/>
    <w:qFormat/>
    <w:uiPriority w:val="0"/>
    <w:rPr>
      <w:rFonts w:hint="eastAsia" w:ascii="仿宋_GB2312" w:eastAsia="仿宋_GB2312" w:cs="仿宋_GB2312"/>
      <w:color w:val="000000"/>
      <w:sz w:val="22"/>
      <w:szCs w:val="22"/>
      <w:u w:val="none"/>
    </w:rPr>
  </w:style>
  <w:style w:type="paragraph" w:customStyle="1" w:styleId="39">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0">
    <w:name w:val="font91"/>
    <w:basedOn w:val="20"/>
    <w:qFormat/>
    <w:uiPriority w:val="0"/>
    <w:rPr>
      <w:rFonts w:hint="eastAsia" w:ascii="仿宋_GB2312" w:eastAsia="仿宋_GB2312" w:cs="仿宋_GB2312"/>
      <w:color w:val="000000"/>
      <w:sz w:val="22"/>
      <w:szCs w:val="22"/>
      <w:u w:val="none"/>
    </w:rPr>
  </w:style>
  <w:style w:type="character" w:customStyle="1" w:styleId="41">
    <w:name w:val="font61"/>
    <w:basedOn w:val="20"/>
    <w:qFormat/>
    <w:uiPriority w:val="0"/>
    <w:rPr>
      <w:rFonts w:ascii="仿宋_GB2312" w:eastAsia="仿宋_GB2312" w:cs="仿宋_GB2312"/>
      <w:b/>
      <w:color w:val="000000"/>
      <w:sz w:val="22"/>
      <w:szCs w:val="22"/>
      <w:u w:val="none"/>
    </w:rPr>
  </w:style>
  <w:style w:type="character" w:customStyle="1" w:styleId="42">
    <w:name w:val="font51"/>
    <w:basedOn w:val="20"/>
    <w:qFormat/>
    <w:uiPriority w:val="0"/>
    <w:rPr>
      <w:rFonts w:hint="eastAsia" w:ascii="仿宋_GB2312" w:eastAsia="仿宋_GB2312" w:cs="仿宋_GB2312"/>
      <w:b/>
      <w:color w:val="000000"/>
      <w:sz w:val="24"/>
      <w:szCs w:val="24"/>
      <w:u w:val="none"/>
    </w:rPr>
  </w:style>
  <w:style w:type="character" w:customStyle="1" w:styleId="43">
    <w:name w:val="font101"/>
    <w:basedOn w:val="20"/>
    <w:qFormat/>
    <w:uiPriority w:val="0"/>
    <w:rPr>
      <w:rFonts w:hint="default" w:ascii="Times New Roman" w:hAnsi="Times New Roman" w:cs="Times New Roman"/>
      <w:color w:val="000000"/>
      <w:sz w:val="24"/>
      <w:szCs w:val="24"/>
      <w:u w:val="none"/>
    </w:rPr>
  </w:style>
  <w:style w:type="character" w:customStyle="1" w:styleId="44">
    <w:name w:val="font71"/>
    <w:basedOn w:val="20"/>
    <w:qFormat/>
    <w:uiPriority w:val="0"/>
    <w:rPr>
      <w:rFonts w:hint="eastAsia" w:ascii="仿宋_GB2312" w:eastAsia="仿宋_GB2312" w:cs="仿宋_GB2312"/>
      <w:color w:val="000000"/>
      <w:sz w:val="24"/>
      <w:szCs w:val="24"/>
      <w:u w:val="none"/>
    </w:rPr>
  </w:style>
  <w:style w:type="character" w:customStyle="1" w:styleId="45">
    <w:name w:val="font112"/>
    <w:basedOn w:val="20"/>
    <w:qFormat/>
    <w:uiPriority w:val="0"/>
    <w:rPr>
      <w:rFonts w:hint="default" w:ascii="Times New Roman" w:hAnsi="Times New Roman" w:cs="Times New Roman"/>
      <w:color w:val="000000"/>
      <w:sz w:val="24"/>
      <w:szCs w:val="24"/>
      <w:u w:val="none"/>
    </w:rPr>
  </w:style>
  <w:style w:type="character" w:customStyle="1" w:styleId="46">
    <w:name w:val="font121"/>
    <w:basedOn w:val="20"/>
    <w:qFormat/>
    <w:uiPriority w:val="0"/>
    <w:rPr>
      <w:rFonts w:hint="eastAsia" w:ascii="仿宋_GB2312" w:eastAsia="仿宋_GB2312" w:cs="仿宋_GB2312"/>
      <w:b/>
      <w:color w:val="000000"/>
      <w:sz w:val="22"/>
      <w:szCs w:val="22"/>
      <w:u w:val="none"/>
    </w:rPr>
  </w:style>
  <w:style w:type="character" w:customStyle="1" w:styleId="47">
    <w:name w:val="font131"/>
    <w:basedOn w:val="20"/>
    <w:qFormat/>
    <w:uiPriority w:val="0"/>
    <w:rPr>
      <w:rFonts w:hint="eastAsia" w:ascii="仿宋_GB2312" w:eastAsia="仿宋_GB2312" w:cs="仿宋_GB2312"/>
      <w:b/>
      <w:color w:val="000000"/>
      <w:sz w:val="22"/>
      <w:szCs w:val="22"/>
      <w:u w:val="none"/>
    </w:rPr>
  </w:style>
  <w:style w:type="paragraph" w:customStyle="1" w:styleId="48">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9">
    <w:name w:val="表头"/>
    <w:basedOn w:val="1"/>
    <w:qFormat/>
    <w:uiPriority w:val="0"/>
    <w:pPr>
      <w:spacing w:line="240" w:lineRule="auto"/>
      <w:ind w:firstLine="0" w:firstLineChars="0"/>
      <w:jc w:val="center"/>
    </w:pPr>
    <w:rPr>
      <w:rFonts w:eastAsia="黑体"/>
      <w:sz w:val="24"/>
    </w:rPr>
  </w:style>
  <w:style w:type="character" w:customStyle="1" w:styleId="50">
    <w:name w:val="font141"/>
    <w:basedOn w:val="20"/>
    <w:qFormat/>
    <w:uiPriority w:val="0"/>
    <w:rPr>
      <w:rFonts w:hint="eastAsia" w:ascii="仿宋" w:hAnsi="仿宋" w:eastAsia="仿宋" w:cs="仿宋"/>
      <w:b/>
      <w:bCs/>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22</Pages>
  <Words>10515</Words>
  <Characters>11388</Characters>
  <Lines>1</Lines>
  <Paragraphs>1</Paragraphs>
  <TotalTime>1</TotalTime>
  <ScaleCrop>false</ScaleCrop>
  <LinksUpToDate>false</LinksUpToDate>
  <CharactersWithSpaces>11539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2022-08-30T04:52:00Z</cp:lastPrinted>
  <dcterms:modified xsi:type="dcterms:W3CDTF">2023-04-26T03:20:37Z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625F9F55F30F4E598E05122D09410172</vt:lpwstr>
  </property>
</Properties>
</file>