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宋体" w:eastAsia="方正小标宋简体" w:cs="宋体"/>
          <w:bCs/>
          <w:sz w:val="44"/>
          <w:szCs w:val="44"/>
          <w:highlight w:val="none"/>
          <w:lang w:val="en-US" w:eastAsia="zh-CN"/>
        </w:rPr>
      </w:pPr>
      <w:r>
        <w:rPr>
          <w:rFonts w:hint="eastAsia" w:ascii="方正小标宋简体" w:hAnsi="宋体" w:eastAsia="方正小标宋简体" w:cs="宋体"/>
          <w:bCs/>
          <w:sz w:val="44"/>
          <w:szCs w:val="44"/>
          <w:highlight w:val="none"/>
          <w:lang w:val="en-US" w:eastAsia="zh-CN"/>
        </w:rPr>
        <w:t xml:space="preserve"> </w:t>
      </w: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民政局</w:t>
      </w:r>
    </w:p>
    <w:p>
      <w:pPr>
        <w:jc w:val="center"/>
        <w:rPr>
          <w:rFonts w:hint="default" w:ascii="Times New Roman" w:hAnsi="黑体" w:eastAsia="方正小标宋简体" w:cs="宋体"/>
          <w:kern w:val="0"/>
          <w:sz w:val="24"/>
          <w:szCs w:val="24"/>
          <w:highlight w:val="none"/>
          <w:lang w:val="en-US" w:eastAsia="zh-CN"/>
        </w:rPr>
      </w:pPr>
      <w:r>
        <w:rPr>
          <w:rFonts w:hint="eastAsia" w:ascii="方正小标宋简体" w:hAnsi="黑体" w:eastAsia="方正小标宋简体"/>
          <w:w w:val="98"/>
          <w:sz w:val="44"/>
          <w:szCs w:val="44"/>
        </w:rPr>
        <w:t>20</w:t>
      </w:r>
      <w:r>
        <w:rPr>
          <w:rFonts w:hint="eastAsia" w:ascii="方正小标宋简体" w:hAnsi="黑体" w:eastAsia="方正小标宋简体"/>
          <w:w w:val="98"/>
          <w:sz w:val="44"/>
          <w:szCs w:val="44"/>
          <w:lang w:val="en-US" w:eastAsia="zh-CN"/>
        </w:rPr>
        <w:t>21</w:t>
      </w:r>
      <w:r>
        <w:rPr>
          <w:rFonts w:hint="eastAsia" w:ascii="方正小标宋简体" w:hAnsi="黑体" w:eastAsia="方正小标宋简体"/>
          <w:w w:val="98"/>
          <w:sz w:val="44"/>
          <w:szCs w:val="44"/>
        </w:rPr>
        <w:t>年</w:t>
      </w:r>
      <w:r>
        <w:rPr>
          <w:rFonts w:hint="eastAsia" w:ascii="方正小标宋简体" w:hAnsi="黑体" w:eastAsia="方正小标宋简体"/>
          <w:w w:val="98"/>
          <w:sz w:val="44"/>
          <w:szCs w:val="44"/>
          <w:lang w:val="en-US" w:eastAsia="zh-CN"/>
        </w:rPr>
        <w:t>部门整体支出</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highlight w:val="none"/>
          <w:lang w:val="en-US" w:eastAsia="zh-CN"/>
        </w:rPr>
        <w:t>28</w:t>
      </w:r>
      <w:r>
        <w:rPr>
          <w:rFonts w:hint="eastAsia" w:ascii="黑体" w:hAnsi="黑体" w:eastAsia="黑体" w:cs="宋体"/>
          <w:kern w:val="0"/>
          <w:sz w:val="28"/>
          <w:szCs w:val="28"/>
          <w:highlight w:val="none"/>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w:t>
      </w:r>
      <w:r>
        <w:rPr>
          <w:rFonts w:hint="eastAsia" w:ascii="黑体" w:hAnsi="黑体" w:eastAsia="黑体" w:cs="宋体"/>
          <w:kern w:val="0"/>
          <w:sz w:val="28"/>
          <w:szCs w:val="28"/>
          <w:lang w:val="en-US" w:eastAsia="zh-CN"/>
        </w:rPr>
        <w:t>2022</w:t>
      </w:r>
      <w:r>
        <w:rPr>
          <w:rFonts w:hint="eastAsia" w:ascii="黑体" w:hAnsi="黑体" w:eastAsia="黑体" w:cs="宋体"/>
          <w:kern w:val="0"/>
          <w:sz w:val="28"/>
          <w:szCs w:val="28"/>
        </w:rPr>
        <w:t>年</w:t>
      </w:r>
      <w:r>
        <w:rPr>
          <w:rFonts w:hint="eastAsia" w:ascii="黑体" w:hAnsi="黑体" w:eastAsia="黑体" w:cs="宋体"/>
          <w:kern w:val="0"/>
          <w:sz w:val="28"/>
          <w:szCs w:val="28"/>
          <w:highlight w:val="none"/>
          <w:lang w:val="en-US" w:eastAsia="zh-CN"/>
        </w:rPr>
        <w:t>12</w:t>
      </w:r>
      <w:r>
        <w:rPr>
          <w:rFonts w:hint="eastAsia" w:ascii="黑体" w:hAnsi="黑体" w:eastAsia="黑体" w:cs="宋体"/>
          <w:kern w:val="0"/>
          <w:sz w:val="28"/>
          <w:szCs w:val="28"/>
          <w:highlight w:val="none"/>
        </w:rPr>
        <w:t>月</w:t>
      </w:r>
      <w:r>
        <w:rPr>
          <w:rFonts w:hint="eastAsia" w:ascii="黑体" w:hAnsi="黑体" w:eastAsia="黑体" w:cs="宋体"/>
          <w:kern w:val="0"/>
          <w:sz w:val="28"/>
          <w:szCs w:val="28"/>
          <w:highlight w:val="none"/>
          <w:lang w:val="en-US" w:eastAsia="zh-CN"/>
        </w:rPr>
        <w:t>29</w:t>
      </w:r>
      <w:r>
        <w:rPr>
          <w:rFonts w:hint="eastAsia" w:ascii="黑体" w:hAnsi="黑体" w:eastAsia="黑体" w:cs="宋体"/>
          <w:kern w:val="0"/>
          <w:sz w:val="28"/>
          <w:szCs w:val="28"/>
          <w:highlight w:val="none"/>
        </w:rPr>
        <w:t>日</w:t>
      </w:r>
    </w:p>
    <w:p>
      <w:pPr>
        <w:spacing w:line="360" w:lineRule="auto"/>
        <w:ind w:firstLine="1920" w:firstLineChars="800"/>
        <w:jc w:val="left"/>
        <w:rPr>
          <w:rFonts w:ascii="黑体" w:hAnsi="黑体" w:eastAsia="黑体" w:cs="宋体"/>
          <w:kern w:val="0"/>
          <w:sz w:val="24"/>
          <w:szCs w:val="24"/>
          <w:highlight w:val="none"/>
        </w:rPr>
      </w:pP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offsetFrom="page">
            <w:top w:val="none" w:sz="0" w:space="0"/>
            <w:left w:val="none" w:sz="0" w:space="0"/>
            <w:bottom w:val="none" w:sz="0" w:space="0"/>
            <w:right w:val="none" w:sz="0" w:space="0"/>
          </w:pgBorders>
          <w:pgNumType w:fmt="decimal" w:start="1"/>
          <w:cols w:space="425" w:num="1"/>
          <w:titlePg/>
          <w:docGrid w:type="lines" w:linePitch="312" w:charSpace="0"/>
        </w:sectPr>
      </w:pPr>
    </w:p>
    <w:tbl>
      <w:tblPr>
        <w:tblStyle w:val="18"/>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222"/>
        <w:gridCol w:w="885"/>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hint="default" w:ascii="黑体" w:hAnsi="宋体" w:eastAsia="黑体" w:cs="黑体"/>
                <w:color w:val="000000"/>
                <w:sz w:val="24"/>
                <w:highlight w:val="none"/>
                <w:lang w:val="en-US"/>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81.29分</w:t>
            </w:r>
            <w:r>
              <w:rPr>
                <w:rStyle w:val="38"/>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val="en-US" w:eastAsia="zh-CN"/>
              </w:rPr>
              <w:t>良</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482"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692"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云岩区民政局2021年部门整体支出绩效评价</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864"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云岩区民政局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rPr>
              <w:t>刘香如</w:t>
            </w:r>
            <w:r>
              <w:rPr>
                <w:rFonts w:hint="default" w:ascii="Times New Roman" w:hAnsi="Times New Roman" w:eastAsia="仿宋_GB2312" w:cs="Times New Roman"/>
                <w:color w:val="000000"/>
                <w:sz w:val="20"/>
                <w:szCs w:val="20"/>
                <w:highlight w:val="none"/>
                <w:lang w:val="en-US" w:eastAsia="zh-CN"/>
              </w:rPr>
              <w:t>:187 9879 0865</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95.8</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sz w:val="20"/>
                <w:szCs w:val="20"/>
                <w:highlight w:val="none"/>
                <w:lang w:val="en-US" w:eastAsia="zh-CN"/>
              </w:rPr>
            </w:pPr>
            <w:r>
              <w:rPr>
                <w:rFonts w:hint="eastAsia" w:ascii="黑体" w:hAnsi="宋体" w:eastAsia="黑体" w:cs="黑体"/>
                <w:color w:val="000000"/>
                <w:kern w:val="0"/>
                <w:sz w:val="20"/>
                <w:szCs w:val="20"/>
                <w:highlight w:val="none"/>
                <w:lang w:eastAsia="zh-CN"/>
              </w:rPr>
              <w:t>部门总收</w:t>
            </w:r>
            <w:r>
              <w:rPr>
                <w:rFonts w:hint="eastAsia" w:ascii="黑体" w:hAnsi="宋体" w:eastAsia="黑体" w:cs="黑体"/>
                <w:color w:val="000000"/>
                <w:kern w:val="0"/>
                <w:sz w:val="20"/>
                <w:szCs w:val="20"/>
                <w:highlight w:val="none"/>
              </w:rPr>
              <w:t>入</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21</w:t>
            </w:r>
            <w:r>
              <w:rPr>
                <w:rFonts w:hint="eastAsia" w:ascii="仿宋_GB2312" w:hAnsi="宋体" w:eastAsia="仿宋_GB2312" w:cs="仿宋_GB2312"/>
                <w:color w:val="000000"/>
                <w:sz w:val="20"/>
                <w:szCs w:val="20"/>
                <w:highlight w:val="none"/>
                <w:lang w:val="en-US" w:eastAsia="zh-CN"/>
              </w:rPr>
              <w:t>,</w:t>
            </w:r>
            <w:r>
              <w:rPr>
                <w:rFonts w:hint="default" w:ascii="仿宋_GB2312" w:hAnsi="宋体" w:eastAsia="仿宋_GB2312" w:cs="仿宋_GB2312"/>
                <w:color w:val="000000"/>
                <w:sz w:val="20"/>
                <w:szCs w:val="20"/>
                <w:highlight w:val="none"/>
                <w:lang w:val="en-US" w:eastAsia="zh-CN"/>
              </w:rPr>
              <w:t>371.64</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0"/>
                <w:szCs w:val="20"/>
                <w:highlight w:val="none"/>
                <w:lang w:eastAsia="zh-CN"/>
              </w:rPr>
            </w:pPr>
            <w:r>
              <w:rPr>
                <w:rFonts w:hint="eastAsia" w:ascii="黑体" w:hAnsi="宋体" w:eastAsia="黑体" w:cs="黑体"/>
                <w:color w:val="000000"/>
                <w:sz w:val="20"/>
                <w:szCs w:val="20"/>
                <w:highlight w:val="none"/>
                <w:lang w:eastAsia="zh-CN"/>
              </w:rPr>
              <w:t>财政拨款收入</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21</w:t>
            </w:r>
            <w:r>
              <w:rPr>
                <w:rFonts w:hint="eastAsia" w:ascii="仿宋_GB2312" w:hAnsi="宋体" w:eastAsia="仿宋_GB2312" w:cs="仿宋_GB2312"/>
                <w:color w:val="000000"/>
                <w:sz w:val="20"/>
                <w:szCs w:val="20"/>
                <w:highlight w:val="none"/>
                <w:lang w:val="en-US" w:eastAsia="zh-CN"/>
              </w:rPr>
              <w:t>,</w:t>
            </w:r>
            <w:r>
              <w:rPr>
                <w:rFonts w:hint="default" w:ascii="仿宋_GB2312" w:hAnsi="宋体" w:eastAsia="仿宋_GB2312" w:cs="仿宋_GB2312"/>
                <w:color w:val="000000"/>
                <w:sz w:val="20"/>
                <w:szCs w:val="20"/>
                <w:highlight w:val="none"/>
                <w:lang w:val="en-US" w:eastAsia="zh-CN"/>
              </w:rPr>
              <w:t>339.39</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lang w:eastAsia="zh-CN"/>
              </w:rPr>
              <w:t>其他收入</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32.25</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heme="minorHAnsi" w:hAnsiTheme="minorHAnsi" w:eastAsiaTheme="minorEastAsia" w:cstheme="minorBidi"/>
                <w:kern w:val="2"/>
                <w:sz w:val="21"/>
                <w:szCs w:val="22"/>
                <w:lang w:val="en-US" w:eastAsia="zh-CN"/>
              </w:rPr>
            </w:pPr>
            <w:r>
              <w:rPr>
                <w:rFonts w:hint="eastAsia" w:ascii="黑体" w:hAnsi="宋体" w:eastAsia="黑体" w:cs="黑体"/>
                <w:color w:val="000000"/>
                <w:kern w:val="0"/>
                <w:sz w:val="20"/>
                <w:szCs w:val="20"/>
                <w:highlight w:val="none"/>
                <w:lang w:eastAsia="zh-CN"/>
              </w:rPr>
              <w:t>部门总支出</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22,002.87</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基本支出</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427.42</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项目支出</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21,575.45</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财政预算</w:t>
            </w:r>
          </w:p>
          <w:p>
            <w:pPr>
              <w:widowControl/>
              <w:ind w:firstLine="200" w:firstLineChars="100"/>
              <w:textAlignment w:val="center"/>
              <w:rPr>
                <w:rFonts w:hint="default"/>
                <w:lang w:val="en-US" w:eastAsia="zh-CN"/>
              </w:rPr>
            </w:pPr>
            <w:r>
              <w:rPr>
                <w:rFonts w:hint="eastAsia" w:ascii="黑体" w:hAnsi="宋体" w:eastAsia="黑体" w:cs="黑体"/>
                <w:color w:val="000000"/>
                <w:kern w:val="0"/>
                <w:sz w:val="20"/>
                <w:szCs w:val="20"/>
                <w:highlight w:val="none"/>
                <w:lang w:val="en-US" w:eastAsia="zh-CN"/>
              </w:rPr>
              <w:t>安排资金</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22,074.35</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19,590.82</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91.81%</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8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186</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186</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1"/>
                <w:numId w:val="0"/>
              </w:numPr>
              <w:spacing w:line="320" w:lineRule="exact"/>
              <w:jc w:val="both"/>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（1）高老龄人满意度为98%；</w:t>
            </w:r>
          </w:p>
          <w:p>
            <w:pPr>
              <w:pStyle w:val="2"/>
              <w:numPr>
                <w:ilvl w:val="-1"/>
                <w:numId w:val="0"/>
              </w:numPr>
              <w:ind w:firstLine="0" w:firstLineChars="0"/>
              <w:jc w:val="both"/>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（2）低保人员满意度为91.33%；</w:t>
            </w:r>
          </w:p>
          <w:p>
            <w:pPr>
              <w:pStyle w:val="2"/>
              <w:numPr>
                <w:ilvl w:val="-1"/>
                <w:numId w:val="0"/>
              </w:numPr>
              <w:ind w:firstLine="0" w:firstLineChars="0"/>
              <w:jc w:val="both"/>
              <w:rPr>
                <w:rFonts w:hint="default"/>
                <w:lang w:val="en-US" w:eastAsia="zh-CN"/>
              </w:rPr>
            </w:pPr>
            <w:r>
              <w:rPr>
                <w:rFonts w:hint="eastAsia" w:ascii="仿宋_GB2312" w:hAnsi="仿宋_GB2312" w:eastAsia="仿宋_GB2312" w:cs="仿宋_GB2312"/>
                <w:sz w:val="20"/>
                <w:szCs w:val="20"/>
                <w:lang w:val="en-US" w:eastAsia="zh-CN"/>
              </w:rPr>
              <w:t>（3）特困供养人员满意度为94.55%。</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761"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5"/>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b w:val="0"/>
                <w:bCs w:val="0"/>
                <w:color w:val="auto"/>
                <w:sz w:val="20"/>
                <w:szCs w:val="20"/>
                <w:lang w:val="en-US" w:eastAsia="zh-CN"/>
              </w:rPr>
              <w:t>202</w:t>
            </w:r>
            <w:r>
              <w:rPr>
                <w:rFonts w:hint="eastAsia" w:ascii="仿宋_GB2312" w:hAnsi="仿宋_GB2312" w:cs="仿宋_GB2312"/>
                <w:b w:val="0"/>
                <w:bCs w:val="0"/>
                <w:color w:val="auto"/>
                <w:sz w:val="20"/>
                <w:szCs w:val="20"/>
                <w:lang w:val="en-US" w:eastAsia="zh-CN"/>
              </w:rPr>
              <w:t>1</w:t>
            </w:r>
            <w:r>
              <w:rPr>
                <w:rFonts w:hint="eastAsia" w:ascii="仿宋_GB2312" w:hAnsi="仿宋_GB2312" w:eastAsia="仿宋_GB2312" w:cs="仿宋_GB2312"/>
                <w:b w:val="0"/>
                <w:bCs w:val="0"/>
                <w:color w:val="auto"/>
                <w:sz w:val="20"/>
                <w:szCs w:val="20"/>
                <w:lang w:val="en-US" w:eastAsia="zh-CN"/>
              </w:rPr>
              <w:t>年</w:t>
            </w:r>
            <w:r>
              <w:rPr>
                <w:rFonts w:hint="eastAsia" w:ascii="仿宋_GB2312" w:hAnsi="仿宋_GB2312" w:cs="仿宋_GB2312"/>
                <w:b w:val="0"/>
                <w:bCs w:val="0"/>
                <w:color w:val="auto"/>
                <w:sz w:val="20"/>
                <w:szCs w:val="20"/>
                <w:lang w:val="en-US" w:eastAsia="zh-CN"/>
              </w:rPr>
              <w:t>部门</w:t>
            </w:r>
            <w:r>
              <w:rPr>
                <w:rFonts w:hint="eastAsia" w:ascii="仿宋_GB2312" w:hAnsi="仿宋_GB2312" w:eastAsia="仿宋_GB2312" w:cs="仿宋_GB2312"/>
                <w:b w:val="0"/>
                <w:bCs w:val="0"/>
                <w:color w:val="auto"/>
                <w:sz w:val="20"/>
                <w:szCs w:val="20"/>
                <w:lang w:val="en-US" w:eastAsia="zh-CN"/>
              </w:rPr>
              <w:t>设置总体目标</w:t>
            </w:r>
            <w:r>
              <w:rPr>
                <w:rFonts w:hint="eastAsia" w:ascii="仿宋_GB2312" w:hAnsi="仿宋_GB2312" w:cs="仿宋_GB2312"/>
                <w:b w:val="0"/>
                <w:bCs w:val="0"/>
                <w:color w:val="auto"/>
                <w:sz w:val="20"/>
                <w:szCs w:val="20"/>
                <w:lang w:val="en-US" w:eastAsia="zh-CN"/>
              </w:rPr>
              <w:t>4个</w:t>
            </w:r>
            <w:r>
              <w:rPr>
                <w:rFonts w:hint="eastAsia" w:ascii="仿宋_GB2312" w:hAnsi="仿宋_GB2312" w:eastAsia="仿宋_GB2312" w:cs="仿宋_GB2312"/>
                <w:b w:val="0"/>
                <w:bCs w:val="0"/>
                <w:color w:val="auto"/>
                <w:sz w:val="20"/>
                <w:szCs w:val="20"/>
                <w:lang w:val="en-US" w:eastAsia="zh-CN"/>
              </w:rPr>
              <w:t>，</w:t>
            </w:r>
            <w:r>
              <w:rPr>
                <w:rFonts w:hint="eastAsia" w:ascii="仿宋_GB2312" w:hAnsi="仿宋_GB2312" w:cs="仿宋_GB2312"/>
                <w:b w:val="0"/>
                <w:bCs w:val="0"/>
                <w:color w:val="auto"/>
                <w:sz w:val="20"/>
                <w:szCs w:val="20"/>
                <w:lang w:val="en-US" w:eastAsia="zh-CN"/>
              </w:rPr>
              <w:t>实际完成2个</w:t>
            </w:r>
            <w:r>
              <w:rPr>
                <w:rFonts w:hint="eastAsia" w:ascii="仿宋_GB2312" w:hAnsi="仿宋_GB2312" w:eastAsia="仿宋_GB2312" w:cs="仿宋_GB2312"/>
                <w:b w:val="0"/>
                <w:bCs w:val="0"/>
                <w:color w:val="auto"/>
                <w:sz w:val="20"/>
                <w:szCs w:val="20"/>
                <w:lang w:val="en-US" w:eastAsia="zh-CN"/>
              </w:rPr>
              <w:t>，</w:t>
            </w:r>
            <w:r>
              <w:rPr>
                <w:rFonts w:hint="eastAsia" w:ascii="仿宋_GB2312" w:hAnsi="仿宋_GB2312" w:cs="仿宋_GB2312"/>
                <w:b w:val="0"/>
                <w:bCs w:val="0"/>
                <w:color w:val="auto"/>
                <w:sz w:val="20"/>
                <w:szCs w:val="20"/>
                <w:lang w:val="en-US" w:eastAsia="zh-CN"/>
              </w:rPr>
              <w:t>部分完成1个，未完成1个。</w:t>
            </w:r>
          </w:p>
        </w:tc>
      </w:tr>
      <w:tr>
        <w:tblPrEx>
          <w:tblCellMar>
            <w:top w:w="17" w:type="dxa"/>
            <w:left w:w="17" w:type="dxa"/>
            <w:bottom w:w="17" w:type="dxa"/>
            <w:right w:w="17" w:type="dxa"/>
          </w:tblCellMar>
        </w:tblPrEx>
        <w:trPr>
          <w:trHeight w:val="750" w:hRule="atLeast"/>
        </w:trPr>
        <w:tc>
          <w:tcPr>
            <w:tcW w:w="122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76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（一）制度管理</w:t>
            </w:r>
            <w:r>
              <w:rPr>
                <w:rFonts w:hint="eastAsia" w:ascii="仿宋_GB2312" w:hAnsi="宋体" w:eastAsia="仿宋_GB2312" w:cs="仿宋_GB2312"/>
                <w:color w:val="000000"/>
                <w:sz w:val="20"/>
                <w:szCs w:val="20"/>
                <w:highlight w:val="none"/>
                <w:lang w:eastAsia="zh-CN"/>
              </w:rPr>
              <w:t>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部分</w:t>
            </w:r>
            <w:r>
              <w:rPr>
                <w:rFonts w:hint="eastAsia" w:ascii="仿宋_GB2312" w:hAnsi="宋体" w:eastAsia="仿宋_GB2312" w:cs="仿宋_GB2312"/>
                <w:color w:val="000000"/>
                <w:sz w:val="20"/>
                <w:szCs w:val="20"/>
                <w:highlight w:val="none"/>
                <w:lang w:eastAsia="zh-CN"/>
              </w:rPr>
              <w:t>资产账实不符</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区民政局所属曦阳老龄公寓资产产权划转至贵阳云尚城市资产运营有限公司,资产</w:t>
            </w:r>
            <w:r>
              <w:rPr>
                <w:rFonts w:hint="eastAsia" w:ascii="仿宋_GB2312" w:hAnsi="宋体" w:eastAsia="仿宋_GB2312" w:cs="仿宋_GB2312"/>
                <w:color w:val="000000"/>
                <w:sz w:val="20"/>
                <w:szCs w:val="20"/>
                <w:highlight w:val="none"/>
                <w:lang w:eastAsia="zh-CN"/>
              </w:rPr>
              <w:t>移交手续已办理，</w:t>
            </w:r>
            <w:r>
              <w:rPr>
                <w:rFonts w:hint="eastAsia" w:ascii="仿宋_GB2312" w:hAnsi="宋体" w:eastAsia="仿宋_GB2312" w:cs="仿宋_GB2312"/>
                <w:color w:val="000000"/>
                <w:sz w:val="20"/>
                <w:szCs w:val="20"/>
                <w:highlight w:val="none"/>
                <w:lang w:val="en-US" w:eastAsia="zh-CN"/>
              </w:rPr>
              <w:t>但</w:t>
            </w:r>
            <w:r>
              <w:rPr>
                <w:rFonts w:hint="eastAsia" w:ascii="仿宋_GB2312" w:hAnsi="宋体" w:eastAsia="仿宋_GB2312" w:cs="仿宋_GB2312"/>
                <w:color w:val="000000"/>
                <w:sz w:val="20"/>
                <w:szCs w:val="20"/>
                <w:highlight w:val="none"/>
                <w:lang w:eastAsia="zh-CN"/>
              </w:rPr>
              <w:t>资产卡片账和财务账均未下账，账实不符。</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w:t>
            </w:r>
            <w:r>
              <w:rPr>
                <w:rFonts w:hint="eastAsia" w:ascii="仿宋_GB2312" w:hAnsi="宋体" w:eastAsia="仿宋_GB2312" w:cs="仿宋_GB2312"/>
                <w:color w:val="000000"/>
                <w:sz w:val="20"/>
                <w:szCs w:val="20"/>
                <w:highlight w:val="none"/>
                <w:lang w:eastAsia="zh-CN"/>
              </w:rPr>
              <w:t>．未</w:t>
            </w:r>
            <w:r>
              <w:rPr>
                <w:rFonts w:hint="eastAsia" w:ascii="仿宋_GB2312" w:hAnsi="宋体" w:eastAsia="仿宋_GB2312" w:cs="仿宋_GB2312"/>
                <w:color w:val="000000"/>
                <w:sz w:val="20"/>
                <w:szCs w:val="20"/>
                <w:highlight w:val="none"/>
                <w:lang w:val="en-US" w:eastAsia="zh-CN"/>
              </w:rPr>
              <w:t>对固定资产进行清查盘点</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zh-CN" w:eastAsia="zh-CN"/>
              </w:rPr>
            </w:pPr>
            <w:r>
              <w:rPr>
                <w:rFonts w:hint="eastAsia" w:ascii="仿宋_GB2312" w:hAnsi="宋体" w:eastAsia="仿宋_GB2312" w:cs="仿宋_GB2312"/>
                <w:color w:val="000000"/>
                <w:sz w:val="20"/>
                <w:szCs w:val="20"/>
                <w:highlight w:val="none"/>
                <w:lang w:val="en-US" w:eastAsia="zh-CN"/>
              </w:rPr>
              <w:t>2021</w:t>
            </w:r>
            <w:r>
              <w:rPr>
                <w:rFonts w:hint="eastAsia" w:ascii="仿宋_GB2312" w:hAnsi="宋体" w:eastAsia="仿宋_GB2312" w:cs="仿宋_GB2312"/>
                <w:color w:val="000000"/>
                <w:sz w:val="20"/>
                <w:szCs w:val="20"/>
                <w:highlight w:val="none"/>
                <w:lang w:eastAsia="zh-CN"/>
              </w:rPr>
              <w:t>年度区民政局未对固定资产进行盘点。</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（二）预算管理方面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无预算支出。2021年区民政局“公务招待费”预算安排数为0万元，实际支出数为0.23万元。</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（三）</w:t>
            </w:r>
            <w:r>
              <w:rPr>
                <w:rFonts w:hint="eastAsia" w:ascii="仿宋_GB2312" w:hAnsi="宋体" w:eastAsia="仿宋_GB2312" w:cs="仿宋_GB2312"/>
                <w:color w:val="000000"/>
                <w:sz w:val="20"/>
                <w:szCs w:val="20"/>
                <w:highlight w:val="none"/>
                <w:lang w:eastAsia="zh-CN"/>
              </w:rPr>
              <w:t>项目管理方面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eastAsia="zh-CN"/>
              </w:rPr>
              <w:t>．项目支付进度率有待进一步提高。</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截至2021年9月区民政局</w:t>
            </w:r>
            <w:r>
              <w:rPr>
                <w:rFonts w:hint="eastAsia" w:ascii="仿宋_GB2312" w:hAnsi="宋体" w:eastAsia="仿宋_GB2312" w:cs="仿宋_GB2312"/>
                <w:color w:val="000000"/>
                <w:sz w:val="20"/>
                <w:szCs w:val="20"/>
                <w:highlight w:val="none"/>
                <w:lang w:val="en-US" w:eastAsia="zh-CN"/>
              </w:rPr>
              <w:t>项目</w:t>
            </w:r>
            <w:r>
              <w:rPr>
                <w:rFonts w:hint="eastAsia" w:ascii="仿宋_GB2312" w:hAnsi="宋体" w:eastAsia="仿宋_GB2312" w:cs="仿宋_GB2312"/>
                <w:color w:val="000000"/>
                <w:sz w:val="20"/>
                <w:szCs w:val="20"/>
                <w:highlight w:val="none"/>
                <w:lang w:eastAsia="zh-CN"/>
              </w:rPr>
              <w:t>支付进度率为56.69%，项目支付进度率</w:t>
            </w:r>
            <w:r>
              <w:rPr>
                <w:rFonts w:hint="eastAsia" w:ascii="仿宋_GB2312" w:hAnsi="宋体" w:eastAsia="仿宋_GB2312" w:cs="仿宋_GB2312"/>
                <w:color w:val="000000"/>
                <w:sz w:val="20"/>
                <w:szCs w:val="20"/>
                <w:highlight w:val="none"/>
                <w:lang w:val="en-US" w:eastAsia="zh-CN"/>
              </w:rPr>
              <w:t>较低。</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2</w:t>
            </w:r>
            <w:r>
              <w:rPr>
                <w:rFonts w:hint="eastAsia" w:ascii="仿宋_GB2312" w:hAnsi="宋体" w:eastAsia="仿宋_GB2312" w:cs="仿宋_GB2312"/>
                <w:color w:val="000000"/>
                <w:sz w:val="20"/>
                <w:szCs w:val="20"/>
                <w:highlight w:val="none"/>
                <w:lang w:eastAsia="zh-CN"/>
              </w:rPr>
              <w:t>．部分工作任务未按期完成。</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除生态文明建设、基层政权建设、平价墓位建设方面的工作任务完成外，社会福利、社会救济</w:t>
            </w:r>
            <w:r>
              <w:rPr>
                <w:rFonts w:hint="eastAsia" w:ascii="仿宋_GB2312" w:hAnsi="宋体" w:eastAsia="仿宋_GB2312" w:cs="仿宋_GB2312"/>
                <w:color w:val="000000"/>
                <w:sz w:val="20"/>
                <w:szCs w:val="20"/>
                <w:highlight w:val="none"/>
                <w:lang w:val="en-US" w:eastAsia="zh-CN"/>
              </w:rPr>
              <w:t>及</w:t>
            </w:r>
            <w:r>
              <w:rPr>
                <w:rFonts w:hint="eastAsia" w:ascii="仿宋_GB2312" w:hAnsi="宋体" w:eastAsia="仿宋_GB2312" w:cs="仿宋_GB2312"/>
                <w:color w:val="000000"/>
                <w:sz w:val="20"/>
                <w:szCs w:val="20"/>
                <w:highlight w:val="none"/>
                <w:lang w:eastAsia="zh-CN"/>
              </w:rPr>
              <w:t>以商招商的部分工作任务未按期完成。</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四）</w:t>
            </w:r>
            <w:r>
              <w:rPr>
                <w:rFonts w:hint="eastAsia" w:ascii="仿宋_GB2312" w:hAnsi="宋体" w:eastAsia="仿宋_GB2312" w:cs="仿宋_GB2312"/>
                <w:color w:val="000000"/>
                <w:sz w:val="20"/>
                <w:szCs w:val="20"/>
                <w:highlight w:val="none"/>
                <w:lang w:eastAsia="zh-CN"/>
              </w:rPr>
              <w:t>绩效管理方面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区民政局已将2021年度部门整体支出绩效目标细化分解为具体绩效指标，但</w:t>
            </w:r>
            <w:r>
              <w:rPr>
                <w:rFonts w:hint="eastAsia" w:ascii="仿宋_GB2312" w:hAnsi="宋体" w:eastAsia="仿宋_GB2312" w:cs="仿宋_GB2312"/>
                <w:color w:val="000000"/>
                <w:sz w:val="20"/>
                <w:szCs w:val="20"/>
                <w:highlight w:val="none"/>
                <w:lang w:eastAsia="zh-CN"/>
              </w:rPr>
              <w:t>部分绩效指标及指标值设置</w:t>
            </w:r>
            <w:r>
              <w:rPr>
                <w:rFonts w:hint="eastAsia" w:ascii="仿宋_GB2312" w:hAnsi="宋体" w:eastAsia="仿宋_GB2312" w:cs="仿宋_GB2312"/>
                <w:color w:val="000000"/>
                <w:sz w:val="20"/>
                <w:szCs w:val="20"/>
                <w:highlight w:val="none"/>
                <w:lang w:val="en-US" w:eastAsia="zh-CN"/>
              </w:rPr>
              <w:t>不全面、</w:t>
            </w:r>
            <w:r>
              <w:rPr>
                <w:rFonts w:hint="eastAsia" w:ascii="仿宋_GB2312" w:hAnsi="宋体" w:eastAsia="仿宋_GB2312" w:cs="仿宋_GB2312"/>
                <w:color w:val="000000"/>
                <w:sz w:val="20"/>
                <w:szCs w:val="20"/>
                <w:highlight w:val="none"/>
                <w:lang w:eastAsia="zh-CN"/>
              </w:rPr>
              <w:t>不合理</w:t>
            </w:r>
            <w:r>
              <w:rPr>
                <w:rFonts w:hint="eastAsia" w:ascii="仿宋_GB2312" w:hAnsi="宋体" w:eastAsia="仿宋_GB2312" w:cs="仿宋_GB2312"/>
                <w:color w:val="000000"/>
                <w:sz w:val="20"/>
                <w:szCs w:val="20"/>
                <w:highlight w:val="none"/>
                <w:lang w:val="en-US" w:eastAsia="zh-CN"/>
              </w:rPr>
              <w:t>。</w:t>
            </w:r>
          </w:p>
        </w:tc>
      </w:tr>
      <w:tr>
        <w:tblPrEx>
          <w:tblCellMar>
            <w:top w:w="17" w:type="dxa"/>
            <w:left w:w="17" w:type="dxa"/>
            <w:bottom w:w="17" w:type="dxa"/>
            <w:right w:w="17" w:type="dxa"/>
          </w:tblCellMar>
        </w:tblPrEx>
        <w:trPr>
          <w:trHeight w:val="1940" w:hRule="atLeast"/>
        </w:trPr>
        <w:tc>
          <w:tcPr>
            <w:tcW w:w="1222"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761" w:type="dxa"/>
            <w:gridSpan w:val="8"/>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一）</w:t>
            </w:r>
            <w:r>
              <w:rPr>
                <w:rFonts w:hint="eastAsia" w:ascii="仿宋_GB2312" w:hAnsi="宋体" w:eastAsia="仿宋_GB2312" w:cs="仿宋_GB2312"/>
                <w:color w:val="000000"/>
                <w:sz w:val="20"/>
                <w:szCs w:val="20"/>
                <w:highlight w:val="none"/>
              </w:rPr>
              <w:t>制度</w:t>
            </w:r>
            <w:r>
              <w:rPr>
                <w:rFonts w:hint="eastAsia" w:ascii="仿宋_GB2312" w:hAnsi="宋体" w:eastAsia="仿宋_GB2312" w:cs="仿宋_GB2312"/>
                <w:color w:val="000000"/>
                <w:sz w:val="20"/>
                <w:szCs w:val="20"/>
                <w:highlight w:val="none"/>
                <w:lang w:val="en-US" w:eastAsia="zh-CN"/>
              </w:rPr>
              <w:t>管理</w:t>
            </w:r>
            <w:r>
              <w:rPr>
                <w:rFonts w:hint="eastAsia" w:ascii="仿宋_GB2312" w:hAnsi="宋体" w:eastAsia="仿宋_GB2312" w:cs="仿宋_GB2312"/>
                <w:color w:val="000000"/>
                <w:sz w:val="20"/>
                <w:szCs w:val="20"/>
                <w:highlight w:val="none"/>
              </w:rPr>
              <w:t>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建议区民政局严格执行固定资产管理制度，</w:t>
            </w:r>
            <w:r>
              <w:rPr>
                <w:rFonts w:hint="eastAsia" w:ascii="仿宋_GB2312" w:hAnsi="宋体" w:eastAsia="仿宋_GB2312" w:cs="仿宋_GB2312"/>
                <w:color w:val="000000"/>
                <w:sz w:val="20"/>
                <w:szCs w:val="20"/>
                <w:highlight w:val="none"/>
                <w:lang w:val="en-US" w:eastAsia="zh-CN"/>
              </w:rPr>
              <w:t>移交资产及时进行账务处理，定期</w:t>
            </w:r>
            <w:r>
              <w:rPr>
                <w:rFonts w:hint="eastAsia" w:ascii="仿宋_GB2312" w:hAnsi="宋体" w:eastAsia="仿宋_GB2312" w:cs="仿宋_GB2312"/>
                <w:color w:val="000000"/>
                <w:sz w:val="20"/>
                <w:szCs w:val="20"/>
                <w:highlight w:val="none"/>
              </w:rPr>
              <w:t>对固定资产进行盘点，保证资产账实相符。</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二）</w:t>
            </w:r>
            <w:r>
              <w:rPr>
                <w:rFonts w:hint="eastAsia" w:ascii="仿宋_GB2312" w:hAnsi="宋体" w:eastAsia="仿宋_GB2312" w:cs="仿宋_GB2312"/>
                <w:color w:val="000000"/>
                <w:sz w:val="20"/>
                <w:szCs w:val="20"/>
                <w:highlight w:val="none"/>
              </w:rPr>
              <w:t>预算管理方面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lang w:val="en-US" w:eastAsia="zh-CN"/>
              </w:rPr>
              <w:t>建议区民政局加强预算执行，严禁无预算支出。</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三）</w:t>
            </w:r>
            <w:r>
              <w:rPr>
                <w:rFonts w:hint="eastAsia" w:ascii="仿宋_GB2312" w:hAnsi="宋体" w:eastAsia="仿宋_GB2312" w:cs="仿宋_GB2312"/>
                <w:color w:val="000000"/>
                <w:sz w:val="20"/>
                <w:szCs w:val="20"/>
                <w:highlight w:val="none"/>
              </w:rPr>
              <w:t>项目管理方面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zh-CN"/>
              </w:rPr>
            </w:pPr>
            <w:r>
              <w:rPr>
                <w:rFonts w:hint="eastAsia" w:ascii="仿宋_GB2312" w:hAnsi="宋体" w:eastAsia="仿宋_GB2312" w:cs="仿宋_GB2312"/>
                <w:color w:val="000000"/>
                <w:sz w:val="20"/>
                <w:szCs w:val="20"/>
                <w:highlight w:val="none"/>
                <w:lang w:val="zh-CN"/>
              </w:rPr>
              <w:t>建议加强指导和协调解决项目实施过程中遇到的困难和问题，查找项目管理薄弱环节，定期对项目实施情况进行跟踪调度，</w:t>
            </w:r>
            <w:r>
              <w:rPr>
                <w:rFonts w:hint="eastAsia" w:ascii="仿宋_GB2312" w:hAnsi="宋体" w:eastAsia="仿宋_GB2312" w:cs="仿宋_GB2312"/>
                <w:color w:val="000000"/>
                <w:sz w:val="20"/>
                <w:szCs w:val="20"/>
                <w:highlight w:val="none"/>
                <w:lang w:val="en-US" w:eastAsia="zh-CN"/>
              </w:rPr>
              <w:t>促进项目目标的实现</w:t>
            </w:r>
            <w:r>
              <w:rPr>
                <w:rFonts w:hint="eastAsia" w:ascii="仿宋_GB2312" w:hAnsi="宋体" w:eastAsia="仿宋_GB2312" w:cs="仿宋_GB2312"/>
                <w:color w:val="000000"/>
                <w:sz w:val="20"/>
                <w:szCs w:val="20"/>
                <w:highlight w:val="none"/>
                <w:lang w:val="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zh-CN"/>
              </w:rPr>
            </w:pPr>
            <w:r>
              <w:rPr>
                <w:rFonts w:hint="eastAsia" w:ascii="仿宋_GB2312" w:hAnsi="宋体" w:eastAsia="仿宋_GB2312" w:cs="仿宋_GB2312"/>
                <w:color w:val="000000"/>
                <w:sz w:val="20"/>
                <w:szCs w:val="20"/>
                <w:highlight w:val="none"/>
                <w:lang w:eastAsia="zh-CN"/>
              </w:rPr>
              <w:t>（</w:t>
            </w:r>
            <w:r>
              <w:rPr>
                <w:rFonts w:hint="eastAsia" w:ascii="仿宋_GB2312" w:hAnsi="宋体" w:eastAsia="仿宋_GB2312" w:cs="仿宋_GB2312"/>
                <w:color w:val="000000"/>
                <w:sz w:val="20"/>
                <w:szCs w:val="20"/>
                <w:highlight w:val="none"/>
                <w:lang w:val="en-US" w:eastAsia="zh-CN"/>
              </w:rPr>
              <w:t>四）</w:t>
            </w:r>
            <w:r>
              <w:rPr>
                <w:rFonts w:hint="eastAsia" w:ascii="仿宋_GB2312" w:hAnsi="宋体" w:eastAsia="仿宋_GB2312" w:cs="仿宋_GB2312"/>
                <w:color w:val="000000"/>
                <w:sz w:val="20"/>
                <w:szCs w:val="20"/>
                <w:highlight w:val="none"/>
              </w:rPr>
              <w:t>绩效管理方面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建议区民政局</w:t>
            </w:r>
            <w:r>
              <w:rPr>
                <w:rFonts w:hint="eastAsia" w:ascii="仿宋_GB2312" w:hAnsi="宋体" w:eastAsia="仿宋_GB2312" w:cs="仿宋_GB2312"/>
                <w:color w:val="000000"/>
                <w:sz w:val="20"/>
                <w:szCs w:val="20"/>
                <w:highlight w:val="none"/>
                <w:lang w:val="en-US" w:eastAsia="zh-CN"/>
              </w:rPr>
              <w:t>加</w:t>
            </w:r>
            <w:r>
              <w:rPr>
                <w:rFonts w:hint="eastAsia" w:ascii="仿宋_GB2312" w:hAnsi="宋体" w:eastAsia="仿宋_GB2312" w:cs="仿宋_GB2312"/>
                <w:color w:val="000000"/>
                <w:sz w:val="20"/>
                <w:szCs w:val="20"/>
                <w:highlight w:val="none"/>
              </w:rPr>
              <w:t>强预算绩效管理培训学习，积极推进预算绩效管理工作，深入学习财政支出绩效知识，进一步规范财政支出绩效管理。</w:t>
            </w:r>
          </w:p>
        </w:tc>
      </w:tr>
      <w:tr>
        <w:tblPrEx>
          <w:tblCellMar>
            <w:top w:w="17" w:type="dxa"/>
            <w:left w:w="17" w:type="dxa"/>
            <w:bottom w:w="17" w:type="dxa"/>
            <w:right w:w="17" w:type="dxa"/>
          </w:tblCellMar>
        </w:tblPrEx>
        <w:trPr>
          <w:trHeight w:val="1150" w:hRule="atLeast"/>
        </w:trPr>
        <w:tc>
          <w:tcPr>
            <w:tcW w:w="1222"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761" w:type="dxa"/>
            <w:gridSpan w:val="8"/>
            <w:tcBorders>
              <w:top w:val="single" w:color="auto" w:sz="4" w:space="0"/>
              <w:left w:val="single" w:color="000000" w:sz="4" w:space="0"/>
              <w:bottom w:val="single" w:color="auto" w:sz="4" w:space="0"/>
              <w:right w:val="single" w:color="000000" w:sz="4" w:space="0"/>
            </w:tcBorders>
            <w:noWrap w:val="0"/>
            <w:vAlign w:val="top"/>
          </w:tcPr>
          <w:p>
            <w:pPr>
              <w:widowControl/>
              <w:numPr>
                <w:ilvl w:val="0"/>
                <w:numId w:val="0"/>
              </w:numPr>
              <w:spacing w:line="360" w:lineRule="exact"/>
              <w:ind w:firstLine="0" w:firstLineChars="0"/>
              <w:jc w:val="both"/>
              <w:textAlignment w:val="center"/>
              <w:rPr>
                <w:rFonts w:ascii="仿宋_GB2312" w:hAnsi="宋体" w:eastAsia="仿宋_GB2312" w:cs="仿宋_GB2312"/>
                <w:color w:val="000000"/>
                <w:sz w:val="20"/>
                <w:szCs w:val="20"/>
                <w:highlight w:val="none"/>
                <w:lang w:val="zh-CN"/>
              </w:rPr>
            </w:pPr>
            <w:r>
              <w:rPr>
                <w:rFonts w:ascii="仿宋_GB2312" w:hAnsi="宋体" w:eastAsia="仿宋_GB2312" w:cs="仿宋_GB2312"/>
                <w:color w:val="000000"/>
                <w:sz w:val="20"/>
                <w:szCs w:val="20"/>
                <w:highlight w:val="none"/>
              </w:rPr>
              <w:fldChar w:fldCharType="begin"/>
            </w:r>
            <w:r>
              <w:rPr>
                <w:rFonts w:ascii="仿宋_GB2312" w:hAnsi="宋体" w:eastAsia="仿宋_GB2312" w:cs="仿宋_GB2312"/>
                <w:color w:val="000000"/>
                <w:sz w:val="20"/>
                <w:szCs w:val="20"/>
                <w:highlight w:val="none"/>
              </w:rPr>
              <w:instrText xml:space="preserve"> HYPERLINK \l "_Toc434746187" </w:instrText>
            </w:r>
            <w:r>
              <w:rPr>
                <w:rFonts w:ascii="仿宋_GB2312" w:hAnsi="宋体" w:eastAsia="仿宋_GB2312" w:cs="仿宋_GB2312"/>
                <w:color w:val="000000"/>
                <w:sz w:val="20"/>
                <w:szCs w:val="20"/>
                <w:highlight w:val="none"/>
              </w:rPr>
              <w:fldChar w:fldCharType="separate"/>
            </w:r>
            <w:r>
              <w:rPr>
                <w:rFonts w:hint="eastAsia" w:ascii="仿宋_GB2312" w:hAnsi="宋体" w:eastAsia="仿宋_GB2312" w:cs="仿宋_GB2312"/>
                <w:color w:val="000000"/>
                <w:sz w:val="20"/>
                <w:szCs w:val="20"/>
                <w:highlight w:val="none"/>
                <w:lang w:val="zh-CN"/>
              </w:rPr>
              <w:t>以后年度预算安排建议</w:t>
            </w:r>
            <w:r>
              <w:rPr>
                <w:rFonts w:hint="eastAsia" w:ascii="仿宋_GB2312" w:hAnsi="宋体" w:eastAsia="仿宋_GB2312" w:cs="仿宋_GB2312"/>
                <w:color w:val="000000"/>
                <w:sz w:val="20"/>
                <w:szCs w:val="20"/>
                <w:highlight w:val="none"/>
                <w:lang w:val="zh-CN"/>
              </w:rPr>
              <w:fldChar w:fldCharType="end"/>
            </w:r>
            <w:r>
              <w:rPr>
                <w:rFonts w:hint="eastAsia" w:ascii="仿宋_GB2312" w:hAnsi="宋体" w:eastAsia="仿宋_GB2312" w:cs="仿宋_GB2312"/>
                <w:color w:val="000000"/>
                <w:sz w:val="20"/>
                <w:szCs w:val="20"/>
                <w:highlight w:val="none"/>
                <w:lang w:val="zh-CN"/>
              </w:rPr>
              <w:t>：</w:t>
            </w:r>
          </w:p>
          <w:p>
            <w:pPr>
              <w:widowControl/>
              <w:numPr>
                <w:ilvl w:val="0"/>
                <w:numId w:val="0"/>
              </w:numPr>
              <w:spacing w:line="360" w:lineRule="exact"/>
              <w:ind w:firstLine="0" w:firstLineChars="0"/>
              <w:jc w:val="both"/>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在部门“三定”方案规定的部门主要职能基础上，全面梳理以后年度部门工作任务，合理科学</w:t>
            </w:r>
            <w:r>
              <w:rPr>
                <w:rFonts w:hint="default" w:ascii="仿宋_GB2312" w:hAnsi="宋体" w:eastAsia="仿宋_GB2312" w:cs="仿宋_GB2312"/>
                <w:color w:val="000000"/>
                <w:sz w:val="20"/>
                <w:szCs w:val="20"/>
                <w:highlight w:val="none"/>
                <w:lang w:val="en-US"/>
              </w:rPr>
              <w:t>预计以后年度</w:t>
            </w:r>
            <w:r>
              <w:rPr>
                <w:rFonts w:hint="eastAsia" w:ascii="仿宋_GB2312" w:hAnsi="宋体" w:eastAsia="仿宋_GB2312" w:cs="仿宋_GB2312"/>
                <w:color w:val="000000"/>
                <w:sz w:val="20"/>
                <w:szCs w:val="20"/>
                <w:highlight w:val="none"/>
              </w:rPr>
              <w:t>部门工作任务数量、时效、效益等。</w:t>
            </w:r>
          </w:p>
        </w:tc>
      </w:tr>
    </w:tbl>
    <w:tbl>
      <w:tblPr>
        <w:tblStyle w:val="18"/>
        <w:tblpPr w:leftFromText="180" w:rightFromText="180" w:vertAnchor="text" w:horzAnchor="margin" w:tblpY="1"/>
        <w:tblOverlap w:val="never"/>
        <w:tblW w:w="8983" w:type="dxa"/>
        <w:tblInd w:w="0" w:type="dxa"/>
        <w:tblLayout w:type="fixed"/>
        <w:tblCellMar>
          <w:top w:w="17" w:type="dxa"/>
          <w:left w:w="17" w:type="dxa"/>
          <w:bottom w:w="17" w:type="dxa"/>
          <w:right w:w="17" w:type="dxa"/>
        </w:tblCellMar>
      </w:tblPr>
      <w:tblGrid>
        <w:gridCol w:w="2059"/>
        <w:gridCol w:w="2252"/>
        <w:gridCol w:w="2238"/>
        <w:gridCol w:w="2434"/>
      </w:tblGrid>
      <w:tr>
        <w:tblPrEx>
          <w:tblCellMar>
            <w:top w:w="17" w:type="dxa"/>
            <w:left w:w="17" w:type="dxa"/>
            <w:bottom w:w="17" w:type="dxa"/>
            <w:right w:w="17" w:type="dxa"/>
          </w:tblCellMar>
        </w:tblPrEx>
        <w:trPr>
          <w:trHeight w:val="1012" w:hRule="atLeast"/>
        </w:trPr>
        <w:tc>
          <w:tcPr>
            <w:tcW w:w="2059"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15</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29</w:t>
            </w:r>
            <w:r>
              <w:rPr>
                <w:rFonts w:hint="eastAsia" w:ascii="仿宋_GB2312" w:hAnsi="宋体" w:eastAsia="仿宋_GB2312" w:cs="仿宋_GB2312"/>
                <w:color w:val="000000"/>
                <w:sz w:val="20"/>
                <w:szCs w:val="20"/>
                <w:highlight w:val="none"/>
              </w:rPr>
              <w:t>日</w:t>
            </w:r>
          </w:p>
        </w:tc>
        <w:tc>
          <w:tcPr>
            <w:tcW w:w="2238"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28</w:t>
            </w:r>
            <w:r>
              <w:rPr>
                <w:rFonts w:hint="eastAsia" w:ascii="仿宋_GB2312" w:hAnsi="宋体" w:eastAsia="仿宋_GB2312" w:cs="仿宋_GB2312"/>
                <w:color w:val="000000"/>
                <w:sz w:val="20"/>
                <w:szCs w:val="20"/>
                <w:highlight w:val="none"/>
              </w:rPr>
              <w:t>号</w:t>
            </w:r>
          </w:p>
        </w:tc>
      </w:tr>
      <w:tr>
        <w:tblPrEx>
          <w:tblCellMar>
            <w:top w:w="17" w:type="dxa"/>
            <w:left w:w="17" w:type="dxa"/>
            <w:bottom w:w="17" w:type="dxa"/>
            <w:right w:w="17" w:type="dxa"/>
          </w:tblCellMar>
        </w:tblPrEx>
        <w:trPr>
          <w:trHeight w:val="2234" w:hRule="atLeast"/>
        </w:trPr>
        <w:tc>
          <w:tcPr>
            <w:tcW w:w="2059"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rFonts w:eastAsia="方正小标宋简体"/>
          <w:sz w:val="44"/>
          <w:szCs w:val="44"/>
          <w:highlight w:val="none"/>
        </w:rPr>
        <w:sectPr>
          <w:footerReference r:id="rId3" w:type="default"/>
          <w:footerReference r:id="rId4" w:type="even"/>
          <w:pgSz w:w="11906" w:h="16838"/>
          <w:pgMar w:top="1985" w:right="1474" w:bottom="1871" w:left="1474" w:header="851" w:footer="1474" w:gutter="0"/>
          <w:pgBorders w:offsetFrom="page">
            <w:top w:val="none" w:sz="0" w:space="0"/>
            <w:left w:val="none" w:sz="0" w:space="0"/>
            <w:bottom w:val="none" w:sz="0" w:space="0"/>
            <w:right w:val="none" w:sz="0" w:space="0"/>
          </w:pgBorders>
          <w:pgNumType w:fmt="decimal" w:start="1"/>
          <w:cols w:space="425" w:num="1"/>
          <w:docGrid w:type="lines" w:linePitch="312" w:charSpace="0"/>
        </w:sectPr>
      </w:pPr>
    </w:p>
    <w:p>
      <w:pPr>
        <w:widowControl w:val="0"/>
        <w:spacing w:line="590" w:lineRule="exact"/>
        <w:ind w:firstLine="664" w:firstLineChars="200"/>
        <w:jc w:val="both"/>
        <w:outlineLvl w:val="0"/>
        <w:rPr>
          <w:rFonts w:ascii="黑体" w:hAnsi="黑体" w:eastAsia="黑体"/>
          <w:spacing w:val="6"/>
          <w:sz w:val="32"/>
          <w:szCs w:val="32"/>
        </w:rPr>
      </w:pPr>
      <w:bookmarkStart w:id="0" w:name="_Toc17577"/>
      <w:bookmarkStart w:id="1" w:name="_Toc19767"/>
      <w:bookmarkStart w:id="2" w:name="_Toc6752"/>
      <w:bookmarkStart w:id="3" w:name="_Toc304"/>
      <w:bookmarkStart w:id="4" w:name="_Toc11442"/>
      <w:bookmarkStart w:id="5" w:name="_Toc28445"/>
      <w:bookmarkStart w:id="6" w:name="_Toc16559"/>
      <w:bookmarkStart w:id="7" w:name="_Toc23224"/>
      <w:bookmarkStart w:id="8" w:name="_Toc31371"/>
      <w:bookmarkStart w:id="9" w:name="_Toc41306265"/>
      <w:bookmarkStart w:id="10" w:name="_Toc26995"/>
      <w:bookmarkStart w:id="11" w:name="_Toc21008"/>
      <w:bookmarkStart w:id="12" w:name="_Toc7562"/>
      <w:bookmarkStart w:id="13" w:name="_Toc23577"/>
      <w:bookmarkStart w:id="14" w:name="_Toc25640"/>
      <w:bookmarkStart w:id="15" w:name="_Toc23527"/>
      <w:bookmarkStart w:id="16" w:name="_Hlk49420951"/>
      <w:r>
        <w:rPr>
          <w:rFonts w:hint="eastAsia" w:ascii="黑体" w:hAnsi="黑体" w:eastAsia="黑体"/>
          <w:spacing w:val="6"/>
          <w:sz w:val="32"/>
          <w:szCs w:val="32"/>
        </w:rPr>
        <w:t>一、</w:t>
      </w:r>
      <w:bookmarkStart w:id="267" w:name="_GoBack"/>
      <w:bookmarkEnd w:id="267"/>
      <w:r>
        <w:rPr>
          <w:rFonts w:hint="eastAsia" w:ascii="黑体" w:hAnsi="黑体" w:eastAsia="黑体"/>
          <w:spacing w:val="6"/>
          <w:sz w:val="32"/>
          <w:szCs w:val="32"/>
        </w:rPr>
        <w:t>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widowControl w:val="0"/>
        <w:spacing w:line="590" w:lineRule="exact"/>
        <w:ind w:firstLine="664" w:firstLineChars="200"/>
        <w:jc w:val="both"/>
        <w:outlineLvl w:val="1"/>
        <w:rPr>
          <w:rFonts w:hint="default" w:ascii="楷体_GB2312" w:hAnsi="楷体_GB2312" w:eastAsia="楷体_GB2312" w:cs="楷体_GB2312"/>
          <w:b/>
          <w:spacing w:val="6"/>
          <w:sz w:val="32"/>
          <w:szCs w:val="32"/>
          <w:lang w:val="en-US" w:eastAsia="zh-CN"/>
        </w:rPr>
      </w:pPr>
      <w:bookmarkStart w:id="17" w:name="_Toc18106"/>
      <w:bookmarkStart w:id="18" w:name="_Toc12962"/>
      <w:bookmarkStart w:id="19" w:name="_Toc11866"/>
      <w:bookmarkStart w:id="20" w:name="_Toc25703"/>
      <w:bookmarkStart w:id="21" w:name="_Toc12494"/>
      <w:bookmarkStart w:id="22" w:name="_Toc29489"/>
      <w:bookmarkStart w:id="23" w:name="_Toc10698"/>
      <w:bookmarkStart w:id="24" w:name="_Toc21825"/>
      <w:bookmarkStart w:id="25" w:name="_Toc6400"/>
      <w:bookmarkStart w:id="26" w:name="_Toc32683"/>
      <w:bookmarkStart w:id="27" w:name="_Toc19960"/>
      <w:bookmarkStart w:id="28" w:name="_Toc15063"/>
      <w:bookmarkStart w:id="29" w:name="_Toc18457"/>
      <w:bookmarkStart w:id="30" w:name="_Toc13386"/>
      <w:bookmarkStart w:id="31" w:name="_Toc9987"/>
      <w:r>
        <w:rPr>
          <w:rFonts w:hint="eastAsia" w:ascii="楷体_GB2312" w:hAnsi="楷体_GB2312" w:eastAsia="楷体_GB2312" w:cs="楷体_GB2312"/>
          <w:spacing w:val="6"/>
          <w:sz w:val="32"/>
          <w:szCs w:val="32"/>
        </w:rPr>
        <w:fldChar w:fldCharType="begin"/>
      </w:r>
      <w:r>
        <w:rPr>
          <w:rFonts w:hint="eastAsia" w:ascii="楷体_GB2312" w:hAnsi="楷体_GB2312" w:eastAsia="楷体_GB2312" w:cs="楷体_GB2312"/>
          <w:spacing w:val="6"/>
          <w:sz w:val="32"/>
          <w:szCs w:val="32"/>
        </w:rPr>
        <w:instrText xml:space="preserve"> HYPERLINK \l "_Toc434746187" </w:instrText>
      </w:r>
      <w:r>
        <w:rPr>
          <w:rFonts w:hint="eastAsia" w:ascii="楷体_GB2312" w:hAnsi="楷体_GB2312" w:eastAsia="楷体_GB2312" w:cs="楷体_GB2312"/>
          <w:spacing w:val="6"/>
          <w:sz w:val="32"/>
          <w:szCs w:val="32"/>
        </w:rPr>
        <w:fldChar w:fldCharType="separate"/>
      </w:r>
      <w:bookmarkStart w:id="32" w:name="_Toc41306266"/>
      <w:r>
        <w:rPr>
          <w:rFonts w:hint="eastAsia" w:ascii="楷体_GB2312" w:hAnsi="楷体_GB2312" w:eastAsia="楷体_GB2312" w:cs="楷体_GB2312"/>
          <w:spacing w:val="6"/>
          <w:sz w:val="32"/>
          <w:szCs w:val="32"/>
          <w:lang w:val="zh-CN"/>
        </w:rPr>
        <w:t>（一）</w:t>
      </w:r>
      <w:r>
        <w:rPr>
          <w:rFonts w:hint="eastAsia" w:ascii="楷体_GB2312" w:hAnsi="楷体_GB2312" w:eastAsia="楷体_GB2312" w:cs="楷体_GB2312"/>
          <w:spacing w:val="6"/>
          <w:sz w:val="32"/>
          <w:szCs w:val="32"/>
          <w:lang w:val="zh-CN"/>
        </w:rPr>
        <w:fldChar w:fldCharType="end"/>
      </w:r>
      <w:bookmarkEnd w:id="17"/>
      <w:bookmarkEnd w:id="18"/>
      <w:bookmarkEnd w:id="19"/>
      <w:bookmarkEnd w:id="32"/>
      <w:r>
        <w:rPr>
          <w:rFonts w:hint="eastAsia" w:ascii="楷体_GB2312" w:hAnsi="楷体_GB2312" w:eastAsia="楷体_GB2312" w:cs="楷体_GB2312"/>
          <w:spacing w:val="6"/>
          <w:sz w:val="32"/>
          <w:szCs w:val="32"/>
          <w:lang w:val="en-US" w:eastAsia="zh-CN"/>
        </w:rPr>
        <w:t>部门概况</w:t>
      </w:r>
      <w:bookmarkEnd w:id="20"/>
      <w:bookmarkEnd w:id="21"/>
      <w:bookmarkEnd w:id="22"/>
      <w:bookmarkEnd w:id="23"/>
      <w:bookmarkEnd w:id="24"/>
      <w:bookmarkEnd w:id="25"/>
      <w:bookmarkEnd w:id="26"/>
      <w:bookmarkEnd w:id="27"/>
      <w:bookmarkEnd w:id="28"/>
      <w:bookmarkEnd w:id="29"/>
      <w:bookmarkEnd w:id="30"/>
      <w:bookmarkEnd w:id="31"/>
    </w:p>
    <w:p>
      <w:pPr>
        <w:spacing w:line="590" w:lineRule="exact"/>
        <w:ind w:firstLine="664" w:firstLineChars="200"/>
        <w:rPr>
          <w:rFonts w:hint="eastAsia" w:ascii="仿宋_GB2312" w:hAnsi="仿宋_GB2312" w:eastAsia="仿宋_GB2312" w:cs="仿宋_GB2312"/>
          <w:bCs/>
          <w:spacing w:val="6"/>
          <w:sz w:val="32"/>
          <w:szCs w:val="32"/>
          <w:highlight w:val="none"/>
        </w:rPr>
      </w:pPr>
      <w:r>
        <w:rPr>
          <w:rFonts w:hint="eastAsia" w:ascii="仿宋_GB2312" w:hAnsi="仿宋_GB2312" w:eastAsia="仿宋_GB2312" w:cs="仿宋_GB2312"/>
          <w:bCs/>
          <w:spacing w:val="6"/>
          <w:sz w:val="32"/>
          <w:szCs w:val="32"/>
        </w:rPr>
        <w:t>2019年3月2</w:t>
      </w:r>
      <w:r>
        <w:rPr>
          <w:rFonts w:hint="eastAsia" w:ascii="仿宋_GB2312" w:hAnsi="仿宋_GB2312" w:eastAsia="仿宋_GB2312" w:cs="仿宋_GB2312"/>
          <w:bCs/>
          <w:spacing w:val="6"/>
          <w:sz w:val="32"/>
          <w:szCs w:val="32"/>
          <w:lang w:val="en-US" w:eastAsia="zh-CN"/>
        </w:rPr>
        <w:t>5</w:t>
      </w:r>
      <w:r>
        <w:rPr>
          <w:rFonts w:hint="eastAsia" w:ascii="仿宋_GB2312" w:hAnsi="仿宋_GB2312" w:eastAsia="仿宋_GB2312" w:cs="仿宋_GB2312"/>
          <w:bCs/>
          <w:spacing w:val="6"/>
          <w:sz w:val="32"/>
          <w:szCs w:val="32"/>
        </w:rPr>
        <w:t>日，《中共</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 xml:space="preserve">区委办公室 </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区人民政府办公室关于印发〈贵阳市</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w:t>
      </w:r>
      <w:r>
        <w:rPr>
          <w:rFonts w:hint="eastAsia" w:ascii="仿宋_GB2312" w:hAnsi="仿宋_GB2312" w:eastAsia="仿宋_GB2312" w:cs="仿宋_GB2312"/>
          <w:bCs/>
          <w:spacing w:val="6"/>
          <w:sz w:val="32"/>
          <w:szCs w:val="32"/>
          <w:lang w:val="en-US" w:eastAsia="zh-CN"/>
        </w:rPr>
        <w:t>工业和信息化</w:t>
      </w:r>
      <w:r>
        <w:rPr>
          <w:rFonts w:hint="eastAsia" w:ascii="仿宋_GB2312" w:hAnsi="仿宋_GB2312" w:eastAsia="仿宋_GB2312" w:cs="仿宋_GB2312"/>
          <w:bCs/>
          <w:spacing w:val="6"/>
          <w:sz w:val="32"/>
          <w:szCs w:val="32"/>
        </w:rPr>
        <w:t>局职能配置、内设机构和人员编制规定〉的通知》（</w:t>
      </w:r>
      <w:r>
        <w:rPr>
          <w:rFonts w:hint="eastAsia" w:ascii="仿宋_GB2312" w:hAnsi="仿宋_GB2312" w:eastAsia="仿宋_GB2312" w:cs="仿宋_GB2312"/>
          <w:bCs/>
          <w:spacing w:val="6"/>
          <w:sz w:val="32"/>
          <w:szCs w:val="32"/>
          <w:lang w:val="en-US" w:eastAsia="zh-CN"/>
        </w:rPr>
        <w:t>云</w:t>
      </w:r>
      <w:r>
        <w:rPr>
          <w:rFonts w:hint="eastAsia" w:ascii="仿宋_GB2312" w:hAnsi="仿宋_GB2312" w:eastAsia="仿宋_GB2312" w:cs="仿宋_GB2312"/>
          <w:bCs/>
          <w:spacing w:val="6"/>
          <w:sz w:val="32"/>
          <w:szCs w:val="32"/>
        </w:rPr>
        <w:t>委办字〔2019〕</w:t>
      </w:r>
      <w:r>
        <w:rPr>
          <w:rFonts w:hint="eastAsia" w:ascii="仿宋_GB2312" w:hAnsi="仿宋_GB2312" w:eastAsia="仿宋_GB2312" w:cs="仿宋_GB2312"/>
          <w:bCs/>
          <w:spacing w:val="6"/>
          <w:sz w:val="32"/>
          <w:szCs w:val="32"/>
          <w:lang w:val="en-US" w:eastAsia="zh-CN"/>
        </w:rPr>
        <w:t>69</w:t>
      </w:r>
      <w:r>
        <w:rPr>
          <w:rFonts w:hint="eastAsia" w:ascii="仿宋_GB2312" w:hAnsi="仿宋_GB2312" w:eastAsia="仿宋_GB2312" w:cs="仿宋_GB2312"/>
          <w:bCs/>
          <w:spacing w:val="6"/>
          <w:sz w:val="32"/>
          <w:szCs w:val="32"/>
        </w:rPr>
        <w:t>号），</w:t>
      </w:r>
      <w:r>
        <w:rPr>
          <w:rFonts w:hint="eastAsia" w:ascii="仿宋_GB2312" w:hAnsi="仿宋_GB2312" w:eastAsia="仿宋_GB2312" w:cs="仿宋_GB2312"/>
          <w:bCs/>
          <w:spacing w:val="6"/>
          <w:sz w:val="32"/>
          <w:szCs w:val="32"/>
          <w:highlight w:val="none"/>
          <w:lang w:val="en-US" w:eastAsia="zh-CN"/>
        </w:rPr>
        <w:t>区</w:t>
      </w:r>
      <w:r>
        <w:rPr>
          <w:rFonts w:hint="eastAsia" w:ascii="仿宋_GB2312" w:hAnsi="仿宋_GB2312" w:eastAsia="仿宋_GB2312" w:cs="仿宋_GB2312"/>
          <w:bCs/>
          <w:spacing w:val="6"/>
          <w:sz w:val="32"/>
          <w:szCs w:val="32"/>
          <w:highlight w:val="none"/>
          <w:lang w:eastAsia="zh-Hans"/>
        </w:rPr>
        <w:t>民政局是区人民政府工作部门，为正科级。</w:t>
      </w:r>
      <w:r>
        <w:rPr>
          <w:rFonts w:hint="eastAsia" w:ascii="仿宋_GB2312" w:hAnsi="仿宋_GB2312" w:eastAsia="仿宋_GB2312" w:cs="仿宋_GB2312"/>
          <w:sz w:val="32"/>
          <w:szCs w:val="32"/>
        </w:rPr>
        <w:t>内设办公室、综合科2个科室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下设云岩区民政局婚姻登记管理中心、云岩区社会救助站、云岩区殡葬管理所3个非独立核算机构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pacing w:val="6"/>
          <w:sz w:val="32"/>
          <w:szCs w:val="32"/>
          <w:highlight w:val="none"/>
          <w:lang w:val="en-US" w:eastAsia="zh-CN"/>
        </w:rPr>
        <w:t>区</w:t>
      </w:r>
      <w:r>
        <w:rPr>
          <w:rFonts w:hint="eastAsia" w:ascii="仿宋_GB2312" w:hAnsi="仿宋_GB2312" w:eastAsia="仿宋_GB2312" w:cs="仿宋_GB2312"/>
          <w:bCs/>
          <w:spacing w:val="6"/>
          <w:sz w:val="32"/>
          <w:szCs w:val="32"/>
          <w:highlight w:val="none"/>
          <w:lang w:eastAsia="zh-Hans"/>
        </w:rPr>
        <w:t>民政局</w:t>
      </w:r>
      <w:r>
        <w:rPr>
          <w:rFonts w:hint="eastAsia" w:ascii="仿宋_GB2312" w:hAnsi="仿宋_GB2312" w:eastAsia="仿宋_GB2312" w:cs="仿宋_GB2312"/>
          <w:bCs/>
          <w:spacing w:val="6"/>
          <w:sz w:val="32"/>
          <w:szCs w:val="32"/>
          <w:highlight w:val="none"/>
          <w:lang w:val="en-US" w:eastAsia="zh-CN"/>
        </w:rPr>
        <w:t>人员编制批复数为行政编制6</w:t>
      </w:r>
      <w:r>
        <w:rPr>
          <w:rFonts w:hint="eastAsia" w:ascii="仿宋_GB2312" w:hAnsi="仿宋_GB2312" w:eastAsia="仿宋_GB2312" w:cs="仿宋_GB2312"/>
          <w:bCs/>
          <w:spacing w:val="6"/>
          <w:sz w:val="32"/>
          <w:szCs w:val="32"/>
          <w:highlight w:val="none"/>
        </w:rPr>
        <w:t>人</w:t>
      </w:r>
      <w:r>
        <w:rPr>
          <w:rFonts w:hint="eastAsia" w:ascii="仿宋_GB2312" w:hAnsi="仿宋_GB2312" w:eastAsia="仿宋_GB2312" w:cs="仿宋_GB2312"/>
          <w:bCs/>
          <w:spacing w:val="6"/>
          <w:sz w:val="32"/>
          <w:szCs w:val="32"/>
          <w:highlight w:val="none"/>
          <w:lang w:eastAsia="zh-CN"/>
        </w:rPr>
        <w:t>，</w:t>
      </w:r>
      <w:r>
        <w:rPr>
          <w:rFonts w:hint="eastAsia" w:ascii="仿宋_GB2312" w:hAnsi="仿宋_GB2312" w:eastAsia="仿宋_GB2312" w:cs="仿宋_GB2312"/>
          <w:bCs/>
          <w:spacing w:val="6"/>
          <w:sz w:val="32"/>
          <w:szCs w:val="32"/>
          <w:highlight w:val="none"/>
          <w:lang w:val="en-US" w:eastAsia="zh-CN"/>
        </w:rPr>
        <w:t>设局长1人，副局长3人，内设机构领导2人。</w:t>
      </w:r>
      <w:r>
        <w:rPr>
          <w:rFonts w:hint="eastAsia" w:ascii="仿宋_GB2312" w:hAnsi="仿宋_GB2312" w:eastAsia="仿宋_GB2312" w:cs="仿宋_GB2312"/>
          <w:bCs/>
          <w:spacing w:val="6"/>
          <w:sz w:val="32"/>
          <w:szCs w:val="32"/>
          <w:highlight w:val="none"/>
        </w:rPr>
        <w:t>实际负担经费在职人员</w:t>
      </w:r>
      <w:r>
        <w:rPr>
          <w:rFonts w:hint="eastAsia" w:ascii="仿宋_GB2312" w:hAnsi="仿宋_GB2312" w:eastAsia="仿宋_GB2312" w:cs="仿宋_GB2312"/>
          <w:bCs/>
          <w:spacing w:val="6"/>
          <w:sz w:val="32"/>
          <w:szCs w:val="32"/>
          <w:highlight w:val="none"/>
          <w:lang w:val="en-US" w:eastAsia="zh-CN"/>
        </w:rPr>
        <w:t>为</w:t>
      </w:r>
      <w:r>
        <w:rPr>
          <w:rFonts w:hint="eastAsia" w:ascii="仿宋_GB2312" w:hAnsi="仿宋_GB2312" w:eastAsia="仿宋_GB2312" w:cs="仿宋_GB2312"/>
          <w:bCs/>
          <w:spacing w:val="6"/>
          <w:sz w:val="32"/>
          <w:szCs w:val="32"/>
          <w:highlight w:val="none"/>
        </w:rPr>
        <w:t>2</w:t>
      </w:r>
      <w:r>
        <w:rPr>
          <w:rFonts w:hint="eastAsia" w:ascii="仿宋_GB2312" w:hAnsi="仿宋_GB2312" w:eastAsia="仿宋_GB2312" w:cs="仿宋_GB2312"/>
          <w:bCs/>
          <w:spacing w:val="6"/>
          <w:sz w:val="32"/>
          <w:szCs w:val="32"/>
          <w:highlight w:val="none"/>
          <w:lang w:val="en-US" w:eastAsia="zh-CN"/>
        </w:rPr>
        <w:t>1</w:t>
      </w:r>
      <w:r>
        <w:rPr>
          <w:rFonts w:hint="eastAsia" w:ascii="仿宋_GB2312" w:hAnsi="仿宋_GB2312" w:eastAsia="仿宋_GB2312" w:cs="仿宋_GB2312"/>
          <w:bCs/>
          <w:spacing w:val="6"/>
          <w:sz w:val="32"/>
          <w:szCs w:val="32"/>
          <w:highlight w:val="none"/>
        </w:rPr>
        <w:t>人，其中：行政人员7人，事业人员</w:t>
      </w:r>
      <w:r>
        <w:rPr>
          <w:rFonts w:hint="eastAsia" w:ascii="仿宋_GB2312" w:hAnsi="仿宋_GB2312" w:eastAsia="仿宋_GB2312" w:cs="仿宋_GB2312"/>
          <w:bCs/>
          <w:spacing w:val="6"/>
          <w:sz w:val="32"/>
          <w:szCs w:val="32"/>
          <w:highlight w:val="none"/>
          <w:lang w:val="en-US" w:eastAsia="zh-CN"/>
        </w:rPr>
        <w:t>14</w:t>
      </w:r>
      <w:r>
        <w:rPr>
          <w:rFonts w:hint="eastAsia" w:ascii="仿宋_GB2312" w:hAnsi="仿宋_GB2312" w:eastAsia="仿宋_GB2312" w:cs="仿宋_GB2312"/>
          <w:bCs/>
          <w:spacing w:val="6"/>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部门主要职责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bookmarkStart w:id="33" w:name="_Toc1878"/>
      <w:bookmarkStart w:id="34" w:name="_Toc11036"/>
      <w:bookmarkStart w:id="35" w:name="_Toc17115"/>
      <w:r>
        <w:rPr>
          <w:rFonts w:hint="eastAsia" w:ascii="仿宋_GB2312" w:hAnsi="仿宋_GB2312" w:eastAsia="仿宋_GB2312" w:cs="仿宋_GB2312"/>
          <w:sz w:val="32"/>
          <w:szCs w:val="32"/>
          <w:lang w:val="en-US" w:eastAsia="zh-CN"/>
        </w:rPr>
        <w:t>区民政局贯彻落实党中央、省委、市委和区委关于民政工作的方针政策和决策部署，在履行职责过程中坚持和加强党对民政工作的集中统一领导。主要职责是：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（一）贯彻执行国家、省、市、区有关民政工作的法律、法规、规章和方针政策；拟订云岩区民政事业发展规划和年度工作计划，并组织实施和监督检查；指导社区(镇)做好相关工作。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（二）依法对全区社会团体、民办非企业单位进行登记、管理和监察。</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（三）健全全区社会救助体系；负责城乡居民最低生活保障、城乡特困供养、城乡临时救助和生活无着人员救助工作；负责城市公租房低收入家庭认定工作。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（四）负责全区行政区划与地名方面的行政管理工作；负责社区（镇）村（居）行政区划的设立、撤销、命名、更名、隶属关系变更审核报批工作；承办边界争议调处事务。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（五）负责指导全区城乡基层群众自治组织建设，推动基层民主政治建设；负责指导全区城乡社区建设和社区服务体系建设。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健全社会福利服务体系建设；拟订全区社会福利事业发展规划、政策和措施，负责社会福利事业单位的建设和管理以及社会福利企业的指导、协调、审核、培训、服务管理等工作，推动社会福利事业社会化；促进慈善事业发展，组织、指导开展社会捐助工作；协助省、市福利彩票的发行、管理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（七）保障残疾人权益，落实全区重度残疾人护理补贴、精神障碍患者看护补贴发放工作。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拟定全区儿童福利事业发展规划、政策和措施，承担全区散居孤儿、孤弃儿童及儿童收养登记管理工作，健全农村留守儿童关爱服务和困境儿童保障工作，维护区留守儿童困境儿童关爱救助保护工作领导小组日常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（九）负责全区养老工作，草拟全区老年人福利发展规划、政策和措施，落实全区老年人福利补贴制度，指导全区养老服务机构、特困人员救助供养机构规范管理工作，提升全区养老服务机构质量。</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（十）负责云岩区婚姻登记管理工作。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（十一）负责云岩区殡葬管理，推进殡葬改革，指导殡葬事业单位的建设和管理。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（十二）负责区级民政事业经费管理工作。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（十三）负责会同有关部门拟订全区社会工作发展规划和政策，推进社会工作人才队伍建设和相关志愿者队伍建设；负责对社会工作职业资格人才的教育培训。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（十四）负责全区社会化戒毒康复站建设工作。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五）结合部门职责，做好军民融合、扶贫开发等相关工作；负责本部门、本行业领域的安全生产和消防安全工作；按规定做好大数据发展应用和政务数据资源管理相关工作，依法促进部门政务数据资源规范管理、共享和开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（十六）完成区委、区人民政府和上级业务部门交办的其他任务。</w:t>
      </w:r>
    </w:p>
    <w:bookmarkEnd w:id="33"/>
    <w:bookmarkEnd w:id="34"/>
    <w:bookmarkEnd w:id="35"/>
    <w:p>
      <w:pPr>
        <w:widowControl w:val="0"/>
        <w:spacing w:afterLines="0" w:line="590" w:lineRule="exact"/>
        <w:ind w:firstLine="664" w:firstLineChars="200"/>
        <w:jc w:val="both"/>
        <w:outlineLvl w:val="1"/>
        <w:rPr>
          <w:rFonts w:hint="eastAsia" w:ascii="楷体_GB2312" w:hAnsi="楷体_GB2312" w:eastAsia="楷体_GB2312" w:cs="楷体_GB2312"/>
          <w:spacing w:val="6"/>
          <w:sz w:val="32"/>
          <w:szCs w:val="32"/>
          <w:lang w:val="en-US" w:eastAsia="zh-CN"/>
        </w:rPr>
      </w:pPr>
      <w:bookmarkStart w:id="36" w:name="_Toc5219"/>
      <w:bookmarkStart w:id="37" w:name="_Toc18393"/>
      <w:bookmarkStart w:id="38" w:name="_Toc29474"/>
      <w:bookmarkStart w:id="39" w:name="_Toc29089"/>
      <w:bookmarkStart w:id="40" w:name="_Toc7972"/>
      <w:bookmarkStart w:id="41" w:name="_Toc5749"/>
      <w:bookmarkStart w:id="42" w:name="_Toc27590"/>
      <w:r>
        <w:rPr>
          <w:rFonts w:hint="eastAsia" w:ascii="仿宋_GB2312" w:hAnsi="仿宋_GB2312" w:eastAsia="仿宋_GB2312" w:cs="仿宋_GB2312"/>
          <w:spacing w:val="6"/>
          <w:sz w:val="32"/>
          <w:szCs w:val="32"/>
          <w:lang w:val="en-US" w:eastAsia="zh-CN"/>
        </w:rPr>
        <w:t>（二）</w:t>
      </w:r>
      <w:r>
        <w:rPr>
          <w:rFonts w:hint="eastAsia" w:ascii="楷体_GB2312" w:hAnsi="楷体_GB2312" w:eastAsia="楷体_GB2312" w:cs="楷体_GB2312"/>
          <w:spacing w:val="6"/>
          <w:sz w:val="32"/>
          <w:szCs w:val="32"/>
          <w:lang w:val="en-US" w:eastAsia="zh-CN"/>
        </w:rPr>
        <w:t>资金投入和使用情况</w:t>
      </w:r>
      <w:bookmarkEnd w:id="36"/>
      <w:bookmarkEnd w:id="37"/>
      <w:bookmarkEnd w:id="38"/>
      <w:bookmarkEnd w:id="39"/>
      <w:bookmarkEnd w:id="40"/>
      <w:bookmarkEnd w:id="41"/>
      <w:bookmarkEnd w:id="42"/>
    </w:p>
    <w:p>
      <w:pPr>
        <w:spacing w:afterLines="0" w:line="590" w:lineRule="exact"/>
        <w:ind w:firstLine="66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pacing w:val="6"/>
          <w:sz w:val="32"/>
          <w:szCs w:val="32"/>
        </w:rPr>
        <w:t>1．</w:t>
      </w:r>
      <w:r>
        <w:rPr>
          <w:rFonts w:hint="eastAsia" w:ascii="仿宋_GB2312" w:hAnsi="仿宋_GB2312" w:eastAsia="仿宋_GB2312" w:cs="仿宋_GB2312"/>
          <w:spacing w:val="6"/>
          <w:sz w:val="32"/>
          <w:szCs w:val="32"/>
          <w:highlight w:val="none"/>
          <w:lang w:val="en-US" w:eastAsia="zh-CN"/>
        </w:rPr>
        <w:t>部门预算批复情况</w:t>
      </w:r>
    </w:p>
    <w:p>
      <w:pPr>
        <w:spacing w:afterLines="0"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rPr>
        <w:t>根据贵阳市</w:t>
      </w:r>
      <w:r>
        <w:rPr>
          <w:rFonts w:hint="eastAsia" w:ascii="仿宋_GB2312" w:hAnsi="仿宋_GB2312" w:eastAsia="仿宋_GB2312" w:cs="仿宋_GB2312"/>
          <w:spacing w:val="6"/>
          <w:sz w:val="32"/>
          <w:szCs w:val="32"/>
          <w:lang w:val="en-US" w:eastAsia="zh-CN"/>
        </w:rPr>
        <w:t>云岩</w:t>
      </w:r>
      <w:r>
        <w:rPr>
          <w:rFonts w:hint="eastAsia" w:ascii="仿宋_GB2312" w:hAnsi="仿宋_GB2312" w:eastAsia="仿宋_GB2312" w:cs="仿宋_GB2312"/>
          <w:spacing w:val="6"/>
          <w:sz w:val="32"/>
          <w:szCs w:val="32"/>
        </w:rPr>
        <w:t>区财政局《关于下达202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财政</w:t>
      </w:r>
      <w:r>
        <w:rPr>
          <w:rFonts w:hint="eastAsia" w:ascii="仿宋_GB2312" w:hAnsi="仿宋_GB2312" w:eastAsia="仿宋_GB2312" w:cs="仿宋_GB2312"/>
          <w:spacing w:val="6"/>
          <w:sz w:val="32"/>
          <w:szCs w:val="32"/>
        </w:rPr>
        <w:t>预算指标的通知》（</w:t>
      </w:r>
      <w:r>
        <w:rPr>
          <w:rFonts w:hint="eastAsia" w:ascii="仿宋_GB2312" w:hAnsi="仿宋_GB2312" w:eastAsia="仿宋_GB2312" w:cs="仿宋_GB2312"/>
          <w:spacing w:val="6"/>
          <w:sz w:val="32"/>
          <w:szCs w:val="32"/>
          <w:lang w:val="en-US" w:eastAsia="zh-CN"/>
        </w:rPr>
        <w:t>云</w:t>
      </w:r>
      <w:r>
        <w:rPr>
          <w:rFonts w:hint="eastAsia" w:ascii="仿宋_GB2312" w:hAnsi="仿宋_GB2312" w:eastAsia="仿宋_GB2312" w:cs="仿宋_GB2312"/>
          <w:spacing w:val="6"/>
          <w:sz w:val="32"/>
          <w:szCs w:val="32"/>
        </w:rPr>
        <w:t>财</w:t>
      </w:r>
      <w:r>
        <w:rPr>
          <w:rFonts w:hint="eastAsia" w:ascii="仿宋_GB2312" w:hAnsi="仿宋_GB2312" w:eastAsia="仿宋_GB2312" w:cs="仿宋_GB2312"/>
          <w:spacing w:val="6"/>
          <w:sz w:val="32"/>
          <w:szCs w:val="32"/>
          <w:lang w:val="en-US" w:eastAsia="zh-CN"/>
        </w:rPr>
        <w:t>字</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2021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号），</w:t>
      </w:r>
      <w:r>
        <w:rPr>
          <w:rFonts w:hint="eastAsia" w:ascii="仿宋_GB2312" w:hAnsi="仿宋_GB2312" w:eastAsia="仿宋_GB2312" w:cs="仿宋_GB2312"/>
          <w:spacing w:val="6"/>
          <w:sz w:val="32"/>
          <w:szCs w:val="32"/>
          <w:highlight w:val="none"/>
        </w:rPr>
        <w:t>区民政局</w:t>
      </w:r>
      <w:r>
        <w:rPr>
          <w:rFonts w:hint="eastAsia" w:ascii="仿宋_GB2312" w:hAnsi="仿宋_GB2312" w:eastAsia="仿宋_GB2312" w:cs="仿宋_GB2312"/>
          <w:spacing w:val="6"/>
          <w:sz w:val="32"/>
          <w:szCs w:val="32"/>
          <w:highlight w:val="none"/>
          <w:lang w:val="en-US" w:eastAsia="zh-CN"/>
        </w:rPr>
        <w:t>2021</w:t>
      </w:r>
      <w:r>
        <w:rPr>
          <w:rFonts w:hint="eastAsia" w:ascii="仿宋_GB2312" w:hAnsi="仿宋_GB2312" w:eastAsia="仿宋_GB2312" w:cs="仿宋_GB2312"/>
          <w:spacing w:val="6"/>
          <w:sz w:val="32"/>
          <w:szCs w:val="32"/>
          <w:highlight w:val="none"/>
        </w:rPr>
        <w:t>年部门年初预算</w:t>
      </w:r>
      <w:r>
        <w:rPr>
          <w:rFonts w:hint="eastAsia" w:ascii="仿宋_GB2312" w:hAnsi="仿宋_GB2312" w:eastAsia="仿宋_GB2312" w:cs="仿宋_GB2312"/>
          <w:spacing w:val="6"/>
          <w:sz w:val="32"/>
          <w:szCs w:val="32"/>
          <w:highlight w:val="none"/>
          <w:lang w:val="en-US" w:eastAsia="zh-CN"/>
        </w:rPr>
        <w:t>为</w:t>
      </w:r>
      <w:r>
        <w:rPr>
          <w:rFonts w:hint="eastAsia" w:ascii="仿宋_GB2312" w:hAnsi="仿宋_GB2312" w:eastAsia="仿宋_GB2312" w:cs="仿宋_GB2312"/>
          <w:spacing w:val="6"/>
          <w:sz w:val="32"/>
          <w:szCs w:val="32"/>
          <w:lang w:val="en-US" w:eastAsia="zh-CN"/>
        </w:rPr>
        <w:t>8,689.26</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val="en-US" w:eastAsia="zh-CN"/>
        </w:rPr>
        <w:t>,全部系</w:t>
      </w:r>
      <w:r>
        <w:rPr>
          <w:rFonts w:hint="eastAsia" w:ascii="仿宋_GB2312" w:hAnsi="仿宋_GB2312" w:eastAsia="仿宋_GB2312" w:cs="仿宋_GB2312"/>
          <w:spacing w:val="6"/>
          <w:sz w:val="32"/>
          <w:szCs w:val="32"/>
        </w:rPr>
        <w:t>一般公共预算</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highlight w:val="none"/>
        </w:rPr>
        <w:t>调整预算数为</w:t>
      </w:r>
      <w:r>
        <w:rPr>
          <w:rFonts w:hint="eastAsia" w:ascii="仿宋_GB2312" w:hAnsi="仿宋_GB2312" w:eastAsia="仿宋_GB2312" w:cs="仿宋_GB2312"/>
          <w:spacing w:val="6"/>
          <w:sz w:val="32"/>
          <w:szCs w:val="32"/>
          <w:highlight w:val="none"/>
          <w:lang w:val="en-US" w:eastAsia="zh-CN"/>
        </w:rPr>
        <w:t>13,385.09</w:t>
      </w:r>
      <w:r>
        <w:rPr>
          <w:rFonts w:hint="eastAsia" w:ascii="仿宋_GB2312" w:hAnsi="仿宋_GB2312" w:eastAsia="仿宋_GB2312" w:cs="仿宋_GB2312"/>
          <w:spacing w:val="6"/>
          <w:sz w:val="32"/>
          <w:szCs w:val="32"/>
          <w:highlight w:val="none"/>
        </w:rPr>
        <w:t>万元</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调整后预算数为</w:t>
      </w:r>
      <w:r>
        <w:rPr>
          <w:rFonts w:hint="eastAsia" w:ascii="仿宋_GB2312" w:hAnsi="仿宋_GB2312" w:eastAsia="仿宋_GB2312" w:cs="仿宋_GB2312"/>
          <w:spacing w:val="6"/>
          <w:sz w:val="32"/>
          <w:szCs w:val="32"/>
          <w:lang w:eastAsia="zh-CN"/>
        </w:rPr>
        <w:t>22</w:t>
      </w:r>
      <w:r>
        <w:rPr>
          <w:rFonts w:hint="eastAsia" w:ascii="仿宋_GB2312" w:hAnsi="仿宋_GB2312" w:eastAsia="仿宋_GB2312" w:cs="仿宋_GB2312"/>
          <w:spacing w:val="6"/>
          <w:sz w:val="32"/>
          <w:szCs w:val="32"/>
          <w:lang w:val="en-US" w:eastAsia="zh-CN"/>
        </w:rPr>
        <w:t>,</w:t>
      </w:r>
      <w:r>
        <w:rPr>
          <w:rFonts w:hint="eastAsia" w:ascii="仿宋_GB2312" w:hAnsi="仿宋_GB2312" w:eastAsia="仿宋_GB2312" w:cs="仿宋_GB2312"/>
          <w:spacing w:val="6"/>
          <w:sz w:val="32"/>
          <w:szCs w:val="32"/>
          <w:lang w:eastAsia="zh-CN"/>
        </w:rPr>
        <w:t>074.35万元。</w:t>
      </w:r>
      <w:r>
        <w:rPr>
          <w:rFonts w:hint="eastAsia" w:ascii="仿宋_GB2312" w:hAnsi="仿宋_GB2312" w:eastAsia="仿宋_GB2312" w:cs="仿宋_GB2312"/>
          <w:spacing w:val="6"/>
          <w:sz w:val="32"/>
          <w:szCs w:val="32"/>
        </w:rPr>
        <w:t>具体情况详见下表</w:t>
      </w:r>
      <w:r>
        <w:rPr>
          <w:rFonts w:hint="eastAsia" w:ascii="仿宋_GB2312" w:hAnsi="仿宋_GB2312" w:eastAsia="仿宋_GB2312" w:cs="仿宋_GB2312"/>
          <w:spacing w:val="6"/>
          <w:sz w:val="32"/>
          <w:szCs w:val="32"/>
          <w:lang w:val="en-US" w:eastAsia="zh-CN"/>
        </w:rPr>
        <w:t>：</w:t>
      </w:r>
    </w:p>
    <w:p>
      <w:pPr>
        <w:widowControl w:val="0"/>
        <w:spacing w:line="590" w:lineRule="exact"/>
        <w:ind w:firstLine="504" w:firstLineChars="200"/>
        <w:jc w:val="right"/>
        <w:rPr>
          <w:rFonts w:hint="eastAsia" w:ascii="Times New Roman" w:hAnsi="Times New Roman" w:eastAsia="仿宋_GB2312" w:cs="Times New Roman"/>
          <w:spacing w:val="6"/>
          <w:sz w:val="24"/>
          <w:szCs w:val="24"/>
          <w:highlight w:val="none"/>
        </w:rPr>
      </w:pPr>
      <w:r>
        <w:rPr>
          <w:rFonts w:hint="eastAsia" w:ascii="Times New Roman" w:hAnsi="Times New Roman" w:eastAsia="仿宋_GB2312" w:cs="Times New Roman"/>
          <w:spacing w:val="6"/>
          <w:sz w:val="24"/>
          <w:szCs w:val="24"/>
          <w:highlight w:val="none"/>
        </w:rPr>
        <w:t>单位：万元</w:t>
      </w:r>
    </w:p>
    <w:tbl>
      <w:tblPr>
        <w:tblStyle w:val="18"/>
        <w:tblW w:w="4996" w:type="pct"/>
        <w:jc w:val="center"/>
        <w:tblLayout w:type="autofit"/>
        <w:tblCellMar>
          <w:top w:w="0" w:type="dxa"/>
          <w:left w:w="108" w:type="dxa"/>
          <w:bottom w:w="0" w:type="dxa"/>
          <w:right w:w="108" w:type="dxa"/>
        </w:tblCellMar>
      </w:tblPr>
      <w:tblGrid>
        <w:gridCol w:w="706"/>
        <w:gridCol w:w="1848"/>
        <w:gridCol w:w="1720"/>
        <w:gridCol w:w="1720"/>
        <w:gridCol w:w="1720"/>
        <w:gridCol w:w="1453"/>
      </w:tblGrid>
      <w:tr>
        <w:tblPrEx>
          <w:tblCellMar>
            <w:top w:w="0" w:type="dxa"/>
            <w:left w:w="108" w:type="dxa"/>
            <w:bottom w:w="0" w:type="dxa"/>
            <w:right w:w="108" w:type="dxa"/>
          </w:tblCellMar>
        </w:tblPrEx>
        <w:trPr>
          <w:trHeight w:val="425" w:hRule="exact"/>
          <w:jc w:val="center"/>
        </w:trPr>
        <w:tc>
          <w:tcPr>
            <w:tcW w:w="385"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序号</w:t>
            </w:r>
          </w:p>
        </w:tc>
        <w:tc>
          <w:tcPr>
            <w:tcW w:w="1007"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名称</w:t>
            </w:r>
          </w:p>
        </w:tc>
        <w:tc>
          <w:tcPr>
            <w:tcW w:w="9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年初预算</w:t>
            </w:r>
          </w:p>
        </w:tc>
        <w:tc>
          <w:tcPr>
            <w:tcW w:w="93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预算调整</w:t>
            </w:r>
          </w:p>
        </w:tc>
        <w:tc>
          <w:tcPr>
            <w:tcW w:w="173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调整后预算</w:t>
            </w:r>
          </w:p>
        </w:tc>
      </w:tr>
      <w:tr>
        <w:tblPrEx>
          <w:tblCellMar>
            <w:top w:w="0" w:type="dxa"/>
            <w:left w:w="108" w:type="dxa"/>
            <w:bottom w:w="0" w:type="dxa"/>
            <w:right w:w="108" w:type="dxa"/>
          </w:tblCellMar>
        </w:tblPrEx>
        <w:trPr>
          <w:trHeight w:val="425" w:hRule="exact"/>
          <w:jc w:val="center"/>
        </w:trPr>
        <w:tc>
          <w:tcPr>
            <w:tcW w:w="385"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bCs/>
                <w:i w:val="0"/>
                <w:iCs w:val="0"/>
                <w:color w:val="auto"/>
                <w:sz w:val="24"/>
                <w:szCs w:val="24"/>
                <w:u w:val="none"/>
              </w:rPr>
            </w:pPr>
          </w:p>
        </w:tc>
        <w:tc>
          <w:tcPr>
            <w:tcW w:w="1007" w:type="pct"/>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bCs/>
                <w:i w:val="0"/>
                <w:iCs w:val="0"/>
                <w:color w:val="auto"/>
                <w:sz w:val="24"/>
                <w:szCs w:val="24"/>
                <w:u w:val="none"/>
              </w:rPr>
            </w:pPr>
          </w:p>
        </w:tc>
        <w:tc>
          <w:tcPr>
            <w:tcW w:w="9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b/>
                <w:bCs/>
                <w:i w:val="0"/>
                <w:iCs w:val="0"/>
                <w:color w:val="auto"/>
                <w:sz w:val="24"/>
                <w:szCs w:val="24"/>
                <w:u w:val="none"/>
              </w:rPr>
            </w:pPr>
          </w:p>
        </w:tc>
        <w:tc>
          <w:tcPr>
            <w:tcW w:w="93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b/>
                <w:bCs/>
                <w:i w:val="0"/>
                <w:iCs w:val="0"/>
                <w:color w:val="auto"/>
                <w:sz w:val="24"/>
                <w:szCs w:val="24"/>
                <w:u w:val="none"/>
              </w:rPr>
            </w:pPr>
          </w:p>
        </w:tc>
        <w:tc>
          <w:tcPr>
            <w:tcW w:w="93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金额</w:t>
            </w:r>
          </w:p>
        </w:tc>
        <w:tc>
          <w:tcPr>
            <w:tcW w:w="7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占比</w:t>
            </w:r>
          </w:p>
        </w:tc>
      </w:tr>
      <w:tr>
        <w:tblPrEx>
          <w:tblCellMar>
            <w:top w:w="0" w:type="dxa"/>
            <w:left w:w="108" w:type="dxa"/>
            <w:bottom w:w="0" w:type="dxa"/>
            <w:right w:w="108" w:type="dxa"/>
          </w:tblCellMar>
        </w:tblPrEx>
        <w:trPr>
          <w:trHeight w:val="425" w:hRule="exact"/>
          <w:jc w:val="center"/>
        </w:trPr>
        <w:tc>
          <w:tcPr>
            <w:tcW w:w="38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100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4"/>
                <w:szCs w:val="24"/>
                <w:u w:val="none"/>
              </w:rPr>
            </w:pPr>
            <w:r>
              <w:rPr>
                <w:rStyle w:val="35"/>
                <w:rFonts w:hint="eastAsia" w:ascii="仿宋_GB2312" w:hAnsi="仿宋_GB2312" w:eastAsia="仿宋_GB2312" w:cs="仿宋_GB2312"/>
                <w:b w:val="0"/>
                <w:color w:val="auto"/>
                <w:sz w:val="24"/>
                <w:szCs w:val="24"/>
                <w:lang w:val="en-US" w:eastAsia="zh-CN" w:bidi="ar"/>
              </w:rPr>
              <w:t>基本支出</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422.72</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4.70 </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427.42 </w:t>
            </w:r>
          </w:p>
        </w:tc>
        <w:tc>
          <w:tcPr>
            <w:tcW w:w="79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1.94%</w:t>
            </w:r>
          </w:p>
        </w:tc>
      </w:tr>
      <w:tr>
        <w:tblPrEx>
          <w:tblCellMar>
            <w:top w:w="0" w:type="dxa"/>
            <w:left w:w="108" w:type="dxa"/>
            <w:bottom w:w="0" w:type="dxa"/>
            <w:right w:w="108" w:type="dxa"/>
          </w:tblCellMar>
        </w:tblPrEx>
        <w:trPr>
          <w:trHeight w:val="425" w:hRule="exact"/>
          <w:jc w:val="center"/>
        </w:trPr>
        <w:tc>
          <w:tcPr>
            <w:tcW w:w="38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1.1</w:t>
            </w:r>
          </w:p>
        </w:tc>
        <w:tc>
          <w:tcPr>
            <w:tcW w:w="100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4"/>
                <w:szCs w:val="24"/>
                <w:u w:val="none"/>
              </w:rPr>
            </w:pPr>
            <w:r>
              <w:rPr>
                <w:rStyle w:val="35"/>
                <w:rFonts w:hint="eastAsia" w:ascii="仿宋_GB2312" w:hAnsi="仿宋_GB2312" w:eastAsia="仿宋_GB2312" w:cs="仿宋_GB2312"/>
                <w:b w:val="0"/>
                <w:color w:val="auto"/>
                <w:sz w:val="24"/>
                <w:szCs w:val="24"/>
                <w:lang w:val="en-US" w:eastAsia="zh-CN" w:bidi="ar"/>
              </w:rPr>
              <w:t>人员经费</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393.69</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4.82 </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398.51 </w:t>
            </w:r>
          </w:p>
        </w:tc>
        <w:tc>
          <w:tcPr>
            <w:tcW w:w="79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1.81%</w:t>
            </w:r>
          </w:p>
        </w:tc>
      </w:tr>
      <w:tr>
        <w:tblPrEx>
          <w:tblCellMar>
            <w:top w:w="0" w:type="dxa"/>
            <w:left w:w="108" w:type="dxa"/>
            <w:bottom w:w="0" w:type="dxa"/>
            <w:right w:w="108" w:type="dxa"/>
          </w:tblCellMar>
        </w:tblPrEx>
        <w:trPr>
          <w:trHeight w:val="425" w:hRule="exact"/>
          <w:jc w:val="center"/>
        </w:trPr>
        <w:tc>
          <w:tcPr>
            <w:tcW w:w="38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00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4"/>
                <w:szCs w:val="24"/>
                <w:u w:val="none"/>
              </w:rPr>
            </w:pPr>
            <w:r>
              <w:rPr>
                <w:rStyle w:val="35"/>
                <w:rFonts w:hint="eastAsia" w:ascii="仿宋_GB2312" w:hAnsi="仿宋_GB2312" w:eastAsia="仿宋_GB2312" w:cs="仿宋_GB2312"/>
                <w:b w:val="0"/>
                <w:color w:val="auto"/>
                <w:sz w:val="24"/>
                <w:szCs w:val="24"/>
                <w:lang w:val="en-US" w:eastAsia="zh-CN" w:bidi="ar"/>
              </w:rPr>
              <w:t>日常公用经费</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29.03</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-0.13 </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28.90 </w:t>
            </w:r>
          </w:p>
        </w:tc>
        <w:tc>
          <w:tcPr>
            <w:tcW w:w="79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0.13%</w:t>
            </w:r>
          </w:p>
        </w:tc>
      </w:tr>
      <w:tr>
        <w:tblPrEx>
          <w:tblCellMar>
            <w:top w:w="0" w:type="dxa"/>
            <w:left w:w="108" w:type="dxa"/>
            <w:bottom w:w="0" w:type="dxa"/>
            <w:right w:w="108" w:type="dxa"/>
          </w:tblCellMar>
        </w:tblPrEx>
        <w:trPr>
          <w:trHeight w:val="425" w:hRule="exact"/>
          <w:jc w:val="center"/>
        </w:trPr>
        <w:tc>
          <w:tcPr>
            <w:tcW w:w="38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00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24"/>
                <w:szCs w:val="24"/>
                <w:u w:val="none"/>
              </w:rPr>
            </w:pPr>
            <w:r>
              <w:rPr>
                <w:rStyle w:val="35"/>
                <w:rFonts w:hint="eastAsia" w:ascii="仿宋_GB2312" w:hAnsi="仿宋_GB2312" w:eastAsia="仿宋_GB2312" w:cs="仿宋_GB2312"/>
                <w:b w:val="0"/>
                <w:color w:val="auto"/>
                <w:sz w:val="24"/>
                <w:szCs w:val="24"/>
                <w:lang w:val="en-US" w:eastAsia="zh-CN" w:bidi="ar"/>
              </w:rPr>
              <w:t>项目支出</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8,266.54</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13,380.39 </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 xml:space="preserve">21,646.93 </w:t>
            </w:r>
          </w:p>
        </w:tc>
        <w:tc>
          <w:tcPr>
            <w:tcW w:w="79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98.06%</w:t>
            </w:r>
          </w:p>
        </w:tc>
      </w:tr>
      <w:tr>
        <w:tblPrEx>
          <w:tblCellMar>
            <w:top w:w="0" w:type="dxa"/>
            <w:left w:w="108" w:type="dxa"/>
            <w:bottom w:w="0" w:type="dxa"/>
            <w:right w:w="108" w:type="dxa"/>
          </w:tblCellMar>
        </w:tblPrEx>
        <w:trPr>
          <w:trHeight w:val="425" w:hRule="exact"/>
          <w:jc w:val="center"/>
        </w:trPr>
        <w:tc>
          <w:tcPr>
            <w:tcW w:w="13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4"/>
                <w:szCs w:val="24"/>
                <w:u w:val="none"/>
              </w:rPr>
            </w:pPr>
            <w:r>
              <w:rPr>
                <w:rStyle w:val="35"/>
                <w:rFonts w:hint="eastAsia" w:ascii="仿宋_GB2312" w:hAnsi="仿宋_GB2312" w:eastAsia="仿宋_GB2312" w:cs="仿宋_GB2312"/>
                <w:b/>
                <w:bCs/>
                <w:color w:val="auto"/>
                <w:sz w:val="24"/>
                <w:szCs w:val="24"/>
                <w:lang w:val="en-US" w:eastAsia="zh-CN" w:bidi="ar"/>
              </w:rPr>
              <w:t>合</w:t>
            </w:r>
            <w:r>
              <w:rPr>
                <w:rFonts w:hint="eastAsia" w:ascii="仿宋_GB2312" w:hAnsi="仿宋_GB2312" w:eastAsia="仿宋_GB2312" w:cs="仿宋_GB2312"/>
                <w:b/>
                <w:bCs/>
                <w:i w:val="0"/>
                <w:iCs w:val="0"/>
                <w:color w:val="auto"/>
                <w:kern w:val="0"/>
                <w:sz w:val="24"/>
                <w:szCs w:val="24"/>
                <w:u w:val="none"/>
                <w:lang w:val="en-US" w:eastAsia="zh-CN" w:bidi="ar"/>
              </w:rPr>
              <w:t xml:space="preserve"> </w:t>
            </w:r>
            <w:r>
              <w:rPr>
                <w:rStyle w:val="35"/>
                <w:rFonts w:hint="eastAsia" w:ascii="仿宋_GB2312" w:hAnsi="仿宋_GB2312" w:eastAsia="仿宋_GB2312" w:cs="仿宋_GB2312"/>
                <w:b/>
                <w:bCs/>
                <w:color w:val="auto"/>
                <w:sz w:val="24"/>
                <w:szCs w:val="24"/>
                <w:lang w:val="en-US" w:eastAsia="zh-CN" w:bidi="ar"/>
              </w:rPr>
              <w:t>计</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auto"/>
                <w:kern w:val="2"/>
                <w:sz w:val="24"/>
                <w:szCs w:val="24"/>
                <w:u w:val="none"/>
                <w:lang w:val="en-US" w:eastAsia="zh-CN" w:bidi="ar-SA"/>
              </w:rPr>
            </w:pPr>
            <w:r>
              <w:rPr>
                <w:rFonts w:hint="eastAsia" w:ascii="仿宋_GB2312" w:hAnsi="仿宋_GB2312" w:eastAsia="仿宋_GB2312" w:cs="仿宋_GB2312"/>
                <w:b/>
                <w:bCs/>
                <w:i w:val="0"/>
                <w:iCs w:val="0"/>
                <w:color w:val="auto"/>
                <w:kern w:val="0"/>
                <w:sz w:val="24"/>
                <w:szCs w:val="24"/>
                <w:u w:val="none"/>
                <w:lang w:val="en-US" w:eastAsia="zh-CN" w:bidi="ar"/>
              </w:rPr>
              <w:t>8,689.26</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b/>
                <w:bCs/>
                <w:i w:val="0"/>
                <w:iCs w:val="0"/>
                <w:color w:val="auto"/>
                <w:kern w:val="2"/>
                <w:sz w:val="24"/>
                <w:szCs w:val="24"/>
                <w:u w:val="none"/>
                <w:lang w:val="en-US" w:eastAsia="zh-CN" w:bidi="ar-SA"/>
              </w:rPr>
            </w:pPr>
            <w:r>
              <w:rPr>
                <w:rFonts w:hint="eastAsia" w:ascii="仿宋_GB2312" w:hAnsi="仿宋_GB2312" w:eastAsia="仿宋_GB2312" w:cs="仿宋_GB2312"/>
                <w:b/>
                <w:bCs/>
                <w:i w:val="0"/>
                <w:iCs w:val="0"/>
                <w:color w:val="auto"/>
                <w:kern w:val="0"/>
                <w:sz w:val="24"/>
                <w:szCs w:val="24"/>
                <w:u w:val="none"/>
                <w:lang w:val="en-US" w:eastAsia="zh-CN" w:bidi="ar"/>
              </w:rPr>
              <w:t>13,385.09</w:t>
            </w:r>
          </w:p>
        </w:tc>
        <w:tc>
          <w:tcPr>
            <w:tcW w:w="93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bottom"/>
              <w:rPr>
                <w:rFonts w:hint="eastAsia" w:ascii="仿宋_GB2312" w:hAnsi="仿宋_GB2312" w:eastAsia="仿宋_GB2312" w:cs="仿宋_GB2312"/>
                <w:b/>
                <w:bCs/>
                <w:i w:val="0"/>
                <w:iCs w:val="0"/>
                <w:color w:val="auto"/>
                <w:kern w:val="2"/>
                <w:sz w:val="24"/>
                <w:szCs w:val="24"/>
                <w:u w:val="none"/>
                <w:lang w:val="en-US" w:eastAsia="zh-CN" w:bidi="ar-SA"/>
              </w:rPr>
            </w:pPr>
            <w:r>
              <w:rPr>
                <w:rFonts w:hint="eastAsia" w:ascii="仿宋_GB2312" w:hAnsi="仿宋_GB2312" w:eastAsia="仿宋_GB2312" w:cs="仿宋_GB2312"/>
                <w:b/>
                <w:bCs/>
                <w:i w:val="0"/>
                <w:iCs w:val="0"/>
                <w:color w:val="auto"/>
                <w:kern w:val="0"/>
                <w:sz w:val="24"/>
                <w:szCs w:val="24"/>
                <w:u w:val="none"/>
                <w:lang w:val="en-US" w:eastAsia="zh-CN" w:bidi="ar"/>
              </w:rPr>
              <w:t>22,074.35</w:t>
            </w:r>
          </w:p>
        </w:tc>
        <w:tc>
          <w:tcPr>
            <w:tcW w:w="79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auto"/>
                <w:sz w:val="24"/>
                <w:szCs w:val="24"/>
                <w:u w:val="none"/>
              </w:rPr>
            </w:pPr>
            <w:r>
              <w:rPr>
                <w:rFonts w:hint="eastAsia" w:ascii="仿宋_GB2312" w:hAnsi="仿宋_GB2312" w:eastAsia="仿宋_GB2312" w:cs="仿宋_GB2312"/>
                <w:b/>
                <w:bCs/>
                <w:i w:val="0"/>
                <w:iCs w:val="0"/>
                <w:color w:val="auto"/>
                <w:kern w:val="0"/>
                <w:sz w:val="24"/>
                <w:szCs w:val="24"/>
                <w:u w:val="none"/>
                <w:lang w:val="en-US" w:eastAsia="zh-CN" w:bidi="ar"/>
              </w:rPr>
              <w:t>100.00%</w:t>
            </w:r>
          </w:p>
        </w:tc>
      </w:tr>
    </w:tbl>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rPr>
        <w:t>．部门收入及支出预决算</w:t>
      </w:r>
    </w:p>
    <w:p>
      <w:pPr>
        <w:ind w:firstLine="584"/>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rPr>
        <w:t>根据</w:t>
      </w:r>
      <w:r>
        <w:rPr>
          <w:rFonts w:hint="eastAsia" w:ascii="仿宋_GB2312" w:hAnsi="仿宋_GB2312" w:eastAsia="仿宋_GB2312" w:cs="仿宋_GB2312"/>
          <w:spacing w:val="6"/>
          <w:sz w:val="32"/>
          <w:szCs w:val="32"/>
          <w:lang w:val="en-US" w:eastAsia="zh-CN"/>
        </w:rPr>
        <w:t>区民政局2021</w:t>
      </w:r>
      <w:r>
        <w:rPr>
          <w:rFonts w:hint="eastAsia" w:ascii="仿宋_GB2312" w:hAnsi="仿宋_GB2312" w:eastAsia="仿宋_GB2312" w:cs="仿宋_GB2312"/>
          <w:spacing w:val="6"/>
          <w:sz w:val="32"/>
          <w:szCs w:val="32"/>
        </w:rPr>
        <w:t>年度决算报表，</w:t>
      </w:r>
      <w:bookmarkStart w:id="43" w:name="_Toc2534"/>
      <w:bookmarkStart w:id="44" w:name="_Toc19624"/>
      <w:bookmarkStart w:id="45" w:name="_Toc20300"/>
      <w:bookmarkStart w:id="46" w:name="_Toc6008"/>
      <w:bookmarkStart w:id="47" w:name="_Toc2675"/>
      <w:r>
        <w:rPr>
          <w:rFonts w:hint="eastAsia" w:ascii="仿宋_GB2312" w:hAnsi="仿宋_GB2312" w:eastAsia="仿宋_GB2312" w:cs="仿宋_GB2312"/>
          <w:spacing w:val="6"/>
          <w:sz w:val="32"/>
          <w:szCs w:val="32"/>
          <w:lang w:val="en-US" w:eastAsia="zh-CN"/>
        </w:rPr>
        <w:t>区民政局2021</w:t>
      </w:r>
      <w:r>
        <w:rPr>
          <w:rFonts w:hint="eastAsia" w:ascii="仿宋_GB2312" w:hAnsi="仿宋_GB2312" w:eastAsia="仿宋_GB2312" w:cs="仿宋_GB2312"/>
          <w:spacing w:val="6"/>
          <w:sz w:val="32"/>
          <w:szCs w:val="32"/>
        </w:rPr>
        <w:t>年</w:t>
      </w:r>
      <w:r>
        <w:rPr>
          <w:rFonts w:hint="eastAsia" w:ascii="仿宋_GB2312" w:hAnsi="Times New Roman" w:eastAsia="仿宋_GB2312" w:cs="Times New Roman"/>
          <w:spacing w:val="6"/>
          <w:sz w:val="32"/>
          <w:szCs w:val="32"/>
        </w:rPr>
        <w:t>年初结转和结余合计</w:t>
      </w:r>
      <w:r>
        <w:rPr>
          <w:rFonts w:hint="eastAsia" w:ascii="仿宋_GB2312" w:hAnsi="Times New Roman" w:eastAsia="仿宋_GB2312" w:cs="Times New Roman"/>
          <w:spacing w:val="6"/>
          <w:sz w:val="32"/>
          <w:szCs w:val="32"/>
          <w:lang w:val="en-US" w:eastAsia="zh-CN"/>
        </w:rPr>
        <w:t>702.71</w:t>
      </w:r>
      <w:r>
        <w:rPr>
          <w:rFonts w:hint="eastAsia" w:ascii="仿宋_GB2312" w:hAnsi="Times New Roman" w:eastAsia="仿宋_GB2312" w:cs="Times New Roman"/>
          <w:spacing w:val="6"/>
          <w:sz w:val="32"/>
          <w:szCs w:val="32"/>
        </w:rPr>
        <w:t>万元，本年收入合计21</w:t>
      </w:r>
      <w:r>
        <w:rPr>
          <w:rFonts w:hint="eastAsia" w:ascii="仿宋_GB2312" w:hAnsi="Times New Roman" w:eastAsia="仿宋_GB2312" w:cs="Times New Roman"/>
          <w:spacing w:val="6"/>
          <w:sz w:val="32"/>
          <w:szCs w:val="32"/>
          <w:lang w:val="en-US" w:eastAsia="zh-CN"/>
        </w:rPr>
        <w:t>,</w:t>
      </w:r>
      <w:r>
        <w:rPr>
          <w:rFonts w:hint="eastAsia" w:ascii="仿宋_GB2312" w:hAnsi="Times New Roman" w:eastAsia="仿宋_GB2312" w:cs="Times New Roman"/>
          <w:spacing w:val="6"/>
          <w:sz w:val="32"/>
          <w:szCs w:val="32"/>
        </w:rPr>
        <w:t>371.64万元</w:t>
      </w:r>
      <w:r>
        <w:rPr>
          <w:rFonts w:hint="eastAsia" w:ascii="仿宋_GB2312" w:hAnsi="Times New Roman" w:eastAsia="仿宋_GB2312" w:cs="Times New Roman"/>
          <w:spacing w:val="6"/>
          <w:sz w:val="32"/>
          <w:szCs w:val="32"/>
          <w:lang w:eastAsia="zh-CN"/>
        </w:rPr>
        <w:t>，</w:t>
      </w:r>
      <w:r>
        <w:rPr>
          <w:rFonts w:hint="eastAsia" w:ascii="仿宋_GB2312" w:hAnsi="Times New Roman" w:eastAsia="仿宋_GB2312" w:cs="Times New Roman"/>
          <w:spacing w:val="6"/>
          <w:sz w:val="32"/>
          <w:szCs w:val="32"/>
        </w:rPr>
        <w:t>本年支出合计22002.87</w:t>
      </w:r>
      <w:r>
        <w:rPr>
          <w:rFonts w:hint="eastAsia" w:ascii="仿宋_GB2312" w:hAnsi="Times New Roman" w:eastAsia="仿宋_GB2312" w:cs="Times New Roman"/>
          <w:spacing w:val="6"/>
          <w:sz w:val="32"/>
          <w:szCs w:val="32"/>
          <w:lang w:val="en-US" w:eastAsia="zh-CN"/>
        </w:rPr>
        <w:t>万元，</w:t>
      </w:r>
      <w:r>
        <w:rPr>
          <w:rFonts w:hint="eastAsia" w:ascii="仿宋_GB2312" w:hAnsi="Times New Roman" w:eastAsia="仿宋_GB2312" w:cs="Times New Roman"/>
          <w:spacing w:val="6"/>
          <w:sz w:val="32"/>
          <w:szCs w:val="32"/>
        </w:rPr>
        <w:t>年末结转和结余合计71.48</w:t>
      </w:r>
      <w:r>
        <w:rPr>
          <w:rFonts w:hint="eastAsia" w:ascii="仿宋_GB2312" w:hAnsi="Times New Roman" w:eastAsia="仿宋_GB2312" w:cs="Times New Roman"/>
          <w:spacing w:val="6"/>
          <w:sz w:val="32"/>
          <w:szCs w:val="32"/>
          <w:lang w:val="en-US" w:eastAsia="zh-CN"/>
        </w:rPr>
        <w:t>万元。</w:t>
      </w:r>
      <w:r>
        <w:rPr>
          <w:rFonts w:hint="eastAsia" w:ascii="仿宋_GB2312" w:hAnsi="仿宋_GB2312" w:eastAsia="仿宋_GB2312" w:cs="仿宋_GB2312"/>
          <w:spacing w:val="6"/>
          <w:sz w:val="32"/>
          <w:szCs w:val="32"/>
          <w:lang w:val="en-US" w:eastAsia="zh-CN"/>
        </w:rPr>
        <w:t>2021</w:t>
      </w:r>
      <w:r>
        <w:rPr>
          <w:rFonts w:hint="eastAsia" w:ascii="仿宋_GB2312" w:hAnsi="仿宋_GB2312" w:eastAsia="仿宋_GB2312" w:cs="仿宋_GB2312"/>
          <w:spacing w:val="6"/>
          <w:sz w:val="32"/>
          <w:szCs w:val="32"/>
        </w:rPr>
        <w:t>年收入支出决算明细详见</w:t>
      </w:r>
      <w:r>
        <w:rPr>
          <w:rFonts w:hint="eastAsia" w:ascii="仿宋_GB2312" w:hAnsi="仿宋_GB2312" w:eastAsia="仿宋_GB2312" w:cs="仿宋_GB2312"/>
          <w:spacing w:val="6"/>
          <w:sz w:val="32"/>
          <w:szCs w:val="32"/>
          <w:lang w:val="en-US" w:eastAsia="zh-CN"/>
        </w:rPr>
        <w:t>下</w:t>
      </w:r>
      <w:r>
        <w:rPr>
          <w:rFonts w:hint="eastAsia" w:ascii="仿宋_GB2312" w:hAnsi="仿宋_GB2312" w:eastAsia="仿宋_GB2312" w:cs="仿宋_GB2312"/>
          <w:spacing w:val="6"/>
          <w:sz w:val="32"/>
          <w:szCs w:val="32"/>
        </w:rPr>
        <w:t>表</w:t>
      </w:r>
      <w:bookmarkStart w:id="48" w:name="_Toc29606"/>
      <w:r>
        <w:rPr>
          <w:rFonts w:hint="eastAsia" w:ascii="仿宋_GB2312" w:hAnsi="仿宋_GB2312" w:eastAsia="仿宋_GB2312" w:cs="仿宋_GB2312"/>
          <w:spacing w:val="6"/>
          <w:sz w:val="32"/>
          <w:szCs w:val="32"/>
          <w:lang w:eastAsia="zh-CN"/>
        </w:rPr>
        <w:t>。</w:t>
      </w:r>
    </w:p>
    <w:bookmarkEnd w:id="48"/>
    <w:p>
      <w:pPr>
        <w:pStyle w:val="50"/>
        <w:keepNext w:val="0"/>
        <w:keepLines w:val="0"/>
        <w:pageBreakBefore w:val="0"/>
        <w:widowControl w:val="0"/>
        <w:kinsoku/>
        <w:wordWrap/>
        <w:overflowPunct/>
        <w:topLinePunct w:val="0"/>
        <w:autoSpaceDE/>
        <w:autoSpaceDN/>
        <w:bidi w:val="0"/>
        <w:adjustRightInd/>
        <w:snapToGrid/>
        <w:spacing w:before="60" w:after="120"/>
        <w:jc w:val="right"/>
        <w:textAlignment w:val="auto"/>
        <w:rPr>
          <w:rFonts w:hint="eastAsia" w:ascii="仿宋_GB2312" w:hAnsi="仿宋_GB2312" w:eastAsia="仿宋_GB2312" w:cs="仿宋_GB2312"/>
        </w:rPr>
      </w:pPr>
      <w:r>
        <w:rPr>
          <w:rStyle w:val="22"/>
          <w:rFonts w:hint="eastAsia" w:ascii="仿宋_GB2312" w:hAnsi="仿宋_GB2312" w:eastAsia="仿宋_GB2312" w:cs="仿宋_GB2312"/>
          <w:kern w:val="0"/>
          <w:szCs w:val="28"/>
          <w:lang w:val="en-US" w:eastAsia="zh-CN" w:bidi="ar-SA"/>
        </w:rPr>
        <w:t>单位：万元</w:t>
      </w:r>
    </w:p>
    <w:tbl>
      <w:tblPr>
        <w:tblStyle w:val="5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12"/>
        <w:gridCol w:w="1359"/>
        <w:gridCol w:w="2654"/>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2711" w:type="pct"/>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收入</w:t>
            </w:r>
          </w:p>
        </w:tc>
        <w:tc>
          <w:tcPr>
            <w:tcW w:w="2288" w:type="pct"/>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本年收入合计</w:t>
            </w:r>
          </w:p>
        </w:tc>
        <w:tc>
          <w:tcPr>
            <w:tcW w:w="7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b/>
                <w:spacing w:val="0"/>
                <w:kern w:val="30"/>
                <w:sz w:val="24"/>
                <w:szCs w:val="24"/>
                <w:lang w:val="en-US" w:eastAsia="zh-CN"/>
              </w:rPr>
            </w:pPr>
            <w:r>
              <w:rPr>
                <w:rFonts w:hint="eastAsia" w:ascii="仿宋_GB2312" w:hAnsi="仿宋_GB2312" w:eastAsia="仿宋_GB2312" w:cs="仿宋_GB2312"/>
                <w:b/>
                <w:spacing w:val="0"/>
                <w:kern w:val="30"/>
                <w:sz w:val="24"/>
                <w:szCs w:val="24"/>
                <w:lang w:val="en-US" w:eastAsia="zh-CN"/>
              </w:rPr>
              <w:t>21,371.64</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本年支出合计</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（按支出性质）</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b/>
                <w:spacing w:val="0"/>
                <w:kern w:val="30"/>
                <w:sz w:val="24"/>
                <w:szCs w:val="24"/>
                <w:lang w:val="en-US" w:eastAsia="zh-CN"/>
              </w:rPr>
            </w:pPr>
            <w:r>
              <w:rPr>
                <w:rFonts w:hint="eastAsia" w:ascii="仿宋_GB2312" w:hAnsi="仿宋_GB2312" w:eastAsia="仿宋_GB2312" w:cs="仿宋_GB2312"/>
                <w:b/>
                <w:spacing w:val="0"/>
                <w:kern w:val="30"/>
                <w:sz w:val="24"/>
                <w:szCs w:val="24"/>
                <w:lang w:val="en-US" w:eastAsia="zh-CN"/>
              </w:rPr>
              <w:t>22,002.87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一般公共预算拨款收入</w:t>
            </w:r>
          </w:p>
        </w:tc>
        <w:tc>
          <w:tcPr>
            <w:tcW w:w="741" w:type="pct"/>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21,336.64</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基本支出</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spacing w:val="0"/>
                <w:kern w:val="30"/>
                <w:sz w:val="24"/>
                <w:szCs w:val="24"/>
                <w:lang w:val="en-US" w:eastAsia="zh-CN"/>
              </w:rPr>
            </w:pPr>
            <w:r>
              <w:rPr>
                <w:rFonts w:hint="eastAsia" w:ascii="仿宋_GB2312" w:hAnsi="仿宋_GB2312" w:eastAsia="仿宋_GB2312" w:cs="仿宋_GB2312"/>
                <w:spacing w:val="0"/>
                <w:kern w:val="30"/>
                <w:sz w:val="24"/>
                <w:szCs w:val="24"/>
                <w:lang w:val="en-US" w:eastAsia="zh-CN"/>
              </w:rPr>
              <w:t>427.42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政府性基金预算财政拨款收入</w:t>
            </w:r>
          </w:p>
        </w:tc>
        <w:tc>
          <w:tcPr>
            <w:tcW w:w="741" w:type="pct"/>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2.75</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 xml:space="preserve">  人员经费</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spacing w:val="0"/>
                <w:kern w:val="30"/>
                <w:sz w:val="24"/>
                <w:szCs w:val="24"/>
                <w:lang w:val="en-US" w:eastAsia="zh-CN"/>
              </w:rPr>
            </w:pPr>
            <w:r>
              <w:rPr>
                <w:rFonts w:hint="eastAsia" w:ascii="仿宋_GB2312" w:hAnsi="仿宋_GB2312" w:eastAsia="仿宋_GB2312" w:cs="仿宋_GB2312"/>
                <w:spacing w:val="0"/>
                <w:kern w:val="30"/>
                <w:sz w:val="24"/>
                <w:szCs w:val="24"/>
                <w:lang w:val="en-US" w:eastAsia="zh-CN"/>
              </w:rPr>
              <w:t>398.51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其他收入</w:t>
            </w:r>
          </w:p>
        </w:tc>
        <w:tc>
          <w:tcPr>
            <w:tcW w:w="741" w:type="pct"/>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32.25</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 xml:space="preserve">  公用经费</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spacing w:val="0"/>
                <w:kern w:val="30"/>
                <w:sz w:val="24"/>
                <w:szCs w:val="24"/>
                <w:lang w:val="en-US" w:eastAsia="zh-CN"/>
              </w:rPr>
            </w:pPr>
            <w:r>
              <w:rPr>
                <w:rFonts w:hint="eastAsia" w:ascii="仿宋_GB2312" w:hAnsi="仿宋_GB2312" w:eastAsia="仿宋_GB2312" w:cs="仿宋_GB2312"/>
                <w:spacing w:val="0"/>
                <w:kern w:val="30"/>
                <w:sz w:val="24"/>
                <w:szCs w:val="24"/>
                <w:lang w:val="en-US" w:eastAsia="zh-CN"/>
              </w:rPr>
              <w:t>28.90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w:t>
            </w:r>
          </w:p>
        </w:tc>
        <w:tc>
          <w:tcPr>
            <w:tcW w:w="7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spacing w:val="0"/>
                <w:kern w:val="30"/>
                <w:sz w:val="24"/>
                <w:szCs w:val="24"/>
              </w:rPr>
            </w:pPr>
            <w:r>
              <w:rPr>
                <w:rFonts w:hint="eastAsia" w:ascii="仿宋_GB2312" w:hAnsi="仿宋_GB2312" w:eastAsia="仿宋_GB2312" w:cs="仿宋_GB2312"/>
                <w:spacing w:val="0"/>
                <w:kern w:val="30"/>
                <w:sz w:val="24"/>
                <w:szCs w:val="24"/>
              </w:rPr>
              <w:t>项目支出</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spacing w:val="0"/>
                <w:kern w:val="30"/>
                <w:sz w:val="24"/>
                <w:szCs w:val="24"/>
                <w:lang w:val="en-US" w:eastAsia="zh-CN"/>
              </w:rPr>
            </w:pPr>
            <w:r>
              <w:rPr>
                <w:rFonts w:hint="eastAsia" w:ascii="仿宋_GB2312" w:hAnsi="仿宋_GB2312" w:eastAsia="仿宋_GB2312" w:cs="仿宋_GB2312"/>
                <w:spacing w:val="0"/>
                <w:kern w:val="30"/>
                <w:sz w:val="24"/>
                <w:szCs w:val="24"/>
                <w:lang w:val="en-US" w:eastAsia="zh-CN"/>
              </w:rPr>
              <w:t>21,575.45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970"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年初结转和结余</w:t>
            </w:r>
          </w:p>
        </w:tc>
        <w:tc>
          <w:tcPr>
            <w:tcW w:w="741" w:type="pct"/>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2"/>
                <w:sz w:val="24"/>
                <w:szCs w:val="24"/>
                <w:u w:val="none"/>
                <w:lang w:val="en-US" w:eastAsia="zh-CN" w:bidi="ar-SA"/>
              </w:rPr>
            </w:pPr>
            <w:r>
              <w:rPr>
                <w:rFonts w:hint="eastAsia" w:ascii="仿宋_GB2312" w:hAnsi="仿宋_GB2312" w:eastAsia="仿宋_GB2312" w:cs="仿宋_GB2312"/>
                <w:b/>
                <w:bCs/>
                <w:i w:val="0"/>
                <w:iCs w:val="0"/>
                <w:color w:val="000000"/>
                <w:kern w:val="0"/>
                <w:sz w:val="24"/>
                <w:szCs w:val="24"/>
                <w:u w:val="none"/>
                <w:lang w:val="en-US" w:eastAsia="zh-CN" w:bidi="ar"/>
              </w:rPr>
              <w:t>702.71</w:t>
            </w:r>
          </w:p>
        </w:tc>
        <w:tc>
          <w:tcPr>
            <w:tcW w:w="1447"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b/>
                <w:spacing w:val="0"/>
                <w:kern w:val="30"/>
                <w:sz w:val="24"/>
                <w:szCs w:val="24"/>
              </w:rPr>
            </w:pPr>
            <w:r>
              <w:rPr>
                <w:rFonts w:hint="eastAsia" w:ascii="仿宋_GB2312" w:hAnsi="仿宋_GB2312" w:eastAsia="仿宋_GB2312" w:cs="仿宋_GB2312"/>
                <w:b/>
                <w:spacing w:val="0"/>
                <w:kern w:val="30"/>
                <w:sz w:val="24"/>
                <w:szCs w:val="24"/>
              </w:rPr>
              <w:t>年末结转和结余</w:t>
            </w:r>
          </w:p>
        </w:tc>
        <w:tc>
          <w:tcPr>
            <w:tcW w:w="841"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仿宋_GB2312" w:hAnsi="仿宋_GB2312" w:eastAsia="仿宋_GB2312" w:cs="仿宋_GB2312"/>
                <w:b/>
                <w:spacing w:val="0"/>
                <w:kern w:val="30"/>
                <w:sz w:val="24"/>
                <w:szCs w:val="24"/>
                <w:lang w:val="en-US" w:eastAsia="zh-CN"/>
              </w:rPr>
            </w:pPr>
            <w:r>
              <w:rPr>
                <w:rFonts w:hint="eastAsia" w:ascii="仿宋_GB2312" w:hAnsi="仿宋_GB2312" w:eastAsia="仿宋_GB2312" w:cs="仿宋_GB2312"/>
                <w:b/>
                <w:spacing w:val="0"/>
                <w:kern w:val="30"/>
                <w:sz w:val="24"/>
                <w:szCs w:val="24"/>
                <w:lang w:val="en-US" w:eastAsia="zh-CN"/>
              </w:rPr>
              <w:t>71.48</w:t>
            </w:r>
          </w:p>
        </w:tc>
      </w:tr>
      <w:bookmarkEnd w:id="43"/>
      <w:bookmarkEnd w:id="44"/>
      <w:bookmarkEnd w:id="45"/>
      <w:bookmarkEnd w:id="46"/>
      <w:bookmarkEnd w:id="47"/>
    </w:tbl>
    <w:p>
      <w:pPr>
        <w:widowControl w:val="0"/>
        <w:spacing w:line="590" w:lineRule="exact"/>
        <w:ind w:firstLine="444" w:firstLineChars="200"/>
        <w:jc w:val="both"/>
        <w:outlineLvl w:val="1"/>
        <w:rPr>
          <w:rFonts w:hint="default" w:ascii="楷体_GB2312" w:hAnsi="楷体_GB2312" w:eastAsia="楷体_GB2312" w:cs="楷体_GB2312"/>
          <w:spacing w:val="6"/>
          <w:sz w:val="32"/>
          <w:szCs w:val="32"/>
          <w:lang w:val="en-US" w:eastAsia="zh-CN"/>
        </w:rPr>
      </w:pPr>
      <w:bookmarkStart w:id="49" w:name="_Toc3988"/>
      <w:bookmarkStart w:id="50" w:name="_Toc3927"/>
      <w:bookmarkStart w:id="51" w:name="_Toc9181"/>
      <w:bookmarkStart w:id="52" w:name="_Toc5477"/>
      <w:bookmarkStart w:id="53" w:name="_Toc15567"/>
      <w:bookmarkStart w:id="54" w:name="_Toc18474"/>
      <w:bookmarkStart w:id="55" w:name="_Toc3498"/>
      <w:bookmarkStart w:id="56" w:name="_Toc20664"/>
      <w:bookmarkStart w:id="57" w:name="_Toc3758"/>
      <w:bookmarkStart w:id="58" w:name="_Toc38035209"/>
      <w:bookmarkStart w:id="59" w:name="_Toc2979"/>
      <w:bookmarkStart w:id="60" w:name="_Toc2659"/>
      <w:bookmarkStart w:id="61" w:name="_Toc6915"/>
      <w:bookmarkStart w:id="62" w:name="_Toc1938819711"/>
      <w:bookmarkStart w:id="63" w:name="_Toc31335"/>
      <w:bookmarkStart w:id="64" w:name="_Toc531785504"/>
      <w:bookmarkStart w:id="65" w:name="_Toc18321"/>
      <w:bookmarkStart w:id="66" w:name="_Toc32617"/>
      <w:bookmarkStart w:id="67" w:name="_Toc15463"/>
      <w:bookmarkStart w:id="68" w:name="_Toc7954"/>
      <w:bookmarkStart w:id="69" w:name="_Toc29408"/>
      <w:bookmarkStart w:id="70" w:name="_Toc23690"/>
      <w:r>
        <w:rPr>
          <w:rFonts w:hint="eastAsia" w:ascii="楷体_GB2312" w:hAnsi="楷体_GB2312" w:eastAsia="楷体_GB2312" w:cs="楷体_GB2312"/>
          <w:spacing w:val="6"/>
        </w:rPr>
        <w:fldChar w:fldCharType="begin"/>
      </w:r>
      <w:r>
        <w:rPr>
          <w:rFonts w:hint="eastAsia" w:ascii="楷体_GB2312" w:hAnsi="楷体_GB2312" w:eastAsia="楷体_GB2312" w:cs="楷体_GB2312"/>
          <w:spacing w:val="6"/>
        </w:rPr>
        <w:instrText xml:space="preserve"> HYPERLINK \l "_Toc434746187" </w:instrText>
      </w:r>
      <w:r>
        <w:rPr>
          <w:rFonts w:hint="eastAsia" w:ascii="楷体_GB2312" w:hAnsi="楷体_GB2312" w:eastAsia="楷体_GB2312" w:cs="楷体_GB2312"/>
          <w:spacing w:val="6"/>
        </w:rPr>
        <w:fldChar w:fldCharType="separate"/>
      </w:r>
      <w:bookmarkStart w:id="71" w:name="_Toc41306268"/>
      <w:r>
        <w:rPr>
          <w:rFonts w:hint="eastAsia" w:ascii="楷体_GB2312" w:hAnsi="楷体_GB2312" w:eastAsia="楷体_GB2312" w:cs="楷体_GB2312"/>
          <w:spacing w:val="6"/>
          <w:sz w:val="32"/>
          <w:szCs w:val="32"/>
          <w:lang w:val="zh-CN"/>
        </w:rPr>
        <w:t>（三）</w:t>
      </w:r>
      <w:r>
        <w:rPr>
          <w:rFonts w:hint="eastAsia" w:ascii="楷体_GB2312" w:hAnsi="楷体_GB2312" w:eastAsia="楷体_GB2312" w:cs="楷体_GB2312"/>
          <w:spacing w:val="6"/>
          <w:sz w:val="32"/>
          <w:szCs w:val="32"/>
          <w:lang w:val="zh-CN"/>
        </w:rPr>
        <w:fldChar w:fldCharType="end"/>
      </w:r>
      <w:bookmarkEnd w:id="71"/>
      <w:r>
        <w:rPr>
          <w:rFonts w:hint="eastAsia" w:ascii="楷体_GB2312" w:hAnsi="楷体_GB2312" w:eastAsia="楷体_GB2312" w:cs="楷体_GB2312"/>
          <w:spacing w:val="6"/>
          <w:sz w:val="32"/>
          <w:szCs w:val="32"/>
          <w:lang w:val="en-US" w:eastAsia="zh-CN"/>
        </w:rPr>
        <w:t>部门整体支出绩效目标及指标设立情况</w:t>
      </w:r>
      <w:bookmarkEnd w:id="49"/>
      <w:bookmarkEnd w:id="50"/>
      <w:bookmarkEnd w:id="51"/>
      <w:bookmarkEnd w:id="52"/>
      <w:bookmarkEnd w:id="53"/>
      <w:bookmarkEnd w:id="54"/>
      <w:bookmarkEnd w:id="55"/>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rPr>
        <w:t>我们在与</w:t>
      </w:r>
      <w:r>
        <w:rPr>
          <w:rFonts w:hint="eastAsia" w:ascii="仿宋_GB2312" w:hAnsi="仿宋_GB2312" w:eastAsia="仿宋_GB2312" w:cs="仿宋_GB2312"/>
          <w:spacing w:val="6"/>
          <w:kern w:val="0"/>
          <w:sz w:val="32"/>
          <w:szCs w:val="32"/>
          <w:highlight w:val="none"/>
          <w:lang w:val="en-US" w:eastAsia="zh-CN"/>
        </w:rPr>
        <w:t>区民政局</w:t>
      </w:r>
      <w:r>
        <w:rPr>
          <w:rFonts w:hint="eastAsia" w:ascii="仿宋_GB2312" w:hAnsi="仿宋_GB2312" w:eastAsia="仿宋_GB2312" w:cs="仿宋_GB2312"/>
          <w:spacing w:val="6"/>
          <w:sz w:val="32"/>
          <w:szCs w:val="32"/>
          <w:highlight w:val="none"/>
        </w:rPr>
        <w:t>充分沟通的基础上，根据</w:t>
      </w:r>
      <w:r>
        <w:rPr>
          <w:rFonts w:hint="eastAsia" w:ascii="仿宋_GB2312" w:hAnsi="仿宋_GB2312" w:eastAsia="仿宋_GB2312" w:cs="仿宋_GB2312"/>
          <w:spacing w:val="6"/>
          <w:sz w:val="32"/>
          <w:szCs w:val="32"/>
          <w:highlight w:val="none"/>
          <w:lang w:val="en-US" w:eastAsia="zh-CN"/>
        </w:rPr>
        <w:t>中共云岩区委、云岩区人民政府与区民政局签订的2021年工作目标责任书及</w:t>
      </w:r>
      <w:r>
        <w:rPr>
          <w:rFonts w:hint="eastAsia" w:ascii="仿宋_GB2312" w:hAnsi="仿宋_GB2312" w:eastAsia="仿宋_GB2312" w:cs="仿宋_GB2312"/>
          <w:spacing w:val="6"/>
          <w:kern w:val="0"/>
          <w:sz w:val="32"/>
          <w:szCs w:val="32"/>
          <w:highlight w:val="none"/>
          <w:lang w:val="en-US" w:eastAsia="zh-CN"/>
        </w:rPr>
        <w:t>区民政局</w:t>
      </w:r>
      <w:r>
        <w:rPr>
          <w:rFonts w:hint="eastAsia" w:ascii="仿宋_GB2312" w:hAnsi="仿宋_GB2312" w:eastAsia="仿宋_GB2312" w:cs="仿宋_GB2312"/>
          <w:spacing w:val="6"/>
          <w:sz w:val="32"/>
          <w:szCs w:val="32"/>
          <w:highlight w:val="none"/>
          <w:lang w:val="en-US" w:eastAsia="zh-CN"/>
        </w:rPr>
        <w:t>2020年工作计划及2021年工作总结</w:t>
      </w:r>
      <w:r>
        <w:rPr>
          <w:rFonts w:hint="eastAsia" w:ascii="仿宋_GB2312" w:hAnsi="仿宋_GB2312" w:eastAsia="仿宋_GB2312" w:cs="仿宋_GB2312"/>
          <w:spacing w:val="6"/>
          <w:sz w:val="32"/>
          <w:szCs w:val="32"/>
          <w:highlight w:val="none"/>
        </w:rPr>
        <w:t>等资料</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结合</w:t>
      </w:r>
      <w:r>
        <w:rPr>
          <w:rFonts w:hint="eastAsia" w:ascii="仿宋_GB2312" w:hAnsi="仿宋_GB2312" w:eastAsia="仿宋_GB2312" w:cs="仿宋_GB2312"/>
          <w:spacing w:val="6"/>
          <w:sz w:val="32"/>
          <w:szCs w:val="32"/>
          <w:highlight w:val="none"/>
          <w:lang w:val="en-US" w:eastAsia="zh-CN"/>
        </w:rPr>
        <w:t>部门整体</w:t>
      </w:r>
      <w:r>
        <w:rPr>
          <w:rFonts w:hint="eastAsia" w:ascii="仿宋_GB2312" w:hAnsi="仿宋_GB2312" w:eastAsia="仿宋_GB2312" w:cs="仿宋_GB2312"/>
          <w:spacing w:val="6"/>
          <w:sz w:val="32"/>
          <w:szCs w:val="32"/>
          <w:highlight w:val="none"/>
        </w:rPr>
        <w:t>实际情况对</w:t>
      </w:r>
      <w:r>
        <w:rPr>
          <w:rFonts w:hint="eastAsia" w:ascii="仿宋_GB2312" w:hAnsi="仿宋_GB2312" w:eastAsia="仿宋_GB2312" w:cs="仿宋_GB2312"/>
          <w:spacing w:val="6"/>
          <w:sz w:val="32"/>
          <w:szCs w:val="32"/>
          <w:highlight w:val="none"/>
          <w:lang w:val="en-US" w:eastAsia="zh-CN"/>
        </w:rPr>
        <w:t>部门整体支出</w:t>
      </w:r>
      <w:r>
        <w:rPr>
          <w:rFonts w:hint="eastAsia" w:ascii="仿宋_GB2312" w:hAnsi="仿宋_GB2312" w:eastAsia="仿宋_GB2312" w:cs="仿宋_GB2312"/>
          <w:spacing w:val="6"/>
          <w:sz w:val="32"/>
          <w:szCs w:val="32"/>
          <w:highlight w:val="none"/>
        </w:rPr>
        <w:t>绩效目标和绩效指标进行再次梳理。再次梳理的绩效目标</w:t>
      </w:r>
      <w:r>
        <w:rPr>
          <w:rFonts w:hint="eastAsia" w:ascii="仿宋_GB2312" w:hAnsi="仿宋_GB2312" w:eastAsia="仿宋_GB2312" w:cs="仿宋_GB2312"/>
          <w:spacing w:val="6"/>
          <w:sz w:val="32"/>
          <w:szCs w:val="32"/>
          <w:highlight w:val="none"/>
          <w:lang w:val="en-US" w:eastAsia="zh-CN"/>
        </w:rPr>
        <w:t>及指标</w:t>
      </w:r>
      <w:r>
        <w:rPr>
          <w:rFonts w:hint="eastAsia" w:ascii="仿宋_GB2312" w:hAnsi="仿宋_GB2312" w:eastAsia="仿宋_GB2312" w:cs="仿宋_GB2312"/>
          <w:spacing w:val="6"/>
          <w:sz w:val="32"/>
          <w:szCs w:val="32"/>
          <w:highlight w:val="none"/>
        </w:rPr>
        <w:t>如下：</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绩效目标</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eastAsia="zh-CN"/>
        </w:rPr>
      </w:pPr>
      <w:r>
        <w:rPr>
          <w:rFonts w:hint="eastAsia" w:ascii="仿宋_GB2312" w:hAnsi="仿宋_GB2312" w:eastAsia="仿宋_GB2312" w:cs="仿宋_GB2312"/>
          <w:b w:val="0"/>
          <w:bCs w:val="0"/>
          <w:spacing w:val="6"/>
          <w:sz w:val="32"/>
          <w:szCs w:val="32"/>
          <w:highlight w:val="none"/>
          <w:lang w:val="en-US" w:eastAsia="zh-CN"/>
        </w:rPr>
        <w:t>目标1：</w:t>
      </w:r>
      <w:r>
        <w:rPr>
          <w:rFonts w:hint="eastAsia" w:ascii="仿宋_GB2312" w:hAnsi="仿宋_GB2312" w:eastAsia="仿宋_GB2312" w:cs="仿宋_GB2312"/>
          <w:spacing w:val="6"/>
          <w:sz w:val="32"/>
          <w:szCs w:val="32"/>
          <w:highlight w:val="none"/>
          <w:lang w:val="en-US" w:eastAsia="zh-CN"/>
        </w:rPr>
        <w:t>对</w:t>
      </w:r>
      <w:r>
        <w:rPr>
          <w:rFonts w:hint="eastAsia" w:ascii="仿宋_GB2312" w:hAnsi="仿宋_GB2312" w:eastAsia="仿宋_GB2312" w:cs="仿宋_GB2312"/>
          <w:spacing w:val="6"/>
          <w:sz w:val="32"/>
          <w:szCs w:val="32"/>
          <w:highlight w:val="none"/>
        </w:rPr>
        <w:t>享受高龄老人长寿补贴</w:t>
      </w:r>
      <w:r>
        <w:rPr>
          <w:rFonts w:hint="eastAsia" w:ascii="仿宋_GB2312" w:hAnsi="仿宋_GB2312" w:eastAsia="仿宋_GB2312" w:cs="仿宋_GB2312"/>
          <w:spacing w:val="6"/>
          <w:sz w:val="32"/>
          <w:szCs w:val="32"/>
          <w:highlight w:val="none"/>
          <w:lang w:eastAsia="zh-CN"/>
        </w:rPr>
        <w:t>、事实无人抚养儿童</w:t>
      </w:r>
      <w:r>
        <w:rPr>
          <w:rFonts w:hint="eastAsia" w:ascii="仿宋_GB2312" w:hAnsi="仿宋_GB2312" w:eastAsia="仿宋_GB2312" w:cs="仿宋_GB2312"/>
          <w:spacing w:val="6"/>
          <w:sz w:val="32"/>
          <w:szCs w:val="32"/>
          <w:highlight w:val="none"/>
          <w:lang w:val="en-US" w:eastAsia="zh-CN"/>
        </w:rPr>
        <w:t>开展</w:t>
      </w:r>
      <w:r>
        <w:rPr>
          <w:rFonts w:hint="eastAsia" w:ascii="仿宋_GB2312" w:hAnsi="仿宋_GB2312" w:eastAsia="仿宋_GB2312" w:cs="仿宋_GB2312"/>
          <w:spacing w:val="6"/>
          <w:sz w:val="32"/>
          <w:szCs w:val="32"/>
          <w:highlight w:val="none"/>
        </w:rPr>
        <w:t>生活费发放工作</w:t>
      </w:r>
      <w:r>
        <w:rPr>
          <w:rFonts w:hint="eastAsia" w:ascii="仿宋_GB2312" w:hAnsi="仿宋_GB2312" w:eastAsia="仿宋_GB2312" w:cs="仿宋_GB2312"/>
          <w:spacing w:val="6"/>
          <w:sz w:val="32"/>
          <w:szCs w:val="32"/>
          <w:highlight w:val="none"/>
          <w:lang w:eastAsia="zh-CN"/>
        </w:rPr>
        <w:t>；完成新建</w:t>
      </w:r>
      <w:r>
        <w:rPr>
          <w:rFonts w:hint="eastAsia" w:ascii="仿宋_GB2312" w:hAnsi="仿宋_GB2312" w:eastAsia="仿宋_GB2312" w:cs="仿宋_GB2312"/>
          <w:spacing w:val="6"/>
          <w:sz w:val="32"/>
          <w:szCs w:val="32"/>
          <w:highlight w:val="none"/>
          <w:lang w:val="en-US" w:eastAsia="zh-CN"/>
        </w:rPr>
        <w:t>或资助</w:t>
      </w:r>
      <w:r>
        <w:rPr>
          <w:rFonts w:hint="eastAsia" w:ascii="仿宋_GB2312" w:hAnsi="仿宋_GB2312" w:eastAsia="仿宋_GB2312" w:cs="仿宋_GB2312"/>
          <w:spacing w:val="6"/>
          <w:sz w:val="32"/>
          <w:szCs w:val="32"/>
          <w:highlight w:val="none"/>
        </w:rPr>
        <w:t>养老服务</w:t>
      </w:r>
      <w:r>
        <w:rPr>
          <w:rFonts w:hint="eastAsia" w:ascii="仿宋_GB2312" w:hAnsi="仿宋_GB2312" w:eastAsia="仿宋_GB2312" w:cs="仿宋_GB2312"/>
          <w:spacing w:val="6"/>
          <w:sz w:val="32"/>
          <w:szCs w:val="32"/>
          <w:highlight w:val="none"/>
          <w:lang w:val="en-US" w:eastAsia="zh-CN"/>
        </w:rPr>
        <w:t>相关工作</w:t>
      </w:r>
      <w:r>
        <w:rPr>
          <w:rFonts w:hint="eastAsia" w:ascii="仿宋_GB2312" w:hAnsi="仿宋_GB2312" w:eastAsia="仿宋_GB2312" w:cs="仿宋_GB2312"/>
          <w:spacing w:val="6"/>
          <w:sz w:val="32"/>
          <w:szCs w:val="32"/>
          <w:highlight w:val="none"/>
          <w:lang w:eastAsia="zh-CN"/>
        </w:rPr>
        <w:t>。</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b w:val="0"/>
          <w:bCs w:val="0"/>
          <w:spacing w:val="6"/>
          <w:sz w:val="32"/>
          <w:szCs w:val="32"/>
          <w:highlight w:val="none"/>
          <w:lang w:val="en-US" w:eastAsia="zh-CN"/>
        </w:rPr>
        <w:t>目标2：</w:t>
      </w:r>
      <w:r>
        <w:rPr>
          <w:rFonts w:hint="eastAsia" w:ascii="仿宋_GB2312" w:hAnsi="仿宋_GB2312" w:eastAsia="仿宋_GB2312" w:cs="仿宋_GB2312"/>
          <w:spacing w:val="6"/>
          <w:sz w:val="32"/>
          <w:szCs w:val="32"/>
          <w:highlight w:val="none"/>
          <w:lang w:val="en-US" w:eastAsia="zh-CN"/>
        </w:rPr>
        <w:t>保障特殊低保家庭救助发放，提高低保家庭生活水平。</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目标3：</w:t>
      </w:r>
      <w:r>
        <w:rPr>
          <w:rFonts w:hint="eastAsia" w:ascii="仿宋_GB2312" w:hAnsi="仿宋_GB2312" w:eastAsia="仿宋_GB2312" w:cs="仿宋_GB2312"/>
          <w:spacing w:val="6"/>
          <w:sz w:val="32"/>
          <w:szCs w:val="32"/>
          <w:highlight w:val="none"/>
        </w:rPr>
        <w:t>实施云岩区社区“两委”8+2配置模式，完成党务、居委“双助理”选聘到岗</w:t>
      </w:r>
      <w:r>
        <w:rPr>
          <w:rFonts w:hint="eastAsia" w:ascii="仿宋_GB2312" w:hAnsi="仿宋_GB2312" w:eastAsia="仿宋_GB2312" w:cs="仿宋_GB2312"/>
          <w:spacing w:val="6"/>
          <w:sz w:val="32"/>
          <w:szCs w:val="32"/>
          <w:highlight w:val="none"/>
          <w:lang w:eastAsia="zh-CN"/>
        </w:rPr>
        <w:t>；完成第十一届村（居）委会换届选举</w:t>
      </w:r>
      <w:r>
        <w:rPr>
          <w:rFonts w:hint="eastAsia" w:ascii="仿宋_GB2312" w:hAnsi="仿宋_GB2312" w:eastAsia="仿宋_GB2312" w:cs="仿宋_GB2312"/>
          <w:spacing w:val="6"/>
          <w:sz w:val="32"/>
          <w:szCs w:val="32"/>
          <w:highlight w:val="none"/>
          <w:lang w:val="en-US" w:eastAsia="zh-CN"/>
        </w:rPr>
        <w:t>工作。</w:t>
      </w:r>
    </w:p>
    <w:p>
      <w:pPr>
        <w:widowControl w:val="0"/>
        <w:spacing w:line="590" w:lineRule="exact"/>
        <w:ind w:firstLine="664" w:firstLineChars="200"/>
        <w:jc w:val="both"/>
        <w:rPr>
          <w:rFonts w:hint="default" w:ascii="仿宋_GB2312" w:hAnsi="仿宋_GB2312" w:eastAsia="仿宋_GB2312" w:cs="仿宋_GB2312"/>
          <w:b/>
          <w:bCs/>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目标4：实际建成平价墓位600个。</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．绩效指标</w:t>
      </w:r>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设置了产出数量、产出质量、产出时效、社会效益、服务对象满意度等指标，绩效目标细化分解后的绩效指标情况详见附件</w:t>
      </w:r>
      <w:r>
        <w:rPr>
          <w:rFonts w:hint="eastAsia" w:ascii="仿宋_GB2312" w:hAnsi="仿宋_GB2312" w:eastAsia="仿宋_GB2312" w:cs="仿宋_GB2312"/>
          <w:spacing w:val="6"/>
          <w:sz w:val="32"/>
          <w:szCs w:val="32"/>
          <w:highlight w:val="none"/>
          <w:lang w:val="en-US" w:eastAsia="zh-CN"/>
        </w:rPr>
        <w:t>。</w:t>
      </w:r>
    </w:p>
    <w:p>
      <w:pPr>
        <w:widowControl w:val="0"/>
        <w:spacing w:line="590" w:lineRule="exact"/>
        <w:ind w:firstLine="664" w:firstLineChars="200"/>
        <w:jc w:val="both"/>
        <w:outlineLvl w:val="0"/>
        <w:rPr>
          <w:rFonts w:ascii="Times New Roman" w:hAnsi="Times New Roman" w:eastAsia="黑体" w:cs="Times New Roman"/>
          <w:spacing w:val="6"/>
          <w:sz w:val="32"/>
          <w:szCs w:val="32"/>
          <w:highlight w:val="none"/>
        </w:rPr>
      </w:pPr>
      <w:bookmarkStart w:id="72" w:name="_Toc18185"/>
      <w:bookmarkStart w:id="73" w:name="_Toc2684"/>
      <w:bookmarkStart w:id="74" w:name="_Toc15453"/>
      <w:bookmarkStart w:id="75" w:name="_Toc22259"/>
      <w:bookmarkStart w:id="76" w:name="_Toc13603"/>
      <w:bookmarkStart w:id="77" w:name="_Toc24476"/>
      <w:bookmarkStart w:id="78" w:name="_Toc31385"/>
      <w:bookmarkStart w:id="79" w:name="_Toc28707"/>
      <w:r>
        <w:rPr>
          <w:rFonts w:hint="eastAsia" w:ascii="Times New Roman" w:hAnsi="Times New Roman" w:eastAsia="黑体" w:cs="Times New Roman"/>
          <w:spacing w:val="6"/>
          <w:sz w:val="32"/>
          <w:szCs w:val="32"/>
          <w:lang w:val="en-US" w:eastAsia="zh-CN"/>
        </w:rPr>
        <w:t>二、</w:t>
      </w:r>
      <w:bookmarkEnd w:id="56"/>
      <w:bookmarkEnd w:id="57"/>
      <w:bookmarkEnd w:id="58"/>
      <w:bookmarkEnd w:id="59"/>
      <w:bookmarkEnd w:id="60"/>
      <w:bookmarkEnd w:id="61"/>
      <w:bookmarkEnd w:id="62"/>
      <w:bookmarkEnd w:id="63"/>
      <w:bookmarkEnd w:id="64"/>
      <w:bookmarkEnd w:id="65"/>
      <w:bookmarkEnd w:id="72"/>
      <w:bookmarkEnd w:id="73"/>
      <w:bookmarkEnd w:id="74"/>
      <w:bookmarkEnd w:id="75"/>
      <w:bookmarkEnd w:id="76"/>
      <w:bookmarkEnd w:id="77"/>
      <w:bookmarkEnd w:id="78"/>
      <w:bookmarkEnd w:id="79"/>
      <w:bookmarkStart w:id="80" w:name="_Toc531457386"/>
      <w:bookmarkStart w:id="81" w:name="_Toc30582"/>
      <w:bookmarkStart w:id="82" w:name="_Toc30968"/>
      <w:bookmarkStart w:id="83" w:name="_Toc21980"/>
      <w:bookmarkStart w:id="84" w:name="_Toc10518"/>
      <w:bookmarkStart w:id="85" w:name="_Toc38035219"/>
      <w:bookmarkStart w:id="86" w:name="_Toc6241"/>
      <w:bookmarkStart w:id="87" w:name="_Toc11403"/>
      <w:bookmarkStart w:id="88" w:name="_Toc32215"/>
      <w:bookmarkStart w:id="89" w:name="_Toc25501"/>
      <w:bookmarkStart w:id="90" w:name="_Toc24931"/>
      <w:bookmarkStart w:id="91" w:name="_Toc17980"/>
      <w:bookmarkStart w:id="92" w:name="_Toc19068"/>
      <w:bookmarkStart w:id="93" w:name="_Toc5946"/>
      <w:bookmarkStart w:id="94" w:name="_Toc27465"/>
      <w:bookmarkStart w:id="95" w:name="_Toc13278"/>
      <w:r>
        <w:rPr>
          <w:rFonts w:hint="eastAsia" w:ascii="Times New Roman" w:hAnsi="Times New Roman" w:eastAsia="黑体" w:cs="Times New Roman"/>
          <w:spacing w:val="6"/>
          <w:sz w:val="32"/>
          <w:szCs w:val="32"/>
          <w:highlight w:val="none"/>
        </w:rPr>
        <w:t>绩效评价结论</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pStyle w:val="4"/>
        <w:rPr>
          <w:lang w:val="zh-CN"/>
        </w:rPr>
      </w:pPr>
      <w:bookmarkStart w:id="96" w:name="_Toc17203"/>
      <w:bookmarkStart w:id="97" w:name="_Toc4864"/>
      <w:bookmarkStart w:id="98" w:name="_Toc17792"/>
      <w:bookmarkStart w:id="99" w:name="_Toc14165"/>
      <w:bookmarkStart w:id="100" w:name="_Toc15258"/>
      <w:bookmarkStart w:id="101" w:name="_Toc26689"/>
      <w:bookmarkStart w:id="102" w:name="_Toc819798629"/>
      <w:bookmarkStart w:id="103" w:name="_Toc168"/>
      <w:bookmarkStart w:id="104" w:name="_Toc29453"/>
      <w:bookmarkStart w:id="105" w:name="_Toc1504"/>
      <w:bookmarkStart w:id="106" w:name="_Toc13184"/>
      <w:bookmarkStart w:id="107" w:name="_Toc11174"/>
      <w:bookmarkStart w:id="108" w:name="_Toc5630"/>
      <w:bookmarkStart w:id="109" w:name="_Toc13759"/>
      <w:bookmarkStart w:id="110" w:name="_Toc18308"/>
      <w:r>
        <w:fldChar w:fldCharType="begin"/>
      </w:r>
      <w:r>
        <w:instrText xml:space="preserve"> HYPERLINK \l "_Toc434746187" </w:instrText>
      </w:r>
      <w:r>
        <w:fldChar w:fldCharType="separate"/>
      </w:r>
      <w:bookmarkStart w:id="111" w:name="_Toc38035220"/>
      <w:r>
        <w:rPr>
          <w:rFonts w:hint="eastAsia"/>
          <w:lang w:val="zh-CN"/>
        </w:rPr>
        <w:t>（一）绩效评价综合结论</w:t>
      </w:r>
      <w:bookmarkEnd w:id="111"/>
      <w:r>
        <w:rPr>
          <w:rFonts w:hint="eastAsia"/>
          <w:lang w:val="zh-CN"/>
        </w:rPr>
        <w:fldChar w:fldCharType="end"/>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widowControl w:val="0"/>
        <w:spacing w:line="590" w:lineRule="exact"/>
        <w:ind w:firstLine="640"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highlight w:val="none"/>
        </w:rPr>
        <w:t>区民政局</w:t>
      </w:r>
      <w:r>
        <w:rPr>
          <w:rFonts w:hint="eastAsia" w:ascii="仿宋_GB2312" w:hAnsi="仿宋_GB2312" w:eastAsia="仿宋_GB2312" w:cs="仿宋_GB2312"/>
          <w:sz w:val="32"/>
          <w:szCs w:val="32"/>
          <w:highlight w:val="none"/>
          <w:lang w:val="en-US" w:eastAsia="zh-CN"/>
        </w:rPr>
        <w:t>2021</w:t>
      </w:r>
      <w:r>
        <w:rPr>
          <w:rFonts w:hint="eastAsia" w:ascii="仿宋_GB2312" w:hAnsi="仿宋_GB2312" w:eastAsia="仿宋_GB2312" w:cs="仿宋_GB2312"/>
          <w:sz w:val="32"/>
          <w:szCs w:val="32"/>
          <w:highlight w:val="none"/>
        </w:rPr>
        <w:t>年度积极贯彻落实党中央、省委、市委和区委关于民政工作的方针政策和决策部署，在履行职责过程中坚持和加强党对民政工作的集中统一领导，围绕社会福利、社会救济、以商招商、生态文明建设</w:t>
      </w:r>
      <w:r>
        <w:rPr>
          <w:rFonts w:hint="eastAsia" w:ascii="仿宋_GB2312" w:hAnsi="仿宋_GB2312" w:eastAsia="仿宋_GB2312" w:cs="仿宋_GB2312"/>
          <w:sz w:val="32"/>
          <w:szCs w:val="32"/>
          <w:highlight w:val="none"/>
          <w:lang w:eastAsia="zh-CN"/>
        </w:rPr>
        <w:t>、基层政权建设、墓位</w:t>
      </w:r>
      <w:r>
        <w:rPr>
          <w:rFonts w:hint="eastAsia" w:ascii="仿宋_GB2312" w:hAnsi="仿宋_GB2312" w:eastAsia="仿宋_GB2312" w:cs="仿宋_GB2312"/>
          <w:sz w:val="32"/>
          <w:szCs w:val="32"/>
          <w:highlight w:val="none"/>
          <w:lang w:val="en-US" w:eastAsia="zh-CN"/>
        </w:rPr>
        <w:t>建设开展工作，</w:t>
      </w:r>
      <w:r>
        <w:rPr>
          <w:rFonts w:hint="eastAsia" w:ascii="仿宋_GB2312" w:hAnsi="仿宋_GB2312" w:eastAsia="仿宋_GB2312" w:cs="仿宋_GB2312"/>
          <w:sz w:val="32"/>
          <w:szCs w:val="32"/>
          <w:highlight w:val="none"/>
        </w:rPr>
        <w:t>建立完善了相关财务管理制度、资产管理制度，</w:t>
      </w:r>
      <w:r>
        <w:rPr>
          <w:rFonts w:hint="eastAsia" w:ascii="仿宋_GB2312" w:hAnsi="仿宋_GB2312" w:eastAsia="仿宋_GB2312" w:cs="仿宋_GB2312"/>
          <w:sz w:val="32"/>
          <w:szCs w:val="32"/>
          <w:highlight w:val="none"/>
          <w:lang w:val="en-US" w:eastAsia="zh-CN"/>
        </w:rPr>
        <w:t>2021</w:t>
      </w:r>
      <w:r>
        <w:rPr>
          <w:rFonts w:hint="eastAsia" w:ascii="仿宋_GB2312" w:hAnsi="仿宋_GB2312" w:eastAsia="仿宋_GB2312" w:cs="仿宋_GB2312"/>
          <w:sz w:val="32"/>
          <w:szCs w:val="32"/>
          <w:highlight w:val="none"/>
        </w:rPr>
        <w:t>年度绩效目标基本完成。</w:t>
      </w:r>
      <w:r>
        <w:rPr>
          <w:rFonts w:hint="eastAsia" w:ascii="仿宋_GB2312" w:hAnsi="仿宋_GB2312" w:eastAsia="仿宋_GB2312" w:cs="仿宋_GB2312"/>
          <w:spacing w:val="6"/>
          <w:sz w:val="32"/>
          <w:szCs w:val="32"/>
        </w:rPr>
        <w:t>但在</w:t>
      </w:r>
      <w:r>
        <w:rPr>
          <w:rFonts w:hint="eastAsia" w:ascii="仿宋_GB2312" w:hAnsi="仿宋_GB2312" w:eastAsia="仿宋_GB2312" w:cs="仿宋_GB2312"/>
          <w:spacing w:val="6"/>
          <w:sz w:val="32"/>
          <w:szCs w:val="32"/>
          <w:lang w:val="en-US" w:eastAsia="zh-CN"/>
        </w:rPr>
        <w:t>本次绩效再</w:t>
      </w:r>
      <w:r>
        <w:rPr>
          <w:rFonts w:hint="eastAsia" w:ascii="仿宋_GB2312" w:hAnsi="仿宋_GB2312" w:eastAsia="仿宋_GB2312" w:cs="仿宋_GB2312"/>
          <w:spacing w:val="6"/>
          <w:sz w:val="32"/>
          <w:szCs w:val="32"/>
        </w:rPr>
        <w:t>评价过程中，</w:t>
      </w:r>
      <w:r>
        <w:rPr>
          <w:rFonts w:hint="eastAsia" w:ascii="仿宋_GB2312" w:hAnsi="仿宋_GB2312" w:eastAsia="仿宋_GB2312" w:cs="仿宋_GB2312"/>
          <w:spacing w:val="6"/>
          <w:sz w:val="32"/>
          <w:szCs w:val="32"/>
          <w:lang w:val="en-US" w:eastAsia="zh-CN"/>
        </w:rPr>
        <w:t>经调研</w:t>
      </w:r>
      <w:r>
        <w:rPr>
          <w:rFonts w:hint="eastAsia" w:ascii="仿宋_GB2312" w:hAnsi="仿宋_GB2312" w:eastAsia="仿宋_GB2312" w:cs="仿宋_GB2312"/>
          <w:spacing w:val="6"/>
          <w:sz w:val="32"/>
          <w:szCs w:val="32"/>
        </w:rPr>
        <w:t>发现仍存在一些不足之处，</w:t>
      </w:r>
      <w:r>
        <w:rPr>
          <w:rFonts w:hint="eastAsia" w:ascii="仿宋_GB2312" w:hAnsi="仿宋_GB2312" w:eastAsia="仿宋_GB2312" w:cs="仿宋_GB2312"/>
          <w:spacing w:val="6"/>
          <w:sz w:val="32"/>
          <w:szCs w:val="32"/>
          <w:lang w:val="en-US" w:eastAsia="zh-CN"/>
        </w:rPr>
        <w:t>如</w:t>
      </w:r>
      <w:r>
        <w:rPr>
          <w:rFonts w:hint="eastAsia" w:ascii="仿宋_GB2312" w:hAnsi="仿宋_GB2312" w:eastAsia="仿宋_GB2312" w:cs="仿宋_GB2312"/>
          <w:sz w:val="32"/>
          <w:szCs w:val="32"/>
          <w:highlight w:val="none"/>
        </w:rPr>
        <w:t>未编制绩效自评报告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部分绩效目标未完成</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个别内控制度执行不到位等情况</w:t>
      </w:r>
      <w:r>
        <w:rPr>
          <w:rFonts w:hint="eastAsia" w:ascii="仿宋_GB2312" w:hAnsi="仿宋_GB2312" w:eastAsia="仿宋_GB2312" w:cs="仿宋_GB2312"/>
          <w:spacing w:val="6"/>
          <w:sz w:val="32"/>
          <w:szCs w:val="32"/>
        </w:rPr>
        <w:t>。</w:t>
      </w:r>
    </w:p>
    <w:p>
      <w:pPr>
        <w:widowControl w:val="0"/>
        <w:spacing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highlight w:val="none"/>
        </w:rPr>
        <w:t>经综合评定</w:t>
      </w:r>
      <w:r>
        <w:rPr>
          <w:rFonts w:hint="eastAsia" w:ascii="仿宋_GB2312" w:hAnsi="仿宋_GB2312" w:eastAsia="仿宋_GB2312" w:cs="仿宋_GB2312"/>
          <w:spacing w:val="6"/>
          <w:sz w:val="32"/>
          <w:szCs w:val="32"/>
          <w:highlight w:val="none"/>
          <w:lang w:val="zh-CN"/>
        </w:rPr>
        <w:t>，绩效再评价得分为：</w:t>
      </w:r>
      <w:r>
        <w:rPr>
          <w:rFonts w:hint="eastAsia" w:ascii="仿宋_GB2312" w:hAnsi="仿宋_GB2312" w:eastAsia="仿宋_GB2312" w:cs="仿宋_GB2312"/>
          <w:spacing w:val="6"/>
          <w:sz w:val="32"/>
          <w:szCs w:val="32"/>
          <w:highlight w:val="none"/>
          <w:lang w:val="en-US" w:eastAsia="zh-CN"/>
        </w:rPr>
        <w:t>81.29</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良</w:t>
      </w:r>
      <w:r>
        <w:rPr>
          <w:rFonts w:hint="eastAsia" w:ascii="仿宋_GB2312" w:hAnsi="仿宋_GB2312" w:eastAsia="仿宋_GB2312" w:cs="仿宋_GB2312"/>
          <w:spacing w:val="6"/>
          <w:sz w:val="32"/>
          <w:szCs w:val="32"/>
          <w:highlight w:val="none"/>
          <w:lang w:val="zh-CN"/>
        </w:rPr>
        <w:t>。</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pacing w:val="6"/>
          <w:sz w:val="32"/>
          <w:szCs w:val="32"/>
          <w:highlight w:val="none"/>
          <w:lang w:val="en-US" w:eastAsia="zh-CN"/>
        </w:rPr>
        <w:t>2021</w:t>
      </w:r>
      <w:r>
        <w:rPr>
          <w:rFonts w:hint="eastAsia" w:ascii="仿宋_GB2312" w:hAnsi="仿宋_GB2312" w:eastAsia="仿宋_GB2312" w:cs="仿宋_GB2312"/>
          <w:spacing w:val="6"/>
          <w:sz w:val="32"/>
          <w:szCs w:val="32"/>
          <w:highlight w:val="none"/>
          <w:lang w:val="zh-CN"/>
        </w:rPr>
        <w:t>年度评价得分汇总情况详见下表：</w:t>
      </w:r>
    </w:p>
    <w:p>
      <w:pPr>
        <w:adjustRightInd w:val="0"/>
        <w:snapToGrid w:val="0"/>
        <w:rPr>
          <w:rFonts w:hint="eastAsia"/>
          <w:highlight w:val="none"/>
          <w:lang w:val="zh-CN"/>
        </w:rPr>
      </w:pPr>
    </w:p>
    <w:tbl>
      <w:tblPr>
        <w:tblStyle w:val="18"/>
        <w:tblW w:w="4997" w:type="pct"/>
        <w:tblInd w:w="0" w:type="dxa"/>
        <w:tblLayout w:type="autofit"/>
        <w:tblCellMar>
          <w:top w:w="0" w:type="dxa"/>
          <w:left w:w="108" w:type="dxa"/>
          <w:bottom w:w="0" w:type="dxa"/>
          <w:right w:w="108" w:type="dxa"/>
        </w:tblCellMar>
      </w:tblPr>
      <w:tblGrid>
        <w:gridCol w:w="1032"/>
        <w:gridCol w:w="2375"/>
        <w:gridCol w:w="1805"/>
        <w:gridCol w:w="1858"/>
        <w:gridCol w:w="2098"/>
      </w:tblGrid>
      <w:tr>
        <w:tblPrEx>
          <w:tblCellMar>
            <w:top w:w="0" w:type="dxa"/>
            <w:left w:w="108" w:type="dxa"/>
            <w:bottom w:w="0" w:type="dxa"/>
            <w:right w:w="108" w:type="dxa"/>
          </w:tblCellMar>
        </w:tblPrEx>
        <w:trPr>
          <w:trHeight w:val="482" w:hRule="atLeast"/>
          <w:tblHeader/>
        </w:trPr>
        <w:tc>
          <w:tcPr>
            <w:tcW w:w="563"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序号</w:t>
            </w:r>
          </w:p>
        </w:tc>
        <w:tc>
          <w:tcPr>
            <w:tcW w:w="1294" w:type="pct"/>
            <w:tcBorders>
              <w:top w:val="single" w:color="auto" w:sz="4" w:space="0"/>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一级指标</w:t>
            </w:r>
          </w:p>
        </w:tc>
        <w:tc>
          <w:tcPr>
            <w:tcW w:w="984" w:type="pct"/>
            <w:tcBorders>
              <w:top w:val="single" w:color="auto" w:sz="4" w:space="0"/>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总分</w:t>
            </w:r>
          </w:p>
        </w:tc>
        <w:tc>
          <w:tcPr>
            <w:tcW w:w="1013" w:type="pct"/>
            <w:tcBorders>
              <w:top w:val="single" w:color="auto" w:sz="4" w:space="0"/>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得分</w:t>
            </w:r>
          </w:p>
        </w:tc>
        <w:tc>
          <w:tcPr>
            <w:tcW w:w="1144" w:type="pct"/>
            <w:tcBorders>
              <w:top w:val="single" w:color="auto" w:sz="4" w:space="0"/>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得分率</w:t>
            </w:r>
          </w:p>
        </w:tc>
      </w:tr>
      <w:tr>
        <w:tblPrEx>
          <w:tblCellMar>
            <w:top w:w="0" w:type="dxa"/>
            <w:left w:w="108" w:type="dxa"/>
            <w:bottom w:w="0" w:type="dxa"/>
            <w:right w:w="108" w:type="dxa"/>
          </w:tblCellMar>
        </w:tblPrEx>
        <w:trPr>
          <w:trHeight w:val="482" w:hRule="atLeast"/>
        </w:trPr>
        <w:tc>
          <w:tcPr>
            <w:tcW w:w="563" w:type="pct"/>
            <w:tcBorders>
              <w:top w:val="nil"/>
              <w:left w:val="single" w:color="auto" w:sz="4" w:space="0"/>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1</w:t>
            </w:r>
          </w:p>
        </w:tc>
        <w:tc>
          <w:tcPr>
            <w:tcW w:w="1294" w:type="pct"/>
            <w:tcBorders>
              <w:top w:val="nil"/>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投入</w:t>
            </w:r>
          </w:p>
        </w:tc>
        <w:tc>
          <w:tcPr>
            <w:tcW w:w="180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11.00 </w:t>
            </w:r>
          </w:p>
        </w:tc>
        <w:tc>
          <w:tcPr>
            <w:tcW w:w="185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 xml:space="preserve">10.50 </w:t>
            </w:r>
          </w:p>
        </w:tc>
        <w:tc>
          <w:tcPr>
            <w:tcW w:w="20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95.45%</w:t>
            </w:r>
          </w:p>
        </w:tc>
      </w:tr>
      <w:tr>
        <w:tblPrEx>
          <w:tblCellMar>
            <w:top w:w="0" w:type="dxa"/>
            <w:left w:w="108" w:type="dxa"/>
            <w:bottom w:w="0" w:type="dxa"/>
            <w:right w:w="108" w:type="dxa"/>
          </w:tblCellMar>
        </w:tblPrEx>
        <w:trPr>
          <w:trHeight w:val="482" w:hRule="atLeast"/>
        </w:trPr>
        <w:tc>
          <w:tcPr>
            <w:tcW w:w="563" w:type="pct"/>
            <w:tcBorders>
              <w:top w:val="nil"/>
              <w:left w:val="single" w:color="auto" w:sz="4" w:space="0"/>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2</w:t>
            </w:r>
          </w:p>
        </w:tc>
        <w:tc>
          <w:tcPr>
            <w:tcW w:w="1294" w:type="pct"/>
            <w:tcBorders>
              <w:top w:val="nil"/>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过程</w:t>
            </w:r>
          </w:p>
        </w:tc>
        <w:tc>
          <w:tcPr>
            <w:tcW w:w="180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27.00 </w:t>
            </w:r>
          </w:p>
        </w:tc>
        <w:tc>
          <w:tcPr>
            <w:tcW w:w="185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23.23 </w:t>
            </w:r>
          </w:p>
        </w:tc>
        <w:tc>
          <w:tcPr>
            <w:tcW w:w="20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86.04%</w:t>
            </w:r>
          </w:p>
        </w:tc>
      </w:tr>
      <w:tr>
        <w:tblPrEx>
          <w:tblCellMar>
            <w:top w:w="0" w:type="dxa"/>
            <w:left w:w="108" w:type="dxa"/>
            <w:bottom w:w="0" w:type="dxa"/>
            <w:right w:w="108" w:type="dxa"/>
          </w:tblCellMar>
        </w:tblPrEx>
        <w:trPr>
          <w:trHeight w:val="482" w:hRule="atLeast"/>
        </w:trPr>
        <w:tc>
          <w:tcPr>
            <w:tcW w:w="563" w:type="pct"/>
            <w:tcBorders>
              <w:top w:val="nil"/>
              <w:left w:val="single" w:color="auto" w:sz="4" w:space="0"/>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3</w:t>
            </w:r>
          </w:p>
        </w:tc>
        <w:tc>
          <w:tcPr>
            <w:tcW w:w="1294" w:type="pct"/>
            <w:tcBorders>
              <w:top w:val="nil"/>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产出</w:t>
            </w:r>
          </w:p>
        </w:tc>
        <w:tc>
          <w:tcPr>
            <w:tcW w:w="180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32.00 </w:t>
            </w:r>
          </w:p>
        </w:tc>
        <w:tc>
          <w:tcPr>
            <w:tcW w:w="185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25.83 </w:t>
            </w:r>
          </w:p>
        </w:tc>
        <w:tc>
          <w:tcPr>
            <w:tcW w:w="20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80.72%</w:t>
            </w:r>
          </w:p>
        </w:tc>
      </w:tr>
      <w:tr>
        <w:tblPrEx>
          <w:tblCellMar>
            <w:top w:w="0" w:type="dxa"/>
            <w:left w:w="108" w:type="dxa"/>
            <w:bottom w:w="0" w:type="dxa"/>
            <w:right w:w="108" w:type="dxa"/>
          </w:tblCellMar>
        </w:tblPrEx>
        <w:trPr>
          <w:trHeight w:val="482" w:hRule="atLeast"/>
        </w:trPr>
        <w:tc>
          <w:tcPr>
            <w:tcW w:w="563" w:type="pct"/>
            <w:tcBorders>
              <w:top w:val="nil"/>
              <w:left w:val="single" w:color="auto" w:sz="4" w:space="0"/>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4</w:t>
            </w:r>
          </w:p>
        </w:tc>
        <w:tc>
          <w:tcPr>
            <w:tcW w:w="1294" w:type="pct"/>
            <w:tcBorders>
              <w:top w:val="nil"/>
              <w:left w:val="nil"/>
              <w:bottom w:val="single" w:color="auto" w:sz="4" w:space="0"/>
              <w:right w:val="single" w:color="auto" w:sz="4" w:space="0"/>
            </w:tcBorders>
            <w:noWrap w:val="0"/>
            <w:vAlign w:val="center"/>
          </w:tcPr>
          <w:p>
            <w:pPr>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lang w:bidi="ar"/>
              </w:rPr>
              <w:t>效益</w:t>
            </w:r>
          </w:p>
        </w:tc>
        <w:tc>
          <w:tcPr>
            <w:tcW w:w="180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sz w:val="24"/>
                <w:szCs w:val="24"/>
                <w:highlight w:val="none"/>
                <w:lang w:val="en-US"/>
              </w:rPr>
            </w:pPr>
            <w:r>
              <w:rPr>
                <w:rFonts w:hint="eastAsia" w:ascii="仿宋_GB2312" w:hAnsi="宋体" w:eastAsia="仿宋_GB2312" w:cs="仿宋_GB2312"/>
                <w:i w:val="0"/>
                <w:iCs w:val="0"/>
                <w:color w:val="000000"/>
                <w:kern w:val="0"/>
                <w:sz w:val="24"/>
                <w:szCs w:val="24"/>
                <w:u w:val="none"/>
                <w:lang w:val="en-US" w:eastAsia="zh-CN" w:bidi="ar"/>
              </w:rPr>
              <w:t xml:space="preserve">30.00 </w:t>
            </w:r>
          </w:p>
        </w:tc>
        <w:tc>
          <w:tcPr>
            <w:tcW w:w="185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 xml:space="preserve">21.73 </w:t>
            </w:r>
          </w:p>
        </w:tc>
        <w:tc>
          <w:tcPr>
            <w:tcW w:w="20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sz w:val="24"/>
                <w:szCs w:val="24"/>
                <w:highlight w:val="none"/>
              </w:rPr>
            </w:pPr>
            <w:r>
              <w:rPr>
                <w:rFonts w:hint="eastAsia" w:ascii="仿宋_GB2312" w:hAnsi="宋体" w:eastAsia="仿宋_GB2312" w:cs="仿宋_GB2312"/>
                <w:i w:val="0"/>
                <w:iCs w:val="0"/>
                <w:color w:val="000000"/>
                <w:kern w:val="0"/>
                <w:sz w:val="24"/>
                <w:szCs w:val="24"/>
                <w:u w:val="none"/>
                <w:lang w:val="en-US" w:eastAsia="zh-CN" w:bidi="ar"/>
              </w:rPr>
              <w:t>72.43%</w:t>
            </w:r>
          </w:p>
        </w:tc>
      </w:tr>
      <w:tr>
        <w:tblPrEx>
          <w:tblCellMar>
            <w:top w:w="0" w:type="dxa"/>
            <w:left w:w="108" w:type="dxa"/>
            <w:bottom w:w="0" w:type="dxa"/>
            <w:right w:w="108" w:type="dxa"/>
          </w:tblCellMar>
        </w:tblPrEx>
        <w:trPr>
          <w:trHeight w:val="482" w:hRule="atLeast"/>
        </w:trPr>
        <w:tc>
          <w:tcPr>
            <w:tcW w:w="1858" w:type="pct"/>
            <w:gridSpan w:val="2"/>
            <w:tcBorders>
              <w:top w:val="single" w:color="auto" w:sz="4" w:space="0"/>
              <w:left w:val="single" w:color="auto" w:sz="4" w:space="0"/>
              <w:bottom w:val="single" w:color="auto" w:sz="4" w:space="0"/>
              <w:right w:val="single" w:color="000000" w:sz="4" w:space="0"/>
            </w:tcBorders>
            <w:noWrap w:val="0"/>
            <w:vAlign w:val="center"/>
          </w:tcPr>
          <w:p>
            <w:pPr>
              <w:jc w:val="center"/>
              <w:textAlignment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sz w:val="24"/>
                <w:szCs w:val="24"/>
                <w:highlight w:val="none"/>
                <w:lang w:bidi="ar"/>
              </w:rPr>
              <w:t>合 计</w:t>
            </w:r>
          </w:p>
        </w:tc>
        <w:tc>
          <w:tcPr>
            <w:tcW w:w="180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bCs/>
                <w:sz w:val="24"/>
                <w:szCs w:val="24"/>
                <w:highlight w:val="none"/>
              </w:rPr>
            </w:pPr>
            <w:r>
              <w:rPr>
                <w:rFonts w:hint="eastAsia" w:ascii="仿宋_GB2312" w:hAnsi="宋体" w:eastAsia="仿宋_GB2312" w:cs="仿宋_GB2312"/>
                <w:b/>
                <w:bCs/>
                <w:i w:val="0"/>
                <w:iCs w:val="0"/>
                <w:color w:val="000000"/>
                <w:kern w:val="0"/>
                <w:sz w:val="24"/>
                <w:szCs w:val="24"/>
                <w:u w:val="none"/>
                <w:lang w:val="en-US" w:eastAsia="zh-CN" w:bidi="ar"/>
              </w:rPr>
              <w:t xml:space="preserve">100.00 </w:t>
            </w:r>
          </w:p>
        </w:tc>
        <w:tc>
          <w:tcPr>
            <w:tcW w:w="185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仿宋_GB2312" w:hAnsi="仿宋_GB2312" w:eastAsia="仿宋_GB2312" w:cs="仿宋_GB2312"/>
                <w:b/>
                <w:bCs/>
                <w:sz w:val="24"/>
                <w:szCs w:val="24"/>
                <w:highlight w:val="none"/>
                <w:lang w:val="en-US"/>
              </w:rPr>
            </w:pPr>
            <w:r>
              <w:rPr>
                <w:rFonts w:hint="eastAsia" w:ascii="仿宋_GB2312" w:hAnsi="宋体" w:eastAsia="仿宋_GB2312" w:cs="仿宋_GB2312"/>
                <w:b/>
                <w:bCs/>
                <w:i w:val="0"/>
                <w:iCs w:val="0"/>
                <w:color w:val="000000"/>
                <w:kern w:val="0"/>
                <w:sz w:val="24"/>
                <w:szCs w:val="24"/>
                <w:u w:val="none"/>
                <w:lang w:val="en-US" w:eastAsia="zh-CN" w:bidi="ar"/>
              </w:rPr>
              <w:t xml:space="preserve">81.29 </w:t>
            </w:r>
          </w:p>
        </w:tc>
        <w:tc>
          <w:tcPr>
            <w:tcW w:w="20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仿宋_GB2312" w:hAnsi="仿宋_GB2312" w:eastAsia="仿宋_GB2312" w:cs="仿宋_GB2312"/>
                <w:b/>
                <w:bCs/>
                <w:sz w:val="24"/>
                <w:szCs w:val="24"/>
                <w:highlight w:val="none"/>
              </w:rPr>
            </w:pPr>
            <w:r>
              <w:rPr>
                <w:rFonts w:hint="eastAsia" w:ascii="仿宋_GB2312" w:hAnsi="宋体" w:eastAsia="仿宋_GB2312" w:cs="仿宋_GB2312"/>
                <w:b/>
                <w:bCs/>
                <w:i w:val="0"/>
                <w:iCs w:val="0"/>
                <w:color w:val="000000"/>
                <w:kern w:val="0"/>
                <w:sz w:val="24"/>
                <w:szCs w:val="24"/>
                <w:u w:val="none"/>
                <w:lang w:val="en-US" w:eastAsia="zh-CN" w:bidi="ar"/>
              </w:rPr>
              <w:t>81.29%</w:t>
            </w:r>
          </w:p>
        </w:tc>
      </w:tr>
    </w:tbl>
    <w:p>
      <w:pPr>
        <w:pStyle w:val="4"/>
        <w:rPr>
          <w:lang w:val="zh-CN"/>
        </w:rPr>
      </w:pPr>
      <w:bookmarkStart w:id="112" w:name="_Toc4785"/>
      <w:bookmarkStart w:id="113" w:name="_Toc13526"/>
      <w:bookmarkStart w:id="114" w:name="_Toc32"/>
      <w:bookmarkStart w:id="115" w:name="_Toc8044"/>
      <w:bookmarkStart w:id="116" w:name="_Toc4285"/>
      <w:bookmarkStart w:id="117" w:name="_Toc2046"/>
      <w:bookmarkStart w:id="118" w:name="_Toc31423"/>
      <w:bookmarkStart w:id="119" w:name="_Toc21791"/>
      <w:bookmarkStart w:id="120" w:name="_Toc20681"/>
      <w:bookmarkStart w:id="121" w:name="_Toc100478451"/>
      <w:bookmarkStart w:id="122" w:name="_Toc19164"/>
      <w:bookmarkStart w:id="123" w:name="_Toc26549"/>
      <w:bookmarkStart w:id="124" w:name="_Toc22471"/>
      <w:bookmarkStart w:id="125" w:name="_Toc7553"/>
      <w:bookmarkStart w:id="126" w:name="_Toc9827"/>
      <w:r>
        <w:fldChar w:fldCharType="begin"/>
      </w:r>
      <w:r>
        <w:instrText xml:space="preserve"> HYPERLINK \l "_Toc434746187" </w:instrText>
      </w:r>
      <w:r>
        <w:fldChar w:fldCharType="separate"/>
      </w:r>
      <w:bookmarkStart w:id="127" w:name="_Toc38035221"/>
      <w:r>
        <w:rPr>
          <w:rFonts w:hint="eastAsia"/>
          <w:lang w:val="zh-CN"/>
        </w:rPr>
        <w:t>（二）绩效目标及指标完成情况</w:t>
      </w:r>
      <w:bookmarkEnd w:id="127"/>
      <w:r>
        <w:rPr>
          <w:rFonts w:hint="eastAsia"/>
          <w:lang w:val="zh-CN"/>
        </w:rPr>
        <w:fldChar w:fldCharType="end"/>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rPr>
      </w:pPr>
      <w:bookmarkStart w:id="128" w:name="_Toc819179415"/>
      <w:bookmarkStart w:id="129" w:name="_Toc4495"/>
      <w:r>
        <w:rPr>
          <w:rFonts w:hint="eastAsia" w:ascii="仿宋_GB2312" w:hAnsi="仿宋_GB2312" w:eastAsia="仿宋_GB2312" w:cs="仿宋_GB2312"/>
          <w:spacing w:val="6"/>
          <w:sz w:val="32"/>
          <w:szCs w:val="32"/>
          <w:lang w:val="en-US" w:eastAsia="zh-CN"/>
        </w:rPr>
        <w:t>根据区民政局提供的2021年工作总结、财务及业务等资料，绩效再评价小组归纳梳理出区民政局2021年度部门整体支出</w:t>
      </w:r>
      <w:r>
        <w:rPr>
          <w:rFonts w:hint="eastAsia" w:ascii="仿宋_GB2312" w:hAnsi="仿宋_GB2312" w:eastAsia="仿宋_GB2312" w:cs="仿宋_GB2312"/>
          <w:spacing w:val="6"/>
          <w:sz w:val="32"/>
          <w:szCs w:val="32"/>
        </w:rPr>
        <w:t>绩效目标</w:t>
      </w:r>
      <w:r>
        <w:rPr>
          <w:rFonts w:hint="eastAsia" w:ascii="仿宋_GB2312" w:hAnsi="仿宋_GB2312" w:eastAsia="仿宋_GB2312" w:cs="仿宋_GB2312"/>
          <w:spacing w:val="6"/>
          <w:sz w:val="32"/>
          <w:szCs w:val="32"/>
          <w:lang w:val="en-US" w:eastAsia="zh-CN"/>
        </w:rPr>
        <w:t>及指标</w:t>
      </w:r>
      <w:r>
        <w:rPr>
          <w:rFonts w:hint="eastAsia" w:ascii="仿宋_GB2312" w:hAnsi="仿宋_GB2312" w:eastAsia="仿宋_GB2312" w:cs="仿宋_GB2312"/>
          <w:spacing w:val="6"/>
          <w:sz w:val="32"/>
          <w:szCs w:val="32"/>
        </w:rPr>
        <w:t>完成情况如下：</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354"/>
        <w:gridCol w:w="3093"/>
        <w:gridCol w:w="1600"/>
        <w:gridCol w:w="1253"/>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3295" w:type="pct"/>
            <w:gridSpan w:val="3"/>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2021年总体目标</w:t>
            </w:r>
          </w:p>
        </w:tc>
        <w:tc>
          <w:tcPr>
            <w:tcW w:w="1704"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2021年总体目标完成情况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95" w:type="pct"/>
            <w:gridSpan w:val="3"/>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目标1：对享受高龄老人长寿补贴、事实无人抚养儿童开展生活费发放工作；完成新建或资助养老服务相关工作。</w:t>
            </w:r>
          </w:p>
        </w:tc>
        <w:tc>
          <w:tcPr>
            <w:tcW w:w="1704"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部分完成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95" w:type="pct"/>
            <w:gridSpan w:val="3"/>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目标2：保障特殊低保家庭救助发放，提高低保家庭生活水平。</w:t>
            </w:r>
          </w:p>
        </w:tc>
        <w:tc>
          <w:tcPr>
            <w:tcW w:w="1704"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95" w:type="pct"/>
            <w:gridSpan w:val="3"/>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目标3：实施云岩区社区“两委”8+2配置模式，完成党务、居委“双助理”选聘到岗；完成第十一届村（居）委会换届选举工作。</w:t>
            </w:r>
          </w:p>
        </w:tc>
        <w:tc>
          <w:tcPr>
            <w:tcW w:w="1704"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95" w:type="pct"/>
            <w:gridSpan w:val="3"/>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目标4：实际建成平价墓位600个。</w:t>
            </w:r>
          </w:p>
        </w:tc>
        <w:tc>
          <w:tcPr>
            <w:tcW w:w="1704"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23" w:type="pct"/>
            <w:gridSpan w:val="2"/>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三级指标</w:t>
            </w:r>
          </w:p>
        </w:tc>
        <w:tc>
          <w:tcPr>
            <w:tcW w:w="87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指标值</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指标完成情况</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Fonts w:hint="eastAsia" w:ascii="仿宋_GB2312" w:hAnsi="宋体" w:eastAsia="仿宋_GB2312" w:cs="仿宋_GB2312"/>
                <w:b/>
                <w:bCs/>
                <w:i w:val="0"/>
                <w:iCs w:val="0"/>
                <w:color w:val="000000"/>
                <w:kern w:val="0"/>
                <w:sz w:val="22"/>
                <w:szCs w:val="22"/>
                <w:u w:val="none"/>
                <w:lang w:val="en-US" w:eastAsia="zh-CN" w:bidi="ar"/>
              </w:rPr>
              <w:t>完成情况说明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社会福利</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享受高龄老人长寿补贴的人数</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≥30000人</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44923人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事实无人抚养儿童</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≥100人次</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732人次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新建社区老年人日间照料中心</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1个</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改造办公养老服务机构设施</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1个</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资助养老服务机构数量</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≥13家</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021"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12家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慰问入住养老服务机构老年人数量</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≥1100人</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525人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社会救济</w:t>
            </w:r>
          </w:p>
        </w:tc>
        <w:tc>
          <w:tcPr>
            <w:tcW w:w="1685" w:type="pct"/>
            <w:tcBorders>
              <w:bottom w:val="single" w:color="auto" w:sz="4"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保障重度残疾人次</w:t>
            </w:r>
          </w:p>
        </w:tc>
        <w:tc>
          <w:tcPr>
            <w:tcW w:w="872" w:type="pct"/>
            <w:tcBorders>
              <w:bottom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≥48000人次</w:t>
            </w:r>
          </w:p>
        </w:tc>
        <w:tc>
          <w:tcPr>
            <w:tcW w:w="682" w:type="pct"/>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tcBorders>
              <w:bottom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44827人次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tcBorders>
              <w:right w:val="single" w:color="auto" w:sz="4" w:space="0"/>
            </w:tcBorders>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发放低保人次</w:t>
            </w:r>
          </w:p>
        </w:tc>
        <w:tc>
          <w:tcPr>
            <w:tcW w:w="87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≥240000人次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基本完成</w:t>
            </w:r>
          </w:p>
        </w:tc>
        <w:tc>
          <w:tcPr>
            <w:tcW w:w="102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236696人次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tcBorders>
              <w:right w:val="single" w:color="auto" w:sz="4" w:space="0"/>
            </w:tcBorders>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严重精神障碍患者</w:t>
            </w:r>
          </w:p>
        </w:tc>
        <w:tc>
          <w:tcPr>
            <w:tcW w:w="87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≥25人次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tcBorders>
              <w:right w:val="single" w:color="auto" w:sz="4" w:space="0"/>
            </w:tcBorders>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二环以内煤改用天然气、电能的低保家庭</w:t>
            </w:r>
          </w:p>
        </w:tc>
        <w:tc>
          <w:tcPr>
            <w:tcW w:w="872"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≥132000户次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114930户次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tcBorders>
              <w:right w:val="single" w:color="auto"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以商招商</w:t>
            </w:r>
          </w:p>
        </w:tc>
        <w:tc>
          <w:tcPr>
            <w:tcW w:w="16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新引进产业项目数</w:t>
            </w:r>
          </w:p>
        </w:tc>
        <w:tc>
          <w:tcPr>
            <w:tcW w:w="87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≥1个</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tcBorders>
              <w:top w:val="single" w:color="auto" w:sz="4"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邀请企业赴黔考察</w:t>
            </w:r>
          </w:p>
        </w:tc>
        <w:tc>
          <w:tcPr>
            <w:tcW w:w="872" w:type="pct"/>
            <w:tcBorders>
              <w:top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≥1家</w:t>
            </w:r>
          </w:p>
        </w:tc>
        <w:tc>
          <w:tcPr>
            <w:tcW w:w="682" w:type="pct"/>
            <w:tcBorders>
              <w:top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tcBorders>
              <w:top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“以商招商”工作中拜访辖区龙头企业、商协会</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≥4家</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拜访省市平台公司</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生态文明</w:t>
            </w:r>
          </w:p>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建设</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召开生态环境保护专题会议研究</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组织开展生态文明宣传活动</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≥2次</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参与生态文明主题志愿服务活动</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2"/>
                <w:szCs w:val="22"/>
                <w:u w:val="none"/>
                <w:lang w:val="en-US" w:eastAsia="zh-CN" w:bidi="ar"/>
              </w:rPr>
              <w:t>基层政权建设情况</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完成党务、居委“双助理”选聘到岗</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=56名</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=56名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4"/>
                <w:szCs w:val="24"/>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完成村（居）委会换届选举数量</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=162村（居）</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=162村（居）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平价墓位</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平价墓位建成情况</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≥600个</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城乡低保</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城乡低保救助覆盖率</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=100%</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未统计城乡低保人数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社会救助</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社会救助补助发放</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合规</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社会福利</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社会福利补助发放合规情况</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合规</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2"/>
                <w:szCs w:val="22"/>
                <w:u w:val="none"/>
                <w:lang w:val="en-US" w:eastAsia="zh-CN" w:bidi="ar"/>
              </w:rPr>
              <w:t>边界联检</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边界联检执行情况</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完成</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儿童动态管理</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儿童动态管理及时性</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实时更新</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实时更新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低保发放</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低保发放及时性</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每月10日至12日</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每月12日之前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散居孤儿生活费</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散居孤儿生活费发放</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每月31日前</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每月31日前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城乡低保</w:t>
            </w: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城乡低保提标工作</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按标准执行</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按标准执行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政策知晓率</w:t>
            </w:r>
          </w:p>
        </w:tc>
        <w:tc>
          <w:tcPr>
            <w:tcW w:w="1685"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城乡低保政策知晓率</w:t>
            </w:r>
          </w:p>
        </w:tc>
        <w:tc>
          <w:tcPr>
            <w:tcW w:w="872"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≥95%</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未完成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restar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满意度</w:t>
            </w:r>
          </w:p>
        </w:tc>
        <w:tc>
          <w:tcPr>
            <w:tcW w:w="1685"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高老龄人员满意度</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低保人员满意度</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7" w:type="pct"/>
            <w:vMerge w:val="continue"/>
            <w:shd w:val="clear" w:color="auto" w:fill="auto"/>
            <w:noWrap/>
            <w:vAlign w:val="center"/>
          </w:tcPr>
          <w:p>
            <w:pPr>
              <w:jc w:val="left"/>
              <w:rPr>
                <w:rFonts w:hint="eastAsia" w:ascii="仿宋_GB2312" w:hAnsi="宋体" w:eastAsia="仿宋_GB2312" w:cs="仿宋_GB2312"/>
                <w:i w:val="0"/>
                <w:iCs w:val="0"/>
                <w:color w:val="000000"/>
                <w:sz w:val="22"/>
                <w:szCs w:val="22"/>
                <w:u w:val="none"/>
              </w:rPr>
            </w:pPr>
          </w:p>
        </w:tc>
        <w:tc>
          <w:tcPr>
            <w:tcW w:w="1685" w:type="pct"/>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特困供养人员满意度</w:t>
            </w:r>
          </w:p>
        </w:tc>
        <w:tc>
          <w:tcPr>
            <w:tcW w:w="872" w:type="pct"/>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w:t>
            </w:r>
          </w:p>
        </w:tc>
        <w:tc>
          <w:tcPr>
            <w:tcW w:w="682" w:type="pc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已完成</w:t>
            </w:r>
          </w:p>
        </w:tc>
        <w:tc>
          <w:tcPr>
            <w:tcW w:w="1021" w:type="pct"/>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94.55%</w:t>
            </w:r>
          </w:p>
        </w:tc>
      </w:tr>
      <w:bookmarkEnd w:id="128"/>
      <w:bookmarkEnd w:id="129"/>
    </w:tbl>
    <w:p>
      <w:pPr>
        <w:widowControl w:val="0"/>
        <w:adjustRightInd/>
        <w:spacing w:line="590" w:lineRule="exact"/>
        <w:ind w:firstLine="664" w:firstLineChars="200"/>
        <w:jc w:val="both"/>
        <w:outlineLvl w:val="0"/>
        <w:rPr>
          <w:rFonts w:hint="eastAsia" w:ascii="楷体_GB2312" w:hAnsi="仿宋" w:eastAsia="楷体_GB2312" w:cs="Times New Roman"/>
          <w:spacing w:val="6"/>
          <w:sz w:val="32"/>
          <w:szCs w:val="32"/>
          <w:highlight w:val="none"/>
          <w:lang w:val="zh-CN"/>
        </w:rPr>
      </w:pPr>
      <w:bookmarkStart w:id="130" w:name="_Toc8026"/>
      <w:bookmarkStart w:id="131" w:name="_Toc25704"/>
      <w:bookmarkStart w:id="132" w:name="_Toc354594754"/>
      <w:bookmarkStart w:id="133" w:name="_Toc26432"/>
      <w:bookmarkStart w:id="134" w:name="_Toc13210"/>
      <w:bookmarkStart w:id="135" w:name="_Toc17812"/>
      <w:bookmarkStart w:id="136" w:name="_Toc29739"/>
      <w:bookmarkStart w:id="137" w:name="_Toc28920"/>
      <w:bookmarkStart w:id="138" w:name="_Toc531300196"/>
      <w:bookmarkStart w:id="139" w:name="_Toc2359"/>
      <w:bookmarkStart w:id="140" w:name="_Toc15880"/>
      <w:bookmarkStart w:id="141" w:name="_Toc18715"/>
      <w:bookmarkStart w:id="142" w:name="_Toc38035228"/>
      <w:bookmarkStart w:id="143" w:name="_Toc2903"/>
      <w:bookmarkStart w:id="144" w:name="_Toc2915"/>
      <w:bookmarkStart w:id="145" w:name="_Toc23884"/>
      <w:bookmarkStart w:id="146" w:name="_Toc2434"/>
      <w:r>
        <w:rPr>
          <w:rFonts w:hint="eastAsia" w:ascii="黑体" w:hAnsi="黑体" w:eastAsia="黑体"/>
          <w:spacing w:val="6"/>
          <w:sz w:val="32"/>
          <w:szCs w:val="32"/>
          <w:highlight w:val="none"/>
          <w:lang w:eastAsia="zh-CN"/>
        </w:rPr>
        <w:t>三</w:t>
      </w:r>
      <w:r>
        <w:rPr>
          <w:rFonts w:hint="eastAsia" w:ascii="黑体" w:hAnsi="黑体" w:eastAsia="黑体"/>
          <w:spacing w:val="6"/>
          <w:sz w:val="32"/>
          <w:szCs w:val="32"/>
          <w:highlight w:val="none"/>
        </w:rPr>
        <w:t>、存在的主要问题</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pPr>
        <w:pStyle w:val="4"/>
        <w:rPr>
          <w:rFonts w:asciiTheme="minorHAnsi" w:hAnsiTheme="minorHAnsi" w:eastAsiaTheme="minorEastAsia" w:cstheme="minorBidi"/>
          <w:spacing w:val="0"/>
          <w:sz w:val="32"/>
          <w:szCs w:val="22"/>
        </w:rPr>
      </w:pPr>
      <w:bookmarkStart w:id="147" w:name="_Toc15053"/>
      <w:bookmarkStart w:id="148" w:name="_Toc30129"/>
      <w:bookmarkStart w:id="149" w:name="_Toc11289"/>
      <w:bookmarkStart w:id="150" w:name="_Toc22245"/>
      <w:bookmarkStart w:id="151" w:name="_Toc14690"/>
      <w:r>
        <w:rPr>
          <w:rFonts w:hint="default" w:ascii="楷体_GB2312" w:hAnsi="仿宋" w:eastAsia="楷体_GB2312" w:cs="Times New Roman"/>
          <w:spacing w:val="6"/>
          <w:kern w:val="2"/>
          <w:sz w:val="32"/>
          <w:szCs w:val="32"/>
          <w:highlight w:val="none"/>
          <w:lang w:val="zh-CN" w:eastAsia="zh-CN"/>
        </w:rPr>
        <w:t>（一）制度管理</w:t>
      </w:r>
      <w:r>
        <w:rPr>
          <w:rFonts w:hint="default" w:ascii="楷体_GB2312" w:hAnsi="仿宋" w:eastAsia="楷体_GB2312" w:cs="Times New Roman"/>
          <w:spacing w:val="6"/>
          <w:kern w:val="2"/>
          <w:sz w:val="32"/>
          <w:szCs w:val="32"/>
          <w:highlight w:val="none"/>
          <w:lang w:val="zh-CN"/>
        </w:rPr>
        <w:t>方面</w:t>
      </w:r>
      <w:bookmarkEnd w:id="147"/>
      <w:bookmarkEnd w:id="148"/>
      <w:bookmarkEnd w:id="149"/>
      <w:bookmarkEnd w:id="150"/>
      <w:bookmarkEnd w:id="151"/>
    </w:p>
    <w:p>
      <w:pPr>
        <w:widowControl w:val="0"/>
        <w:spacing w:line="590" w:lineRule="exact"/>
        <w:ind w:firstLine="664" w:firstLineChars="200"/>
        <w:jc w:val="both"/>
        <w:rPr>
          <w:rFonts w:hint="eastAsia" w:ascii="仿宋_GB2312" w:hAnsi="仿宋_GB2312" w:eastAsia="仿宋_GB2312" w:cs="仿宋_GB2312"/>
          <w:bCs/>
          <w:spacing w:val="6"/>
          <w:kern w:val="0"/>
          <w:sz w:val="32"/>
          <w:szCs w:val="32"/>
          <w:highlight w:val="none"/>
        </w:rPr>
      </w:pPr>
      <w:r>
        <w:rPr>
          <w:rFonts w:hint="eastAsia" w:ascii="仿宋_GB2312" w:hAnsi="仿宋_GB2312" w:eastAsia="仿宋_GB2312" w:cs="仿宋_GB2312"/>
          <w:spacing w:val="6"/>
          <w:sz w:val="32"/>
          <w:szCs w:val="32"/>
          <w:highlight w:val="none"/>
          <w:lang w:val="en-US" w:eastAsia="zh-CN"/>
        </w:rPr>
        <w:t>1</w:t>
      </w:r>
      <w:r>
        <w:rPr>
          <w:rFonts w:hint="eastAsia" w:ascii="仿宋" w:hAnsi="仿宋" w:eastAsia="仿宋" w:cs="仿宋"/>
          <w:spacing w:val="6"/>
          <w:sz w:val="32"/>
          <w:szCs w:val="32"/>
          <w:highlight w:val="none"/>
          <w:lang w:val="en-US" w:eastAsia="zh-CN"/>
        </w:rPr>
        <w:t>．</w:t>
      </w:r>
      <w:r>
        <w:rPr>
          <w:rFonts w:hint="eastAsia" w:ascii="仿宋_GB2312" w:hAnsi="仿宋_GB2312" w:eastAsia="仿宋_GB2312" w:cs="仿宋_GB2312"/>
          <w:bCs/>
          <w:spacing w:val="6"/>
          <w:kern w:val="0"/>
          <w:sz w:val="32"/>
          <w:szCs w:val="32"/>
          <w:highlight w:val="none"/>
          <w:lang w:val="en-US" w:eastAsia="zh-CN"/>
        </w:rPr>
        <w:t>部分</w:t>
      </w:r>
      <w:r>
        <w:rPr>
          <w:rFonts w:hint="eastAsia" w:ascii="仿宋_GB2312" w:hAnsi="仿宋_GB2312" w:eastAsia="仿宋_GB2312" w:cs="仿宋_GB2312"/>
          <w:bCs/>
          <w:spacing w:val="6"/>
          <w:kern w:val="0"/>
          <w:sz w:val="32"/>
          <w:szCs w:val="32"/>
          <w:highlight w:val="none"/>
        </w:rPr>
        <w:t>资产账实不符</w:t>
      </w:r>
    </w:p>
    <w:p>
      <w:pPr>
        <w:widowControl w:val="0"/>
        <w:spacing w:line="590" w:lineRule="exact"/>
        <w:ind w:firstLine="664" w:firstLineChars="200"/>
        <w:jc w:val="both"/>
        <w:rPr>
          <w:rFonts w:hint="eastAsia" w:ascii="仿宋_GB2312" w:hAnsi="仿宋_GB2312" w:eastAsia="仿宋_GB2312" w:cs="仿宋_GB2312"/>
          <w:bCs/>
          <w:spacing w:val="6"/>
          <w:kern w:val="0"/>
          <w:sz w:val="32"/>
          <w:szCs w:val="32"/>
          <w:highlight w:val="none"/>
        </w:rPr>
      </w:pPr>
      <w:r>
        <w:rPr>
          <w:rFonts w:hint="eastAsia" w:ascii="仿宋_GB2312" w:hAnsi="仿宋_GB2312" w:eastAsia="仿宋_GB2312" w:cs="仿宋_GB2312"/>
          <w:spacing w:val="6"/>
          <w:sz w:val="32"/>
          <w:szCs w:val="32"/>
          <w:highlight w:val="none"/>
          <w:lang w:val="en-US" w:eastAsia="zh-CN"/>
        </w:rPr>
        <w:t>根据云岩区国有资产管理服务中心文件《关于将云岩区民政局经营性资产交由区国控集团经营管理的通知》及云岩区人民政府办公室《关于云岩区属国有资产清理整合及划转工作实施方案》的通知，将区民政局所属曦阳老龄公寓9498.67平方米的资产管理权移交区国控集团进行经营管理，资产产权划转至贵阳云尚城市资产运营有限公司；截至本次绩效评价现场日，以上资产</w:t>
      </w:r>
      <w:r>
        <w:rPr>
          <w:rFonts w:hint="eastAsia" w:ascii="仿宋_GB2312" w:hAnsi="仿宋_GB2312" w:eastAsia="仿宋_GB2312" w:cs="仿宋_GB2312"/>
          <w:bCs/>
          <w:spacing w:val="6"/>
          <w:kern w:val="0"/>
          <w:sz w:val="32"/>
          <w:szCs w:val="32"/>
          <w:highlight w:val="none"/>
        </w:rPr>
        <w:t>移交手续已办理，</w:t>
      </w:r>
      <w:r>
        <w:rPr>
          <w:rFonts w:hint="eastAsia" w:ascii="仿宋_GB2312" w:hAnsi="仿宋_GB2312" w:eastAsia="仿宋_GB2312" w:cs="仿宋_GB2312"/>
          <w:bCs/>
          <w:spacing w:val="6"/>
          <w:kern w:val="0"/>
          <w:sz w:val="32"/>
          <w:szCs w:val="32"/>
          <w:highlight w:val="none"/>
          <w:lang w:val="en-US" w:eastAsia="zh-CN"/>
        </w:rPr>
        <w:t>但</w:t>
      </w:r>
      <w:r>
        <w:rPr>
          <w:rFonts w:hint="eastAsia" w:ascii="仿宋_GB2312" w:hAnsi="仿宋_GB2312" w:eastAsia="仿宋_GB2312" w:cs="仿宋_GB2312"/>
          <w:bCs/>
          <w:spacing w:val="6"/>
          <w:kern w:val="0"/>
          <w:sz w:val="32"/>
          <w:szCs w:val="32"/>
          <w:highlight w:val="none"/>
        </w:rPr>
        <w:t>资产卡片账和财务账均未下账，账实不符。</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2</w:t>
      </w:r>
      <w:r>
        <w:rPr>
          <w:rFonts w:hint="eastAsia" w:ascii="仿宋" w:hAnsi="仿宋" w:eastAsia="仿宋" w:cs="仿宋"/>
          <w:spacing w:val="6"/>
          <w:sz w:val="32"/>
          <w:szCs w:val="32"/>
          <w:highlight w:val="none"/>
          <w:lang w:val="en-US" w:eastAsia="zh-CN"/>
        </w:rPr>
        <w:t>．</w:t>
      </w:r>
      <w:r>
        <w:rPr>
          <w:rFonts w:hint="eastAsia" w:ascii="仿宋_GB2312" w:hAnsi="仿宋_GB2312" w:eastAsia="仿宋_GB2312" w:cs="仿宋_GB2312"/>
          <w:spacing w:val="6"/>
          <w:sz w:val="32"/>
          <w:szCs w:val="32"/>
          <w:highlight w:val="none"/>
        </w:rPr>
        <w:t>未按</w:t>
      </w:r>
      <w:r>
        <w:rPr>
          <w:rFonts w:hint="eastAsia" w:ascii="仿宋_GB2312" w:hAnsi="仿宋_GB2312" w:eastAsia="仿宋_GB2312" w:cs="仿宋_GB2312"/>
          <w:spacing w:val="6"/>
          <w:sz w:val="32"/>
          <w:szCs w:val="32"/>
          <w:highlight w:val="none"/>
          <w:lang w:val="en-US" w:eastAsia="zh-CN"/>
        </w:rPr>
        <w:t>内控制度规定对固定资产进行清查盘点</w:t>
      </w:r>
    </w:p>
    <w:p>
      <w:pPr>
        <w:pStyle w:val="2"/>
        <w:spacing w:line="590" w:lineRule="exact"/>
        <w:rPr>
          <w:highlight w:val="none"/>
          <w:lang w:val="zh-CN"/>
        </w:rPr>
      </w:pPr>
      <w:r>
        <w:rPr>
          <w:rFonts w:hint="eastAsia" w:ascii="仿宋_GB2312" w:hAnsi="仿宋_GB2312" w:eastAsia="仿宋_GB2312" w:cs="仿宋_GB2312"/>
          <w:spacing w:val="6"/>
          <w:sz w:val="32"/>
          <w:szCs w:val="32"/>
          <w:highlight w:val="none"/>
        </w:rPr>
        <w:t>为规范和加强国有资产管理内部控制，强化国有资产管理责任，维护国有资产的安全和完整，防止国有资产流失，确保国有资产保值、增值，提高国有资产使用效益，区民政局制定了《资产管理制度》</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资产清查盘点管理制度</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，制度要求定期或不定期地对固定资产进行清查、盘点，确保账、卡、物相符，但实际</w:t>
      </w:r>
      <w:r>
        <w:rPr>
          <w:rFonts w:hint="eastAsia" w:ascii="仿宋_GB2312" w:hAnsi="仿宋_GB2312" w:eastAsia="仿宋_GB2312" w:cs="仿宋_GB2312"/>
          <w:spacing w:val="6"/>
          <w:sz w:val="32"/>
          <w:szCs w:val="32"/>
          <w:highlight w:val="none"/>
          <w:lang w:val="en-US" w:eastAsia="zh-CN"/>
        </w:rPr>
        <w:t>2021</w:t>
      </w:r>
      <w:r>
        <w:rPr>
          <w:rFonts w:hint="eastAsia" w:ascii="仿宋_GB2312" w:hAnsi="仿宋_GB2312" w:eastAsia="仿宋_GB2312" w:cs="仿宋_GB2312"/>
          <w:spacing w:val="6"/>
          <w:sz w:val="32"/>
          <w:szCs w:val="32"/>
          <w:highlight w:val="none"/>
        </w:rPr>
        <w:t>年度区民政局未对固定资产进行盘点。</w:t>
      </w:r>
    </w:p>
    <w:p>
      <w:pPr>
        <w:pStyle w:val="4"/>
        <w:rPr>
          <w:rFonts w:hint="default" w:ascii="楷体_GB2312" w:hAnsi="仿宋" w:eastAsia="楷体_GB2312" w:cs="Times New Roman"/>
          <w:spacing w:val="6"/>
          <w:kern w:val="2"/>
          <w:sz w:val="32"/>
          <w:szCs w:val="32"/>
          <w:highlight w:val="none"/>
          <w:lang w:val="zh-CN"/>
        </w:rPr>
      </w:pPr>
      <w:bookmarkStart w:id="152" w:name="_Toc7855"/>
      <w:bookmarkStart w:id="153" w:name="_Toc24782"/>
      <w:bookmarkStart w:id="154" w:name="_Toc25606"/>
      <w:bookmarkStart w:id="155" w:name="_Toc9372"/>
      <w:bookmarkStart w:id="156" w:name="_Toc21690"/>
      <w:r>
        <w:rPr>
          <w:rFonts w:hint="default" w:ascii="楷体_GB2312" w:hAnsi="仿宋" w:eastAsia="楷体_GB2312" w:cs="Times New Roman"/>
          <w:spacing w:val="6"/>
          <w:kern w:val="2"/>
          <w:sz w:val="32"/>
          <w:szCs w:val="32"/>
          <w:highlight w:val="none"/>
          <w:lang w:val="zh-CN" w:eastAsia="zh-CN"/>
        </w:rPr>
        <w:t>（二）</w:t>
      </w:r>
      <w:r>
        <w:rPr>
          <w:rFonts w:hint="default" w:ascii="楷体_GB2312" w:hAnsi="仿宋" w:eastAsia="楷体_GB2312" w:cs="Times New Roman"/>
          <w:spacing w:val="6"/>
          <w:kern w:val="2"/>
          <w:sz w:val="32"/>
          <w:szCs w:val="32"/>
          <w:highlight w:val="none"/>
          <w:lang w:val="zh-CN"/>
        </w:rPr>
        <w:t>预算管理方面</w:t>
      </w:r>
      <w:bookmarkEnd w:id="152"/>
      <w:bookmarkEnd w:id="153"/>
      <w:bookmarkEnd w:id="154"/>
      <w:bookmarkEnd w:id="155"/>
      <w:bookmarkEnd w:id="156"/>
    </w:p>
    <w:p>
      <w:pPr>
        <w:pStyle w:val="2"/>
        <w:numPr>
          <w:ilvl w:val="-1"/>
          <w:numId w:val="0"/>
        </w:numPr>
        <w:spacing w:line="590" w:lineRule="exact"/>
        <w:ind w:left="0" w:firstLine="664" w:firstLineChars="200"/>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存在无预算支出。根据区民政局提供2021年预决算报表，“公务招待费”预算安排数为0万元，实际支出数为0.23万元。</w:t>
      </w:r>
    </w:p>
    <w:p>
      <w:pPr>
        <w:pStyle w:val="4"/>
        <w:rPr>
          <w:rFonts w:hint="default" w:ascii="楷体_GB2312" w:hAnsi="仿宋" w:eastAsia="楷体_GB2312" w:cs="Times New Roman"/>
          <w:spacing w:val="6"/>
          <w:kern w:val="2"/>
          <w:sz w:val="32"/>
          <w:szCs w:val="32"/>
          <w:highlight w:val="none"/>
          <w:lang w:val="zh-CN"/>
        </w:rPr>
      </w:pPr>
      <w:bookmarkStart w:id="157" w:name="_Toc11593"/>
      <w:bookmarkStart w:id="158" w:name="_Toc25384"/>
      <w:bookmarkStart w:id="159" w:name="_Toc18436"/>
      <w:bookmarkStart w:id="160" w:name="_Toc7078"/>
      <w:bookmarkStart w:id="161" w:name="_Toc7615"/>
      <w:r>
        <w:rPr>
          <w:rFonts w:hint="default" w:ascii="楷体_GB2312" w:hAnsi="仿宋" w:eastAsia="楷体_GB2312" w:cs="Times New Roman"/>
          <w:spacing w:val="6"/>
          <w:kern w:val="2"/>
          <w:sz w:val="32"/>
          <w:szCs w:val="32"/>
          <w:highlight w:val="none"/>
          <w:lang w:val="zh-CN" w:eastAsia="zh-CN"/>
        </w:rPr>
        <w:t>（三）</w:t>
      </w:r>
      <w:r>
        <w:rPr>
          <w:rFonts w:hint="default" w:ascii="楷体_GB2312" w:hAnsi="仿宋" w:eastAsia="楷体_GB2312" w:cs="Times New Roman"/>
          <w:spacing w:val="6"/>
          <w:kern w:val="2"/>
          <w:sz w:val="32"/>
          <w:szCs w:val="32"/>
          <w:highlight w:val="none"/>
          <w:lang w:val="zh-CN"/>
        </w:rPr>
        <w:t>项目管理方面</w:t>
      </w:r>
      <w:bookmarkEnd w:id="157"/>
      <w:bookmarkEnd w:id="158"/>
      <w:bookmarkEnd w:id="159"/>
      <w:bookmarkEnd w:id="160"/>
      <w:bookmarkEnd w:id="161"/>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highlight w:val="none"/>
          <w:lang w:eastAsia="zh-CN"/>
        </w:rPr>
      </w:pPr>
      <w:r>
        <w:rPr>
          <w:rFonts w:hint="eastAsia" w:ascii="仿宋_GB2312" w:hAnsi="仿宋_GB2312" w:eastAsia="仿宋_GB2312" w:cs="仿宋_GB2312"/>
          <w:spacing w:val="6"/>
          <w:sz w:val="32"/>
          <w:szCs w:val="32"/>
          <w:highlight w:val="none"/>
          <w:lang w:val="en-US" w:eastAsia="zh-CN"/>
        </w:rPr>
        <w:t>1</w:t>
      </w:r>
      <w:r>
        <w:rPr>
          <w:rFonts w:hint="eastAsia" w:ascii="仿宋" w:hAnsi="仿宋" w:eastAsia="仿宋" w:cs="仿宋"/>
          <w:spacing w:val="6"/>
          <w:sz w:val="32"/>
          <w:szCs w:val="32"/>
          <w:highlight w:val="none"/>
          <w:lang w:val="en-US" w:eastAsia="zh-CN"/>
        </w:rPr>
        <w:t>．</w:t>
      </w:r>
      <w:r>
        <w:rPr>
          <w:rFonts w:hint="eastAsia" w:ascii="仿宋_GB2312" w:hAnsi="仿宋_GB2312" w:eastAsia="仿宋_GB2312" w:cs="仿宋_GB2312"/>
          <w:spacing w:val="6"/>
          <w:sz w:val="32"/>
          <w:szCs w:val="32"/>
          <w:highlight w:val="none"/>
        </w:rPr>
        <w:t>项目支付进度率有待进一步提高</w:t>
      </w:r>
      <w:r>
        <w:rPr>
          <w:rFonts w:hint="eastAsia" w:ascii="仿宋_GB2312" w:hAnsi="仿宋_GB2312" w:eastAsia="仿宋_GB2312" w:cs="仿宋_GB2312"/>
          <w:spacing w:val="6"/>
          <w:sz w:val="32"/>
          <w:szCs w:val="32"/>
          <w:highlight w:val="none"/>
          <w:lang w:eastAsia="zh-CN"/>
        </w:rPr>
        <w:t>。</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bCs/>
          <w:spacing w:val="6"/>
          <w:kern w:val="0"/>
          <w:sz w:val="32"/>
          <w:szCs w:val="32"/>
          <w:highlight w:val="none"/>
        </w:rPr>
        <w:t>截至2021年9月区民政局</w:t>
      </w:r>
      <w:r>
        <w:rPr>
          <w:rFonts w:hint="eastAsia" w:ascii="仿宋_GB2312" w:hAnsi="仿宋_GB2312" w:eastAsia="仿宋_GB2312" w:cs="仿宋_GB2312"/>
          <w:bCs/>
          <w:spacing w:val="6"/>
          <w:kern w:val="0"/>
          <w:sz w:val="32"/>
          <w:szCs w:val="32"/>
          <w:highlight w:val="none"/>
          <w:lang w:val="en-US" w:eastAsia="zh-CN"/>
        </w:rPr>
        <w:t>项目</w:t>
      </w:r>
      <w:r>
        <w:rPr>
          <w:rFonts w:hint="eastAsia" w:ascii="仿宋_GB2312" w:hAnsi="仿宋_GB2312" w:eastAsia="仿宋_GB2312" w:cs="仿宋_GB2312"/>
          <w:bCs/>
          <w:spacing w:val="6"/>
          <w:kern w:val="0"/>
          <w:sz w:val="32"/>
          <w:szCs w:val="32"/>
          <w:highlight w:val="none"/>
        </w:rPr>
        <w:t>计划执行支付批复数3602.29万元，实际</w:t>
      </w:r>
      <w:r>
        <w:rPr>
          <w:rFonts w:hint="eastAsia" w:ascii="仿宋_GB2312" w:hAnsi="仿宋_GB2312" w:eastAsia="仿宋_GB2312" w:cs="仿宋_GB2312"/>
          <w:bCs/>
          <w:spacing w:val="6"/>
          <w:kern w:val="0"/>
          <w:sz w:val="32"/>
          <w:szCs w:val="32"/>
          <w:highlight w:val="none"/>
          <w:lang w:val="en-US" w:eastAsia="zh-CN"/>
        </w:rPr>
        <w:t>支付</w:t>
      </w:r>
      <w:r>
        <w:rPr>
          <w:rFonts w:hint="eastAsia" w:ascii="仿宋_GB2312" w:hAnsi="仿宋_GB2312" w:eastAsia="仿宋_GB2312" w:cs="仿宋_GB2312"/>
          <w:bCs/>
          <w:spacing w:val="6"/>
          <w:kern w:val="0"/>
          <w:sz w:val="32"/>
          <w:szCs w:val="32"/>
          <w:highlight w:val="none"/>
        </w:rPr>
        <w:t>2042.25万元，项目支付进度率为56.69%</w:t>
      </w:r>
      <w:r>
        <w:rPr>
          <w:rFonts w:hint="eastAsia" w:ascii="仿宋_GB2312" w:hAnsi="仿宋_GB2312" w:eastAsia="仿宋_GB2312" w:cs="仿宋_GB2312"/>
          <w:bCs/>
          <w:spacing w:val="6"/>
          <w:kern w:val="0"/>
          <w:sz w:val="32"/>
          <w:szCs w:val="32"/>
          <w:highlight w:val="none"/>
          <w:lang w:eastAsia="zh-CN"/>
        </w:rPr>
        <w:t>，</w:t>
      </w:r>
      <w:r>
        <w:rPr>
          <w:rFonts w:hint="eastAsia" w:ascii="仿宋_GB2312" w:hAnsi="仿宋_GB2312" w:eastAsia="仿宋_GB2312" w:cs="仿宋_GB2312"/>
          <w:spacing w:val="6"/>
          <w:sz w:val="32"/>
          <w:szCs w:val="32"/>
          <w:highlight w:val="none"/>
        </w:rPr>
        <w:t>项目支付进度率</w:t>
      </w:r>
      <w:r>
        <w:rPr>
          <w:rFonts w:hint="eastAsia" w:ascii="仿宋_GB2312" w:hAnsi="仿宋_GB2312" w:eastAsia="仿宋_GB2312" w:cs="仿宋_GB2312"/>
          <w:spacing w:val="6"/>
          <w:sz w:val="32"/>
          <w:szCs w:val="32"/>
          <w:highlight w:val="none"/>
          <w:lang w:val="en-US" w:eastAsia="zh-CN"/>
        </w:rPr>
        <w:t>较低。</w:t>
      </w:r>
    </w:p>
    <w:p>
      <w:pPr>
        <w:widowControl w:val="0"/>
        <w:adjustRightInd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lang w:val="en-US" w:eastAsia="zh-CN"/>
        </w:rPr>
        <w:t>2</w:t>
      </w:r>
      <w:r>
        <w:rPr>
          <w:rFonts w:hint="eastAsia" w:ascii="仿宋" w:hAnsi="仿宋" w:eastAsia="仿宋" w:cs="仿宋"/>
          <w:spacing w:val="6"/>
          <w:sz w:val="32"/>
          <w:szCs w:val="32"/>
          <w:highlight w:val="none"/>
          <w:lang w:val="en-US" w:eastAsia="zh-CN"/>
        </w:rPr>
        <w:t>．</w:t>
      </w:r>
      <w:r>
        <w:rPr>
          <w:rFonts w:hint="eastAsia" w:ascii="仿宋_GB2312" w:hAnsi="仿宋_GB2312" w:eastAsia="仿宋_GB2312" w:cs="仿宋_GB2312"/>
          <w:spacing w:val="6"/>
          <w:sz w:val="32"/>
          <w:szCs w:val="32"/>
          <w:highlight w:val="none"/>
        </w:rPr>
        <w:t>部分工作任务未按期完成。</w:t>
      </w:r>
    </w:p>
    <w:p>
      <w:pPr>
        <w:widowControl w:val="0"/>
        <w:numPr>
          <w:ilvl w:val="0"/>
          <w:numId w:val="0"/>
        </w:numPr>
        <w:spacing w:line="590" w:lineRule="exact"/>
        <w:ind w:firstLine="664" w:firstLineChars="200"/>
        <w:jc w:val="both"/>
        <w:rPr>
          <w:rFonts w:hint="eastAsia" w:ascii="仿宋_GB2312" w:hAnsi="仿宋_GB2312" w:eastAsia="仿宋_GB2312" w:cs="仿宋_GB2312"/>
          <w:bCs w:val="0"/>
          <w:spacing w:val="6"/>
          <w:kern w:val="2"/>
          <w:sz w:val="32"/>
          <w:szCs w:val="32"/>
          <w:highlight w:val="none"/>
          <w:lang w:val="en-US" w:eastAsia="zh-CN"/>
        </w:rPr>
      </w:pPr>
      <w:r>
        <w:rPr>
          <w:rFonts w:hint="eastAsia" w:ascii="仿宋_GB2312" w:hAnsi="仿宋_GB2312" w:eastAsia="仿宋_GB2312" w:cs="仿宋_GB2312"/>
          <w:spacing w:val="6"/>
          <w:sz w:val="32"/>
          <w:szCs w:val="32"/>
          <w:highlight w:val="none"/>
        </w:rPr>
        <w:t>除生态文明建设</w:t>
      </w:r>
      <w:r>
        <w:rPr>
          <w:rFonts w:hint="eastAsia" w:ascii="仿宋_GB2312" w:hAnsi="仿宋_GB2312" w:eastAsia="仿宋_GB2312" w:cs="仿宋_GB2312"/>
          <w:spacing w:val="6"/>
          <w:sz w:val="32"/>
          <w:szCs w:val="32"/>
          <w:highlight w:val="none"/>
          <w:lang w:eastAsia="zh-CN"/>
        </w:rPr>
        <w:t>、基层政权建设、平价墓位建设</w:t>
      </w:r>
      <w:r>
        <w:rPr>
          <w:rFonts w:hint="eastAsia" w:ascii="仿宋_GB2312" w:hAnsi="仿宋_GB2312" w:eastAsia="仿宋_GB2312" w:cs="仿宋_GB2312"/>
          <w:spacing w:val="6"/>
          <w:sz w:val="32"/>
          <w:szCs w:val="32"/>
          <w:highlight w:val="none"/>
        </w:rPr>
        <w:t>方面的工作任务</w:t>
      </w:r>
      <w:r>
        <w:rPr>
          <w:rFonts w:hint="eastAsia" w:ascii="仿宋_GB2312" w:hAnsi="仿宋_GB2312" w:eastAsia="仿宋_GB2312" w:cs="仿宋_GB2312"/>
          <w:spacing w:val="6"/>
          <w:sz w:val="32"/>
          <w:szCs w:val="32"/>
          <w:highlight w:val="none"/>
          <w:lang w:val="en-US" w:eastAsia="zh-CN"/>
        </w:rPr>
        <w:t>已</w:t>
      </w:r>
      <w:r>
        <w:rPr>
          <w:rFonts w:hint="eastAsia" w:ascii="仿宋_GB2312" w:hAnsi="仿宋_GB2312" w:eastAsia="仿宋_GB2312" w:cs="仿宋_GB2312"/>
          <w:spacing w:val="6"/>
          <w:sz w:val="32"/>
          <w:szCs w:val="32"/>
          <w:highlight w:val="none"/>
        </w:rPr>
        <w:t>完成外，社会福利</w:t>
      </w:r>
      <w:r>
        <w:rPr>
          <w:rFonts w:hint="eastAsia" w:ascii="仿宋_GB2312" w:hAnsi="仿宋_GB2312" w:eastAsia="仿宋_GB2312" w:cs="仿宋_GB2312"/>
          <w:spacing w:val="6"/>
          <w:sz w:val="32"/>
          <w:szCs w:val="32"/>
          <w:highlight w:val="none"/>
          <w:lang w:eastAsia="zh-CN"/>
        </w:rPr>
        <w:t>、社会救济</w:t>
      </w:r>
      <w:r>
        <w:rPr>
          <w:rFonts w:hint="eastAsia" w:ascii="仿宋_GB2312" w:hAnsi="仿宋_GB2312" w:eastAsia="仿宋_GB2312" w:cs="仿宋_GB2312"/>
          <w:spacing w:val="6"/>
          <w:sz w:val="32"/>
          <w:szCs w:val="32"/>
          <w:highlight w:val="none"/>
          <w:lang w:val="en-US" w:eastAsia="zh-CN"/>
        </w:rPr>
        <w:t>及</w:t>
      </w:r>
      <w:r>
        <w:rPr>
          <w:rFonts w:hint="eastAsia" w:ascii="仿宋_GB2312" w:hAnsi="仿宋_GB2312" w:eastAsia="仿宋_GB2312" w:cs="仿宋_GB2312"/>
          <w:spacing w:val="6"/>
          <w:sz w:val="32"/>
          <w:szCs w:val="32"/>
          <w:highlight w:val="none"/>
          <w:lang w:eastAsia="zh-CN"/>
        </w:rPr>
        <w:t>以商招商</w:t>
      </w:r>
      <w:r>
        <w:rPr>
          <w:rFonts w:hint="eastAsia" w:ascii="仿宋_GB2312" w:hAnsi="仿宋_GB2312" w:eastAsia="仿宋_GB2312" w:cs="仿宋_GB2312"/>
          <w:spacing w:val="6"/>
          <w:sz w:val="32"/>
          <w:szCs w:val="32"/>
          <w:highlight w:val="none"/>
        </w:rPr>
        <w:t>的部分工作任务未按期完成，如：</w:t>
      </w:r>
      <w:r>
        <w:rPr>
          <w:rFonts w:hint="eastAsia" w:ascii="仿宋_GB2312" w:hAnsi="仿宋_GB2312" w:eastAsia="仿宋_GB2312" w:cs="仿宋_GB2312"/>
          <w:spacing w:val="6"/>
          <w:sz w:val="32"/>
          <w:szCs w:val="32"/>
          <w:highlight w:val="none"/>
          <w:lang w:val="en-US" w:eastAsia="zh-CN"/>
        </w:rPr>
        <w:t>改造办公养老服务机构及</w:t>
      </w:r>
      <w:r>
        <w:rPr>
          <w:rFonts w:hint="eastAsia" w:ascii="仿宋_GB2312" w:hAnsi="仿宋_GB2312" w:eastAsia="仿宋_GB2312" w:cs="仿宋_GB2312"/>
          <w:spacing w:val="6"/>
          <w:sz w:val="32"/>
          <w:szCs w:val="32"/>
          <w:highlight w:val="none"/>
        </w:rPr>
        <w:t>日间照料中心</w:t>
      </w:r>
      <w:r>
        <w:rPr>
          <w:rFonts w:hint="eastAsia" w:ascii="仿宋_GB2312" w:hAnsi="仿宋_GB2312" w:eastAsia="仿宋_GB2312" w:cs="仿宋_GB2312"/>
          <w:spacing w:val="6"/>
          <w:sz w:val="32"/>
          <w:szCs w:val="32"/>
          <w:highlight w:val="none"/>
          <w:lang w:val="en-US" w:eastAsia="zh-CN"/>
        </w:rPr>
        <w:t>建设情况，重度残疾、低保人员、严重精神障碍患者、二环以内煤改用天然气、电能的低保家庭救助发放工作</w:t>
      </w:r>
      <w:r>
        <w:rPr>
          <w:rFonts w:hint="eastAsia" w:ascii="仿宋_GB2312" w:hAnsi="仿宋_GB2312" w:eastAsia="仿宋_GB2312" w:cs="仿宋_GB2312"/>
          <w:spacing w:val="6"/>
          <w:sz w:val="32"/>
          <w:szCs w:val="32"/>
          <w:highlight w:val="none"/>
        </w:rPr>
        <w:t>等。</w:t>
      </w:r>
    </w:p>
    <w:p>
      <w:pPr>
        <w:pStyle w:val="4"/>
        <w:rPr>
          <w:rFonts w:hint="default" w:ascii="楷体_GB2312" w:hAnsi="仿宋" w:eastAsia="楷体_GB2312" w:cs="Times New Roman"/>
          <w:spacing w:val="6"/>
          <w:kern w:val="2"/>
          <w:sz w:val="32"/>
          <w:szCs w:val="32"/>
          <w:highlight w:val="none"/>
          <w:lang w:val="zh-CN"/>
        </w:rPr>
      </w:pPr>
      <w:bookmarkStart w:id="162" w:name="_Toc7845"/>
      <w:bookmarkStart w:id="163" w:name="_Toc2683"/>
      <w:bookmarkStart w:id="164" w:name="_Toc10983"/>
      <w:bookmarkStart w:id="165" w:name="_Toc9960"/>
      <w:bookmarkStart w:id="166" w:name="_Toc23991"/>
      <w:r>
        <w:rPr>
          <w:rFonts w:hint="default" w:ascii="楷体_GB2312" w:hAnsi="仿宋" w:eastAsia="楷体_GB2312" w:cs="Times New Roman"/>
          <w:spacing w:val="6"/>
          <w:kern w:val="2"/>
          <w:sz w:val="32"/>
          <w:szCs w:val="32"/>
          <w:highlight w:val="none"/>
          <w:lang w:val="zh-CN" w:eastAsia="zh-CN"/>
        </w:rPr>
        <w:t>（四）</w:t>
      </w:r>
      <w:r>
        <w:rPr>
          <w:rFonts w:hint="default" w:ascii="楷体_GB2312" w:hAnsi="仿宋" w:eastAsia="楷体_GB2312" w:cs="Times New Roman"/>
          <w:spacing w:val="6"/>
          <w:kern w:val="2"/>
          <w:sz w:val="32"/>
          <w:szCs w:val="32"/>
          <w:highlight w:val="none"/>
          <w:lang w:val="zh-CN"/>
        </w:rPr>
        <w:t>绩效管理方面</w:t>
      </w:r>
      <w:bookmarkEnd w:id="162"/>
      <w:bookmarkEnd w:id="163"/>
      <w:bookmarkEnd w:id="164"/>
      <w:bookmarkEnd w:id="165"/>
      <w:bookmarkEnd w:id="166"/>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bCs/>
          <w:spacing w:val="6"/>
          <w:sz w:val="32"/>
          <w:szCs w:val="32"/>
          <w:highlight w:val="none"/>
          <w:lang w:val="en-US" w:eastAsia="zh-CN"/>
        </w:rPr>
        <w:t>区民政局已将2021年度部门整体支出绩效目标细化分解为具体绩效指标，但</w:t>
      </w:r>
      <w:r>
        <w:rPr>
          <w:rFonts w:hint="eastAsia" w:ascii="仿宋_GB2312" w:hAnsi="仿宋_GB2312" w:eastAsia="仿宋_GB2312" w:cs="仿宋_GB2312"/>
          <w:spacing w:val="6"/>
          <w:sz w:val="32"/>
          <w:szCs w:val="32"/>
          <w:highlight w:val="none"/>
        </w:rPr>
        <w:t>部分绩效指标及指标值设置</w:t>
      </w:r>
      <w:r>
        <w:rPr>
          <w:rFonts w:hint="eastAsia" w:ascii="仿宋_GB2312" w:hAnsi="仿宋_GB2312" w:eastAsia="仿宋_GB2312" w:cs="仿宋_GB2312"/>
          <w:bCs/>
          <w:spacing w:val="6"/>
          <w:sz w:val="32"/>
          <w:szCs w:val="32"/>
          <w:highlight w:val="none"/>
          <w:lang w:val="en-US" w:eastAsia="zh-CN"/>
        </w:rPr>
        <w:t>不全面、</w:t>
      </w:r>
      <w:r>
        <w:rPr>
          <w:rFonts w:hint="eastAsia" w:ascii="仿宋_GB2312" w:hAnsi="仿宋_GB2312" w:eastAsia="仿宋_GB2312" w:cs="仿宋_GB2312"/>
          <w:spacing w:val="6"/>
          <w:sz w:val="32"/>
          <w:szCs w:val="32"/>
          <w:highlight w:val="none"/>
        </w:rPr>
        <w:t>不合理</w:t>
      </w:r>
      <w:r>
        <w:rPr>
          <w:rFonts w:hint="eastAsia" w:ascii="仿宋_GB2312" w:hAnsi="仿宋_GB2312" w:eastAsia="仿宋_GB2312" w:cs="仿宋_GB2312"/>
          <w:spacing w:val="6"/>
          <w:sz w:val="32"/>
          <w:szCs w:val="32"/>
          <w:highlight w:val="none"/>
          <w:lang w:val="en-US" w:eastAsia="zh-CN"/>
        </w:rPr>
        <w:t>的情况</w:t>
      </w:r>
      <w:r>
        <w:rPr>
          <w:rFonts w:hint="eastAsia" w:ascii="仿宋_GB2312" w:hAnsi="仿宋_GB2312" w:eastAsia="仿宋_GB2312" w:cs="仿宋_GB2312"/>
          <w:bCs/>
          <w:spacing w:val="6"/>
          <w:sz w:val="32"/>
          <w:szCs w:val="32"/>
          <w:highlight w:val="none"/>
          <w:lang w:val="en-US" w:eastAsia="zh-CN"/>
        </w:rPr>
        <w:t>，</w:t>
      </w:r>
      <w:r>
        <w:rPr>
          <w:rFonts w:hint="eastAsia" w:ascii="仿宋_GB2312" w:hAnsi="仿宋_GB2312" w:eastAsia="仿宋_GB2312" w:cs="仿宋_GB2312"/>
          <w:spacing w:val="6"/>
          <w:sz w:val="32"/>
          <w:szCs w:val="32"/>
          <w:highlight w:val="none"/>
        </w:rPr>
        <w:t>如</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发展养老事业方面，数量指标仅有高龄补贴发放人次，未设置建设养老设施等绩效指标；</w:t>
      </w:r>
      <w:r>
        <w:rPr>
          <w:rFonts w:hint="eastAsia" w:ascii="仿宋_GB2312" w:hAnsi="仿宋_GB2312" w:eastAsia="仿宋_GB2312" w:cs="仿宋_GB2312"/>
          <w:bCs/>
          <w:spacing w:val="6"/>
          <w:sz w:val="32"/>
          <w:szCs w:val="32"/>
          <w:highlight w:val="none"/>
          <w:lang w:val="en-US" w:eastAsia="zh-CN"/>
        </w:rPr>
        <w:t>特困供养对象人次、发放低保人次、城乡低保慰问金发放人数、享受慰问的百岁老人人数等目标值以上一年度发放人次进行预估，导致目标值与实际完成存在差异。</w:t>
      </w:r>
    </w:p>
    <w:p>
      <w:pPr>
        <w:pStyle w:val="3"/>
        <w:rPr>
          <w:lang w:val="zh-CN"/>
        </w:rPr>
      </w:pPr>
      <w:bookmarkStart w:id="167" w:name="_Toc25401"/>
      <w:bookmarkStart w:id="168" w:name="_Toc24905"/>
      <w:bookmarkStart w:id="169" w:name="_Toc24043"/>
      <w:bookmarkStart w:id="170" w:name="_Toc38035230"/>
      <w:bookmarkStart w:id="171" w:name="_Toc1349328723"/>
      <w:bookmarkStart w:id="172" w:name="_Toc20293"/>
      <w:bookmarkStart w:id="173" w:name="_Toc32682"/>
      <w:bookmarkStart w:id="174" w:name="_Toc531300199"/>
      <w:bookmarkStart w:id="175" w:name="_Toc27381"/>
      <w:bookmarkStart w:id="176" w:name="_Toc12055"/>
      <w:bookmarkStart w:id="177" w:name="_Toc10574"/>
      <w:bookmarkStart w:id="178" w:name="_Toc23822"/>
      <w:bookmarkStart w:id="179" w:name="_Toc32538"/>
      <w:bookmarkStart w:id="180" w:name="_Toc16687"/>
      <w:bookmarkStart w:id="181" w:name="_Toc7412"/>
      <w:bookmarkStart w:id="182" w:name="_Toc18472"/>
      <w:r>
        <w:rPr>
          <w:rFonts w:hint="eastAsia"/>
          <w:lang w:val="en-US" w:eastAsia="zh-CN"/>
        </w:rPr>
        <w:t>四</w:t>
      </w:r>
      <w:r>
        <w:rPr>
          <w:rFonts w:hint="eastAsia" w:eastAsia="黑体"/>
          <w:lang w:val="en-US" w:eastAsia="zh-CN"/>
        </w:rPr>
        <w:t>、针对</w:t>
      </w:r>
      <w:r>
        <w:rPr>
          <w:rFonts w:hint="eastAsia" w:ascii="黑体" w:hAnsi="黑体" w:eastAsia="黑体"/>
          <w:spacing w:val="0"/>
          <w:sz w:val="32"/>
          <w:szCs w:val="44"/>
        </w:rPr>
        <w:t>问</w:t>
      </w:r>
      <w:r>
        <w:rPr>
          <w:rFonts w:hint="eastAsia"/>
        </w:rPr>
        <w:t>题</w:t>
      </w:r>
      <w:r>
        <w:rPr>
          <w:rFonts w:hint="eastAsia"/>
          <w:lang w:val="en-US" w:eastAsia="zh-CN"/>
        </w:rPr>
        <w:t>提出的</w:t>
      </w:r>
      <w:r>
        <w:rPr>
          <w:rFonts w:hint="eastAsia"/>
          <w:lang w:val="zh-CN"/>
        </w:rPr>
        <w:t>建议</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pPr>
        <w:pStyle w:val="4"/>
        <w:rPr>
          <w:rFonts w:hint="default" w:ascii="楷体_GB2312" w:hAnsi="仿宋" w:eastAsia="楷体_GB2312" w:cs="Times New Roman"/>
          <w:spacing w:val="6"/>
          <w:kern w:val="2"/>
          <w:sz w:val="32"/>
          <w:szCs w:val="32"/>
          <w:highlight w:val="none"/>
          <w:lang w:val="zh-CN"/>
        </w:rPr>
      </w:pPr>
      <w:bookmarkStart w:id="183" w:name="_Toc20641"/>
      <w:bookmarkStart w:id="184" w:name="_Toc23225"/>
      <w:bookmarkStart w:id="185" w:name="_Toc20377"/>
      <w:bookmarkStart w:id="186" w:name="_Toc22184"/>
      <w:bookmarkStart w:id="187" w:name="_Toc22397"/>
      <w:r>
        <w:rPr>
          <w:rFonts w:hint="default" w:ascii="楷体_GB2312" w:hAnsi="仿宋" w:eastAsia="楷体_GB2312" w:cs="Times New Roman"/>
          <w:spacing w:val="6"/>
          <w:kern w:val="2"/>
          <w:sz w:val="32"/>
          <w:szCs w:val="32"/>
          <w:highlight w:val="none"/>
          <w:lang w:val="zh-CN" w:eastAsia="zh-CN"/>
        </w:rPr>
        <w:t>（一）</w:t>
      </w:r>
      <w:r>
        <w:rPr>
          <w:rFonts w:hint="default" w:ascii="楷体_GB2312" w:hAnsi="仿宋" w:eastAsia="楷体_GB2312" w:cs="Times New Roman"/>
          <w:spacing w:val="6"/>
          <w:kern w:val="2"/>
          <w:sz w:val="32"/>
          <w:szCs w:val="32"/>
          <w:highlight w:val="none"/>
          <w:lang w:val="zh-CN"/>
        </w:rPr>
        <w:t>制度</w:t>
      </w:r>
      <w:r>
        <w:rPr>
          <w:rFonts w:hint="default" w:ascii="楷体_GB2312" w:hAnsi="仿宋" w:eastAsia="楷体_GB2312" w:cs="Times New Roman"/>
          <w:spacing w:val="6"/>
          <w:kern w:val="2"/>
          <w:sz w:val="32"/>
          <w:szCs w:val="32"/>
          <w:highlight w:val="none"/>
          <w:lang w:val="zh-CN" w:eastAsia="zh-CN"/>
        </w:rPr>
        <w:t>管理</w:t>
      </w:r>
      <w:r>
        <w:rPr>
          <w:rFonts w:hint="default" w:ascii="楷体_GB2312" w:hAnsi="仿宋" w:eastAsia="楷体_GB2312" w:cs="Times New Roman"/>
          <w:spacing w:val="6"/>
          <w:kern w:val="2"/>
          <w:sz w:val="32"/>
          <w:szCs w:val="32"/>
          <w:highlight w:val="none"/>
          <w:lang w:val="zh-CN"/>
        </w:rPr>
        <w:t>方面</w:t>
      </w:r>
      <w:bookmarkEnd w:id="183"/>
      <w:bookmarkEnd w:id="184"/>
      <w:bookmarkEnd w:id="185"/>
      <w:bookmarkEnd w:id="186"/>
      <w:bookmarkEnd w:id="187"/>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rPr>
        <w:t>建议区民政局严格执行固定资产管理制度，</w:t>
      </w:r>
      <w:r>
        <w:rPr>
          <w:rFonts w:hint="eastAsia" w:ascii="仿宋_GB2312" w:hAnsi="仿宋_GB2312" w:eastAsia="仿宋_GB2312" w:cs="仿宋_GB2312"/>
          <w:spacing w:val="6"/>
          <w:sz w:val="32"/>
          <w:szCs w:val="32"/>
          <w:highlight w:val="none"/>
          <w:lang w:val="en-US" w:eastAsia="zh-CN"/>
        </w:rPr>
        <w:t>移交资产及时进行账务处理，定期</w:t>
      </w:r>
      <w:r>
        <w:rPr>
          <w:rFonts w:hint="eastAsia" w:ascii="仿宋_GB2312" w:hAnsi="仿宋_GB2312" w:eastAsia="仿宋_GB2312" w:cs="仿宋_GB2312"/>
          <w:spacing w:val="6"/>
          <w:sz w:val="32"/>
          <w:szCs w:val="32"/>
          <w:highlight w:val="none"/>
        </w:rPr>
        <w:t>对固定资产进行盘点，以充分了解资产使用状态，保证资产账实相符，以及资产的安全性，避免资产闲置、丢失或毁损等造成国有资产的损失。</w:t>
      </w:r>
    </w:p>
    <w:p>
      <w:pPr>
        <w:pStyle w:val="4"/>
        <w:rPr>
          <w:rFonts w:hint="default" w:ascii="楷体_GB2312" w:hAnsi="仿宋" w:eastAsia="楷体_GB2312" w:cs="Times New Roman"/>
          <w:spacing w:val="6"/>
          <w:kern w:val="2"/>
          <w:sz w:val="32"/>
          <w:szCs w:val="32"/>
          <w:highlight w:val="none"/>
          <w:lang w:val="zh-CN"/>
        </w:rPr>
      </w:pPr>
      <w:bookmarkStart w:id="188" w:name="_Toc7699"/>
      <w:bookmarkStart w:id="189" w:name="_Toc9527"/>
      <w:bookmarkStart w:id="190" w:name="_Toc27586"/>
      <w:bookmarkStart w:id="191" w:name="_Toc24579"/>
      <w:bookmarkStart w:id="192" w:name="_Toc5234"/>
      <w:r>
        <w:rPr>
          <w:rFonts w:hint="default" w:ascii="楷体_GB2312" w:hAnsi="仿宋" w:eastAsia="楷体_GB2312" w:cs="Times New Roman"/>
          <w:spacing w:val="6"/>
          <w:kern w:val="2"/>
          <w:sz w:val="32"/>
          <w:szCs w:val="32"/>
          <w:highlight w:val="none"/>
          <w:lang w:val="zh-CN" w:eastAsia="zh-CN"/>
        </w:rPr>
        <w:t>（二）</w:t>
      </w:r>
      <w:r>
        <w:rPr>
          <w:rFonts w:hint="default" w:ascii="楷体_GB2312" w:hAnsi="仿宋" w:eastAsia="楷体_GB2312" w:cs="Times New Roman"/>
          <w:spacing w:val="6"/>
          <w:kern w:val="2"/>
          <w:sz w:val="32"/>
          <w:szCs w:val="32"/>
          <w:highlight w:val="none"/>
          <w:lang w:val="zh-CN"/>
        </w:rPr>
        <w:t>预算管理方面</w:t>
      </w:r>
      <w:bookmarkEnd w:id="188"/>
      <w:bookmarkEnd w:id="189"/>
      <w:bookmarkEnd w:id="190"/>
      <w:bookmarkEnd w:id="191"/>
      <w:bookmarkEnd w:id="192"/>
    </w:p>
    <w:p>
      <w:pPr>
        <w:widowControl w:val="0"/>
        <w:spacing w:line="590" w:lineRule="exact"/>
        <w:ind w:firstLine="664" w:firstLineChars="200"/>
        <w:jc w:val="both"/>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lang w:val="en-US" w:eastAsia="zh-CN"/>
        </w:rPr>
        <w:t>建议</w:t>
      </w:r>
      <w:r>
        <w:rPr>
          <w:rFonts w:hint="eastAsia" w:ascii="仿宋_GB2312" w:hAnsi="仿宋_GB2312" w:eastAsia="仿宋_GB2312" w:cs="仿宋_GB2312"/>
          <w:bCs/>
          <w:spacing w:val="6"/>
          <w:sz w:val="32"/>
          <w:szCs w:val="32"/>
          <w:lang w:val="en-US" w:eastAsia="zh-CN"/>
        </w:rPr>
        <w:t>区民政局加强预算执行</w:t>
      </w:r>
      <w:r>
        <w:rPr>
          <w:rFonts w:hint="eastAsia" w:ascii="仿宋_GB2312" w:hAnsi="仿宋_GB2312" w:eastAsia="仿宋_GB2312" w:cs="仿宋_GB2312"/>
          <w:spacing w:val="6"/>
          <w:sz w:val="32"/>
          <w:szCs w:val="32"/>
          <w:highlight w:val="none"/>
          <w:lang w:val="en-US" w:eastAsia="zh-CN"/>
        </w:rPr>
        <w:t>，严禁出现无预算支出的情况。</w:t>
      </w:r>
    </w:p>
    <w:p>
      <w:pPr>
        <w:pStyle w:val="4"/>
        <w:rPr>
          <w:rFonts w:hint="default" w:ascii="楷体_GB2312" w:hAnsi="仿宋" w:eastAsia="楷体_GB2312" w:cs="Times New Roman"/>
          <w:spacing w:val="6"/>
          <w:kern w:val="2"/>
          <w:sz w:val="32"/>
          <w:szCs w:val="32"/>
          <w:highlight w:val="none"/>
          <w:lang w:val="zh-CN"/>
        </w:rPr>
      </w:pPr>
      <w:bookmarkStart w:id="193" w:name="_Toc10709"/>
      <w:bookmarkStart w:id="194" w:name="_Toc1524"/>
      <w:bookmarkStart w:id="195" w:name="_Toc20356"/>
      <w:bookmarkStart w:id="196" w:name="_Toc17038"/>
      <w:bookmarkStart w:id="197" w:name="_Toc22499"/>
      <w:r>
        <w:rPr>
          <w:rFonts w:hint="default" w:ascii="楷体_GB2312" w:hAnsi="仿宋" w:eastAsia="楷体_GB2312" w:cs="Times New Roman"/>
          <w:spacing w:val="6"/>
          <w:kern w:val="2"/>
          <w:sz w:val="32"/>
          <w:szCs w:val="32"/>
          <w:highlight w:val="none"/>
          <w:lang w:val="zh-CN" w:eastAsia="zh-CN"/>
        </w:rPr>
        <w:t>（三）</w:t>
      </w:r>
      <w:r>
        <w:rPr>
          <w:rFonts w:hint="default" w:ascii="楷体_GB2312" w:hAnsi="仿宋" w:eastAsia="楷体_GB2312" w:cs="Times New Roman"/>
          <w:spacing w:val="6"/>
          <w:kern w:val="2"/>
          <w:sz w:val="32"/>
          <w:szCs w:val="32"/>
          <w:highlight w:val="none"/>
          <w:lang w:val="zh-CN"/>
        </w:rPr>
        <w:t>项目管理方面</w:t>
      </w:r>
      <w:bookmarkEnd w:id="193"/>
      <w:bookmarkEnd w:id="194"/>
      <w:bookmarkEnd w:id="195"/>
      <w:bookmarkEnd w:id="196"/>
      <w:bookmarkEnd w:id="197"/>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pacing w:val="6"/>
          <w:sz w:val="32"/>
          <w:szCs w:val="32"/>
          <w:highlight w:val="none"/>
          <w:lang w:val="zh-CN"/>
        </w:rPr>
        <w:t>建议加强指导和协调解决项目实施过程中遇到的困难和问题，查找项目管理薄弱环节，定期对项目实施情况进行跟踪调度，建立调度台账。制定年度监督检查工作方案，督促项目按计划实施，确保项目绩效目标如期完成。</w:t>
      </w:r>
    </w:p>
    <w:p>
      <w:pPr>
        <w:pStyle w:val="4"/>
        <w:rPr>
          <w:rFonts w:hint="default" w:ascii="楷体_GB2312" w:hAnsi="仿宋" w:eastAsia="楷体_GB2312" w:cs="Times New Roman"/>
          <w:spacing w:val="6"/>
          <w:kern w:val="2"/>
          <w:sz w:val="32"/>
          <w:szCs w:val="32"/>
          <w:highlight w:val="none"/>
          <w:lang w:val="zh-CN"/>
        </w:rPr>
      </w:pPr>
      <w:bookmarkStart w:id="198" w:name="_Toc12364"/>
      <w:bookmarkStart w:id="199" w:name="_Toc17135"/>
      <w:bookmarkStart w:id="200" w:name="_Toc6137"/>
      <w:bookmarkStart w:id="201" w:name="_Toc19270"/>
      <w:bookmarkStart w:id="202" w:name="_Toc11534"/>
      <w:r>
        <w:rPr>
          <w:rFonts w:hint="default" w:ascii="楷体_GB2312" w:hAnsi="仿宋" w:eastAsia="楷体_GB2312" w:cs="Times New Roman"/>
          <w:spacing w:val="6"/>
          <w:kern w:val="2"/>
          <w:sz w:val="32"/>
          <w:szCs w:val="32"/>
          <w:highlight w:val="none"/>
          <w:lang w:val="zh-CN" w:eastAsia="zh-CN"/>
        </w:rPr>
        <w:t>（四）</w:t>
      </w:r>
      <w:r>
        <w:rPr>
          <w:rFonts w:hint="default" w:ascii="楷体_GB2312" w:hAnsi="仿宋" w:eastAsia="楷体_GB2312" w:cs="Times New Roman"/>
          <w:spacing w:val="6"/>
          <w:kern w:val="2"/>
          <w:sz w:val="32"/>
          <w:szCs w:val="32"/>
          <w:highlight w:val="none"/>
          <w:lang w:val="zh-CN"/>
        </w:rPr>
        <w:t>绩效管理方面</w:t>
      </w:r>
      <w:bookmarkEnd w:id="198"/>
      <w:bookmarkEnd w:id="199"/>
      <w:bookmarkEnd w:id="200"/>
      <w:bookmarkEnd w:id="201"/>
      <w:bookmarkEnd w:id="202"/>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rPr>
        <w:t>建议区民政局加强预算绩效管理培训学习，进一步加大财政支出绩效知识推行力度，积极推进预算绩效管理工作，深入学习财政支出绩效知识，进一步规范财政支出绩效管理。</w:t>
      </w:r>
    </w:p>
    <w:p>
      <w:pPr>
        <w:widowControl w:val="0"/>
        <w:adjustRightInd w:val="0"/>
        <w:spacing w:line="590" w:lineRule="exact"/>
        <w:ind w:firstLine="664" w:firstLineChars="200"/>
        <w:jc w:val="both"/>
        <w:outlineLvl w:val="0"/>
        <w:rPr>
          <w:rFonts w:ascii="黑体" w:hAnsi="黑体" w:eastAsia="黑体"/>
          <w:spacing w:val="6"/>
          <w:sz w:val="32"/>
          <w:szCs w:val="32"/>
          <w:highlight w:val="none"/>
        </w:rPr>
      </w:pPr>
      <w:bookmarkStart w:id="203" w:name="_Toc1016"/>
      <w:bookmarkStart w:id="204" w:name="_Toc32284"/>
      <w:bookmarkStart w:id="205" w:name="_Toc11182"/>
      <w:bookmarkStart w:id="206" w:name="_Toc3247"/>
      <w:bookmarkStart w:id="207" w:name="_Toc14651"/>
      <w:bookmarkStart w:id="208" w:name="_Toc740535141"/>
      <w:bookmarkStart w:id="209" w:name="_Toc27957"/>
      <w:bookmarkStart w:id="210" w:name="_Toc38035231"/>
      <w:bookmarkStart w:id="211" w:name="_Toc22977"/>
      <w:bookmarkStart w:id="212" w:name="_Toc24098"/>
      <w:bookmarkStart w:id="213" w:name="_Toc24268"/>
      <w:bookmarkStart w:id="214" w:name="_Toc18877"/>
      <w:bookmarkStart w:id="215" w:name="_Toc23429"/>
      <w:bookmarkStart w:id="216" w:name="_Toc15956"/>
      <w:bookmarkStart w:id="217" w:name="_Toc19993"/>
      <w:bookmarkStart w:id="218" w:name="_Toc25542"/>
      <w:r>
        <w:rPr>
          <w:rFonts w:hint="eastAsia" w:ascii="黑体" w:hAnsi="黑体" w:eastAsia="黑体"/>
          <w:spacing w:val="6"/>
          <w:sz w:val="32"/>
          <w:szCs w:val="32"/>
          <w:highlight w:val="none"/>
          <w:lang w:val="en-US" w:eastAsia="zh-CN"/>
        </w:rPr>
        <w:t>五</w:t>
      </w:r>
      <w:r>
        <w:rPr>
          <w:rFonts w:hint="eastAsia" w:ascii="黑体" w:hAnsi="黑体" w:eastAsia="黑体"/>
          <w:spacing w:val="6"/>
          <w:sz w:val="32"/>
          <w:szCs w:val="32"/>
          <w:highlight w:val="none"/>
        </w:rPr>
        <w:t>、绩效再评价结果应用建议</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pPr>
        <w:widowControl w:val="0"/>
        <w:spacing w:line="590" w:lineRule="exact"/>
        <w:ind w:firstLine="420" w:firstLineChars="200"/>
        <w:jc w:val="both"/>
        <w:outlineLvl w:val="1"/>
        <w:rPr>
          <w:rFonts w:ascii="Times New Roman" w:hAnsi="Times New Roman" w:eastAsia="楷体_GB2312" w:cs="Times New Roman"/>
          <w:spacing w:val="6"/>
          <w:sz w:val="32"/>
          <w:szCs w:val="32"/>
          <w:highlight w:val="none"/>
          <w:lang w:val="zh-CN"/>
        </w:rPr>
      </w:pPr>
      <w:bookmarkStart w:id="219" w:name="_Toc7909"/>
      <w:bookmarkStart w:id="220" w:name="_Toc14657"/>
      <w:bookmarkStart w:id="221" w:name="_Toc32043"/>
      <w:bookmarkStart w:id="222" w:name="_Toc1363"/>
      <w:bookmarkStart w:id="223" w:name="_Toc31158"/>
      <w:bookmarkStart w:id="224" w:name="_Toc1506380422"/>
      <w:bookmarkStart w:id="225" w:name="_Toc4914"/>
      <w:bookmarkStart w:id="226" w:name="_Toc14476"/>
      <w:bookmarkStart w:id="227" w:name="_Toc2751"/>
      <w:bookmarkStart w:id="228" w:name="_Toc22865"/>
      <w:bookmarkStart w:id="229" w:name="_Toc28902"/>
      <w:bookmarkStart w:id="230" w:name="_Toc5538"/>
      <w:bookmarkStart w:id="231" w:name="_Toc23485"/>
      <w:bookmarkStart w:id="232" w:name="_Toc323"/>
      <w:bookmarkStart w:id="233" w:name="_Toc17933"/>
      <w:r>
        <w:rPr>
          <w:highlight w:val="none"/>
        </w:rPr>
        <w:fldChar w:fldCharType="begin"/>
      </w:r>
      <w:r>
        <w:rPr>
          <w:highlight w:val="none"/>
        </w:rPr>
        <w:instrText xml:space="preserve"> HYPERLINK \l "_Toc434746187" </w:instrText>
      </w:r>
      <w:r>
        <w:rPr>
          <w:highlight w:val="none"/>
        </w:rPr>
        <w:fldChar w:fldCharType="separate"/>
      </w:r>
      <w:bookmarkStart w:id="234" w:name="_Toc38035232"/>
      <w:r>
        <w:rPr>
          <w:rFonts w:hint="eastAsia" w:ascii="Times New Roman" w:hAnsi="Times New Roman" w:eastAsia="楷体_GB2312" w:cs="Times New Roman"/>
          <w:spacing w:val="6"/>
          <w:sz w:val="32"/>
          <w:szCs w:val="32"/>
          <w:highlight w:val="none"/>
          <w:lang w:val="zh-CN"/>
        </w:rPr>
        <w:t>（一）对发现的问题及时整改</w:t>
      </w:r>
      <w:bookmarkEnd w:id="234"/>
      <w:r>
        <w:rPr>
          <w:rFonts w:hint="eastAsia" w:ascii="Times New Roman" w:hAnsi="Times New Roman" w:eastAsia="楷体_GB2312" w:cs="Times New Roman"/>
          <w:spacing w:val="6"/>
          <w:sz w:val="32"/>
          <w:szCs w:val="32"/>
          <w:highlight w:val="none"/>
          <w:lang w:val="zh-CN"/>
        </w:rPr>
        <w:fldChar w:fldCharType="end"/>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pPr>
        <w:widowControl w:val="0"/>
        <w:spacing w:line="590" w:lineRule="exact"/>
        <w:ind w:firstLine="664" w:firstLineChars="200"/>
        <w:jc w:val="both"/>
        <w:rPr>
          <w:rFonts w:ascii="Times New Roman" w:hAnsi="Times New Roman" w:eastAsia="仿宋_GB2312" w:cs="Times New Roman"/>
          <w:spacing w:val="6"/>
          <w:sz w:val="32"/>
          <w:szCs w:val="32"/>
          <w:highlight w:val="none"/>
        </w:rPr>
      </w:pPr>
      <w:r>
        <w:rPr>
          <w:rFonts w:ascii="Times New Roman" w:hAnsi="Times New Roman" w:eastAsia="仿宋_GB2312" w:cs="Times New Roman"/>
          <w:spacing w:val="6"/>
          <w:sz w:val="32"/>
          <w:szCs w:val="32"/>
          <w:highlight w:val="none"/>
        </w:rPr>
        <w:t>针对现场评价中发现的问题，建议</w:t>
      </w:r>
      <w:r>
        <w:rPr>
          <w:rFonts w:hint="eastAsia" w:ascii="Times New Roman" w:hAnsi="Times New Roman" w:eastAsia="仿宋_GB2312" w:cs="Times New Roman"/>
          <w:spacing w:val="6"/>
          <w:sz w:val="32"/>
          <w:szCs w:val="32"/>
          <w:highlight w:val="none"/>
        </w:rPr>
        <w:t>区民政局</w:t>
      </w:r>
      <w:r>
        <w:rPr>
          <w:rFonts w:ascii="Times New Roman" w:hAnsi="Times New Roman" w:eastAsia="仿宋_GB2312" w:cs="Times New Roman"/>
          <w:spacing w:val="6"/>
          <w:sz w:val="32"/>
          <w:szCs w:val="32"/>
          <w:highlight w:val="none"/>
        </w:rPr>
        <w:t>对存在的问题及时进行整改，</w:t>
      </w:r>
      <w:r>
        <w:rPr>
          <w:rFonts w:hint="eastAsia" w:ascii="Times New Roman" w:hAnsi="Times New Roman" w:eastAsia="仿宋_GB2312" w:cs="Times New Roman"/>
          <w:spacing w:val="6"/>
          <w:sz w:val="32"/>
          <w:szCs w:val="32"/>
          <w:highlight w:val="none"/>
        </w:rPr>
        <w:t>并将整改情况书面上报相关部门。</w:t>
      </w:r>
      <w:r>
        <w:rPr>
          <w:rFonts w:ascii="Times New Roman" w:hAnsi="Times New Roman" w:eastAsia="仿宋_GB2312" w:cs="Times New Roman"/>
          <w:spacing w:val="6"/>
          <w:sz w:val="32"/>
          <w:szCs w:val="32"/>
          <w:highlight w:val="none"/>
        </w:rPr>
        <w:t>同时</w:t>
      </w:r>
      <w:r>
        <w:rPr>
          <w:rFonts w:hint="eastAsia" w:ascii="Times New Roman" w:hAnsi="Times New Roman" w:eastAsia="仿宋_GB2312" w:cs="Times New Roman"/>
          <w:spacing w:val="6"/>
          <w:sz w:val="32"/>
          <w:szCs w:val="32"/>
          <w:highlight w:val="none"/>
        </w:rPr>
        <w:t>建议区民政局</w:t>
      </w:r>
      <w:r>
        <w:rPr>
          <w:rFonts w:ascii="Times New Roman" w:hAnsi="Times New Roman" w:eastAsia="仿宋_GB2312" w:cs="Times New Roman"/>
          <w:spacing w:val="6"/>
          <w:sz w:val="32"/>
          <w:szCs w:val="32"/>
          <w:highlight w:val="none"/>
        </w:rPr>
        <w:t>进一步加强</w:t>
      </w:r>
      <w:r>
        <w:rPr>
          <w:rFonts w:hint="eastAsia" w:ascii="Times New Roman" w:hAnsi="Times New Roman" w:eastAsia="仿宋_GB2312" w:cs="Times New Roman"/>
          <w:spacing w:val="6"/>
          <w:sz w:val="32"/>
          <w:szCs w:val="32"/>
          <w:highlight w:val="none"/>
        </w:rPr>
        <w:t>部门整体支出绩效评价</w:t>
      </w:r>
      <w:r>
        <w:rPr>
          <w:rFonts w:ascii="Times New Roman" w:hAnsi="Times New Roman" w:eastAsia="仿宋_GB2312" w:cs="Times New Roman"/>
          <w:spacing w:val="6"/>
          <w:sz w:val="32"/>
          <w:szCs w:val="32"/>
          <w:highlight w:val="none"/>
        </w:rPr>
        <w:t>工作，切实提高财政资源配置效率和使用效益。</w:t>
      </w:r>
    </w:p>
    <w:p>
      <w:pPr>
        <w:widowControl w:val="0"/>
        <w:spacing w:line="590" w:lineRule="exact"/>
        <w:ind w:firstLine="420" w:firstLineChars="200"/>
        <w:jc w:val="both"/>
        <w:outlineLvl w:val="1"/>
        <w:rPr>
          <w:rFonts w:ascii="Times New Roman" w:hAnsi="Times New Roman" w:eastAsia="楷体_GB2312" w:cs="Times New Roman"/>
          <w:spacing w:val="6"/>
          <w:sz w:val="32"/>
          <w:szCs w:val="32"/>
          <w:highlight w:val="none"/>
          <w:lang w:val="zh-CN"/>
        </w:rPr>
      </w:pPr>
      <w:bookmarkStart w:id="235" w:name="_Toc15312"/>
      <w:bookmarkStart w:id="236" w:name="_Toc2527"/>
      <w:bookmarkStart w:id="237" w:name="_Toc2962"/>
      <w:bookmarkStart w:id="238" w:name="_Toc21568"/>
      <w:bookmarkStart w:id="239" w:name="_Toc12235"/>
      <w:bookmarkStart w:id="240" w:name="_Toc1051038071"/>
      <w:bookmarkStart w:id="241" w:name="_Toc29964"/>
      <w:bookmarkStart w:id="242" w:name="_Toc18573"/>
      <w:bookmarkStart w:id="243" w:name="_Toc22965"/>
      <w:bookmarkStart w:id="244" w:name="_Toc24071"/>
      <w:bookmarkStart w:id="245" w:name="_Toc15933"/>
      <w:bookmarkStart w:id="246" w:name="_Toc32513"/>
      <w:bookmarkStart w:id="247" w:name="_Toc14969"/>
      <w:bookmarkStart w:id="248" w:name="_Toc25098"/>
      <w:bookmarkStart w:id="249" w:name="_Toc22094"/>
      <w:r>
        <w:rPr>
          <w:highlight w:val="none"/>
        </w:rPr>
        <w:fldChar w:fldCharType="begin"/>
      </w:r>
      <w:r>
        <w:rPr>
          <w:highlight w:val="none"/>
        </w:rPr>
        <w:instrText xml:space="preserve"> HYPERLINK \l "_Toc434746187" </w:instrText>
      </w:r>
      <w:r>
        <w:rPr>
          <w:highlight w:val="none"/>
        </w:rPr>
        <w:fldChar w:fldCharType="separate"/>
      </w:r>
      <w:bookmarkStart w:id="250" w:name="_Toc38035233"/>
      <w:r>
        <w:rPr>
          <w:rFonts w:hint="eastAsia" w:ascii="Times New Roman" w:hAnsi="Times New Roman" w:eastAsia="楷体_GB2312" w:cs="Times New Roman"/>
          <w:spacing w:val="6"/>
          <w:sz w:val="32"/>
          <w:szCs w:val="32"/>
          <w:highlight w:val="none"/>
          <w:lang w:val="zh-CN"/>
        </w:rPr>
        <w:t>（二）以后年度预算安排建议</w:t>
      </w:r>
      <w:bookmarkEnd w:id="250"/>
      <w:r>
        <w:rPr>
          <w:rFonts w:hint="eastAsia" w:ascii="Times New Roman" w:hAnsi="Times New Roman" w:eastAsia="楷体_GB2312" w:cs="Times New Roman"/>
          <w:spacing w:val="6"/>
          <w:sz w:val="32"/>
          <w:szCs w:val="32"/>
          <w:highlight w:val="none"/>
          <w:lang w:val="zh-CN"/>
        </w:rPr>
        <w:fldChar w:fldCharType="end"/>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pPr>
        <w:widowControl w:val="0"/>
        <w:spacing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严格按照《中共贵州省委 贵州省人民政府关于全面实施预算绩效管理的实施意见》要求，全面实施零基预算管理，改变“基数+增长”的预算编制方式，打破财政资金分配的固化格局，建立财政资金“能进能出”的决策机制。在部门“三定”方案规定的部门主要职能基础上，结合</w:t>
      </w:r>
      <w:r>
        <w:rPr>
          <w:rFonts w:hint="eastAsia" w:ascii="仿宋_GB2312" w:hAnsi="仿宋_GB2312" w:eastAsia="仿宋_GB2312" w:cs="仿宋_GB2312"/>
          <w:color w:val="000000"/>
          <w:sz w:val="32"/>
          <w:szCs w:val="32"/>
          <w:highlight w:val="none"/>
          <w:lang w:val="en-US" w:eastAsia="zh-CN"/>
        </w:rPr>
        <w:t>云岩</w:t>
      </w:r>
      <w:r>
        <w:rPr>
          <w:rFonts w:hint="eastAsia" w:ascii="仿宋_GB2312" w:hAnsi="仿宋_GB2312" w:eastAsia="仿宋_GB2312" w:cs="仿宋_GB2312"/>
          <w:color w:val="000000"/>
          <w:sz w:val="32"/>
          <w:szCs w:val="32"/>
          <w:highlight w:val="none"/>
        </w:rPr>
        <w:t>区委、区政府及上级业务主管部门交办的工作，全面梳理以后年度部门工作任务，合理科学预计以后年度部门工作任务数量、时效、效益等，详细科学规划任务完成时间表和路线图，合理科学安排以后年度预算。</w:t>
      </w:r>
    </w:p>
    <w:p>
      <w:pPr>
        <w:widowControl w:val="0"/>
        <w:spacing w:line="590" w:lineRule="exact"/>
        <w:ind w:firstLine="495" w:firstLineChars="236"/>
        <w:jc w:val="both"/>
        <w:outlineLvl w:val="1"/>
        <w:rPr>
          <w:rFonts w:ascii="仿宋_GB2312" w:hAnsi="仿宋" w:eastAsia="楷体_GB2312" w:cs="Times New Roman"/>
          <w:spacing w:val="6"/>
          <w:sz w:val="32"/>
          <w:szCs w:val="32"/>
          <w:highlight w:val="none"/>
          <w:lang w:val="zh-CN"/>
        </w:rPr>
      </w:pPr>
      <w:bookmarkStart w:id="251" w:name="_Toc18670"/>
      <w:bookmarkStart w:id="252" w:name="_Toc5225"/>
      <w:bookmarkStart w:id="253" w:name="_Toc30328"/>
      <w:bookmarkStart w:id="254" w:name="_Toc15163"/>
      <w:bookmarkStart w:id="255" w:name="_Toc1743862722"/>
      <w:bookmarkStart w:id="256" w:name="_Toc11433"/>
      <w:bookmarkStart w:id="257" w:name="_Toc25178"/>
      <w:bookmarkStart w:id="258" w:name="_Toc31735"/>
      <w:bookmarkStart w:id="259" w:name="_Toc18149"/>
      <w:bookmarkStart w:id="260" w:name="_Toc9902"/>
      <w:bookmarkStart w:id="261" w:name="_Toc20949"/>
      <w:bookmarkStart w:id="262" w:name="_Toc19824"/>
      <w:bookmarkStart w:id="263" w:name="_Toc7111"/>
      <w:bookmarkStart w:id="264" w:name="_Toc19777"/>
      <w:bookmarkStart w:id="265" w:name="_Toc1376"/>
      <w:r>
        <w:rPr>
          <w:highlight w:val="none"/>
        </w:rPr>
        <w:fldChar w:fldCharType="begin"/>
      </w:r>
      <w:r>
        <w:rPr>
          <w:highlight w:val="none"/>
        </w:rPr>
        <w:instrText xml:space="preserve"> HYPERLINK \l "_Toc434746187" </w:instrText>
      </w:r>
      <w:r>
        <w:rPr>
          <w:highlight w:val="none"/>
        </w:rPr>
        <w:fldChar w:fldCharType="separate"/>
      </w:r>
      <w:bookmarkStart w:id="266" w:name="_Toc38035234"/>
      <w:r>
        <w:rPr>
          <w:rFonts w:hint="eastAsia" w:ascii="仿宋_GB2312" w:hAnsi="仿宋" w:eastAsia="楷体_GB2312" w:cs="Times New Roman"/>
          <w:spacing w:val="6"/>
          <w:sz w:val="32"/>
          <w:szCs w:val="32"/>
          <w:highlight w:val="none"/>
          <w:lang w:val="zh-CN"/>
        </w:rPr>
        <w:t>（三）评价结果公开</w:t>
      </w:r>
      <w:bookmarkEnd w:id="266"/>
      <w:r>
        <w:rPr>
          <w:rFonts w:hint="eastAsia" w:ascii="仿宋_GB2312" w:hAnsi="仿宋" w:eastAsia="楷体_GB2312" w:cs="Times New Roman"/>
          <w:spacing w:val="6"/>
          <w:sz w:val="32"/>
          <w:szCs w:val="32"/>
          <w:highlight w:val="none"/>
          <w:lang w:val="zh-CN"/>
        </w:rPr>
        <w:fldChar w:fldCharType="end"/>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pPr>
        <w:widowControl w:val="0"/>
        <w:spacing w:line="590" w:lineRule="exact"/>
        <w:ind w:firstLine="640" w:firstLineChars="200"/>
        <w:jc w:val="both"/>
        <w:rPr>
          <w:rFonts w:hint="eastAsia" w:asciiTheme="minorHAnsi" w:hAnsiTheme="minorHAnsi" w:eastAsiaTheme="minorEastAsia" w:cstheme="minorBidi"/>
          <w:b w:val="0"/>
          <w:bCs w:val="0"/>
          <w:kern w:val="2"/>
          <w:sz w:val="21"/>
          <w:szCs w:val="22"/>
          <w:lang w:val="en-US" w:eastAsia="zh-CN" w:bidi="ar-SA"/>
        </w:rPr>
      </w:pPr>
      <w:r>
        <w:rPr>
          <w:rFonts w:hint="eastAsia" w:ascii="仿宋_GB2312" w:hAnsi="仿宋_GB2312" w:eastAsia="仿宋_GB2312" w:cs="仿宋_GB2312"/>
          <w:color w:val="000000"/>
          <w:sz w:val="32"/>
          <w:szCs w:val="32"/>
          <w:highlight w:val="none"/>
        </w:rPr>
        <w:t>按照《中共中央 国务院关于全面实施预算绩效管理的意见》（中发〔2018〕34号）和《中共贵州省委 贵州省人民政府关于全面实施预算绩效管理的实施意见》规定，财政部门要推进绩效信息公开，重要绩效目标、绩效评价结果要与预决算草案同步报送同级人大，同步向社会主动公开，搭建社会公众参与预算绩效管理的途径和平台，自觉接受人大和社会各界监督。</w:t>
      </w:r>
      <w:bookmarkEnd w:id="16"/>
      <w:bookmarkEnd w:id="66"/>
      <w:bookmarkEnd w:id="67"/>
      <w:bookmarkEnd w:id="68"/>
      <w:bookmarkEnd w:id="69"/>
      <w:bookmarkEnd w:id="70"/>
    </w:p>
    <w:sectPr>
      <w:footerReference r:id="rId5" w:type="default"/>
      <w:footerReference r:id="rId6" w:type="even"/>
      <w:pgSz w:w="11906" w:h="16838"/>
      <w:pgMar w:top="1985" w:right="1474" w:bottom="1871" w:left="1474" w:header="851" w:footer="1474" w:gutter="0"/>
      <w:pgBorders w:offsetFrom="page">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3E4F"/>
    <w:multiLevelType w:val="multilevel"/>
    <w:tmpl w:val="12A43E4F"/>
    <w:lvl w:ilvl="0" w:tentative="0">
      <w:start w:val="1"/>
      <w:numFmt w:val="decimal"/>
      <w:suff w:val="space"/>
      <w:lvlText w:val="第%1章"/>
      <w:lvlJc w:val="left"/>
      <w:pPr>
        <w:ind w:left="3685"/>
      </w:pPr>
      <w:rPr>
        <w:rFonts w:hint="eastAsia" w:cs="Times New Roman"/>
      </w:rPr>
    </w:lvl>
    <w:lvl w:ilvl="1" w:tentative="0">
      <w:start w:val="1"/>
      <w:numFmt w:val="decimal"/>
      <w:suff w:val="space"/>
      <w:lvlText w:val="§%1.%2"/>
      <w:lvlJc w:val="left"/>
      <w:rPr>
        <w:rFonts w:hint="eastAsia" w:cs="Times New Roman"/>
      </w:rPr>
    </w:lvl>
    <w:lvl w:ilvl="2" w:tentative="0">
      <w:start w:val="1"/>
      <w:numFmt w:val="decimal"/>
      <w:suff w:val="space"/>
      <w:lvlText w:val="§%1.%2.%3"/>
      <w:lvlJc w:val="left"/>
      <w:rPr>
        <w:rFonts w:hint="eastAsia" w:cs="Times New Roman"/>
      </w:rPr>
    </w:lvl>
    <w:lvl w:ilvl="3" w:tentative="0">
      <w:start w:val="1"/>
      <w:numFmt w:val="decimal"/>
      <w:pStyle w:val="6"/>
      <w:suff w:val="space"/>
      <w:lvlText w:val="(%4)"/>
      <w:lvlJc w:val="left"/>
      <w:rPr>
        <w:rFonts w:hint="eastAsia" w:cs="Times New Roman"/>
      </w:rPr>
    </w:lvl>
    <w:lvl w:ilvl="4" w:tentative="0">
      <w:start w:val="1"/>
      <w:numFmt w:val="bullet"/>
      <w:suff w:val="space"/>
      <w:lvlText w:val=""/>
      <w:lvlJc w:val="left"/>
      <w:rPr>
        <w:rFonts w:hint="default" w:ascii="Wingdings" w:hAnsi="Wingdings"/>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E7B1F"/>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26D35"/>
    <w:rsid w:val="01967E71"/>
    <w:rsid w:val="019F1377"/>
    <w:rsid w:val="01BF645F"/>
    <w:rsid w:val="01D0720E"/>
    <w:rsid w:val="01E925F2"/>
    <w:rsid w:val="01EE77BF"/>
    <w:rsid w:val="021F72B2"/>
    <w:rsid w:val="02366DA0"/>
    <w:rsid w:val="024971C1"/>
    <w:rsid w:val="024D5B94"/>
    <w:rsid w:val="026412FF"/>
    <w:rsid w:val="026818CF"/>
    <w:rsid w:val="026E0318"/>
    <w:rsid w:val="02A52145"/>
    <w:rsid w:val="02D26E72"/>
    <w:rsid w:val="02F41103"/>
    <w:rsid w:val="02F53E74"/>
    <w:rsid w:val="02FB7869"/>
    <w:rsid w:val="03315E11"/>
    <w:rsid w:val="035717DD"/>
    <w:rsid w:val="03BA41D9"/>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0B0AC0"/>
    <w:rsid w:val="06440003"/>
    <w:rsid w:val="06EE0FAD"/>
    <w:rsid w:val="06F4622C"/>
    <w:rsid w:val="07037896"/>
    <w:rsid w:val="071C1AB9"/>
    <w:rsid w:val="07222102"/>
    <w:rsid w:val="072A35FB"/>
    <w:rsid w:val="07673691"/>
    <w:rsid w:val="07675D60"/>
    <w:rsid w:val="079A234F"/>
    <w:rsid w:val="07BD350D"/>
    <w:rsid w:val="07BE76F9"/>
    <w:rsid w:val="07EB678A"/>
    <w:rsid w:val="07ED67BF"/>
    <w:rsid w:val="07FB5842"/>
    <w:rsid w:val="0810522F"/>
    <w:rsid w:val="08251C3E"/>
    <w:rsid w:val="086B433E"/>
    <w:rsid w:val="087C3235"/>
    <w:rsid w:val="089524A2"/>
    <w:rsid w:val="08A44134"/>
    <w:rsid w:val="08C32FB7"/>
    <w:rsid w:val="08C80360"/>
    <w:rsid w:val="094C130B"/>
    <w:rsid w:val="096E6557"/>
    <w:rsid w:val="097612D8"/>
    <w:rsid w:val="09776B1A"/>
    <w:rsid w:val="09870B6B"/>
    <w:rsid w:val="09D6522B"/>
    <w:rsid w:val="0A2E55C3"/>
    <w:rsid w:val="0A38598E"/>
    <w:rsid w:val="0A4F305E"/>
    <w:rsid w:val="0AAC140A"/>
    <w:rsid w:val="0ADC74B5"/>
    <w:rsid w:val="0AEB5D03"/>
    <w:rsid w:val="0AFF6A33"/>
    <w:rsid w:val="0B0A632C"/>
    <w:rsid w:val="0B1933FA"/>
    <w:rsid w:val="0B3A110D"/>
    <w:rsid w:val="0B64529C"/>
    <w:rsid w:val="0B7555FC"/>
    <w:rsid w:val="0B762C6A"/>
    <w:rsid w:val="0B942AEA"/>
    <w:rsid w:val="0B9841B0"/>
    <w:rsid w:val="0B9F443A"/>
    <w:rsid w:val="0BAB2AC2"/>
    <w:rsid w:val="0BBF193C"/>
    <w:rsid w:val="0BFD257C"/>
    <w:rsid w:val="0BFE018D"/>
    <w:rsid w:val="0C2A396B"/>
    <w:rsid w:val="0C2D7D84"/>
    <w:rsid w:val="0C345149"/>
    <w:rsid w:val="0C6D10C4"/>
    <w:rsid w:val="0C6E7CC4"/>
    <w:rsid w:val="0C870841"/>
    <w:rsid w:val="0C8804C9"/>
    <w:rsid w:val="0CC55A09"/>
    <w:rsid w:val="0CD4772C"/>
    <w:rsid w:val="0CEC71C9"/>
    <w:rsid w:val="0D8F691E"/>
    <w:rsid w:val="0DAC0FC0"/>
    <w:rsid w:val="0DBD6E33"/>
    <w:rsid w:val="0DC95DFB"/>
    <w:rsid w:val="0DCA67D5"/>
    <w:rsid w:val="0DE23BDC"/>
    <w:rsid w:val="0DEC2FD8"/>
    <w:rsid w:val="0DFC7201"/>
    <w:rsid w:val="0E4B0190"/>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1609D1"/>
    <w:rsid w:val="11374D2A"/>
    <w:rsid w:val="116A372A"/>
    <w:rsid w:val="118A2781"/>
    <w:rsid w:val="11AF7CB9"/>
    <w:rsid w:val="11CE6D9D"/>
    <w:rsid w:val="11E025C1"/>
    <w:rsid w:val="11F272DE"/>
    <w:rsid w:val="120664A5"/>
    <w:rsid w:val="1226602C"/>
    <w:rsid w:val="12280F14"/>
    <w:rsid w:val="123D0E8B"/>
    <w:rsid w:val="123D5DA2"/>
    <w:rsid w:val="123E0B14"/>
    <w:rsid w:val="1261343A"/>
    <w:rsid w:val="127254BD"/>
    <w:rsid w:val="12766890"/>
    <w:rsid w:val="128F38DC"/>
    <w:rsid w:val="12A31AFE"/>
    <w:rsid w:val="12CB2316"/>
    <w:rsid w:val="13054260"/>
    <w:rsid w:val="130C2A5B"/>
    <w:rsid w:val="13367C35"/>
    <w:rsid w:val="133A5DF2"/>
    <w:rsid w:val="134F6889"/>
    <w:rsid w:val="13566E1F"/>
    <w:rsid w:val="136E384C"/>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7B38A2"/>
    <w:rsid w:val="167E01C7"/>
    <w:rsid w:val="16B2239E"/>
    <w:rsid w:val="16D74074"/>
    <w:rsid w:val="16F44210"/>
    <w:rsid w:val="17051E8C"/>
    <w:rsid w:val="17213F37"/>
    <w:rsid w:val="174A3117"/>
    <w:rsid w:val="175156BB"/>
    <w:rsid w:val="177535F3"/>
    <w:rsid w:val="17876CD8"/>
    <w:rsid w:val="17991F6C"/>
    <w:rsid w:val="17AB3003"/>
    <w:rsid w:val="17AD21DF"/>
    <w:rsid w:val="17DA5E62"/>
    <w:rsid w:val="18073366"/>
    <w:rsid w:val="18091368"/>
    <w:rsid w:val="181B5321"/>
    <w:rsid w:val="18296387"/>
    <w:rsid w:val="187A3F69"/>
    <w:rsid w:val="189F0600"/>
    <w:rsid w:val="18AB48E3"/>
    <w:rsid w:val="18BA03EC"/>
    <w:rsid w:val="18F6567A"/>
    <w:rsid w:val="191B4248"/>
    <w:rsid w:val="19290BBF"/>
    <w:rsid w:val="19343A40"/>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2638C"/>
    <w:rsid w:val="1AD350C2"/>
    <w:rsid w:val="1AFC6CAA"/>
    <w:rsid w:val="1B003A3A"/>
    <w:rsid w:val="1B154ED8"/>
    <w:rsid w:val="1B1C0FCD"/>
    <w:rsid w:val="1B1F290F"/>
    <w:rsid w:val="1B352E36"/>
    <w:rsid w:val="1B3E6055"/>
    <w:rsid w:val="1B62011E"/>
    <w:rsid w:val="1B724FAE"/>
    <w:rsid w:val="1B82212A"/>
    <w:rsid w:val="1B8E3D13"/>
    <w:rsid w:val="1BC44BC3"/>
    <w:rsid w:val="1BDC6CBF"/>
    <w:rsid w:val="1BE20386"/>
    <w:rsid w:val="1C1A2140"/>
    <w:rsid w:val="1C5546C9"/>
    <w:rsid w:val="1C5B3D52"/>
    <w:rsid w:val="1C632231"/>
    <w:rsid w:val="1C637DBE"/>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322F5E"/>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F26EC"/>
    <w:rsid w:val="21970268"/>
    <w:rsid w:val="21B67E14"/>
    <w:rsid w:val="21DE511C"/>
    <w:rsid w:val="21F2725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67752F"/>
    <w:rsid w:val="23753B32"/>
    <w:rsid w:val="2380657F"/>
    <w:rsid w:val="238621A3"/>
    <w:rsid w:val="23AD3F39"/>
    <w:rsid w:val="23D5432C"/>
    <w:rsid w:val="23F1591B"/>
    <w:rsid w:val="24051C87"/>
    <w:rsid w:val="2412566E"/>
    <w:rsid w:val="24354C4F"/>
    <w:rsid w:val="24470B4A"/>
    <w:rsid w:val="24832ECC"/>
    <w:rsid w:val="248C46D2"/>
    <w:rsid w:val="24DB4E93"/>
    <w:rsid w:val="2509275D"/>
    <w:rsid w:val="250D0121"/>
    <w:rsid w:val="250D22FE"/>
    <w:rsid w:val="25172298"/>
    <w:rsid w:val="251972DF"/>
    <w:rsid w:val="25286633"/>
    <w:rsid w:val="253B4C73"/>
    <w:rsid w:val="25672E21"/>
    <w:rsid w:val="256D11CB"/>
    <w:rsid w:val="2572129F"/>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270BA0"/>
    <w:rsid w:val="27292897"/>
    <w:rsid w:val="272A512B"/>
    <w:rsid w:val="273057C2"/>
    <w:rsid w:val="2736007B"/>
    <w:rsid w:val="2736402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820"/>
    <w:rsid w:val="2A0C4A85"/>
    <w:rsid w:val="2A182384"/>
    <w:rsid w:val="2A471C5B"/>
    <w:rsid w:val="2A47667E"/>
    <w:rsid w:val="2A7D17D9"/>
    <w:rsid w:val="2A997F46"/>
    <w:rsid w:val="2AA720BD"/>
    <w:rsid w:val="2AB23553"/>
    <w:rsid w:val="2AC6544B"/>
    <w:rsid w:val="2AFB2465"/>
    <w:rsid w:val="2B0C5681"/>
    <w:rsid w:val="2B2379C3"/>
    <w:rsid w:val="2B6215F2"/>
    <w:rsid w:val="2BB875F8"/>
    <w:rsid w:val="2BCA7BD5"/>
    <w:rsid w:val="2BEE6654"/>
    <w:rsid w:val="2BF06118"/>
    <w:rsid w:val="2C082643"/>
    <w:rsid w:val="2C09361F"/>
    <w:rsid w:val="2C0B09FB"/>
    <w:rsid w:val="2C5F50E7"/>
    <w:rsid w:val="2C80640C"/>
    <w:rsid w:val="2CB044A6"/>
    <w:rsid w:val="2CD3475D"/>
    <w:rsid w:val="2CF471CC"/>
    <w:rsid w:val="2D2B1BF1"/>
    <w:rsid w:val="2D300C2A"/>
    <w:rsid w:val="2D9F4C9A"/>
    <w:rsid w:val="2DBB19C8"/>
    <w:rsid w:val="2DBD0695"/>
    <w:rsid w:val="2DEC0BF0"/>
    <w:rsid w:val="2DEF0D0B"/>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EB1091"/>
    <w:rsid w:val="30FA2B83"/>
    <w:rsid w:val="31132AF6"/>
    <w:rsid w:val="31435308"/>
    <w:rsid w:val="316E7B6E"/>
    <w:rsid w:val="31777A59"/>
    <w:rsid w:val="31812D76"/>
    <w:rsid w:val="31B43FAE"/>
    <w:rsid w:val="32073DFD"/>
    <w:rsid w:val="32566F80"/>
    <w:rsid w:val="326233D5"/>
    <w:rsid w:val="326B0EC2"/>
    <w:rsid w:val="326C44C8"/>
    <w:rsid w:val="32906187"/>
    <w:rsid w:val="32BA614A"/>
    <w:rsid w:val="32D1566D"/>
    <w:rsid w:val="32E5345D"/>
    <w:rsid w:val="32EA3EBA"/>
    <w:rsid w:val="330274F1"/>
    <w:rsid w:val="33142F7A"/>
    <w:rsid w:val="334F62FB"/>
    <w:rsid w:val="337335DF"/>
    <w:rsid w:val="337749FD"/>
    <w:rsid w:val="339D73B6"/>
    <w:rsid w:val="33AE4D73"/>
    <w:rsid w:val="33C91820"/>
    <w:rsid w:val="33D57B92"/>
    <w:rsid w:val="33D86AEF"/>
    <w:rsid w:val="33EC19CF"/>
    <w:rsid w:val="33FB1B8D"/>
    <w:rsid w:val="33FB32EE"/>
    <w:rsid w:val="33FF598D"/>
    <w:rsid w:val="34621545"/>
    <w:rsid w:val="348B0BD6"/>
    <w:rsid w:val="34AA0C12"/>
    <w:rsid w:val="34B2110A"/>
    <w:rsid w:val="34C22379"/>
    <w:rsid w:val="34C50876"/>
    <w:rsid w:val="353C6C05"/>
    <w:rsid w:val="355B21DB"/>
    <w:rsid w:val="355E734D"/>
    <w:rsid w:val="35A013B7"/>
    <w:rsid w:val="35C72AF8"/>
    <w:rsid w:val="35D02BB2"/>
    <w:rsid w:val="35E51E53"/>
    <w:rsid w:val="35F6A475"/>
    <w:rsid w:val="364524C4"/>
    <w:rsid w:val="364B1FD9"/>
    <w:rsid w:val="365D549E"/>
    <w:rsid w:val="366521B7"/>
    <w:rsid w:val="36757D1C"/>
    <w:rsid w:val="36826112"/>
    <w:rsid w:val="36A070EC"/>
    <w:rsid w:val="36B42A54"/>
    <w:rsid w:val="36D143C2"/>
    <w:rsid w:val="36F44BA5"/>
    <w:rsid w:val="370C25EC"/>
    <w:rsid w:val="375D5EFF"/>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EF702B"/>
    <w:rsid w:val="38FA1B06"/>
    <w:rsid w:val="3905700A"/>
    <w:rsid w:val="390846BD"/>
    <w:rsid w:val="394542C6"/>
    <w:rsid w:val="394C2D4E"/>
    <w:rsid w:val="3983203B"/>
    <w:rsid w:val="39A63FD7"/>
    <w:rsid w:val="39BF5F6B"/>
    <w:rsid w:val="39C11183"/>
    <w:rsid w:val="39C15FF9"/>
    <w:rsid w:val="39F51765"/>
    <w:rsid w:val="39FF6276"/>
    <w:rsid w:val="3A8B0BD2"/>
    <w:rsid w:val="3AB43A4E"/>
    <w:rsid w:val="3AB914E9"/>
    <w:rsid w:val="3ABD5DCE"/>
    <w:rsid w:val="3ABE2873"/>
    <w:rsid w:val="3AD1478E"/>
    <w:rsid w:val="3AEB3CFC"/>
    <w:rsid w:val="3B0729A4"/>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6E33D0"/>
    <w:rsid w:val="3D7777D0"/>
    <w:rsid w:val="3D811E42"/>
    <w:rsid w:val="3D837D98"/>
    <w:rsid w:val="3D922A13"/>
    <w:rsid w:val="3D9E02C2"/>
    <w:rsid w:val="3DC106F4"/>
    <w:rsid w:val="3E2B3F62"/>
    <w:rsid w:val="3E396A25"/>
    <w:rsid w:val="3E3F289E"/>
    <w:rsid w:val="3E4D46A5"/>
    <w:rsid w:val="3E52118C"/>
    <w:rsid w:val="3E91345E"/>
    <w:rsid w:val="3ECC2AD7"/>
    <w:rsid w:val="3EDE5E36"/>
    <w:rsid w:val="3EF43A44"/>
    <w:rsid w:val="3F361EF8"/>
    <w:rsid w:val="3F4C7A99"/>
    <w:rsid w:val="3F5E0CFB"/>
    <w:rsid w:val="3F6820E8"/>
    <w:rsid w:val="3F785E92"/>
    <w:rsid w:val="3F9000D1"/>
    <w:rsid w:val="3FA31F73"/>
    <w:rsid w:val="3FB32FC5"/>
    <w:rsid w:val="3FDF0148"/>
    <w:rsid w:val="3FE63E16"/>
    <w:rsid w:val="40185875"/>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7A45C5"/>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3D3AFC"/>
    <w:rsid w:val="44406369"/>
    <w:rsid w:val="44556E66"/>
    <w:rsid w:val="448122BC"/>
    <w:rsid w:val="44983428"/>
    <w:rsid w:val="44B03FEF"/>
    <w:rsid w:val="44B10046"/>
    <w:rsid w:val="44DF2AE7"/>
    <w:rsid w:val="44E93244"/>
    <w:rsid w:val="4504546D"/>
    <w:rsid w:val="4528670D"/>
    <w:rsid w:val="452A5D48"/>
    <w:rsid w:val="45500BEC"/>
    <w:rsid w:val="45525DC8"/>
    <w:rsid w:val="455276EB"/>
    <w:rsid w:val="45AD6A5F"/>
    <w:rsid w:val="45C32D56"/>
    <w:rsid w:val="45CC78C7"/>
    <w:rsid w:val="45FE7AE7"/>
    <w:rsid w:val="463020CF"/>
    <w:rsid w:val="46373BE9"/>
    <w:rsid w:val="46524D89"/>
    <w:rsid w:val="468A544C"/>
    <w:rsid w:val="468B1BCE"/>
    <w:rsid w:val="46AC19EA"/>
    <w:rsid w:val="46AD6653"/>
    <w:rsid w:val="46B74165"/>
    <w:rsid w:val="46CA4FFB"/>
    <w:rsid w:val="46DD6398"/>
    <w:rsid w:val="471B661C"/>
    <w:rsid w:val="472752D8"/>
    <w:rsid w:val="47541B92"/>
    <w:rsid w:val="47603295"/>
    <w:rsid w:val="47900390"/>
    <w:rsid w:val="4792415F"/>
    <w:rsid w:val="47A348CC"/>
    <w:rsid w:val="47B82C9D"/>
    <w:rsid w:val="47F037D9"/>
    <w:rsid w:val="48384B20"/>
    <w:rsid w:val="483940A5"/>
    <w:rsid w:val="489719B6"/>
    <w:rsid w:val="489E512A"/>
    <w:rsid w:val="48BA25C3"/>
    <w:rsid w:val="48D56883"/>
    <w:rsid w:val="491302F0"/>
    <w:rsid w:val="493F2F15"/>
    <w:rsid w:val="49532D21"/>
    <w:rsid w:val="49657F06"/>
    <w:rsid w:val="49764533"/>
    <w:rsid w:val="49925A51"/>
    <w:rsid w:val="49AB61D0"/>
    <w:rsid w:val="49C41488"/>
    <w:rsid w:val="49FF3F32"/>
    <w:rsid w:val="4A017DCC"/>
    <w:rsid w:val="4A0A565D"/>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C96B8B"/>
    <w:rsid w:val="4FDA6C8F"/>
    <w:rsid w:val="4FF74967"/>
    <w:rsid w:val="4FFF7151"/>
    <w:rsid w:val="50253FD1"/>
    <w:rsid w:val="502C1819"/>
    <w:rsid w:val="502E1606"/>
    <w:rsid w:val="503E4B73"/>
    <w:rsid w:val="503F546A"/>
    <w:rsid w:val="505A5C1E"/>
    <w:rsid w:val="50813B06"/>
    <w:rsid w:val="508654A4"/>
    <w:rsid w:val="509C25F0"/>
    <w:rsid w:val="50B271A1"/>
    <w:rsid w:val="50C17863"/>
    <w:rsid w:val="50C81174"/>
    <w:rsid w:val="510C08EA"/>
    <w:rsid w:val="511C5162"/>
    <w:rsid w:val="513F29B7"/>
    <w:rsid w:val="51452242"/>
    <w:rsid w:val="517023EE"/>
    <w:rsid w:val="51813D34"/>
    <w:rsid w:val="519A1758"/>
    <w:rsid w:val="51AF1B37"/>
    <w:rsid w:val="51C51E76"/>
    <w:rsid w:val="51CC39AC"/>
    <w:rsid w:val="51E51128"/>
    <w:rsid w:val="520D7FFA"/>
    <w:rsid w:val="522937E0"/>
    <w:rsid w:val="522C3F9D"/>
    <w:rsid w:val="5238713E"/>
    <w:rsid w:val="527B5D77"/>
    <w:rsid w:val="52D34235"/>
    <w:rsid w:val="53081779"/>
    <w:rsid w:val="534B1A77"/>
    <w:rsid w:val="534B7672"/>
    <w:rsid w:val="536C1090"/>
    <w:rsid w:val="53737C03"/>
    <w:rsid w:val="539E5D3D"/>
    <w:rsid w:val="53AA2830"/>
    <w:rsid w:val="53EF5A68"/>
    <w:rsid w:val="540079CA"/>
    <w:rsid w:val="54027532"/>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63713A"/>
    <w:rsid w:val="557425CC"/>
    <w:rsid w:val="5587746A"/>
    <w:rsid w:val="55B04437"/>
    <w:rsid w:val="55F01018"/>
    <w:rsid w:val="563665FD"/>
    <w:rsid w:val="56784506"/>
    <w:rsid w:val="567C5F8E"/>
    <w:rsid w:val="56A936AC"/>
    <w:rsid w:val="56BA1C1B"/>
    <w:rsid w:val="56C83A42"/>
    <w:rsid w:val="56FA6D9E"/>
    <w:rsid w:val="57623859"/>
    <w:rsid w:val="5767274F"/>
    <w:rsid w:val="579E3DE8"/>
    <w:rsid w:val="57A17216"/>
    <w:rsid w:val="57D216E2"/>
    <w:rsid w:val="57D24171"/>
    <w:rsid w:val="57D60097"/>
    <w:rsid w:val="57D66949"/>
    <w:rsid w:val="57DC6A48"/>
    <w:rsid w:val="58156F93"/>
    <w:rsid w:val="5827352B"/>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9137D"/>
    <w:rsid w:val="599B3797"/>
    <w:rsid w:val="59A71B88"/>
    <w:rsid w:val="59AE04C2"/>
    <w:rsid w:val="59AE4E80"/>
    <w:rsid w:val="59E86C16"/>
    <w:rsid w:val="59ED2DB1"/>
    <w:rsid w:val="59F8019B"/>
    <w:rsid w:val="5A0278DF"/>
    <w:rsid w:val="5A190E8E"/>
    <w:rsid w:val="5A23356B"/>
    <w:rsid w:val="5A487E05"/>
    <w:rsid w:val="5A53173B"/>
    <w:rsid w:val="5A943606"/>
    <w:rsid w:val="5AAA653F"/>
    <w:rsid w:val="5AB90D1D"/>
    <w:rsid w:val="5ACE62ED"/>
    <w:rsid w:val="5B1E17B1"/>
    <w:rsid w:val="5B2A40D0"/>
    <w:rsid w:val="5B627C79"/>
    <w:rsid w:val="5B651940"/>
    <w:rsid w:val="5B7752B2"/>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AB6C09"/>
    <w:rsid w:val="5DB47DAE"/>
    <w:rsid w:val="5DD62B9F"/>
    <w:rsid w:val="5DF529F6"/>
    <w:rsid w:val="5DFA4DF5"/>
    <w:rsid w:val="5DFD04B0"/>
    <w:rsid w:val="5E495643"/>
    <w:rsid w:val="5E541D16"/>
    <w:rsid w:val="5E5B734D"/>
    <w:rsid w:val="5E88771E"/>
    <w:rsid w:val="5EE50805"/>
    <w:rsid w:val="5F542679"/>
    <w:rsid w:val="5F683DAD"/>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22FF0"/>
    <w:rsid w:val="616E2687"/>
    <w:rsid w:val="61892938"/>
    <w:rsid w:val="61956448"/>
    <w:rsid w:val="61AD6848"/>
    <w:rsid w:val="61B22E46"/>
    <w:rsid w:val="61CD3E9E"/>
    <w:rsid w:val="61CE3444"/>
    <w:rsid w:val="61EB6F89"/>
    <w:rsid w:val="61F914DB"/>
    <w:rsid w:val="61FB1170"/>
    <w:rsid w:val="6207671C"/>
    <w:rsid w:val="62340F33"/>
    <w:rsid w:val="62385B9D"/>
    <w:rsid w:val="624D7F7B"/>
    <w:rsid w:val="628E5793"/>
    <w:rsid w:val="62976675"/>
    <w:rsid w:val="62A24636"/>
    <w:rsid w:val="62AB50D5"/>
    <w:rsid w:val="62AB618D"/>
    <w:rsid w:val="62D6719E"/>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43C25"/>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2253B"/>
    <w:rsid w:val="68AC3D57"/>
    <w:rsid w:val="68B63CD3"/>
    <w:rsid w:val="68CF7C43"/>
    <w:rsid w:val="68DF0EAB"/>
    <w:rsid w:val="68E32D79"/>
    <w:rsid w:val="69016A08"/>
    <w:rsid w:val="69D866C6"/>
    <w:rsid w:val="69F861E6"/>
    <w:rsid w:val="6A21309F"/>
    <w:rsid w:val="6A3D338C"/>
    <w:rsid w:val="6A454B85"/>
    <w:rsid w:val="6A482AAF"/>
    <w:rsid w:val="6A8D2838"/>
    <w:rsid w:val="6A941E18"/>
    <w:rsid w:val="6A9D0F41"/>
    <w:rsid w:val="6AA113ED"/>
    <w:rsid w:val="6ACB3B1B"/>
    <w:rsid w:val="6AD42C9D"/>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A125CA"/>
    <w:rsid w:val="6CCA3F84"/>
    <w:rsid w:val="6CE35E9B"/>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926A9"/>
    <w:rsid w:val="6F0D2199"/>
    <w:rsid w:val="6F0F7DCB"/>
    <w:rsid w:val="6F284C65"/>
    <w:rsid w:val="6F2F2F24"/>
    <w:rsid w:val="6F312DD8"/>
    <w:rsid w:val="6F3911E0"/>
    <w:rsid w:val="6F421919"/>
    <w:rsid w:val="6F735E73"/>
    <w:rsid w:val="6F8D13C7"/>
    <w:rsid w:val="6FC3526C"/>
    <w:rsid w:val="6FC72A57"/>
    <w:rsid w:val="6FE20A31"/>
    <w:rsid w:val="6FE32EFA"/>
    <w:rsid w:val="6FE87B87"/>
    <w:rsid w:val="6FEA4288"/>
    <w:rsid w:val="6FF7297A"/>
    <w:rsid w:val="6FFE1AE2"/>
    <w:rsid w:val="700F12CD"/>
    <w:rsid w:val="701428CE"/>
    <w:rsid w:val="70327E1E"/>
    <w:rsid w:val="704F7779"/>
    <w:rsid w:val="708F4923"/>
    <w:rsid w:val="70B25961"/>
    <w:rsid w:val="70B75B8D"/>
    <w:rsid w:val="70BF6591"/>
    <w:rsid w:val="70D32F6E"/>
    <w:rsid w:val="711517D9"/>
    <w:rsid w:val="711A18D2"/>
    <w:rsid w:val="712966A9"/>
    <w:rsid w:val="714D6817"/>
    <w:rsid w:val="71501028"/>
    <w:rsid w:val="71524046"/>
    <w:rsid w:val="71533ADD"/>
    <w:rsid w:val="717D1E65"/>
    <w:rsid w:val="71A66CC4"/>
    <w:rsid w:val="720555E9"/>
    <w:rsid w:val="72193393"/>
    <w:rsid w:val="72331CBD"/>
    <w:rsid w:val="724701E1"/>
    <w:rsid w:val="725255EA"/>
    <w:rsid w:val="72823419"/>
    <w:rsid w:val="72B43BCC"/>
    <w:rsid w:val="72BF19FC"/>
    <w:rsid w:val="72D9434B"/>
    <w:rsid w:val="72F82052"/>
    <w:rsid w:val="730C26C5"/>
    <w:rsid w:val="731C1EB6"/>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5F23E97"/>
    <w:rsid w:val="76004CA4"/>
    <w:rsid w:val="76425EE2"/>
    <w:rsid w:val="7653072E"/>
    <w:rsid w:val="766E623E"/>
    <w:rsid w:val="76822B21"/>
    <w:rsid w:val="768C5471"/>
    <w:rsid w:val="769D58AC"/>
    <w:rsid w:val="76AA4B74"/>
    <w:rsid w:val="76B66965"/>
    <w:rsid w:val="76B850E0"/>
    <w:rsid w:val="76CA5D5C"/>
    <w:rsid w:val="77074F83"/>
    <w:rsid w:val="77220BD7"/>
    <w:rsid w:val="772A2E7C"/>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D953FA"/>
    <w:rsid w:val="78E201F2"/>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D0697F"/>
    <w:rsid w:val="7AF5295B"/>
    <w:rsid w:val="7B1607CA"/>
    <w:rsid w:val="7B3E05B4"/>
    <w:rsid w:val="7B6056F6"/>
    <w:rsid w:val="7B6E6A55"/>
    <w:rsid w:val="7B7E586C"/>
    <w:rsid w:val="7B8B0C38"/>
    <w:rsid w:val="7B8E2B4E"/>
    <w:rsid w:val="7B95779E"/>
    <w:rsid w:val="7B9850A6"/>
    <w:rsid w:val="7BE032DA"/>
    <w:rsid w:val="7BF049EB"/>
    <w:rsid w:val="7C120DEF"/>
    <w:rsid w:val="7C146461"/>
    <w:rsid w:val="7C221215"/>
    <w:rsid w:val="7C377446"/>
    <w:rsid w:val="7C5A6DFB"/>
    <w:rsid w:val="7C6E35CD"/>
    <w:rsid w:val="7CA00D26"/>
    <w:rsid w:val="7CB623F6"/>
    <w:rsid w:val="7CC30BB4"/>
    <w:rsid w:val="7CD12BEF"/>
    <w:rsid w:val="7CD9506D"/>
    <w:rsid w:val="7D076221"/>
    <w:rsid w:val="7D144EB5"/>
    <w:rsid w:val="7D6D2AF7"/>
    <w:rsid w:val="7D713FBB"/>
    <w:rsid w:val="7D8A60E2"/>
    <w:rsid w:val="7DA663A1"/>
    <w:rsid w:val="7E0A5B14"/>
    <w:rsid w:val="7E121FB6"/>
    <w:rsid w:val="7E2205D3"/>
    <w:rsid w:val="7E385C8F"/>
    <w:rsid w:val="7E3C6F26"/>
    <w:rsid w:val="7E5B31B8"/>
    <w:rsid w:val="7E6A484C"/>
    <w:rsid w:val="7E9D6F63"/>
    <w:rsid w:val="7EEB718E"/>
    <w:rsid w:val="7EFF380E"/>
    <w:rsid w:val="7F053BD5"/>
    <w:rsid w:val="7F47353B"/>
    <w:rsid w:val="7F555E1A"/>
    <w:rsid w:val="7F6556D9"/>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9"/>
    <w:pPr>
      <w:numPr>
        <w:ilvl w:val="3"/>
        <w:numId w:val="1"/>
      </w:numPr>
      <w:adjustRightInd w:val="0"/>
      <w:snapToGrid w:val="0"/>
      <w:spacing w:afterLines="50" w:line="400" w:lineRule="exact"/>
      <w:outlineLvl w:val="3"/>
    </w:pPr>
    <w:rPr>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annotation text"/>
    <w:basedOn w:val="1"/>
    <w:link w:val="32"/>
    <w:semiHidden/>
    <w:unhideWhenUsed/>
    <w:qFormat/>
    <w:uiPriority w:val="99"/>
    <w:pPr>
      <w:jc w:val="left"/>
    </w:pPr>
  </w:style>
  <w:style w:type="paragraph" w:styleId="8">
    <w:name w:val="Body Text"/>
    <w:basedOn w:val="1"/>
    <w:next w:val="1"/>
    <w:link w:val="53"/>
    <w:qFormat/>
    <w:uiPriority w:val="1"/>
    <w:pPr>
      <w:ind w:left="119"/>
    </w:pPr>
    <w:rPr>
      <w:rFonts w:ascii="仿宋_GB2312" w:hAnsi="仿宋_GB2312" w:eastAsia="仿宋_GB2312" w:cs="Times New Roman"/>
      <w:sz w:val="30"/>
      <w:szCs w:val="30"/>
      <w:lang w:eastAsia="en-US"/>
    </w:r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Balloon Text"/>
    <w:basedOn w:val="1"/>
    <w:link w:val="30"/>
    <w:semiHidden/>
    <w:unhideWhenUsed/>
    <w:qFormat/>
    <w:uiPriority w:val="99"/>
    <w:rPr>
      <w:sz w:val="18"/>
      <w:szCs w:val="18"/>
    </w:rPr>
  </w:style>
  <w:style w:type="paragraph" w:styleId="11">
    <w:name w:val="footer"/>
    <w:basedOn w:val="1"/>
    <w:next w:val="12"/>
    <w:link w:val="27"/>
    <w:unhideWhenUsed/>
    <w:qFormat/>
    <w:uiPriority w:val="99"/>
    <w:pPr>
      <w:tabs>
        <w:tab w:val="center" w:pos="4153"/>
        <w:tab w:val="right" w:pos="8306"/>
      </w:tabs>
      <w:snapToGrid w:val="0"/>
      <w:jc w:val="left"/>
    </w:pPr>
    <w:rPr>
      <w:sz w:val="18"/>
      <w:szCs w:val="18"/>
    </w:rPr>
  </w:style>
  <w:style w:type="paragraph" w:styleId="12">
    <w:name w:val="Normal (Web)"/>
    <w:basedOn w:val="1"/>
    <w:next w:val="13"/>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index 9"/>
    <w:basedOn w:val="1"/>
    <w:next w:val="1"/>
    <w:qFormat/>
    <w:uiPriority w:val="0"/>
    <w:pPr>
      <w:ind w:left="3360"/>
    </w:p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spacing w:line="540" w:lineRule="exact"/>
    </w:pPr>
    <w:rPr>
      <w:rFonts w:ascii="Times New Roman" w:hAnsi="Times New Roman" w:eastAsia="黑体" w:cs="Times New Roman"/>
      <w:sz w:val="28"/>
      <w:szCs w:val="24"/>
    </w:rPr>
  </w:style>
  <w:style w:type="paragraph" w:styleId="16">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7">
    <w:name w:val="annotation subject"/>
    <w:basedOn w:val="7"/>
    <w:next w:val="7"/>
    <w:link w:val="33"/>
    <w:semiHidden/>
    <w:unhideWhenUsed/>
    <w:qFormat/>
    <w:uiPriority w:val="99"/>
    <w:rPr>
      <w:b/>
      <w:bCs/>
    </w:rPr>
  </w:style>
  <w:style w:type="table" w:styleId="19">
    <w:name w:val="Table Grid"/>
    <w:basedOn w:val="1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1">
    <w:name w:val="page number"/>
    <w:basedOn w:val="20"/>
    <w:qFormat/>
    <w:uiPriority w:val="0"/>
  </w:style>
  <w:style w:type="character" w:styleId="22">
    <w:name w:val="Emphasis"/>
    <w:qFormat/>
    <w:uiPriority w:val="0"/>
    <w:rPr>
      <w:rFonts w:ascii="Times New Roman" w:hAnsi="Times New Roman" w:eastAsia="黑体"/>
      <w:iCs/>
      <w:sz w:val="24"/>
    </w:rPr>
  </w:style>
  <w:style w:type="character" w:styleId="23">
    <w:name w:val="Hyperlink"/>
    <w:unhideWhenUsed/>
    <w:qFormat/>
    <w:uiPriority w:val="99"/>
    <w:rPr>
      <w:color w:val="0000FF"/>
      <w:u w:val="single"/>
    </w:rPr>
  </w:style>
  <w:style w:type="character" w:styleId="24">
    <w:name w:val="annotation reference"/>
    <w:basedOn w:val="20"/>
    <w:semiHidden/>
    <w:unhideWhenUsed/>
    <w:qFormat/>
    <w:uiPriority w:val="99"/>
    <w:rPr>
      <w:sz w:val="21"/>
      <w:szCs w:val="21"/>
    </w:rPr>
  </w:style>
  <w:style w:type="paragraph" w:customStyle="1" w:styleId="25">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6">
    <w:name w:val="页眉 字符"/>
    <w:basedOn w:val="20"/>
    <w:link w:val="14"/>
    <w:qFormat/>
    <w:uiPriority w:val="99"/>
    <w:rPr>
      <w:sz w:val="18"/>
      <w:szCs w:val="18"/>
    </w:rPr>
  </w:style>
  <w:style w:type="character" w:customStyle="1" w:styleId="27">
    <w:name w:val="页脚 字符"/>
    <w:basedOn w:val="20"/>
    <w:link w:val="11"/>
    <w:qFormat/>
    <w:uiPriority w:val="99"/>
    <w:rPr>
      <w:sz w:val="18"/>
      <w:szCs w:val="18"/>
    </w:rPr>
  </w:style>
  <w:style w:type="character" w:customStyle="1" w:styleId="28">
    <w:name w:val="标题 1 字符"/>
    <w:basedOn w:val="20"/>
    <w:link w:val="3"/>
    <w:qFormat/>
    <w:uiPriority w:val="9"/>
    <w:rPr>
      <w:rFonts w:ascii="黑体" w:hAnsi="黑体" w:eastAsia="黑体"/>
      <w:bCs/>
      <w:kern w:val="44"/>
      <w:sz w:val="32"/>
      <w:szCs w:val="44"/>
    </w:rPr>
  </w:style>
  <w:style w:type="paragraph" w:customStyle="1" w:styleId="29">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20"/>
    <w:link w:val="10"/>
    <w:semiHidden/>
    <w:qFormat/>
    <w:uiPriority w:val="99"/>
    <w:rPr>
      <w:sz w:val="18"/>
      <w:szCs w:val="18"/>
    </w:rPr>
  </w:style>
  <w:style w:type="paragraph" w:styleId="31">
    <w:name w:val="List Paragraph"/>
    <w:basedOn w:val="1"/>
    <w:qFormat/>
    <w:uiPriority w:val="34"/>
    <w:pPr>
      <w:ind w:firstLine="420" w:firstLineChars="200"/>
    </w:pPr>
  </w:style>
  <w:style w:type="character" w:customStyle="1" w:styleId="32">
    <w:name w:val="批注文字 字符"/>
    <w:basedOn w:val="20"/>
    <w:link w:val="7"/>
    <w:semiHidden/>
    <w:qFormat/>
    <w:uiPriority w:val="99"/>
  </w:style>
  <w:style w:type="character" w:customStyle="1" w:styleId="33">
    <w:name w:val="批注主题 字符"/>
    <w:basedOn w:val="32"/>
    <w:link w:val="17"/>
    <w:semiHidden/>
    <w:qFormat/>
    <w:uiPriority w:val="99"/>
    <w:rPr>
      <w:b/>
      <w:bCs/>
    </w:rPr>
  </w:style>
  <w:style w:type="character" w:customStyle="1" w:styleId="34">
    <w:name w:val="font11"/>
    <w:basedOn w:val="20"/>
    <w:qFormat/>
    <w:uiPriority w:val="0"/>
    <w:rPr>
      <w:rFonts w:ascii="仿宋_GB2312" w:eastAsia="仿宋_GB2312" w:cs="仿宋_GB2312"/>
      <w:color w:val="000000"/>
      <w:sz w:val="22"/>
      <w:szCs w:val="22"/>
      <w:u w:val="none"/>
    </w:rPr>
  </w:style>
  <w:style w:type="character" w:customStyle="1" w:styleId="35">
    <w:name w:val="font81"/>
    <w:basedOn w:val="20"/>
    <w:qFormat/>
    <w:uiPriority w:val="0"/>
    <w:rPr>
      <w:rFonts w:hint="default" w:ascii="Times New Roman" w:hAnsi="Times New Roman" w:cs="Times New Roman"/>
      <w:b/>
      <w:color w:val="000000"/>
      <w:sz w:val="22"/>
      <w:szCs w:val="22"/>
      <w:u w:val="none"/>
    </w:rPr>
  </w:style>
  <w:style w:type="character" w:customStyle="1" w:styleId="36">
    <w:name w:val="font21"/>
    <w:basedOn w:val="20"/>
    <w:qFormat/>
    <w:uiPriority w:val="0"/>
    <w:rPr>
      <w:rFonts w:ascii="仿宋_GB2312" w:eastAsia="仿宋_GB2312" w:cs="仿宋_GB2312"/>
      <w:color w:val="000000"/>
      <w:sz w:val="22"/>
      <w:szCs w:val="22"/>
      <w:u w:val="none"/>
    </w:rPr>
  </w:style>
  <w:style w:type="character" w:customStyle="1" w:styleId="37">
    <w:name w:val="font31"/>
    <w:basedOn w:val="20"/>
    <w:qFormat/>
    <w:uiPriority w:val="0"/>
    <w:rPr>
      <w:rFonts w:ascii="仿宋_GB2312" w:eastAsia="仿宋_GB2312" w:cs="仿宋_GB2312"/>
      <w:color w:val="000000"/>
      <w:sz w:val="22"/>
      <w:szCs w:val="22"/>
      <w:u w:val="none"/>
    </w:rPr>
  </w:style>
  <w:style w:type="character" w:customStyle="1" w:styleId="38">
    <w:name w:val="font41"/>
    <w:basedOn w:val="20"/>
    <w:qFormat/>
    <w:uiPriority w:val="0"/>
    <w:rPr>
      <w:rFonts w:hint="default" w:ascii="Times New Roman" w:hAnsi="Times New Roman" w:cs="Times New Roman"/>
      <w:color w:val="000000"/>
      <w:sz w:val="22"/>
      <w:szCs w:val="22"/>
      <w:u w:val="none"/>
    </w:rPr>
  </w:style>
  <w:style w:type="character" w:customStyle="1" w:styleId="39">
    <w:name w:val="font01"/>
    <w:basedOn w:val="20"/>
    <w:qFormat/>
    <w:uiPriority w:val="0"/>
    <w:rPr>
      <w:rFonts w:hint="eastAsia" w:ascii="仿宋_GB2312" w:eastAsia="仿宋_GB2312" w:cs="仿宋_GB2312"/>
      <w:color w:val="000000"/>
      <w:sz w:val="22"/>
      <w:szCs w:val="22"/>
      <w:u w:val="none"/>
    </w:rPr>
  </w:style>
  <w:style w:type="paragraph" w:customStyle="1" w:styleId="40">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1">
    <w:name w:val="font91"/>
    <w:basedOn w:val="20"/>
    <w:qFormat/>
    <w:uiPriority w:val="0"/>
    <w:rPr>
      <w:rFonts w:hint="eastAsia" w:ascii="仿宋_GB2312" w:eastAsia="仿宋_GB2312" w:cs="仿宋_GB2312"/>
      <w:color w:val="000000"/>
      <w:sz w:val="22"/>
      <w:szCs w:val="22"/>
      <w:u w:val="none"/>
    </w:rPr>
  </w:style>
  <w:style w:type="character" w:customStyle="1" w:styleId="42">
    <w:name w:val="font61"/>
    <w:basedOn w:val="20"/>
    <w:qFormat/>
    <w:uiPriority w:val="0"/>
    <w:rPr>
      <w:rFonts w:ascii="仿宋_GB2312" w:eastAsia="仿宋_GB2312" w:cs="仿宋_GB2312"/>
      <w:b/>
      <w:color w:val="000000"/>
      <w:sz w:val="22"/>
      <w:szCs w:val="22"/>
      <w:u w:val="none"/>
    </w:rPr>
  </w:style>
  <w:style w:type="character" w:customStyle="1" w:styleId="43">
    <w:name w:val="font51"/>
    <w:basedOn w:val="20"/>
    <w:qFormat/>
    <w:uiPriority w:val="0"/>
    <w:rPr>
      <w:rFonts w:hint="eastAsia" w:ascii="仿宋_GB2312" w:eastAsia="仿宋_GB2312" w:cs="仿宋_GB2312"/>
      <w:b/>
      <w:color w:val="000000"/>
      <w:sz w:val="24"/>
      <w:szCs w:val="24"/>
      <w:u w:val="none"/>
    </w:rPr>
  </w:style>
  <w:style w:type="character" w:customStyle="1" w:styleId="44">
    <w:name w:val="font101"/>
    <w:basedOn w:val="20"/>
    <w:qFormat/>
    <w:uiPriority w:val="0"/>
    <w:rPr>
      <w:rFonts w:hint="default" w:ascii="Times New Roman" w:hAnsi="Times New Roman" w:cs="Times New Roman"/>
      <w:color w:val="000000"/>
      <w:sz w:val="24"/>
      <w:szCs w:val="24"/>
      <w:u w:val="none"/>
    </w:rPr>
  </w:style>
  <w:style w:type="character" w:customStyle="1" w:styleId="45">
    <w:name w:val="font71"/>
    <w:basedOn w:val="20"/>
    <w:qFormat/>
    <w:uiPriority w:val="0"/>
    <w:rPr>
      <w:rFonts w:hint="eastAsia" w:ascii="仿宋_GB2312" w:eastAsia="仿宋_GB2312" w:cs="仿宋_GB2312"/>
      <w:color w:val="000000"/>
      <w:sz w:val="24"/>
      <w:szCs w:val="24"/>
      <w:u w:val="none"/>
    </w:rPr>
  </w:style>
  <w:style w:type="character" w:customStyle="1" w:styleId="46">
    <w:name w:val="font112"/>
    <w:basedOn w:val="20"/>
    <w:qFormat/>
    <w:uiPriority w:val="0"/>
    <w:rPr>
      <w:rFonts w:hint="default" w:ascii="Times New Roman" w:hAnsi="Times New Roman" w:cs="Times New Roman"/>
      <w:color w:val="000000"/>
      <w:sz w:val="24"/>
      <w:szCs w:val="24"/>
      <w:u w:val="none"/>
    </w:rPr>
  </w:style>
  <w:style w:type="character" w:customStyle="1" w:styleId="47">
    <w:name w:val="font121"/>
    <w:basedOn w:val="20"/>
    <w:qFormat/>
    <w:uiPriority w:val="0"/>
    <w:rPr>
      <w:rFonts w:hint="eastAsia" w:ascii="仿宋_GB2312" w:eastAsia="仿宋_GB2312" w:cs="仿宋_GB2312"/>
      <w:b/>
      <w:color w:val="000000"/>
      <w:sz w:val="22"/>
      <w:szCs w:val="22"/>
      <w:u w:val="none"/>
    </w:rPr>
  </w:style>
  <w:style w:type="character" w:customStyle="1" w:styleId="48">
    <w:name w:val="font131"/>
    <w:basedOn w:val="20"/>
    <w:qFormat/>
    <w:uiPriority w:val="0"/>
    <w:rPr>
      <w:rFonts w:hint="eastAsia" w:ascii="仿宋_GB2312" w:eastAsia="仿宋_GB2312" w:cs="仿宋_GB2312"/>
      <w:b/>
      <w:color w:val="000000"/>
      <w:sz w:val="22"/>
      <w:szCs w:val="22"/>
      <w:u w:val="none"/>
    </w:rPr>
  </w:style>
  <w:style w:type="paragraph" w:customStyle="1" w:styleId="4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表头"/>
    <w:basedOn w:val="1"/>
    <w:qFormat/>
    <w:uiPriority w:val="0"/>
    <w:pPr>
      <w:spacing w:line="240" w:lineRule="auto"/>
      <w:ind w:firstLine="0" w:firstLineChars="0"/>
      <w:jc w:val="center"/>
    </w:pPr>
    <w:rPr>
      <w:rFonts w:eastAsia="黑体"/>
      <w:sz w:val="24"/>
    </w:rPr>
  </w:style>
  <w:style w:type="table" w:customStyle="1" w:styleId="51">
    <w:name w:val="网格型11"/>
    <w:basedOn w:val="18"/>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2">
    <w:name w:val="font141"/>
    <w:basedOn w:val="20"/>
    <w:qFormat/>
    <w:uiPriority w:val="0"/>
    <w:rPr>
      <w:rFonts w:hint="eastAsia" w:ascii="仿宋" w:hAnsi="仿宋" w:eastAsia="仿宋" w:cs="仿宋"/>
      <w:color w:val="FF0000"/>
      <w:sz w:val="24"/>
      <w:szCs w:val="24"/>
      <w:u w:val="none"/>
    </w:rPr>
  </w:style>
  <w:style w:type="character" w:customStyle="1" w:styleId="53">
    <w:name w:val="正文文本 Char"/>
    <w:link w:val="8"/>
    <w:qFormat/>
    <w:uiPriority w:val="1"/>
    <w:rPr>
      <w:rFonts w:ascii="仿宋_GB2312" w:hAnsi="仿宋_GB2312" w:eastAsia="仿宋_GB2312" w:cs="Times New Roman"/>
      <w:sz w:val="30"/>
      <w:szCs w:val="3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40</Pages>
  <Words>18169</Words>
  <Characters>20103</Characters>
  <Lines>1</Lines>
  <Paragraphs>1</Paragraphs>
  <TotalTime>1</TotalTime>
  <ScaleCrop>false</ScaleCrop>
  <LinksUpToDate>false</LinksUpToDate>
  <CharactersWithSpaces>20292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2022-08-30T04:52:00Z</cp:lastPrinted>
  <dcterms:modified xsi:type="dcterms:W3CDTF">2023-04-26T03:13:16Z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625F9F55F30F4E598E05122D09410172</vt:lpwstr>
  </property>
</Properties>
</file>