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水务管理局</w:t>
      </w:r>
    </w:p>
    <w:p>
      <w:pPr>
        <w:jc w:val="center"/>
        <w:rPr>
          <w:rFonts w:hint="default" w:ascii="Times New Roman" w:hAnsi="黑体" w:eastAsia="方正小标宋简体" w:cs="宋体"/>
          <w:kern w:val="0"/>
          <w:sz w:val="24"/>
          <w:szCs w:val="24"/>
          <w:highlight w:val="none"/>
          <w:lang w:val="en-US" w:eastAsia="zh-CN"/>
        </w:rPr>
      </w:pPr>
      <w:r>
        <w:rPr>
          <w:rFonts w:hint="eastAsia" w:ascii="方正小标宋简体" w:hAnsi="黑体" w:eastAsia="方正小标宋简体"/>
          <w:w w:val="98"/>
          <w:sz w:val="44"/>
          <w:szCs w:val="44"/>
        </w:rPr>
        <w:t>20</w:t>
      </w:r>
      <w:r>
        <w:rPr>
          <w:rFonts w:hint="eastAsia" w:ascii="方正小标宋简体" w:hAnsi="黑体" w:eastAsia="方正小标宋简体"/>
          <w:w w:val="98"/>
          <w:sz w:val="44"/>
          <w:szCs w:val="44"/>
          <w:lang w:val="en-US" w:eastAsia="zh-CN"/>
        </w:rPr>
        <w:t>21</w:t>
      </w:r>
      <w:r>
        <w:rPr>
          <w:rFonts w:hint="eastAsia" w:ascii="方正小标宋简体" w:hAnsi="黑体" w:eastAsia="方正小标宋简体"/>
          <w:w w:val="98"/>
          <w:sz w:val="44"/>
          <w:szCs w:val="44"/>
        </w:rPr>
        <w:t>年</w:t>
      </w:r>
      <w:r>
        <w:rPr>
          <w:rFonts w:hint="eastAsia" w:ascii="方正小标宋简体" w:hAnsi="黑体" w:eastAsia="方正小标宋简体"/>
          <w:w w:val="98"/>
          <w:sz w:val="44"/>
          <w:szCs w:val="44"/>
          <w:lang w:val="en-US" w:eastAsia="zh-CN"/>
        </w:rPr>
        <w:t>部门整体支出</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29</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30</w:t>
      </w:r>
      <w:r>
        <w:rPr>
          <w:rFonts w:hint="eastAsia" w:ascii="黑体" w:hAnsi="黑体" w:eastAsia="黑体" w:cs="宋体"/>
          <w:kern w:val="0"/>
          <w:sz w:val="28"/>
          <w:szCs w:val="28"/>
        </w:rPr>
        <w:t>日</w:t>
      </w:r>
    </w:p>
    <w:p>
      <w:pPr>
        <w:spacing w:line="360" w:lineRule="auto"/>
        <w:ind w:firstLine="1920" w:firstLineChars="800"/>
        <w:jc w:val="left"/>
        <w:rPr>
          <w:rFonts w:ascii="黑体" w:hAnsi="黑体" w:eastAsia="黑体" w:cs="宋体"/>
          <w:kern w:val="0"/>
          <w:sz w:val="24"/>
          <w:szCs w:val="24"/>
          <w:highlight w:val="none"/>
        </w:rPr>
      </w:pP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8"/>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222"/>
        <w:gridCol w:w="885"/>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ascii="黑体" w:hAnsi="宋体" w:eastAsia="黑体" w:cs="黑体"/>
                <w:color w:val="000000"/>
                <w:sz w:val="24"/>
                <w:highlight w:val="none"/>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85分</w:t>
            </w:r>
            <w:r>
              <w:rPr>
                <w:rStyle w:val="38"/>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eastAsia="zh-CN"/>
              </w:rPr>
              <w:t>良</w:t>
            </w:r>
            <w:r>
              <w:rPr>
                <w:rFonts w:ascii="黑体" w:hAnsi="宋体" w:eastAsia="黑体" w:cs="黑体"/>
                <w:color w:val="000000"/>
                <w:sz w:val="24"/>
                <w:highlight w:val="none"/>
              </w:rPr>
              <w:t xml:space="preserve"> </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692"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云岩区水务管理</w:t>
            </w:r>
            <w:r>
              <w:rPr>
                <w:rFonts w:hint="eastAsia" w:ascii="仿宋_GB2312" w:hAnsi="宋体" w:eastAsia="仿宋_GB2312" w:cs="仿宋_GB2312"/>
                <w:color w:val="000000"/>
                <w:sz w:val="20"/>
                <w:szCs w:val="20"/>
                <w:highlight w:val="none"/>
                <w:lang w:val="en-US" w:eastAsia="zh-CN"/>
              </w:rPr>
              <w:t>局2021年部门整体绩效评价项目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864"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default" w:ascii="仿宋_GB2312" w:hAnsi="宋体" w:eastAsia="仿宋_GB2312" w:cs="仿宋_GB2312"/>
                <w:color w:val="000000"/>
                <w:sz w:val="20"/>
                <w:szCs w:val="20"/>
                <w:highlight w:val="none"/>
                <w:lang w:val="en-US" w:eastAsia="zh-CN"/>
              </w:rPr>
              <w:t>云岩区水务管理</w:t>
            </w:r>
            <w:r>
              <w:rPr>
                <w:rFonts w:hint="eastAsia" w:ascii="仿宋_GB2312" w:hAnsi="宋体" w:eastAsia="仿宋_GB2312" w:cs="仿宋_GB2312"/>
                <w:color w:val="000000"/>
                <w:sz w:val="20"/>
                <w:szCs w:val="20"/>
                <w:highlight w:val="none"/>
                <w:lang w:val="en-US" w:eastAsia="zh-CN"/>
              </w:rPr>
              <w:t>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仿宋_GB2312" w:eastAsia="仿宋_GB2312" w:cs="仿宋_GB2312"/>
                <w:sz w:val="20"/>
                <w:szCs w:val="20"/>
                <w:highlight w:val="none"/>
                <w:lang w:val="en-US" w:eastAsia="zh-CN"/>
              </w:rPr>
              <w:t>李亚林：17785137479</w:t>
            </w:r>
          </w:p>
        </w:tc>
      </w:tr>
      <w:tr>
        <w:tblPrEx>
          <w:tblCellMar>
            <w:top w:w="17" w:type="dxa"/>
            <w:left w:w="17" w:type="dxa"/>
            <w:bottom w:w="17" w:type="dxa"/>
            <w:right w:w="17" w:type="dxa"/>
          </w:tblCellMar>
        </w:tblPrEx>
        <w:trPr>
          <w:trHeight w:val="576"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自行组织</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99.5</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优</w:t>
            </w:r>
          </w:p>
        </w:tc>
      </w:tr>
      <w:tr>
        <w:tblPrEx>
          <w:tblCellMar>
            <w:top w:w="17" w:type="dxa"/>
            <w:left w:w="17" w:type="dxa"/>
            <w:bottom w:w="17" w:type="dxa"/>
            <w:right w:w="17" w:type="dxa"/>
          </w:tblCellMar>
        </w:tblPrEx>
        <w:trPr>
          <w:trHeight w:val="453"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sz w:val="20"/>
                <w:szCs w:val="20"/>
                <w:highlight w:val="none"/>
                <w:lang w:val="en-US" w:eastAsia="zh-CN"/>
              </w:rPr>
            </w:pPr>
            <w:r>
              <w:rPr>
                <w:rFonts w:hint="eastAsia" w:ascii="黑体" w:hAnsi="宋体" w:eastAsia="黑体" w:cs="黑体"/>
                <w:color w:val="000000"/>
                <w:kern w:val="0"/>
                <w:sz w:val="20"/>
                <w:szCs w:val="20"/>
                <w:highlight w:val="none"/>
                <w:lang w:eastAsia="zh-CN"/>
              </w:rPr>
              <w:t>部门总收</w:t>
            </w:r>
            <w:r>
              <w:rPr>
                <w:rFonts w:hint="eastAsia" w:ascii="黑体" w:hAnsi="宋体" w:eastAsia="黑体" w:cs="黑体"/>
                <w:color w:val="000000"/>
                <w:kern w:val="0"/>
                <w:sz w:val="20"/>
                <w:szCs w:val="20"/>
                <w:highlight w:val="none"/>
              </w:rPr>
              <w:t>入</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仿宋_GB2312" w:hAnsi="宋体" w:eastAsia="仿宋_GB2312" w:cs="仿宋_GB2312"/>
                <w:color w:val="000000"/>
                <w:sz w:val="20"/>
                <w:szCs w:val="20"/>
                <w:highlight w:val="none"/>
                <w:lang w:val="en-US" w:eastAsia="zh-CN"/>
              </w:rPr>
              <w:t>27</w:t>
            </w:r>
            <w:r>
              <w:rPr>
                <w:rFonts w:hint="eastAsia" w:ascii="仿宋_GB2312" w:hAnsi="宋体" w:eastAsia="仿宋_GB2312" w:cs="仿宋_GB2312"/>
                <w:color w:val="000000"/>
                <w:sz w:val="20"/>
                <w:szCs w:val="20"/>
                <w:highlight w:val="none"/>
                <w:lang w:val="en-US" w:eastAsia="zh-CN"/>
              </w:rPr>
              <w:t>,</w:t>
            </w:r>
            <w:r>
              <w:rPr>
                <w:rFonts w:hint="default" w:ascii="仿宋_GB2312" w:hAnsi="宋体" w:eastAsia="仿宋_GB2312" w:cs="仿宋_GB2312"/>
                <w:color w:val="000000"/>
                <w:sz w:val="20"/>
                <w:szCs w:val="20"/>
                <w:highlight w:val="none"/>
                <w:lang w:val="en-US" w:eastAsia="zh-CN"/>
              </w:rPr>
              <w:t>036.10</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0"/>
                <w:szCs w:val="20"/>
                <w:highlight w:val="none"/>
                <w:lang w:eastAsia="zh-CN"/>
              </w:rPr>
            </w:pPr>
            <w:r>
              <w:rPr>
                <w:rFonts w:hint="eastAsia" w:ascii="黑体" w:hAnsi="宋体" w:eastAsia="黑体" w:cs="黑体"/>
                <w:color w:val="000000"/>
                <w:sz w:val="20"/>
                <w:szCs w:val="20"/>
                <w:highlight w:val="none"/>
                <w:lang w:eastAsia="zh-CN"/>
              </w:rPr>
              <w:t>财政拨款收入</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27</w:t>
            </w:r>
            <w:r>
              <w:rPr>
                <w:rFonts w:hint="eastAsia" w:ascii="仿宋_GB2312" w:hAnsi="宋体" w:eastAsia="仿宋_GB2312" w:cs="仿宋_GB2312"/>
                <w:color w:val="000000"/>
                <w:sz w:val="20"/>
                <w:szCs w:val="20"/>
                <w:highlight w:val="none"/>
                <w:lang w:val="en-US" w:eastAsia="zh-CN"/>
              </w:rPr>
              <w:t>,</w:t>
            </w:r>
            <w:r>
              <w:rPr>
                <w:rFonts w:hint="default" w:ascii="仿宋_GB2312" w:hAnsi="宋体" w:eastAsia="仿宋_GB2312" w:cs="仿宋_GB2312"/>
                <w:color w:val="000000"/>
                <w:sz w:val="20"/>
                <w:szCs w:val="20"/>
                <w:highlight w:val="none"/>
                <w:lang w:val="en-US" w:eastAsia="zh-CN"/>
              </w:rPr>
              <w:t>036.10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lang w:eastAsia="zh-CN"/>
              </w:rPr>
              <w:t>其他收入</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0.00</w:t>
            </w:r>
          </w:p>
        </w:tc>
      </w:tr>
      <w:tr>
        <w:tblPrEx>
          <w:tblCellMar>
            <w:top w:w="17" w:type="dxa"/>
            <w:left w:w="17" w:type="dxa"/>
            <w:bottom w:w="17" w:type="dxa"/>
            <w:right w:w="17" w:type="dxa"/>
          </w:tblCellMar>
        </w:tblPrEx>
        <w:trPr>
          <w:trHeight w:val="453"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heme="minorHAnsi" w:hAnsiTheme="minorHAnsi" w:eastAsiaTheme="minorEastAsia" w:cstheme="minorBidi"/>
                <w:kern w:val="2"/>
                <w:sz w:val="21"/>
                <w:szCs w:val="22"/>
                <w:lang w:val="en-US" w:eastAsia="zh-CN"/>
              </w:rPr>
            </w:pPr>
            <w:r>
              <w:rPr>
                <w:rFonts w:hint="eastAsia" w:ascii="黑体" w:hAnsi="宋体" w:eastAsia="黑体" w:cs="黑体"/>
                <w:color w:val="000000"/>
                <w:kern w:val="0"/>
                <w:sz w:val="20"/>
                <w:szCs w:val="20"/>
                <w:highlight w:val="none"/>
                <w:lang w:eastAsia="zh-CN"/>
              </w:rPr>
              <w:t>部门总支出</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26,368.23</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基本支出</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rPr>
              <w:t>380.73</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项目支出</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25</w:t>
            </w:r>
            <w:r>
              <w:rPr>
                <w:rFonts w:hint="eastAsia" w:ascii="仿宋_GB2312" w:hAnsi="宋体" w:eastAsia="仿宋_GB2312" w:cs="仿宋_GB2312"/>
                <w:color w:val="000000"/>
                <w:sz w:val="20"/>
                <w:szCs w:val="20"/>
                <w:highlight w:val="none"/>
                <w:lang w:val="en-US" w:eastAsia="zh-CN"/>
              </w:rPr>
              <w:t>,</w:t>
            </w:r>
            <w:r>
              <w:rPr>
                <w:rFonts w:hint="default" w:ascii="仿宋_GB2312" w:hAnsi="宋体" w:eastAsia="仿宋_GB2312" w:cs="仿宋_GB2312"/>
                <w:color w:val="000000"/>
                <w:sz w:val="20"/>
                <w:szCs w:val="20"/>
                <w:highlight w:val="none"/>
                <w:lang w:val="en-US" w:eastAsia="zh-CN"/>
              </w:rPr>
              <w:t>987.50</w:t>
            </w:r>
          </w:p>
        </w:tc>
      </w:tr>
      <w:tr>
        <w:tblPrEx>
          <w:tblCellMar>
            <w:top w:w="17" w:type="dxa"/>
            <w:left w:w="17" w:type="dxa"/>
            <w:bottom w:w="17" w:type="dxa"/>
            <w:right w:w="17" w:type="dxa"/>
          </w:tblCellMar>
        </w:tblPrEx>
        <w:trPr>
          <w:trHeight w:val="453"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27,036.10</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24,805.07</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91.75%</w:t>
            </w:r>
          </w:p>
        </w:tc>
      </w:tr>
      <w:tr>
        <w:tblPrEx>
          <w:tblCellMar>
            <w:top w:w="17" w:type="dxa"/>
            <w:left w:w="17" w:type="dxa"/>
            <w:bottom w:w="17" w:type="dxa"/>
            <w:right w:w="17" w:type="dxa"/>
          </w:tblCellMar>
        </w:tblPrEx>
        <w:trPr>
          <w:trHeight w:val="770"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8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103份</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103份</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居住环境改善情况：84.08%</w:t>
            </w:r>
          </w:p>
          <w:p>
            <w:pPr>
              <w:pStyle w:val="2"/>
              <w:ind w:left="0" w:leftChars="0" w:firstLine="0" w:firstLineChars="0"/>
              <w:rPr>
                <w:rFonts w:hint="default"/>
                <w:lang w:val="en-US" w:eastAsia="zh-CN"/>
              </w:rPr>
            </w:pPr>
            <w:r>
              <w:rPr>
                <w:rFonts w:hint="eastAsia" w:ascii="仿宋_GB2312" w:hAnsi="仿宋_GB2312" w:eastAsia="仿宋_GB2312" w:cs="仿宋_GB2312"/>
                <w:lang w:val="en-US" w:eastAsia="zh-CN"/>
              </w:rPr>
              <w:t>群众满意度：82.57%</w:t>
            </w:r>
          </w:p>
        </w:tc>
      </w:tr>
      <w:tr>
        <w:tblPrEx>
          <w:tblCellMar>
            <w:top w:w="17" w:type="dxa"/>
            <w:left w:w="17" w:type="dxa"/>
            <w:bottom w:w="17" w:type="dxa"/>
            <w:right w:w="17" w:type="dxa"/>
          </w:tblCellMar>
        </w:tblPrEx>
        <w:trPr>
          <w:trHeight w:val="90"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761"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5"/>
              <w:rPr>
                <w:rFonts w:hint="default" w:ascii="仿宋_GB2312" w:hAnsi="宋体" w:eastAsia="仿宋_GB2312" w:cs="仿宋_GB2312"/>
                <w:color w:val="000000"/>
                <w:sz w:val="20"/>
                <w:szCs w:val="20"/>
                <w:highlight w:val="none"/>
                <w:lang w:val="en-US" w:eastAsia="zh-CN"/>
              </w:rPr>
            </w:pPr>
            <w:r>
              <w:rPr>
                <w:rFonts w:hint="eastAsia" w:ascii="仿宋_GB2312" w:hAnsi="宋体" w:cs="仿宋_GB2312"/>
                <w:color w:val="000000"/>
                <w:kern w:val="2"/>
                <w:sz w:val="20"/>
                <w:szCs w:val="20"/>
                <w:highlight w:val="none"/>
                <w:lang w:val="en-US" w:eastAsia="zh-CN" w:bidi="ar-SA"/>
              </w:rPr>
              <w:t>2021年</w:t>
            </w:r>
            <w:r>
              <w:rPr>
                <w:rFonts w:hint="eastAsia" w:ascii="仿宋_GB2312" w:hAnsi="宋体" w:eastAsia="仿宋_GB2312" w:cs="仿宋_GB2312"/>
                <w:color w:val="000000"/>
                <w:kern w:val="2"/>
                <w:sz w:val="20"/>
                <w:szCs w:val="20"/>
                <w:highlight w:val="none"/>
                <w:lang w:val="en-US" w:eastAsia="zh-CN" w:bidi="ar-SA"/>
              </w:rPr>
              <w:t>部门</w:t>
            </w:r>
            <w:r>
              <w:rPr>
                <w:rFonts w:hint="eastAsia" w:ascii="仿宋_GB2312" w:hAnsi="宋体" w:cs="仿宋_GB2312"/>
                <w:color w:val="000000"/>
                <w:kern w:val="2"/>
                <w:sz w:val="20"/>
                <w:szCs w:val="20"/>
                <w:highlight w:val="none"/>
                <w:lang w:val="en-US" w:eastAsia="zh-CN" w:bidi="ar-SA"/>
              </w:rPr>
              <w:t>设置总体</w:t>
            </w:r>
            <w:r>
              <w:rPr>
                <w:rFonts w:hint="eastAsia" w:ascii="仿宋_GB2312" w:hAnsi="宋体" w:eastAsia="仿宋_GB2312" w:cs="仿宋_GB2312"/>
                <w:color w:val="000000"/>
                <w:kern w:val="2"/>
                <w:sz w:val="20"/>
                <w:szCs w:val="20"/>
                <w:highlight w:val="none"/>
                <w:lang w:val="en-US" w:eastAsia="zh-CN" w:bidi="ar-SA"/>
              </w:rPr>
              <w:t>绩效目标</w:t>
            </w:r>
            <w:r>
              <w:rPr>
                <w:rFonts w:hint="eastAsia" w:ascii="仿宋_GB2312" w:hAnsi="宋体" w:cs="仿宋_GB2312"/>
                <w:color w:val="000000"/>
                <w:sz w:val="20"/>
                <w:szCs w:val="20"/>
                <w:highlight w:val="none"/>
                <w:lang w:val="en-US" w:eastAsia="zh-CN"/>
              </w:rPr>
              <w:t>5</w:t>
            </w:r>
            <w:r>
              <w:rPr>
                <w:rFonts w:hint="default" w:ascii="仿宋_GB2312" w:hAnsi="宋体" w:eastAsia="仿宋_GB2312" w:cs="仿宋_GB2312"/>
                <w:color w:val="000000"/>
                <w:sz w:val="20"/>
                <w:szCs w:val="20"/>
                <w:highlight w:val="none"/>
                <w:lang w:val="en-US" w:eastAsia="zh-CN"/>
              </w:rPr>
              <w:t>个，</w:t>
            </w:r>
            <w:r>
              <w:rPr>
                <w:rFonts w:hint="eastAsia" w:ascii="仿宋_GB2312" w:hAnsi="宋体" w:cs="仿宋_GB2312"/>
                <w:color w:val="000000"/>
                <w:kern w:val="2"/>
                <w:sz w:val="20"/>
                <w:szCs w:val="20"/>
                <w:highlight w:val="none"/>
                <w:lang w:val="en-US" w:eastAsia="zh-CN" w:bidi="ar-SA"/>
              </w:rPr>
              <w:t>部门实现3</w:t>
            </w:r>
            <w:r>
              <w:rPr>
                <w:rFonts w:hint="eastAsia" w:ascii="仿宋_GB2312" w:hAnsi="宋体" w:eastAsia="仿宋_GB2312" w:cs="仿宋_GB2312"/>
                <w:color w:val="000000"/>
                <w:kern w:val="2"/>
                <w:sz w:val="20"/>
                <w:szCs w:val="20"/>
                <w:highlight w:val="none"/>
                <w:lang w:val="en-US" w:eastAsia="zh-CN" w:bidi="ar-SA"/>
              </w:rPr>
              <w:t>个</w:t>
            </w:r>
            <w:r>
              <w:rPr>
                <w:rFonts w:hint="eastAsia" w:ascii="仿宋_GB2312" w:hAnsi="宋体" w:cs="仿宋_GB2312"/>
                <w:color w:val="000000"/>
                <w:kern w:val="2"/>
                <w:sz w:val="20"/>
                <w:szCs w:val="20"/>
                <w:highlight w:val="none"/>
                <w:lang w:val="en-US" w:eastAsia="zh-CN" w:bidi="ar-SA"/>
              </w:rPr>
              <w:t>目标</w:t>
            </w:r>
            <w:r>
              <w:rPr>
                <w:rFonts w:hint="eastAsia" w:ascii="仿宋_GB2312" w:hAnsi="宋体" w:eastAsia="仿宋_GB2312" w:cs="仿宋_GB2312"/>
                <w:color w:val="000000"/>
                <w:kern w:val="2"/>
                <w:sz w:val="20"/>
                <w:szCs w:val="20"/>
                <w:highlight w:val="none"/>
                <w:lang w:val="en-US" w:eastAsia="zh-CN" w:bidi="ar-SA"/>
              </w:rPr>
              <w:t>，</w:t>
            </w:r>
            <w:r>
              <w:rPr>
                <w:rFonts w:hint="eastAsia" w:ascii="仿宋_GB2312" w:hAnsi="宋体" w:cs="仿宋_GB2312"/>
                <w:color w:val="000000"/>
                <w:kern w:val="2"/>
                <w:sz w:val="20"/>
                <w:szCs w:val="20"/>
                <w:highlight w:val="none"/>
                <w:lang w:val="en-US" w:eastAsia="zh-CN" w:bidi="ar-SA"/>
              </w:rPr>
              <w:t>基本</w:t>
            </w:r>
            <w:r>
              <w:rPr>
                <w:rFonts w:hint="eastAsia" w:ascii="仿宋_GB2312" w:hAnsi="宋体" w:eastAsia="仿宋_GB2312" w:cs="仿宋_GB2312"/>
                <w:color w:val="000000"/>
                <w:kern w:val="2"/>
                <w:sz w:val="20"/>
                <w:szCs w:val="20"/>
                <w:highlight w:val="none"/>
                <w:lang w:val="en-US" w:eastAsia="zh-CN" w:bidi="ar-SA"/>
              </w:rPr>
              <w:t>完成2个</w:t>
            </w:r>
            <w:r>
              <w:rPr>
                <w:rFonts w:hint="eastAsia" w:ascii="仿宋_GB2312" w:hAnsi="宋体" w:cs="仿宋_GB2312"/>
                <w:color w:val="000000"/>
                <w:kern w:val="2"/>
                <w:sz w:val="20"/>
                <w:szCs w:val="20"/>
                <w:highlight w:val="none"/>
                <w:lang w:val="en-US" w:eastAsia="zh-CN" w:bidi="ar-SA"/>
              </w:rPr>
              <w:t>目标。</w:t>
            </w:r>
          </w:p>
        </w:tc>
      </w:tr>
      <w:tr>
        <w:tblPrEx>
          <w:tblCellMar>
            <w:top w:w="17" w:type="dxa"/>
            <w:left w:w="17" w:type="dxa"/>
            <w:bottom w:w="17" w:type="dxa"/>
            <w:right w:w="17" w:type="dxa"/>
          </w:tblCellMar>
        </w:tblPrEx>
        <w:trPr>
          <w:trHeight w:val="5077" w:hRule="atLeast"/>
        </w:trPr>
        <w:tc>
          <w:tcPr>
            <w:tcW w:w="122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76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（一）</w:t>
            </w:r>
            <w:r>
              <w:rPr>
                <w:rFonts w:hint="eastAsia" w:ascii="仿宋_GB2312" w:hAnsi="宋体" w:eastAsia="仿宋_GB2312" w:cs="仿宋_GB2312"/>
                <w:color w:val="000000"/>
                <w:sz w:val="20"/>
                <w:szCs w:val="20"/>
                <w:highlight w:val="none"/>
                <w:lang w:val="en-US" w:eastAsia="zh-CN"/>
              </w:rPr>
              <w:t>制度管理</w:t>
            </w:r>
            <w:r>
              <w:rPr>
                <w:rFonts w:hint="eastAsia" w:ascii="仿宋_GB2312" w:hAnsi="宋体" w:eastAsia="仿宋_GB2312" w:cs="仿宋_GB2312"/>
                <w:color w:val="000000"/>
                <w:sz w:val="20"/>
                <w:szCs w:val="20"/>
                <w:highlight w:val="none"/>
                <w:lang w:eastAsia="zh-CN"/>
              </w:rPr>
              <w:t>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区水务局内控制度不健全，未制定项目管理制度。</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（二）</w:t>
            </w:r>
            <w:r>
              <w:rPr>
                <w:rFonts w:hint="eastAsia" w:ascii="仿宋_GB2312" w:hAnsi="宋体" w:eastAsia="仿宋_GB2312" w:cs="仿宋_GB2312"/>
                <w:color w:val="000000"/>
                <w:sz w:val="20"/>
                <w:szCs w:val="20"/>
                <w:highlight w:val="none"/>
                <w:lang w:val="en-US" w:eastAsia="zh-CN"/>
              </w:rPr>
              <w:t>预算管理方面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政府采购预算执行率低。</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（三）业务</w:t>
            </w:r>
            <w:r>
              <w:rPr>
                <w:rFonts w:hint="eastAsia" w:ascii="仿宋_GB2312" w:hAnsi="宋体" w:eastAsia="仿宋_GB2312" w:cs="仿宋_GB2312"/>
                <w:color w:val="000000"/>
                <w:sz w:val="20"/>
                <w:szCs w:val="20"/>
                <w:highlight w:val="none"/>
                <w:lang w:eastAsia="zh-CN"/>
              </w:rPr>
              <w:t>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部分绩效管理指标未实现，如：二桥及三桥污水处理厂污水提质增效工程，贵医、六广门污水处理厂污水提质增效工程，杨柳冲东西支、枣山大沟雨污分流工程，新引进产业项目数，拜访辖区龙头企业、商协会，河道巡查频率等未达到预定的目标。</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（四）</w:t>
            </w:r>
            <w:r>
              <w:rPr>
                <w:rFonts w:hint="eastAsia" w:ascii="仿宋_GB2312" w:hAnsi="宋体" w:eastAsia="仿宋_GB2312" w:cs="仿宋_GB2312"/>
                <w:color w:val="000000"/>
                <w:sz w:val="20"/>
                <w:szCs w:val="20"/>
                <w:highlight w:val="none"/>
                <w:lang w:eastAsia="zh-CN"/>
              </w:rPr>
              <w:t>绩效管理方面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eastAsia="zh-CN"/>
              </w:rPr>
              <w:t>．部分绩效</w:t>
            </w:r>
            <w:r>
              <w:rPr>
                <w:rFonts w:hint="eastAsia" w:ascii="仿宋_GB2312" w:hAnsi="宋体" w:eastAsia="仿宋_GB2312" w:cs="仿宋_GB2312"/>
                <w:color w:val="000000"/>
                <w:sz w:val="20"/>
                <w:szCs w:val="20"/>
                <w:highlight w:val="none"/>
                <w:lang w:val="en-US" w:eastAsia="zh-CN"/>
              </w:rPr>
              <w:t>目标未细化分解成具体的绩效指标。</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2</w:t>
            </w: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部分绩效指标设置的指标值过低，未设置清晰、可衡量的指标值。</w:t>
            </w:r>
          </w:p>
        </w:tc>
      </w:tr>
      <w:tr>
        <w:tblPrEx>
          <w:tblCellMar>
            <w:top w:w="17" w:type="dxa"/>
            <w:left w:w="17" w:type="dxa"/>
            <w:bottom w:w="17" w:type="dxa"/>
            <w:right w:w="17" w:type="dxa"/>
          </w:tblCellMar>
        </w:tblPrEx>
        <w:trPr>
          <w:trHeight w:val="5393" w:hRule="atLeast"/>
        </w:trPr>
        <w:tc>
          <w:tcPr>
            <w:tcW w:w="1222"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center"/>
              <w:textAlignment w:val="center"/>
              <w:rPr>
                <w:rFonts w:hint="eastAsia" w:ascii="黑体" w:hAnsi="宋体" w:eastAsia="黑体" w:cs="黑体"/>
                <w:color w:val="000000"/>
                <w:kern w:val="0"/>
                <w:sz w:val="20"/>
                <w:szCs w:val="20"/>
                <w:highlight w:val="none"/>
              </w:rPr>
            </w:pP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p>
            <w:pPr>
              <w:widowControl/>
              <w:spacing w:line="320" w:lineRule="exact"/>
              <w:jc w:val="center"/>
              <w:textAlignment w:val="center"/>
              <w:rPr>
                <w:rFonts w:hint="eastAsia" w:ascii="黑体" w:hAnsi="宋体" w:eastAsia="黑体" w:cs="黑体"/>
                <w:color w:val="000000"/>
                <w:kern w:val="0"/>
                <w:sz w:val="20"/>
                <w:szCs w:val="20"/>
                <w:highlight w:val="none"/>
              </w:rPr>
            </w:pPr>
          </w:p>
          <w:p>
            <w:pPr>
              <w:widowControl/>
              <w:spacing w:line="320" w:lineRule="exact"/>
              <w:jc w:val="center"/>
              <w:textAlignment w:val="center"/>
              <w:rPr>
                <w:rFonts w:hint="eastAsia" w:ascii="黑体" w:hAnsi="宋体" w:eastAsia="黑体" w:cs="黑体"/>
                <w:color w:val="000000"/>
                <w:kern w:val="0"/>
                <w:sz w:val="20"/>
                <w:szCs w:val="20"/>
                <w:highlight w:val="none"/>
              </w:rPr>
            </w:pPr>
          </w:p>
          <w:p>
            <w:pPr>
              <w:widowControl/>
              <w:spacing w:line="320" w:lineRule="exact"/>
              <w:jc w:val="both"/>
              <w:textAlignment w:val="center"/>
              <w:rPr>
                <w:rFonts w:ascii="黑体" w:hAnsi="宋体" w:eastAsia="黑体" w:cs="黑体"/>
                <w:color w:val="000000"/>
                <w:kern w:val="0"/>
                <w:sz w:val="20"/>
                <w:szCs w:val="20"/>
                <w:highlight w:val="none"/>
              </w:rPr>
            </w:pPr>
          </w:p>
        </w:tc>
        <w:tc>
          <w:tcPr>
            <w:tcW w:w="7761" w:type="dxa"/>
            <w:gridSpan w:val="8"/>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1．</w:t>
            </w:r>
            <w:r>
              <w:rPr>
                <w:rFonts w:hint="eastAsia" w:ascii="仿宋_GB2312" w:hAnsi="宋体" w:eastAsia="仿宋_GB2312" w:cs="仿宋_GB2312"/>
                <w:color w:val="000000"/>
                <w:sz w:val="20"/>
                <w:szCs w:val="20"/>
                <w:highlight w:val="none"/>
                <w:lang w:val="en-US" w:eastAsia="zh-CN"/>
              </w:rPr>
              <w:t>制度管理</w:t>
            </w:r>
            <w:r>
              <w:rPr>
                <w:rFonts w:hint="eastAsia" w:ascii="仿宋_GB2312" w:hAnsi="宋体" w:eastAsia="仿宋_GB2312" w:cs="仿宋_GB2312"/>
                <w:color w:val="000000"/>
                <w:sz w:val="20"/>
                <w:szCs w:val="20"/>
                <w:highlight w:val="none"/>
              </w:rPr>
              <w:t>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建议区水务局根据部门及项目需要，制定项目管理制度，建立健全内部控制制度，以规范项目实施和管理。</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2</w:t>
            </w:r>
            <w:r>
              <w:rPr>
                <w:rFonts w:hint="eastAsia" w:ascii="仿宋_GB2312" w:hAnsi="宋体" w:eastAsia="仿宋_GB2312" w:cs="仿宋_GB2312"/>
                <w:color w:val="000000"/>
                <w:sz w:val="20"/>
                <w:szCs w:val="20"/>
                <w:highlight w:val="none"/>
              </w:rPr>
              <w:t>．</w:t>
            </w:r>
            <w:r>
              <w:rPr>
                <w:rFonts w:hint="eastAsia" w:ascii="仿宋_GB2312" w:hAnsi="宋体" w:eastAsia="仿宋_GB2312" w:cs="仿宋_GB2312"/>
                <w:color w:val="000000"/>
                <w:sz w:val="20"/>
                <w:szCs w:val="20"/>
                <w:highlight w:val="none"/>
                <w:lang w:val="en-US" w:eastAsia="zh-CN"/>
              </w:rPr>
              <w:t>预算</w:t>
            </w:r>
            <w:r>
              <w:rPr>
                <w:rFonts w:hint="eastAsia" w:ascii="仿宋_GB2312" w:hAnsi="宋体" w:eastAsia="仿宋_GB2312" w:cs="仿宋_GB2312"/>
                <w:color w:val="000000"/>
                <w:sz w:val="20"/>
                <w:szCs w:val="20"/>
                <w:highlight w:val="none"/>
              </w:rPr>
              <w:t>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lang w:val="en-US" w:eastAsia="zh-CN"/>
              </w:rPr>
              <w:t>建议区水务局预算编制时根据部门职责和区政府的要求和实际情况、年度内单位可预见的工作任务，确定单位年度预算目标，推进预算编制科学化、准确化。</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3</w:t>
            </w:r>
            <w:r>
              <w:rPr>
                <w:rFonts w:hint="eastAsia" w:ascii="仿宋_GB2312" w:hAnsi="宋体" w:eastAsia="仿宋_GB2312" w:cs="仿宋_GB2312"/>
                <w:color w:val="000000"/>
                <w:sz w:val="20"/>
                <w:szCs w:val="20"/>
                <w:highlight w:val="none"/>
              </w:rPr>
              <w:t>．</w:t>
            </w:r>
            <w:r>
              <w:rPr>
                <w:rFonts w:hint="eastAsia" w:ascii="仿宋_GB2312" w:hAnsi="宋体" w:eastAsia="仿宋_GB2312" w:cs="仿宋_GB2312"/>
                <w:color w:val="000000"/>
                <w:sz w:val="20"/>
                <w:szCs w:val="20"/>
                <w:highlight w:val="none"/>
                <w:lang w:val="en-US" w:eastAsia="zh-CN"/>
              </w:rPr>
              <w:t>业务</w:t>
            </w:r>
            <w:r>
              <w:rPr>
                <w:rFonts w:hint="eastAsia" w:ascii="仿宋_GB2312" w:hAnsi="宋体" w:eastAsia="仿宋_GB2312" w:cs="仿宋_GB2312"/>
                <w:color w:val="000000"/>
                <w:sz w:val="20"/>
                <w:szCs w:val="20"/>
                <w:highlight w:val="none"/>
              </w:rPr>
              <w:t>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zh-CN"/>
              </w:rPr>
              <w:t>建议</w:t>
            </w:r>
            <w:r>
              <w:rPr>
                <w:rFonts w:hint="eastAsia" w:ascii="仿宋_GB2312" w:hAnsi="宋体" w:eastAsia="仿宋_GB2312" w:cs="仿宋_GB2312"/>
                <w:color w:val="000000"/>
                <w:sz w:val="20"/>
                <w:szCs w:val="20"/>
                <w:highlight w:val="none"/>
                <w:lang w:val="en-US" w:eastAsia="zh-CN"/>
              </w:rPr>
              <w:t>区水务局对全年目标进行分解，细化指标至企业、项目，开展精细化调度和服务，同时</w:t>
            </w:r>
            <w:r>
              <w:rPr>
                <w:rFonts w:hint="eastAsia" w:ascii="仿宋_GB2312" w:hAnsi="宋体" w:eastAsia="仿宋_GB2312" w:cs="仿宋_GB2312"/>
                <w:color w:val="000000"/>
                <w:sz w:val="20"/>
                <w:szCs w:val="20"/>
                <w:highlight w:val="none"/>
                <w:lang w:val="zh-CN"/>
              </w:rPr>
              <w:t>加强</w:t>
            </w:r>
            <w:r>
              <w:rPr>
                <w:rFonts w:hint="eastAsia" w:ascii="仿宋_GB2312" w:hAnsi="宋体" w:eastAsia="仿宋_GB2312" w:cs="仿宋_GB2312"/>
                <w:color w:val="000000"/>
                <w:sz w:val="20"/>
                <w:szCs w:val="20"/>
                <w:highlight w:val="none"/>
                <w:lang w:val="en-US" w:eastAsia="zh-CN"/>
              </w:rPr>
              <w:t>与其他部门和项目实施单位对接力度，掌握指标完成情况，分析指标未完成原因，及时</w:t>
            </w:r>
            <w:r>
              <w:rPr>
                <w:rFonts w:hint="eastAsia" w:ascii="仿宋_GB2312" w:hAnsi="宋体" w:eastAsia="仿宋_GB2312" w:cs="仿宋_GB2312"/>
                <w:color w:val="000000"/>
                <w:sz w:val="20"/>
                <w:szCs w:val="20"/>
                <w:highlight w:val="none"/>
                <w:lang w:val="zh-CN"/>
              </w:rPr>
              <w:t>协调解决</w:t>
            </w:r>
            <w:r>
              <w:rPr>
                <w:rFonts w:hint="eastAsia" w:ascii="仿宋_GB2312" w:hAnsi="宋体" w:eastAsia="仿宋_GB2312" w:cs="仿宋_GB2312"/>
                <w:color w:val="000000"/>
                <w:sz w:val="20"/>
                <w:szCs w:val="20"/>
                <w:highlight w:val="none"/>
                <w:lang w:val="en-US" w:eastAsia="zh-CN"/>
              </w:rPr>
              <w:t xml:space="preserve">指标实现过程中的困难和问题，确保目标的实现。   </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4</w:t>
            </w:r>
            <w:r>
              <w:rPr>
                <w:rFonts w:hint="eastAsia" w:ascii="仿宋_GB2312" w:hAnsi="宋体" w:eastAsia="仿宋_GB2312" w:cs="仿宋_GB2312"/>
                <w:color w:val="000000"/>
                <w:sz w:val="20"/>
                <w:szCs w:val="20"/>
                <w:highlight w:val="none"/>
                <w:lang w:val="zh-CN"/>
              </w:rPr>
              <w:t>．</w:t>
            </w:r>
            <w:r>
              <w:rPr>
                <w:rFonts w:hint="eastAsia" w:ascii="仿宋_GB2312" w:hAnsi="宋体" w:eastAsia="仿宋_GB2312" w:cs="仿宋_GB2312"/>
                <w:color w:val="000000"/>
                <w:sz w:val="20"/>
                <w:szCs w:val="20"/>
                <w:highlight w:val="none"/>
              </w:rPr>
              <w:t>绩效管理方面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根据绩效管理相关政策文件</w:t>
            </w:r>
            <w:r>
              <w:rPr>
                <w:rFonts w:hint="eastAsia" w:ascii="仿宋_GB2312" w:hAnsi="仿宋_GB2312" w:eastAsia="仿宋_GB2312" w:cs="仿宋_GB2312"/>
                <w:lang w:val="en-US" w:eastAsia="zh-CN"/>
              </w:rPr>
              <w:t>，</w:t>
            </w:r>
            <w:r>
              <w:rPr>
                <w:rFonts w:hint="eastAsia" w:ascii="仿宋_GB2312" w:hAnsi="宋体" w:eastAsia="仿宋_GB2312" w:cs="仿宋_GB2312"/>
                <w:color w:val="000000"/>
                <w:sz w:val="20"/>
                <w:szCs w:val="20"/>
                <w:highlight w:val="none"/>
              </w:rPr>
              <w:t>提高财政绩效管理认识，积极推进预算绩效管理工作，结合绩效目标，设置全面有效、现实可行、具体量化的绩效指标，</w:t>
            </w:r>
            <w:r>
              <w:rPr>
                <w:rFonts w:hint="eastAsia" w:ascii="仿宋_GB2312" w:hAnsi="宋体" w:eastAsia="仿宋_GB2312" w:cs="仿宋_GB2312"/>
                <w:color w:val="000000"/>
                <w:sz w:val="20"/>
                <w:szCs w:val="20"/>
                <w:highlight w:val="none"/>
                <w:lang w:val="en-US" w:eastAsia="zh-CN"/>
              </w:rPr>
              <w:t>认真开展绩效自评工作，</w:t>
            </w:r>
            <w:r>
              <w:rPr>
                <w:rFonts w:hint="eastAsia" w:ascii="仿宋_GB2312" w:hAnsi="宋体" w:eastAsia="仿宋_GB2312" w:cs="仿宋_GB2312"/>
                <w:color w:val="000000"/>
                <w:sz w:val="20"/>
                <w:szCs w:val="20"/>
                <w:highlight w:val="none"/>
              </w:rPr>
              <w:t>提高预算管理水平。</w:t>
            </w:r>
          </w:p>
        </w:tc>
      </w:tr>
      <w:tr>
        <w:tblPrEx>
          <w:tblCellMar>
            <w:top w:w="17" w:type="dxa"/>
            <w:left w:w="17" w:type="dxa"/>
            <w:bottom w:w="17" w:type="dxa"/>
            <w:right w:w="17" w:type="dxa"/>
          </w:tblCellMar>
        </w:tblPrEx>
        <w:trPr>
          <w:trHeight w:val="1716" w:hRule="atLeast"/>
        </w:trPr>
        <w:tc>
          <w:tcPr>
            <w:tcW w:w="1222"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761"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numPr>
                <w:ilvl w:val="0"/>
                <w:numId w:val="0"/>
              </w:numPr>
              <w:spacing w:line="360" w:lineRule="exact"/>
              <w:ind w:firstLine="0" w:firstLineChars="0"/>
              <w:jc w:val="both"/>
              <w:textAlignment w:val="center"/>
              <w:rPr>
                <w:rFonts w:ascii="仿宋_GB2312" w:hAnsi="宋体" w:eastAsia="仿宋_GB2312" w:cs="仿宋_GB2312"/>
                <w:color w:val="000000"/>
                <w:sz w:val="20"/>
                <w:szCs w:val="20"/>
                <w:highlight w:val="none"/>
                <w:lang w:val="zh-CN"/>
              </w:rPr>
            </w:pPr>
            <w:r>
              <w:rPr>
                <w:rFonts w:ascii="仿宋_GB2312" w:hAnsi="宋体" w:eastAsia="仿宋_GB2312" w:cs="仿宋_GB2312"/>
                <w:color w:val="000000"/>
                <w:sz w:val="20"/>
                <w:szCs w:val="20"/>
                <w:highlight w:val="none"/>
              </w:rPr>
              <w:fldChar w:fldCharType="begin"/>
            </w:r>
            <w:r>
              <w:rPr>
                <w:rFonts w:ascii="仿宋_GB2312" w:hAnsi="宋体" w:eastAsia="仿宋_GB2312" w:cs="仿宋_GB2312"/>
                <w:color w:val="000000"/>
                <w:sz w:val="20"/>
                <w:szCs w:val="20"/>
                <w:highlight w:val="none"/>
              </w:rPr>
              <w:instrText xml:space="preserve"> HYPERLINK \l "_Toc434746187" </w:instrText>
            </w:r>
            <w:r>
              <w:rPr>
                <w:rFonts w:ascii="仿宋_GB2312" w:hAnsi="宋体" w:eastAsia="仿宋_GB2312" w:cs="仿宋_GB2312"/>
                <w:color w:val="000000"/>
                <w:sz w:val="20"/>
                <w:szCs w:val="20"/>
                <w:highlight w:val="none"/>
              </w:rPr>
              <w:fldChar w:fldCharType="separate"/>
            </w:r>
            <w:r>
              <w:rPr>
                <w:rFonts w:hint="eastAsia" w:ascii="仿宋_GB2312" w:hAnsi="宋体" w:eastAsia="仿宋_GB2312" w:cs="仿宋_GB2312"/>
                <w:color w:val="000000"/>
                <w:sz w:val="20"/>
                <w:szCs w:val="20"/>
                <w:highlight w:val="none"/>
                <w:lang w:val="zh-CN"/>
              </w:rPr>
              <w:t>以后年度预算安排建议</w:t>
            </w:r>
            <w:r>
              <w:rPr>
                <w:rFonts w:hint="eastAsia" w:ascii="仿宋_GB2312" w:hAnsi="宋体" w:eastAsia="仿宋_GB2312" w:cs="仿宋_GB2312"/>
                <w:color w:val="000000"/>
                <w:sz w:val="20"/>
                <w:szCs w:val="20"/>
                <w:highlight w:val="none"/>
                <w:lang w:val="zh-CN"/>
              </w:rPr>
              <w:fldChar w:fldCharType="end"/>
            </w:r>
            <w:r>
              <w:rPr>
                <w:rFonts w:hint="eastAsia" w:ascii="仿宋_GB2312" w:hAnsi="宋体" w:eastAsia="仿宋_GB2312" w:cs="仿宋_GB2312"/>
                <w:color w:val="000000"/>
                <w:sz w:val="20"/>
                <w:szCs w:val="20"/>
                <w:highlight w:val="none"/>
                <w:lang w:val="zh-CN"/>
              </w:rPr>
              <w:t>：</w:t>
            </w:r>
          </w:p>
          <w:p>
            <w:pPr>
              <w:widowControl/>
              <w:numPr>
                <w:ilvl w:val="0"/>
                <w:numId w:val="0"/>
              </w:numPr>
              <w:spacing w:line="360" w:lineRule="exact"/>
              <w:ind w:firstLine="0" w:firstLineChars="0"/>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在部门“三定”方案规定的部门主要职能基础上，全面梳理以后年度部门工作任务，合理科学</w:t>
            </w:r>
            <w:r>
              <w:rPr>
                <w:rFonts w:hint="default" w:ascii="仿宋_GB2312" w:hAnsi="宋体" w:eastAsia="仿宋_GB2312" w:cs="仿宋_GB2312"/>
                <w:color w:val="000000"/>
                <w:sz w:val="20"/>
                <w:szCs w:val="20"/>
                <w:highlight w:val="none"/>
                <w:lang w:val="en-US"/>
              </w:rPr>
              <w:t>预计以后年度</w:t>
            </w:r>
            <w:r>
              <w:rPr>
                <w:rFonts w:hint="eastAsia" w:ascii="仿宋_GB2312" w:hAnsi="宋体" w:eastAsia="仿宋_GB2312" w:cs="仿宋_GB2312"/>
                <w:color w:val="000000"/>
                <w:sz w:val="20"/>
                <w:szCs w:val="20"/>
                <w:highlight w:val="none"/>
              </w:rPr>
              <w:t>部门工作任务数量、时效、效益等。</w:t>
            </w:r>
          </w:p>
        </w:tc>
      </w:tr>
    </w:tbl>
    <w:tbl>
      <w:tblPr>
        <w:tblStyle w:val="18"/>
        <w:tblpPr w:leftFromText="180" w:rightFromText="180" w:vertAnchor="text" w:horzAnchor="margin" w:tblpY="1"/>
        <w:tblOverlap w:val="never"/>
        <w:tblW w:w="8983" w:type="dxa"/>
        <w:tblInd w:w="0" w:type="dxa"/>
        <w:tblLayout w:type="fixed"/>
        <w:tblCellMar>
          <w:top w:w="17" w:type="dxa"/>
          <w:left w:w="17" w:type="dxa"/>
          <w:bottom w:w="17" w:type="dxa"/>
          <w:right w:w="17" w:type="dxa"/>
        </w:tblCellMar>
      </w:tblPr>
      <w:tblGrid>
        <w:gridCol w:w="2059"/>
        <w:gridCol w:w="2252"/>
        <w:gridCol w:w="2238"/>
        <w:gridCol w:w="2434"/>
      </w:tblGrid>
      <w:tr>
        <w:tblPrEx>
          <w:tblCellMar>
            <w:top w:w="17" w:type="dxa"/>
            <w:left w:w="17" w:type="dxa"/>
            <w:bottom w:w="17" w:type="dxa"/>
            <w:right w:w="17" w:type="dxa"/>
          </w:tblCellMar>
        </w:tblPrEx>
        <w:trPr>
          <w:trHeight w:val="1012" w:hRule="atLeast"/>
        </w:trPr>
        <w:tc>
          <w:tcPr>
            <w:tcW w:w="2059"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24</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w:t>
            </w:r>
          </w:p>
        </w:tc>
        <w:tc>
          <w:tcPr>
            <w:tcW w:w="223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29</w:t>
            </w:r>
            <w:r>
              <w:rPr>
                <w:rFonts w:hint="eastAsia" w:ascii="仿宋_GB2312" w:hAnsi="宋体" w:eastAsia="仿宋_GB2312" w:cs="仿宋_GB2312"/>
                <w:color w:val="000000"/>
                <w:sz w:val="20"/>
                <w:szCs w:val="20"/>
                <w:highlight w:val="none"/>
              </w:rPr>
              <w:t>号</w:t>
            </w:r>
          </w:p>
        </w:tc>
      </w:tr>
      <w:tr>
        <w:tblPrEx>
          <w:tblCellMar>
            <w:top w:w="17" w:type="dxa"/>
            <w:left w:w="17" w:type="dxa"/>
            <w:bottom w:w="17" w:type="dxa"/>
            <w:right w:w="17" w:type="dxa"/>
          </w:tblCellMar>
        </w:tblPrEx>
        <w:trPr>
          <w:trHeight w:val="2234" w:hRule="atLeast"/>
        </w:trPr>
        <w:tc>
          <w:tcPr>
            <w:tcW w:w="2059"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姚宗航：</w:t>
            </w:r>
            <w:r>
              <w:rPr>
                <w:rFonts w:hint="eastAsia" w:ascii="仿宋_GB2312" w:hAnsi="宋体" w:eastAsia="仿宋_GB2312" w:cs="仿宋_GB2312"/>
                <w:color w:val="000000"/>
                <w:sz w:val="20"/>
                <w:szCs w:val="20"/>
                <w:highlight w:val="none"/>
                <w:lang w:val="en-US" w:eastAsia="zh-CN"/>
              </w:rPr>
              <w:t>15285572427</w:t>
            </w:r>
          </w:p>
        </w:tc>
        <w:tc>
          <w:tcPr>
            <w:tcW w:w="223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keepNext w:val="0"/>
        <w:keepLines w:val="0"/>
        <w:pageBreakBefore w:val="0"/>
        <w:kinsoku/>
        <w:wordWrap/>
        <w:overflowPunct/>
        <w:topLinePunct w:val="0"/>
        <w:autoSpaceDE/>
        <w:autoSpaceDN/>
        <w:bidi w:val="0"/>
        <w:adjustRightInd/>
        <w:snapToGrid/>
        <w:spacing w:line="440" w:lineRule="exact"/>
        <w:textAlignment w:val="auto"/>
        <w:rPr>
          <w:rFonts w:ascii="方正小标宋简体" w:hAnsi="黑体" w:eastAsia="方正小标宋简体" w:cs="宋体"/>
          <w:kern w:val="0"/>
          <w:sz w:val="44"/>
          <w:szCs w:val="44"/>
          <w:highlight w:val="none"/>
        </w:rPr>
        <w:sectPr>
          <w:footerReference r:id="rId5" w:type="first"/>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bookmarkStart w:id="0" w:name="_Hlk19093219"/>
    </w:p>
    <w:bookmarkEnd w:id="0"/>
    <w:p>
      <w:pPr>
        <w:widowControl w:val="0"/>
        <w:spacing w:line="590" w:lineRule="exact"/>
        <w:ind w:firstLine="664" w:firstLineChars="200"/>
        <w:jc w:val="both"/>
        <w:outlineLvl w:val="0"/>
        <w:rPr>
          <w:rFonts w:ascii="黑体" w:hAnsi="黑体" w:eastAsia="黑体"/>
          <w:spacing w:val="6"/>
          <w:sz w:val="32"/>
          <w:szCs w:val="32"/>
        </w:rPr>
      </w:pPr>
      <w:bookmarkStart w:id="1" w:name="_Toc28445"/>
      <w:bookmarkStart w:id="2" w:name="_Toc304"/>
      <w:bookmarkStart w:id="3" w:name="_Toc11442"/>
      <w:bookmarkStart w:id="4" w:name="_Toc41306265"/>
      <w:bookmarkStart w:id="5" w:name="_Toc26995"/>
      <w:bookmarkStart w:id="6" w:name="_Toc29778"/>
      <w:bookmarkStart w:id="7" w:name="_Toc23570"/>
      <w:bookmarkStart w:id="8" w:name="_Toc26710"/>
      <w:bookmarkStart w:id="9" w:name="_Toc17577"/>
      <w:bookmarkStart w:id="10" w:name="_Hlk49420951"/>
      <w:r>
        <w:rPr>
          <w:rFonts w:hint="eastAsia" w:ascii="黑体" w:hAnsi="黑体" w:eastAsia="黑体"/>
          <w:spacing w:val="6"/>
          <w:sz w:val="32"/>
          <w:szCs w:val="32"/>
        </w:rPr>
        <w:t>一、</w:t>
      </w:r>
      <w:bookmarkStart w:id="148" w:name="_GoBack"/>
      <w:bookmarkEnd w:id="148"/>
      <w:r>
        <w:rPr>
          <w:rFonts w:hint="eastAsia" w:ascii="黑体" w:hAnsi="黑体" w:eastAsia="黑体"/>
          <w:spacing w:val="6"/>
          <w:sz w:val="32"/>
          <w:szCs w:val="32"/>
        </w:rPr>
        <w:t>基本情况</w:t>
      </w:r>
      <w:bookmarkEnd w:id="1"/>
      <w:bookmarkEnd w:id="2"/>
      <w:bookmarkEnd w:id="3"/>
      <w:bookmarkEnd w:id="4"/>
      <w:bookmarkEnd w:id="5"/>
      <w:bookmarkEnd w:id="6"/>
      <w:bookmarkEnd w:id="7"/>
      <w:bookmarkEnd w:id="8"/>
      <w:bookmarkEnd w:id="9"/>
    </w:p>
    <w:p>
      <w:pPr>
        <w:widowControl w:val="0"/>
        <w:spacing w:line="590" w:lineRule="exact"/>
        <w:ind w:firstLine="664" w:firstLineChars="200"/>
        <w:jc w:val="both"/>
        <w:outlineLvl w:val="1"/>
        <w:rPr>
          <w:rFonts w:hint="default" w:ascii="楷体_GB2312" w:hAnsi="楷体_GB2312" w:eastAsia="楷体_GB2312" w:cs="楷体_GB2312"/>
          <w:b/>
          <w:spacing w:val="6"/>
          <w:sz w:val="32"/>
          <w:szCs w:val="32"/>
          <w:lang w:val="en-US" w:eastAsia="zh-CN"/>
        </w:rPr>
      </w:pPr>
      <w:bookmarkStart w:id="11" w:name="_Toc12962"/>
      <w:bookmarkStart w:id="12" w:name="_Toc18106"/>
      <w:bookmarkStart w:id="13" w:name="_Toc11866"/>
      <w:bookmarkStart w:id="14" w:name="_Toc22169"/>
      <w:bookmarkStart w:id="15" w:name="_Toc25703"/>
      <w:bookmarkStart w:id="16" w:name="_Toc8251"/>
      <w:bookmarkStart w:id="17" w:name="_Toc15887"/>
      <w:bookmarkStart w:id="18" w:name="_Toc6400"/>
      <w:r>
        <w:rPr>
          <w:rFonts w:hint="eastAsia" w:ascii="楷体_GB2312" w:hAnsi="楷体_GB2312" w:eastAsia="楷体_GB2312" w:cs="楷体_GB2312"/>
          <w:spacing w:val="6"/>
          <w:sz w:val="32"/>
          <w:szCs w:val="32"/>
        </w:rPr>
        <w:fldChar w:fldCharType="begin"/>
      </w:r>
      <w:r>
        <w:rPr>
          <w:rFonts w:hint="eastAsia" w:ascii="楷体_GB2312" w:hAnsi="楷体_GB2312" w:eastAsia="楷体_GB2312" w:cs="楷体_GB2312"/>
          <w:spacing w:val="6"/>
          <w:sz w:val="32"/>
          <w:szCs w:val="32"/>
        </w:rPr>
        <w:instrText xml:space="preserve"> HYPERLINK \l "_Toc434746187" </w:instrText>
      </w:r>
      <w:r>
        <w:rPr>
          <w:rFonts w:hint="eastAsia" w:ascii="楷体_GB2312" w:hAnsi="楷体_GB2312" w:eastAsia="楷体_GB2312" w:cs="楷体_GB2312"/>
          <w:spacing w:val="6"/>
          <w:sz w:val="32"/>
          <w:szCs w:val="32"/>
        </w:rPr>
        <w:fldChar w:fldCharType="separate"/>
      </w:r>
      <w:bookmarkStart w:id="19" w:name="_Toc41306266"/>
      <w:r>
        <w:rPr>
          <w:rFonts w:hint="eastAsia" w:ascii="楷体_GB2312" w:hAnsi="楷体_GB2312" w:eastAsia="楷体_GB2312" w:cs="楷体_GB2312"/>
          <w:spacing w:val="6"/>
          <w:sz w:val="32"/>
          <w:szCs w:val="32"/>
          <w:lang w:val="zh-CN"/>
        </w:rPr>
        <w:t>（一）</w:t>
      </w:r>
      <w:r>
        <w:rPr>
          <w:rFonts w:hint="eastAsia" w:ascii="楷体_GB2312" w:hAnsi="楷体_GB2312" w:eastAsia="楷体_GB2312" w:cs="楷体_GB2312"/>
          <w:spacing w:val="6"/>
          <w:sz w:val="32"/>
          <w:szCs w:val="32"/>
          <w:lang w:val="zh-CN"/>
        </w:rPr>
        <w:fldChar w:fldCharType="end"/>
      </w:r>
      <w:bookmarkEnd w:id="11"/>
      <w:bookmarkEnd w:id="12"/>
      <w:bookmarkEnd w:id="13"/>
      <w:bookmarkEnd w:id="19"/>
      <w:r>
        <w:rPr>
          <w:rFonts w:hint="eastAsia" w:ascii="楷体_GB2312" w:hAnsi="楷体_GB2312" w:eastAsia="楷体_GB2312" w:cs="楷体_GB2312"/>
          <w:spacing w:val="6"/>
          <w:sz w:val="32"/>
          <w:szCs w:val="32"/>
          <w:lang w:val="en-US" w:eastAsia="zh-CN"/>
        </w:rPr>
        <w:t>部门概况</w:t>
      </w:r>
      <w:bookmarkEnd w:id="14"/>
      <w:bookmarkEnd w:id="15"/>
      <w:bookmarkEnd w:id="16"/>
      <w:bookmarkEnd w:id="17"/>
      <w:bookmarkEnd w:id="18"/>
    </w:p>
    <w:p>
      <w:pPr>
        <w:spacing w:line="590" w:lineRule="exact"/>
        <w:ind w:firstLine="664" w:firstLineChars="200"/>
        <w:jc w:val="both"/>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rPr>
        <w:t>2019年3月2</w:t>
      </w:r>
      <w:r>
        <w:rPr>
          <w:rFonts w:hint="eastAsia" w:ascii="仿宋_GB2312" w:hAnsi="仿宋_GB2312" w:eastAsia="仿宋_GB2312" w:cs="仿宋_GB2312"/>
          <w:bCs/>
          <w:spacing w:val="6"/>
          <w:sz w:val="32"/>
          <w:szCs w:val="32"/>
          <w:lang w:val="en-US" w:eastAsia="zh-CN"/>
        </w:rPr>
        <w:t>5</w:t>
      </w:r>
      <w:r>
        <w:rPr>
          <w:rFonts w:hint="eastAsia" w:ascii="仿宋_GB2312" w:hAnsi="仿宋_GB2312" w:eastAsia="仿宋_GB2312" w:cs="仿宋_GB2312"/>
          <w:bCs/>
          <w:spacing w:val="6"/>
          <w:sz w:val="32"/>
          <w:szCs w:val="32"/>
        </w:rPr>
        <w:t>日，《中共云岩区委办公室  云岩区人民政府办公室关于印发&lt;贵阳市云岩区水务管理局职能配置内设机构和人员编制规定&gt;的通知》（云委办字〔2019〕72号），</w:t>
      </w:r>
      <w:r>
        <w:rPr>
          <w:rFonts w:hint="eastAsia" w:ascii="仿宋_GB2312" w:hAnsi="仿宋_GB2312" w:eastAsia="仿宋_GB2312" w:cs="仿宋_GB2312"/>
          <w:bCs/>
          <w:spacing w:val="6"/>
          <w:sz w:val="32"/>
          <w:szCs w:val="32"/>
          <w:lang w:val="en-US" w:eastAsia="zh-CN"/>
        </w:rPr>
        <w:t>贵阳市云岩区水务管理局</w:t>
      </w:r>
      <w:r>
        <w:rPr>
          <w:rFonts w:hint="eastAsia" w:ascii="仿宋_GB2312" w:hAnsi="仿宋_GB2312" w:eastAsia="仿宋_GB2312" w:cs="仿宋_GB2312"/>
          <w:bCs/>
          <w:spacing w:val="6"/>
          <w:sz w:val="32"/>
          <w:szCs w:val="32"/>
        </w:rPr>
        <w:t>是区人民政府工作部门，为正科级</w:t>
      </w:r>
      <w:r>
        <w:rPr>
          <w:rFonts w:hint="eastAsia" w:ascii="仿宋_GB2312" w:hAnsi="仿宋_GB2312" w:eastAsia="仿宋_GB2312" w:cs="仿宋_GB2312"/>
          <w:bCs/>
          <w:spacing w:val="6"/>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部门主要职责</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bookmarkStart w:id="20" w:name="_Toc1878"/>
      <w:bookmarkStart w:id="21" w:name="_Toc11036"/>
      <w:bookmarkStart w:id="22" w:name="_Toc17115"/>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w:t>
      </w:r>
      <w:r>
        <w:rPr>
          <w:rFonts w:hint="eastAsia" w:ascii="仿宋_GB2312" w:hAnsi="仿宋_GB2312" w:eastAsia="仿宋_GB2312" w:cs="仿宋_GB2312"/>
          <w:spacing w:val="6"/>
          <w:kern w:val="0"/>
          <w:sz w:val="32"/>
          <w:szCs w:val="32"/>
          <w:highlight w:val="none"/>
        </w:rPr>
        <w:t>）负责全区水务管理工作。组织编制全区水资源规划、防洪规划等水务专业规划。</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2</w:t>
      </w:r>
      <w:r>
        <w:rPr>
          <w:rFonts w:hint="eastAsia" w:ascii="仿宋_GB2312" w:hAnsi="仿宋_GB2312" w:eastAsia="仿宋_GB2312" w:cs="仿宋_GB2312"/>
          <w:spacing w:val="6"/>
          <w:kern w:val="0"/>
          <w:sz w:val="32"/>
          <w:szCs w:val="32"/>
          <w:highlight w:val="none"/>
        </w:rPr>
        <w:t>）负责保障水资源的合理开发利用。组织实施最严格水资源管理制度，实施水资源的统一监督管理，贯彻落实水中长期供求规划、水量分配方案并监督实施。组织实施取水许可、水资源论证和防洪论证制度，开展水资源有偿使用工作。协助开展黑臭水体整治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3</w:t>
      </w:r>
      <w:r>
        <w:rPr>
          <w:rFonts w:hint="eastAsia" w:ascii="仿宋_GB2312" w:hAnsi="仿宋_GB2312" w:eastAsia="仿宋_GB2312" w:cs="仿宋_GB2312"/>
          <w:spacing w:val="6"/>
          <w:kern w:val="0"/>
          <w:sz w:val="32"/>
          <w:szCs w:val="32"/>
          <w:highlight w:val="none"/>
        </w:rPr>
        <w:t>）按规定落实水务工程建设有关制度并组织实施；按照规定权限协助开展审批、核准规划内及年度计划规模内固定资产投资项目；负责提出水务固定资产投资、区级水务建设投资安排建议并负责项目实施的监督管理。</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4</w:t>
      </w:r>
      <w:r>
        <w:rPr>
          <w:rFonts w:hint="eastAsia" w:ascii="仿宋_GB2312" w:hAnsi="仿宋_GB2312" w:eastAsia="仿宋_GB2312" w:cs="仿宋_GB2312"/>
          <w:spacing w:val="6"/>
          <w:kern w:val="0"/>
          <w:sz w:val="32"/>
          <w:szCs w:val="32"/>
          <w:highlight w:val="none"/>
        </w:rPr>
        <w:t>）负责水资源保护工作。组织编制水资源保护规划。协助做好集中式饮用水源地保护工作，指导地下水开发利用和地下水资源管理保护工作。组织指导地下水超采区综合治理。</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5</w:t>
      </w:r>
      <w:r>
        <w:rPr>
          <w:rFonts w:hint="eastAsia" w:ascii="仿宋_GB2312" w:hAnsi="仿宋_GB2312" w:eastAsia="仿宋_GB2312" w:cs="仿宋_GB2312"/>
          <w:spacing w:val="6"/>
          <w:kern w:val="0"/>
          <w:sz w:val="32"/>
          <w:szCs w:val="32"/>
          <w:highlight w:val="none"/>
        </w:rPr>
        <w:t>）协助城市供水保障。协助市水务行业的特许经营管理，协助原水、供水水质的监督管理工作。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6</w:t>
      </w:r>
      <w:r>
        <w:rPr>
          <w:rFonts w:hint="eastAsia" w:ascii="仿宋_GB2312" w:hAnsi="仿宋_GB2312" w:eastAsia="仿宋_GB2312" w:cs="仿宋_GB2312"/>
          <w:spacing w:val="6"/>
          <w:kern w:val="0"/>
          <w:sz w:val="32"/>
          <w:szCs w:val="32"/>
          <w:highlight w:val="none"/>
        </w:rPr>
        <w:t>）负责本区城镇污水处理行业的特许经营管理，组织实施区政府投资的污水处理厂及再生水厂运行监管工作。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7</w:t>
      </w:r>
      <w:r>
        <w:rPr>
          <w:rFonts w:hint="eastAsia" w:ascii="仿宋_GB2312" w:hAnsi="仿宋_GB2312" w:eastAsia="仿宋_GB2312" w:cs="仿宋_GB2312"/>
          <w:spacing w:val="6"/>
          <w:kern w:val="0"/>
          <w:sz w:val="32"/>
          <w:szCs w:val="32"/>
          <w:highlight w:val="none"/>
        </w:rPr>
        <w:t>）按照分级管理原则，负责区级河流、水库、堤防的监督管理；协助区域内水库大坝的安全监督管理工作；负责河道采砂的统一监督管理；开展全区水务工程建设项目规划、可行性研究等前期工作，对水务基本建设工程实施行业监督管理；协助河流水生态保护与修复，协助河流生态流量水量管理以及河流水系连通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8</w:t>
      </w:r>
      <w:r>
        <w:rPr>
          <w:rFonts w:hint="eastAsia" w:ascii="仿宋_GB2312" w:hAnsi="仿宋_GB2312" w:eastAsia="仿宋_GB2312" w:cs="仿宋_GB2312"/>
          <w:spacing w:val="6"/>
          <w:kern w:val="0"/>
          <w:sz w:val="32"/>
          <w:szCs w:val="32"/>
          <w:highlight w:val="none"/>
        </w:rPr>
        <w:t>）监督水利工程建设与运行管理。组织实施水利工程建设与运行管理。组织提出并协调落实中小型水利工程运行和后续工程建设的有关政策措施，监督水利工程安全运行，组织水利工程验收有关工作。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9</w:t>
      </w:r>
      <w:r>
        <w:rPr>
          <w:rFonts w:hint="eastAsia" w:ascii="仿宋_GB2312" w:hAnsi="仿宋_GB2312" w:eastAsia="仿宋_GB2312" w:cs="仿宋_GB2312"/>
          <w:spacing w:val="6"/>
          <w:kern w:val="0"/>
          <w:sz w:val="32"/>
          <w:szCs w:val="32"/>
          <w:highlight w:val="none"/>
        </w:rPr>
        <w:t>）指导农村水利工作。指导农村饮水安全工程建设管理工作，负责农村千人以下饮用水源保护。指导节水灌溉有关工作。指导农村水利改革创新和社会化服务体系建设。指导农村水能资源开发、小水电改造和水电农村电气化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10</w:t>
      </w:r>
      <w:r>
        <w:rPr>
          <w:rFonts w:hint="eastAsia" w:ascii="仿宋_GB2312" w:hAnsi="仿宋_GB2312" w:eastAsia="仿宋_GB2312" w:cs="仿宋_GB2312"/>
          <w:spacing w:val="6"/>
          <w:kern w:val="0"/>
          <w:sz w:val="32"/>
          <w:szCs w:val="32"/>
          <w:highlight w:val="none"/>
        </w:rPr>
        <w:t>）负责水土保持工作。拟订水土保持规划并监督实施，组织实施协调水土流失的综合防治、监测预报。负责生产建设项目水土保持监督管理工作，指导重点水土保持建设项目的实施。</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11</w:t>
      </w:r>
      <w:r>
        <w:rPr>
          <w:rFonts w:hint="eastAsia" w:ascii="仿宋_GB2312" w:hAnsi="仿宋_GB2312" w:eastAsia="仿宋_GB2312" w:cs="仿宋_GB2312"/>
          <w:spacing w:val="6"/>
          <w:kern w:val="0"/>
          <w:sz w:val="32"/>
          <w:szCs w:val="32"/>
          <w:highlight w:val="none"/>
        </w:rPr>
        <w:t>）负责落实综合防灾减灾规划相关要求，协助编制洪水干旱灾害防治规划和防护标准。承担水情旱情监测预警工作。协助防御洪水应急抢险的技术支撑工作。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12</w:t>
      </w:r>
      <w:r>
        <w:rPr>
          <w:rFonts w:hint="eastAsia" w:ascii="仿宋_GB2312" w:hAnsi="仿宋_GB2312" w:eastAsia="仿宋_GB2312" w:cs="仿宋_GB2312"/>
          <w:spacing w:val="6"/>
          <w:kern w:val="0"/>
          <w:sz w:val="32"/>
          <w:szCs w:val="32"/>
          <w:highlight w:val="none"/>
        </w:rPr>
        <w:t>）协调构建河长组织体系，明确河长工作职责，建立河长制相关制度；承担区河长制办公室日常工作，协调推进河长制各项工作任务落实。</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13</w:t>
      </w:r>
      <w:r>
        <w:rPr>
          <w:rFonts w:hint="eastAsia" w:ascii="仿宋_GB2312" w:hAnsi="仿宋_GB2312" w:eastAsia="仿宋_GB2312" w:cs="仿宋_GB2312"/>
          <w:spacing w:val="6"/>
          <w:kern w:val="0"/>
          <w:sz w:val="32"/>
          <w:szCs w:val="32"/>
          <w:highlight w:val="none"/>
        </w:rPr>
        <w:t>）调解水事纠纷，组织指导水利行业管理的水库、水电站大坝和管理权限内农村水电站及其配套电网的安全监管。指导水利建设市场的监督管理，组织实施水利工程建设的监督。</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14</w:t>
      </w:r>
      <w:r>
        <w:rPr>
          <w:rFonts w:hint="eastAsia" w:ascii="仿宋_GB2312" w:hAnsi="仿宋_GB2312" w:eastAsia="仿宋_GB2312" w:cs="仿宋_GB2312"/>
          <w:spacing w:val="6"/>
          <w:kern w:val="0"/>
          <w:sz w:val="32"/>
          <w:szCs w:val="32"/>
          <w:highlight w:val="none"/>
        </w:rPr>
        <w:t>）结合部门职责，做好军民融合、扶贫开发工作；负责本部门、本行业领域的安全生产和消防安全工作；按规定做好大数据发展应用和政务数据资源管理相关工作，依法促进部门政务数据资源规范管理、共享和开放。</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spacing w:val="6"/>
          <w:kern w:val="0"/>
          <w:sz w:val="32"/>
          <w:szCs w:val="32"/>
          <w:highlight w:val="none"/>
        </w:rPr>
        <w:t>（</w:t>
      </w:r>
      <w:r>
        <w:rPr>
          <w:rFonts w:hint="eastAsia" w:ascii="仿宋_GB2312" w:hAnsi="仿宋_GB2312" w:eastAsia="仿宋_GB2312" w:cs="仿宋_GB2312"/>
          <w:spacing w:val="6"/>
          <w:kern w:val="0"/>
          <w:sz w:val="32"/>
          <w:szCs w:val="32"/>
          <w:highlight w:val="none"/>
          <w:lang w:val="en-US" w:eastAsia="zh-CN"/>
        </w:rPr>
        <w:t>15</w:t>
      </w:r>
      <w:r>
        <w:rPr>
          <w:rFonts w:hint="eastAsia" w:ascii="仿宋_GB2312" w:hAnsi="仿宋_GB2312" w:eastAsia="仿宋_GB2312" w:cs="仿宋_GB2312"/>
          <w:spacing w:val="6"/>
          <w:kern w:val="0"/>
          <w:sz w:val="32"/>
          <w:szCs w:val="32"/>
          <w:highlight w:val="none"/>
        </w:rPr>
        <w:t>）完成区委、区政府和上级业务部门交办的其他任务。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组织机构设置及人员情况</w:t>
      </w:r>
    </w:p>
    <w:p>
      <w:pPr>
        <w:spacing w:line="590" w:lineRule="exact"/>
        <w:ind w:firstLine="664" w:firstLineChars="200"/>
        <w:jc w:val="both"/>
        <w:rPr>
          <w:rFonts w:hint="default"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（1）组织机构设置情况</w:t>
      </w:r>
    </w:p>
    <w:p>
      <w:pPr>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rPr>
        <w:t>根据</w:t>
      </w:r>
      <w:r>
        <w:rPr>
          <w:rFonts w:hint="eastAsia" w:ascii="仿宋_GB2312" w:hAnsi="仿宋_GB2312" w:eastAsia="仿宋_GB2312" w:cs="仿宋_GB2312"/>
          <w:bCs/>
          <w:spacing w:val="6"/>
          <w:sz w:val="32"/>
          <w:szCs w:val="32"/>
        </w:rPr>
        <w:t>《中共云岩区委办公室 云岩区人民政府办公室关于印发&lt;贵阳市云岩区水务管理局职能配置内设机构和人员编制规定&gt;的通知》（云委办字〔2019〕72号）</w:t>
      </w:r>
      <w:r>
        <w:rPr>
          <w:rFonts w:hint="eastAsia" w:ascii="仿宋_GB2312" w:hAnsi="仿宋_GB2312" w:eastAsia="仿宋_GB2312" w:cs="仿宋_GB2312"/>
          <w:spacing w:val="6"/>
          <w:sz w:val="32"/>
          <w:szCs w:val="32"/>
          <w:highlight w:val="none"/>
        </w:rPr>
        <w:t>，</w:t>
      </w:r>
      <w:r>
        <w:rPr>
          <w:rFonts w:hint="eastAsia" w:ascii="仿宋_GB2312" w:hAnsi="仿宋_GB2312" w:eastAsia="仿宋_GB2312" w:cs="仿宋_GB2312"/>
          <w:spacing w:val="6"/>
          <w:sz w:val="32"/>
          <w:szCs w:val="32"/>
          <w:highlight w:val="none"/>
          <w:lang w:val="en-US" w:eastAsia="zh-CN"/>
        </w:rPr>
        <w:t>区水务局</w:t>
      </w:r>
      <w:r>
        <w:rPr>
          <w:rFonts w:hint="eastAsia" w:ascii="仿宋_GB2312" w:hAnsi="仿宋_GB2312" w:eastAsia="仿宋_GB2312" w:cs="仿宋_GB2312"/>
          <w:spacing w:val="6"/>
          <w:sz w:val="32"/>
          <w:szCs w:val="32"/>
          <w:highlight w:val="none"/>
        </w:rPr>
        <w:t>内设</w:t>
      </w: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rPr>
        <w:t>个科室，分别为综合</w:t>
      </w:r>
      <w:r>
        <w:rPr>
          <w:rFonts w:hint="eastAsia" w:ascii="仿宋_GB2312" w:hAnsi="仿宋_GB2312" w:eastAsia="仿宋_GB2312" w:cs="仿宋_GB2312"/>
          <w:spacing w:val="6"/>
          <w:sz w:val="32"/>
          <w:szCs w:val="32"/>
          <w:highlight w:val="none"/>
          <w:lang w:val="en-US" w:eastAsia="zh-CN"/>
        </w:rPr>
        <w:t>科、业务科，另外，还有云岩区水利站、云岩区水政执法大队两个非独立核算局所属事业站（大队）</w:t>
      </w:r>
      <w:r>
        <w:rPr>
          <w:rFonts w:hint="eastAsia" w:ascii="仿宋_GB2312" w:hAnsi="仿宋_GB2312" w:eastAsia="仿宋_GB2312" w:cs="仿宋_GB2312"/>
          <w:spacing w:val="6"/>
          <w:sz w:val="32"/>
          <w:szCs w:val="32"/>
          <w:highlight w:val="none"/>
        </w:rPr>
        <w:t>。</w:t>
      </w:r>
    </w:p>
    <w:p>
      <w:pPr>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lang w:val="en-US" w:eastAsia="zh-CN"/>
        </w:rPr>
        <w:t>（2）人员情况</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outlineLvl w:val="9"/>
        <w:rPr>
          <w:rFonts w:hint="default" w:ascii="仿宋_GB2312" w:hAnsi="仿宋_GB2312" w:eastAsia="仿宋_GB2312" w:cs="仿宋_GB2312"/>
          <w:b w:val="0"/>
          <w:bCs w:val="0"/>
          <w:spacing w:val="6"/>
          <w:kern w:val="0"/>
          <w:sz w:val="32"/>
          <w:szCs w:val="32"/>
          <w:highlight w:val="none"/>
          <w:lang w:val="en-US" w:eastAsia="zh-CN" w:bidi="ar-SA"/>
        </w:rPr>
      </w:pPr>
      <w:r>
        <w:rPr>
          <w:rFonts w:hint="eastAsia" w:ascii="仿宋_GB2312" w:hAnsi="仿宋_GB2312" w:eastAsia="仿宋_GB2312" w:cs="仿宋_GB2312"/>
          <w:b w:val="0"/>
          <w:bCs w:val="0"/>
          <w:spacing w:val="6"/>
          <w:kern w:val="0"/>
          <w:sz w:val="32"/>
          <w:szCs w:val="32"/>
          <w:highlight w:val="none"/>
          <w:lang w:val="en-US" w:eastAsia="zh-CN"/>
        </w:rPr>
        <w:t>区水务局2021年行政编制有5名，其中：设局长1名，副局长2名，内设机构领导职数2名，实际在编5人</w:t>
      </w:r>
      <w:r>
        <w:rPr>
          <w:rFonts w:hint="eastAsia" w:ascii="仿宋_GB2312" w:hAnsi="Times New Roman" w:eastAsia="仿宋_GB2312" w:cs="Times New Roman"/>
          <w:spacing w:val="6"/>
          <w:sz w:val="32"/>
          <w:szCs w:val="32"/>
          <w:highlight w:val="none"/>
          <w:lang w:val="en-US" w:eastAsia="zh-CN"/>
        </w:rPr>
        <w:t>。</w:t>
      </w:r>
      <w:r>
        <w:rPr>
          <w:rFonts w:hint="eastAsia" w:ascii="仿宋_GB2312" w:hAnsi="仿宋_GB2312" w:eastAsia="仿宋_GB2312" w:cs="仿宋_GB2312"/>
          <w:b w:val="0"/>
          <w:bCs w:val="0"/>
          <w:spacing w:val="6"/>
          <w:kern w:val="0"/>
          <w:sz w:val="32"/>
          <w:szCs w:val="32"/>
          <w:highlight w:val="none"/>
          <w:lang w:val="en-US" w:eastAsia="zh-CN"/>
        </w:rPr>
        <w:t>区水务局2021年事业编制有16名，实际在编14人。</w:t>
      </w:r>
    </w:p>
    <w:p>
      <w:pPr>
        <w:widowControl w:val="0"/>
        <w:spacing w:afterLines="0" w:line="590" w:lineRule="exact"/>
        <w:ind w:firstLine="664" w:firstLineChars="200"/>
        <w:jc w:val="both"/>
        <w:outlineLvl w:val="1"/>
        <w:rPr>
          <w:rFonts w:hint="default" w:ascii="楷体_GB2312" w:hAnsi="楷体_GB2312" w:eastAsia="楷体_GB2312" w:cs="楷体_GB2312"/>
          <w:spacing w:val="6"/>
          <w:sz w:val="32"/>
          <w:szCs w:val="32"/>
          <w:highlight w:val="none"/>
          <w:lang w:val="en-US" w:eastAsia="zh-CN"/>
        </w:rPr>
      </w:pPr>
      <w:bookmarkStart w:id="23" w:name="_Toc18203"/>
      <w:bookmarkStart w:id="24" w:name="_Toc20084"/>
      <w:bookmarkStart w:id="25" w:name="_Toc8771"/>
      <w:bookmarkStart w:id="26" w:name="_Toc24154"/>
      <w:bookmarkStart w:id="27" w:name="_Toc23145"/>
      <w:r>
        <w:rPr>
          <w:rFonts w:hint="eastAsia" w:ascii="楷体_GB2312" w:hAnsi="楷体_GB2312" w:eastAsia="楷体_GB2312" w:cs="楷体_GB2312"/>
          <w:spacing w:val="6"/>
          <w:sz w:val="32"/>
          <w:szCs w:val="32"/>
          <w:highlight w:val="none"/>
        </w:rPr>
        <w:fldChar w:fldCharType="begin"/>
      </w:r>
      <w:r>
        <w:rPr>
          <w:rFonts w:hint="eastAsia" w:ascii="楷体_GB2312" w:hAnsi="楷体_GB2312" w:eastAsia="楷体_GB2312" w:cs="楷体_GB2312"/>
          <w:spacing w:val="6"/>
          <w:sz w:val="32"/>
          <w:szCs w:val="32"/>
          <w:highlight w:val="none"/>
        </w:rPr>
        <w:instrText xml:space="preserve"> HYPERLINK \l "_Toc434746187" </w:instrText>
      </w:r>
      <w:r>
        <w:rPr>
          <w:rFonts w:hint="eastAsia" w:ascii="楷体_GB2312" w:hAnsi="楷体_GB2312" w:eastAsia="楷体_GB2312" w:cs="楷体_GB2312"/>
          <w:spacing w:val="6"/>
          <w:sz w:val="32"/>
          <w:szCs w:val="32"/>
          <w:highlight w:val="none"/>
        </w:rPr>
        <w:fldChar w:fldCharType="separate"/>
      </w:r>
      <w:bookmarkStart w:id="28" w:name="_Toc41306267"/>
      <w:r>
        <w:rPr>
          <w:rFonts w:hint="eastAsia" w:ascii="楷体_GB2312" w:hAnsi="楷体_GB2312" w:eastAsia="楷体_GB2312" w:cs="楷体_GB2312"/>
          <w:spacing w:val="6"/>
          <w:sz w:val="32"/>
          <w:szCs w:val="32"/>
          <w:highlight w:val="none"/>
          <w:lang w:val="zh-CN"/>
        </w:rPr>
        <w:t>（二）</w:t>
      </w:r>
      <w:r>
        <w:rPr>
          <w:rFonts w:hint="eastAsia" w:ascii="楷体_GB2312" w:hAnsi="楷体_GB2312" w:eastAsia="楷体_GB2312" w:cs="楷体_GB2312"/>
          <w:spacing w:val="6"/>
          <w:sz w:val="32"/>
          <w:szCs w:val="32"/>
          <w:highlight w:val="none"/>
          <w:lang w:val="zh-CN"/>
        </w:rPr>
        <w:fldChar w:fldCharType="end"/>
      </w:r>
      <w:bookmarkEnd w:id="20"/>
      <w:bookmarkEnd w:id="21"/>
      <w:bookmarkEnd w:id="22"/>
      <w:bookmarkEnd w:id="23"/>
      <w:bookmarkEnd w:id="24"/>
      <w:bookmarkEnd w:id="28"/>
      <w:r>
        <w:rPr>
          <w:rFonts w:hint="eastAsia" w:ascii="楷体_GB2312" w:hAnsi="楷体_GB2312" w:eastAsia="楷体_GB2312" w:cs="楷体_GB2312"/>
          <w:spacing w:val="6"/>
          <w:sz w:val="32"/>
          <w:szCs w:val="32"/>
          <w:highlight w:val="none"/>
          <w:lang w:val="en-US" w:eastAsia="zh-CN"/>
        </w:rPr>
        <w:t>资金投入和使用情况</w:t>
      </w:r>
      <w:bookmarkEnd w:id="25"/>
      <w:bookmarkEnd w:id="26"/>
      <w:bookmarkEnd w:id="27"/>
    </w:p>
    <w:p>
      <w:pPr>
        <w:widowControl w:val="0"/>
        <w:spacing w:afterLines="0" w:line="590" w:lineRule="exact"/>
        <w:ind w:firstLine="664" w:firstLineChars="200"/>
        <w:jc w:val="both"/>
        <w:rPr>
          <w:rFonts w:hint="default"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rPr>
        <w:t>1．</w:t>
      </w:r>
      <w:r>
        <w:rPr>
          <w:rFonts w:hint="eastAsia" w:ascii="仿宋_GB2312" w:hAnsi="仿宋_GB2312" w:eastAsia="仿宋_GB2312" w:cs="仿宋_GB2312"/>
          <w:spacing w:val="6"/>
          <w:sz w:val="32"/>
          <w:szCs w:val="32"/>
          <w:highlight w:val="none"/>
          <w:lang w:val="en-US" w:eastAsia="zh-CN"/>
        </w:rPr>
        <w:t>部门预算批复情况</w:t>
      </w:r>
    </w:p>
    <w:p>
      <w:pPr>
        <w:widowControl w:val="0"/>
        <w:spacing w:afterLines="0"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根据</w:t>
      </w:r>
      <w:r>
        <w:rPr>
          <w:rFonts w:hint="eastAsia" w:ascii="仿宋_GB2312" w:hAnsi="仿宋_GB2312" w:eastAsia="仿宋_GB2312" w:cs="仿宋_GB2312"/>
          <w:spacing w:val="6"/>
          <w:sz w:val="32"/>
          <w:szCs w:val="32"/>
          <w:lang w:val="en-US" w:eastAsia="zh-CN"/>
        </w:rPr>
        <w:t>区水务局公示的《贵阳市云岩区水务管理局2021年部门预算及“三公”经费预算公开说明》</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区水务局</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年初预算资金为14447.62万元，调整预算</w:t>
      </w:r>
      <w:r>
        <w:rPr>
          <w:rFonts w:hint="eastAsia" w:ascii="仿宋_GB2312" w:hAnsi="仿宋_GB2312" w:eastAsia="仿宋_GB2312" w:cs="仿宋_GB2312"/>
          <w:spacing w:val="6"/>
          <w:sz w:val="32"/>
          <w:szCs w:val="32"/>
          <w:lang w:val="en-US" w:eastAsia="zh-CN"/>
        </w:rPr>
        <w:t>12588.48</w:t>
      </w:r>
      <w:r>
        <w:rPr>
          <w:rFonts w:hint="eastAsia" w:ascii="仿宋_GB2312" w:hAnsi="仿宋_GB2312" w:eastAsia="仿宋_GB2312" w:cs="仿宋_GB2312"/>
          <w:spacing w:val="6"/>
          <w:sz w:val="32"/>
          <w:szCs w:val="32"/>
        </w:rPr>
        <w:t>万元，调整后预算为27036.1万元。</w:t>
      </w:r>
    </w:p>
    <w:p>
      <w:pPr>
        <w:widowControl w:val="0"/>
        <w:spacing w:afterLines="0" w:line="590" w:lineRule="exact"/>
        <w:ind w:firstLine="664" w:firstLineChars="200"/>
        <w:jc w:val="both"/>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rPr>
        <w:t>具体情况详见下表</w:t>
      </w:r>
      <w:r>
        <w:rPr>
          <w:rFonts w:hint="eastAsia" w:ascii="仿宋_GB2312" w:hAnsi="仿宋_GB2312" w:eastAsia="仿宋_GB2312" w:cs="仿宋_GB2312"/>
          <w:spacing w:val="6"/>
          <w:sz w:val="32"/>
          <w:szCs w:val="32"/>
          <w:lang w:val="en-US" w:eastAsia="zh-CN"/>
        </w:rPr>
        <w:t>：</w:t>
      </w:r>
    </w:p>
    <w:p>
      <w:pPr>
        <w:widowControl w:val="0"/>
        <w:spacing w:line="590" w:lineRule="exact"/>
        <w:ind w:firstLine="584" w:firstLineChars="200"/>
        <w:jc w:val="right"/>
        <w:rPr>
          <w:rFonts w:hint="eastAsia" w:ascii="Times New Roman" w:hAnsi="Times New Roman" w:eastAsia="仿宋_GB2312" w:cs="Times New Roman"/>
          <w:spacing w:val="6"/>
          <w:sz w:val="28"/>
          <w:szCs w:val="28"/>
          <w:highlight w:val="none"/>
        </w:rPr>
      </w:pPr>
      <w:r>
        <w:rPr>
          <w:rFonts w:hint="eastAsia" w:ascii="Times New Roman" w:hAnsi="Times New Roman" w:eastAsia="仿宋_GB2312" w:cs="Times New Roman"/>
          <w:spacing w:val="6"/>
          <w:sz w:val="28"/>
          <w:szCs w:val="28"/>
          <w:highlight w:val="none"/>
        </w:rPr>
        <w:t>单位：万元</w:t>
      </w:r>
    </w:p>
    <w:tbl>
      <w:tblPr>
        <w:tblStyle w:val="1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2"/>
        <w:gridCol w:w="2014"/>
        <w:gridCol w:w="1520"/>
        <w:gridCol w:w="1588"/>
        <w:gridCol w:w="1830"/>
        <w:gridCol w:w="12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10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名称</w:t>
            </w:r>
          </w:p>
        </w:tc>
        <w:tc>
          <w:tcPr>
            <w:tcW w:w="8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年初预算</w:t>
            </w:r>
          </w:p>
        </w:tc>
        <w:tc>
          <w:tcPr>
            <w:tcW w:w="8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预算调整</w:t>
            </w:r>
          </w:p>
        </w:tc>
        <w:tc>
          <w:tcPr>
            <w:tcW w:w="16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调整后预算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blHeader/>
        </w:trPr>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b/>
                <w:bCs/>
                <w:i w:val="0"/>
                <w:iCs w:val="0"/>
                <w:color w:val="000000"/>
                <w:sz w:val="28"/>
                <w:szCs w:val="28"/>
                <w:u w:val="none"/>
              </w:rPr>
            </w:pPr>
          </w:p>
        </w:tc>
        <w:tc>
          <w:tcPr>
            <w:tcW w:w="10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b/>
                <w:bCs/>
                <w:i w:val="0"/>
                <w:iCs w:val="0"/>
                <w:color w:val="000000"/>
                <w:sz w:val="28"/>
                <w:szCs w:val="28"/>
                <w:u w:val="none"/>
              </w:rPr>
            </w:pPr>
          </w:p>
        </w:tc>
        <w:tc>
          <w:tcPr>
            <w:tcW w:w="8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8"/>
                <w:szCs w:val="28"/>
                <w:u w:val="none"/>
              </w:rPr>
            </w:pPr>
          </w:p>
        </w:tc>
        <w:tc>
          <w:tcPr>
            <w:tcW w:w="8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8"/>
                <w:szCs w:val="28"/>
                <w:u w:val="none"/>
              </w:rPr>
            </w:pP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金额</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10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基本支出</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386.88 </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0.00 </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386.88 </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1.1</w:t>
            </w:r>
          </w:p>
        </w:tc>
        <w:tc>
          <w:tcPr>
            <w:tcW w:w="10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人员经费</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359.05 </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0.00 </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359.05 </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1.2</w:t>
            </w:r>
          </w:p>
        </w:tc>
        <w:tc>
          <w:tcPr>
            <w:tcW w:w="10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公用经费</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27.83 </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0.00 </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27.83 </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10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项目支出</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14,060.74 </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12,588.48 </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26,649.22 </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6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 计</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14,447.62 </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12,588.48 </w:t>
            </w:r>
          </w:p>
        </w:tc>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27,036.10 </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100.00%</w:t>
            </w:r>
          </w:p>
        </w:tc>
      </w:tr>
    </w:tbl>
    <w:p>
      <w:pPr>
        <w:widowControl w:val="0"/>
        <w:spacing w:line="590" w:lineRule="exact"/>
        <w:ind w:firstLine="664" w:firstLineChars="200"/>
        <w:jc w:val="both"/>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部门决算情况</w:t>
      </w:r>
    </w:p>
    <w:p>
      <w:pPr>
        <w:ind w:firstLine="584"/>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根据</w:t>
      </w:r>
      <w:r>
        <w:rPr>
          <w:rFonts w:hint="eastAsia" w:ascii="仿宋_GB2312" w:hAnsi="仿宋_GB2312" w:eastAsia="仿宋_GB2312" w:cs="仿宋_GB2312"/>
          <w:spacing w:val="6"/>
          <w:sz w:val="32"/>
          <w:szCs w:val="32"/>
          <w:lang w:val="en-US" w:eastAsia="zh-CN"/>
        </w:rPr>
        <w:t>区水务局公示的</w:t>
      </w:r>
      <w:r>
        <w:rPr>
          <w:rFonts w:hint="eastAsia" w:ascii="仿宋_GB2312" w:hAnsi="仿宋_GB2312" w:eastAsia="仿宋_GB2312" w:cs="仿宋_GB2312"/>
          <w:spacing w:val="6"/>
          <w:sz w:val="32"/>
          <w:szCs w:val="32"/>
        </w:rPr>
        <w:t>《贵州省贵阳市云岩区水务管理局2021年度部门决算》，</w:t>
      </w:r>
      <w:bookmarkStart w:id="29" w:name="_Toc19624"/>
      <w:bookmarkStart w:id="30" w:name="_Toc2534"/>
      <w:bookmarkStart w:id="31" w:name="_Toc20300"/>
      <w:bookmarkStart w:id="32" w:name="_Toc2675"/>
      <w:bookmarkStart w:id="33" w:name="_Toc6008"/>
      <w:r>
        <w:rPr>
          <w:rFonts w:hint="eastAsia" w:ascii="仿宋_GB2312" w:hAnsi="仿宋_GB2312" w:eastAsia="仿宋_GB2312" w:cs="仿宋_GB2312"/>
          <w:spacing w:val="6"/>
          <w:sz w:val="32"/>
          <w:szCs w:val="32"/>
          <w:lang w:val="en-US" w:eastAsia="zh-CN"/>
        </w:rPr>
        <w:t>区水务局</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年决算收入</w:t>
      </w:r>
      <w:r>
        <w:rPr>
          <w:rFonts w:hint="eastAsia" w:ascii="仿宋_GB2312" w:hAnsi="仿宋_GB2312" w:eastAsia="仿宋_GB2312" w:cs="仿宋_GB2312"/>
          <w:spacing w:val="6"/>
          <w:sz w:val="32"/>
          <w:szCs w:val="32"/>
          <w:lang w:val="en-US" w:eastAsia="zh-CN"/>
        </w:rPr>
        <w:t>合计27036.1</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决算支出</w:t>
      </w:r>
      <w:r>
        <w:rPr>
          <w:rFonts w:hint="eastAsia" w:ascii="仿宋_GB2312" w:hAnsi="仿宋_GB2312" w:eastAsia="仿宋_GB2312" w:cs="仿宋_GB2312"/>
          <w:spacing w:val="6"/>
          <w:sz w:val="32"/>
          <w:szCs w:val="32"/>
          <w:lang w:val="en-US" w:eastAsia="zh-CN"/>
        </w:rPr>
        <w:t>合计26368.23</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其中：基本支出</w:t>
      </w:r>
      <w:r>
        <w:rPr>
          <w:rFonts w:hint="eastAsia" w:ascii="仿宋_GB2312" w:hAnsi="仿宋_GB2312" w:eastAsia="仿宋_GB2312" w:cs="仿宋_GB2312"/>
          <w:spacing w:val="6"/>
          <w:sz w:val="32"/>
          <w:szCs w:val="32"/>
          <w:lang w:val="en-US" w:eastAsia="zh-CN"/>
        </w:rPr>
        <w:t>380.73</w:t>
      </w:r>
      <w:r>
        <w:rPr>
          <w:rFonts w:hint="eastAsia" w:ascii="仿宋_GB2312" w:hAnsi="仿宋_GB2312" w:eastAsia="仿宋_GB2312" w:cs="仿宋_GB2312"/>
          <w:spacing w:val="6"/>
          <w:sz w:val="32"/>
          <w:szCs w:val="32"/>
        </w:rPr>
        <w:t>万元，项目支出</w:t>
      </w:r>
      <w:r>
        <w:rPr>
          <w:rFonts w:hint="eastAsia" w:ascii="仿宋_GB2312" w:hAnsi="仿宋_GB2312" w:eastAsia="仿宋_GB2312" w:cs="仿宋_GB2312"/>
          <w:spacing w:val="6"/>
          <w:sz w:val="32"/>
          <w:szCs w:val="32"/>
          <w:lang w:val="en-US" w:eastAsia="zh-CN"/>
        </w:rPr>
        <w:t>25987.5</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年末结转结余资金</w:t>
      </w:r>
      <w:r>
        <w:rPr>
          <w:rFonts w:hint="eastAsia" w:ascii="仿宋_GB2312" w:hAnsi="仿宋_GB2312" w:eastAsia="仿宋_GB2312" w:cs="仿宋_GB2312"/>
          <w:spacing w:val="6"/>
          <w:sz w:val="32"/>
          <w:szCs w:val="32"/>
          <w:lang w:val="en-US" w:eastAsia="zh-CN"/>
        </w:rPr>
        <w:t>667.87</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预算执行率为</w:t>
      </w:r>
      <w:r>
        <w:rPr>
          <w:rFonts w:hint="eastAsia" w:ascii="仿宋_GB2312" w:hAnsi="仿宋_GB2312" w:eastAsia="仿宋_GB2312" w:cs="仿宋_GB2312"/>
          <w:spacing w:val="6"/>
          <w:sz w:val="32"/>
          <w:szCs w:val="32"/>
          <w:lang w:val="en-US" w:eastAsia="zh-CN"/>
        </w:rPr>
        <w:t>97.53</w:t>
      </w:r>
      <w:r>
        <w:rPr>
          <w:rFonts w:hint="eastAsia" w:ascii="仿宋_GB2312" w:hAnsi="仿宋_GB2312" w:eastAsia="仿宋_GB2312" w:cs="仿宋_GB2312"/>
          <w:spacing w:val="6"/>
          <w:sz w:val="32"/>
          <w:szCs w:val="32"/>
        </w:rPr>
        <w:t>%。</w:t>
      </w:r>
    </w:p>
    <w:p>
      <w:pPr>
        <w:ind w:firstLine="584"/>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lang w:val="en-US" w:eastAsia="zh-CN"/>
        </w:rPr>
        <w:t>具体情况</w:t>
      </w:r>
      <w:r>
        <w:rPr>
          <w:rFonts w:hint="eastAsia" w:ascii="仿宋_GB2312" w:hAnsi="仿宋_GB2312" w:eastAsia="仿宋_GB2312" w:cs="仿宋_GB2312"/>
          <w:spacing w:val="6"/>
          <w:sz w:val="32"/>
          <w:szCs w:val="32"/>
        </w:rPr>
        <w:t>详见</w:t>
      </w:r>
      <w:r>
        <w:rPr>
          <w:rFonts w:hint="eastAsia" w:ascii="仿宋_GB2312" w:hAnsi="仿宋_GB2312" w:eastAsia="仿宋_GB2312" w:cs="仿宋_GB2312"/>
          <w:spacing w:val="6"/>
          <w:sz w:val="32"/>
          <w:szCs w:val="32"/>
          <w:lang w:val="en-US" w:eastAsia="zh-CN"/>
        </w:rPr>
        <w:t>下</w:t>
      </w:r>
      <w:r>
        <w:rPr>
          <w:rFonts w:hint="eastAsia" w:ascii="仿宋_GB2312" w:hAnsi="仿宋_GB2312" w:eastAsia="仿宋_GB2312" w:cs="仿宋_GB2312"/>
          <w:spacing w:val="6"/>
          <w:sz w:val="32"/>
          <w:szCs w:val="32"/>
        </w:rPr>
        <w:t>表</w:t>
      </w:r>
      <w:bookmarkStart w:id="34" w:name="_Toc29606"/>
      <w:r>
        <w:rPr>
          <w:rFonts w:hint="eastAsia" w:ascii="仿宋_GB2312" w:hAnsi="仿宋_GB2312" w:eastAsia="仿宋_GB2312" w:cs="仿宋_GB2312"/>
          <w:spacing w:val="6"/>
          <w:sz w:val="32"/>
          <w:szCs w:val="32"/>
          <w:lang w:eastAsia="zh-CN"/>
        </w:rPr>
        <w:t>：</w:t>
      </w:r>
    </w:p>
    <w:bookmarkEnd w:id="34"/>
    <w:p>
      <w:pPr>
        <w:pStyle w:val="50"/>
        <w:keepNext w:val="0"/>
        <w:keepLines w:val="0"/>
        <w:pageBreakBefore w:val="0"/>
        <w:widowControl w:val="0"/>
        <w:kinsoku/>
        <w:wordWrap/>
        <w:overflowPunct/>
        <w:topLinePunct w:val="0"/>
        <w:autoSpaceDE/>
        <w:autoSpaceDN/>
        <w:bidi w:val="0"/>
        <w:adjustRightInd/>
        <w:snapToGrid/>
        <w:spacing w:line="590" w:lineRule="exact"/>
        <w:jc w:val="right"/>
        <w:textAlignment w:val="auto"/>
        <w:rPr>
          <w:sz w:val="24"/>
          <w:szCs w:val="24"/>
        </w:rPr>
      </w:pPr>
      <w:r>
        <w:rPr>
          <w:rFonts w:hint="eastAsia" w:ascii="Times New Roman" w:hAnsi="Times New Roman" w:eastAsia="仿宋_GB2312" w:cs="Times New Roman"/>
          <w:spacing w:val="6"/>
          <w:sz w:val="24"/>
          <w:szCs w:val="24"/>
          <w:highlight w:val="none"/>
        </w:rPr>
        <w:t>单位：万元</w:t>
      </w:r>
    </w:p>
    <w:tbl>
      <w:tblPr>
        <w:tblStyle w:val="1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26"/>
        <w:gridCol w:w="1495"/>
        <w:gridCol w:w="2760"/>
        <w:gridCol w:w="13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27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收入</w:t>
            </w:r>
          </w:p>
        </w:tc>
        <w:tc>
          <w:tcPr>
            <w:tcW w:w="22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blHeader/>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本年收入合计</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27,036.10 </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本年支出合计</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26,368.23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一、一般公共预算财政拨款收入</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25,671.26 </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一、基本支出</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380.73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二、政府性基金预算财政拨款收入</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43.38 </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人员经费</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353.99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sz w:val="24"/>
                <w:szCs w:val="24"/>
                <w:u w:val="none"/>
                <w:lang w:val="en-US" w:eastAsia="zh-CN"/>
              </w:rPr>
              <w:t>——</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公用经费</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26.74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lang w:val="en-US" w:eastAsia="zh-CN"/>
              </w:rPr>
            </w:pPr>
            <w:r>
              <w:rPr>
                <w:rFonts w:hint="eastAsia" w:ascii="仿宋_GB2312" w:hAnsi="宋体" w:eastAsia="仿宋_GB2312" w:cs="仿宋_GB2312"/>
                <w:i w:val="0"/>
                <w:iCs w:val="0"/>
                <w:color w:val="000000"/>
                <w:sz w:val="24"/>
                <w:szCs w:val="24"/>
                <w:u w:val="none"/>
                <w:lang w:val="en-US" w:eastAsia="zh-CN"/>
              </w:rPr>
              <w:t>——</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sz w:val="24"/>
                <w:szCs w:val="24"/>
                <w:u w:val="none"/>
                <w:lang w:val="en-US" w:eastAsia="zh-CN"/>
              </w:rPr>
              <w:t>——</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二、项目支出</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25,987.50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19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年初结转和结余</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1,321.46 </w:t>
            </w:r>
          </w:p>
        </w:tc>
        <w:tc>
          <w:tcPr>
            <w:tcW w:w="1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年末结转和结余</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667.87 </w:t>
            </w:r>
          </w:p>
        </w:tc>
      </w:tr>
    </w:tbl>
    <w:p>
      <w:pPr>
        <w:widowControl w:val="0"/>
        <w:spacing w:line="590" w:lineRule="exact"/>
        <w:ind w:firstLine="444" w:firstLineChars="200"/>
        <w:jc w:val="both"/>
        <w:outlineLvl w:val="1"/>
        <w:rPr>
          <w:rFonts w:hint="default" w:ascii="楷体_GB2312" w:hAnsi="楷体_GB2312" w:eastAsia="楷体_GB2312" w:cs="楷体_GB2312"/>
          <w:spacing w:val="6"/>
          <w:sz w:val="32"/>
          <w:szCs w:val="32"/>
          <w:lang w:val="en-US" w:eastAsia="zh-CN"/>
        </w:rPr>
      </w:pPr>
      <w:bookmarkStart w:id="35" w:name="_Toc19124"/>
      <w:bookmarkStart w:id="36" w:name="_Toc26716"/>
      <w:bookmarkStart w:id="37" w:name="_Toc32004"/>
      <w:r>
        <w:rPr>
          <w:rFonts w:hint="eastAsia" w:ascii="楷体_GB2312" w:hAnsi="楷体_GB2312" w:eastAsia="楷体_GB2312" w:cs="楷体_GB2312"/>
          <w:spacing w:val="6"/>
        </w:rPr>
        <w:fldChar w:fldCharType="begin"/>
      </w:r>
      <w:r>
        <w:rPr>
          <w:rFonts w:hint="eastAsia" w:ascii="楷体_GB2312" w:hAnsi="楷体_GB2312" w:eastAsia="楷体_GB2312" w:cs="楷体_GB2312"/>
          <w:spacing w:val="6"/>
        </w:rPr>
        <w:instrText xml:space="preserve"> HYPERLINK \l "_Toc434746187" </w:instrText>
      </w:r>
      <w:r>
        <w:rPr>
          <w:rFonts w:hint="eastAsia" w:ascii="楷体_GB2312" w:hAnsi="楷体_GB2312" w:eastAsia="楷体_GB2312" w:cs="楷体_GB2312"/>
          <w:spacing w:val="6"/>
        </w:rPr>
        <w:fldChar w:fldCharType="separate"/>
      </w:r>
      <w:bookmarkStart w:id="38" w:name="_Toc41306268"/>
      <w:r>
        <w:rPr>
          <w:rFonts w:hint="eastAsia" w:ascii="楷体_GB2312" w:hAnsi="楷体_GB2312" w:eastAsia="楷体_GB2312" w:cs="楷体_GB2312"/>
          <w:spacing w:val="6"/>
          <w:sz w:val="32"/>
          <w:szCs w:val="32"/>
          <w:lang w:val="zh-CN"/>
        </w:rPr>
        <w:t>（三）</w:t>
      </w:r>
      <w:r>
        <w:rPr>
          <w:rFonts w:hint="eastAsia" w:ascii="楷体_GB2312" w:hAnsi="楷体_GB2312" w:eastAsia="楷体_GB2312" w:cs="楷体_GB2312"/>
          <w:spacing w:val="6"/>
          <w:sz w:val="32"/>
          <w:szCs w:val="32"/>
          <w:lang w:val="zh-CN"/>
        </w:rPr>
        <w:fldChar w:fldCharType="end"/>
      </w:r>
      <w:bookmarkEnd w:id="29"/>
      <w:bookmarkEnd w:id="30"/>
      <w:bookmarkEnd w:id="31"/>
      <w:bookmarkEnd w:id="38"/>
      <w:r>
        <w:rPr>
          <w:rFonts w:hint="eastAsia" w:ascii="楷体_GB2312" w:hAnsi="楷体_GB2312" w:eastAsia="楷体_GB2312" w:cs="楷体_GB2312"/>
          <w:spacing w:val="6"/>
          <w:sz w:val="32"/>
          <w:szCs w:val="32"/>
          <w:lang w:val="en-US" w:eastAsia="zh-CN"/>
        </w:rPr>
        <w:t>部门整体支出绩效目标及指标设立情况</w:t>
      </w:r>
      <w:bookmarkEnd w:id="32"/>
      <w:bookmarkEnd w:id="33"/>
      <w:bookmarkEnd w:id="35"/>
      <w:bookmarkEnd w:id="36"/>
      <w:bookmarkEnd w:id="37"/>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highlight w:val="none"/>
          <w:lang w:val="en-US" w:eastAsia="zh-CN"/>
        </w:rPr>
        <w:t>区水务局根据部门职责、2021年工作目标责任书以及2021年工作打算，编制了2021年部门整体绩效目标</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lang w:val="en-US" w:eastAsia="zh-CN"/>
        </w:rPr>
        <w:t>区水务局编制的绩效目标及指标存在以下问题：一是绩效评价指标不符合重要性原则，存在重点项目未编制绩效指标的情况，如：云岩区中心城区二桥及三桥污水处理厂污水提质增效工程、打鱼寨电灌站供水管网改造工程与贵阳市十九条大沟治理项目（云岩区六条大沟及贯城河）；二是部分绩效指标在二级指标分类上设置错误，如：“考核频次≥4次/季度”设置为数量指标，实际属于时效指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rPr>
      </w:pPr>
      <w:bookmarkStart w:id="39" w:name="_Toc32617"/>
      <w:bookmarkStart w:id="40" w:name="_Toc15463"/>
      <w:bookmarkStart w:id="41" w:name="_Toc7954"/>
      <w:bookmarkStart w:id="42" w:name="_Toc29408"/>
      <w:bookmarkStart w:id="43" w:name="_Toc23690"/>
      <w:r>
        <w:rPr>
          <w:rFonts w:hint="eastAsia" w:ascii="仿宋_GB2312" w:hAnsi="仿宋_GB2312" w:eastAsia="仿宋_GB2312" w:cs="仿宋_GB2312"/>
          <w:spacing w:val="6"/>
          <w:sz w:val="32"/>
          <w:szCs w:val="32"/>
          <w:highlight w:val="none"/>
        </w:rPr>
        <w:t>我们在与</w:t>
      </w:r>
      <w:r>
        <w:rPr>
          <w:rFonts w:hint="eastAsia" w:ascii="仿宋_GB2312" w:hAnsi="仿宋_GB2312" w:eastAsia="仿宋_GB2312" w:cs="仿宋_GB2312"/>
          <w:spacing w:val="6"/>
          <w:kern w:val="0"/>
          <w:sz w:val="32"/>
          <w:szCs w:val="32"/>
          <w:highlight w:val="none"/>
          <w:lang w:val="en-US" w:eastAsia="zh-CN"/>
        </w:rPr>
        <w:t>区水务局</w:t>
      </w:r>
      <w:r>
        <w:rPr>
          <w:rFonts w:hint="eastAsia" w:ascii="仿宋_GB2312" w:hAnsi="仿宋_GB2312" w:eastAsia="仿宋_GB2312" w:cs="仿宋_GB2312"/>
          <w:spacing w:val="6"/>
          <w:sz w:val="32"/>
          <w:szCs w:val="32"/>
          <w:highlight w:val="none"/>
        </w:rPr>
        <w:t>充分沟通的基础上，根据</w:t>
      </w:r>
      <w:r>
        <w:rPr>
          <w:rFonts w:hint="eastAsia" w:ascii="仿宋_GB2312" w:hAnsi="仿宋_GB2312" w:eastAsia="仿宋_GB2312" w:cs="仿宋_GB2312"/>
          <w:spacing w:val="6"/>
          <w:sz w:val="32"/>
          <w:szCs w:val="32"/>
          <w:highlight w:val="none"/>
          <w:lang w:val="en-US" w:eastAsia="zh-CN"/>
        </w:rPr>
        <w:t>部门职责、2021年工作目标责任书、2021年工作打算以及2021年工作总结</w:t>
      </w:r>
      <w:r>
        <w:rPr>
          <w:rFonts w:hint="eastAsia" w:ascii="仿宋_GB2312" w:hAnsi="仿宋_GB2312" w:eastAsia="仿宋_GB2312" w:cs="仿宋_GB2312"/>
          <w:spacing w:val="6"/>
          <w:sz w:val="32"/>
          <w:szCs w:val="32"/>
          <w:highlight w:val="none"/>
        </w:rPr>
        <w:t>等资料</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结合</w:t>
      </w:r>
      <w:r>
        <w:rPr>
          <w:rFonts w:hint="eastAsia" w:ascii="仿宋_GB2312" w:hAnsi="仿宋_GB2312" w:eastAsia="仿宋_GB2312" w:cs="仿宋_GB2312"/>
          <w:spacing w:val="6"/>
          <w:sz w:val="32"/>
          <w:szCs w:val="32"/>
          <w:highlight w:val="none"/>
          <w:lang w:val="en-US" w:eastAsia="zh-CN"/>
        </w:rPr>
        <w:t>部门整体</w:t>
      </w:r>
      <w:r>
        <w:rPr>
          <w:rFonts w:hint="eastAsia" w:ascii="仿宋_GB2312" w:hAnsi="仿宋_GB2312" w:eastAsia="仿宋_GB2312" w:cs="仿宋_GB2312"/>
          <w:spacing w:val="6"/>
          <w:sz w:val="32"/>
          <w:szCs w:val="32"/>
          <w:highlight w:val="none"/>
        </w:rPr>
        <w:t>实际情况对</w:t>
      </w:r>
      <w:r>
        <w:rPr>
          <w:rFonts w:hint="eastAsia" w:ascii="仿宋_GB2312" w:hAnsi="仿宋_GB2312" w:eastAsia="仿宋_GB2312" w:cs="仿宋_GB2312"/>
          <w:spacing w:val="6"/>
          <w:sz w:val="32"/>
          <w:szCs w:val="32"/>
          <w:highlight w:val="none"/>
          <w:lang w:val="en-US" w:eastAsia="zh-CN"/>
        </w:rPr>
        <w:t>部门整体支出</w:t>
      </w:r>
      <w:r>
        <w:rPr>
          <w:rFonts w:hint="eastAsia" w:ascii="仿宋_GB2312" w:hAnsi="仿宋_GB2312" w:eastAsia="仿宋_GB2312" w:cs="仿宋_GB2312"/>
          <w:spacing w:val="6"/>
          <w:sz w:val="32"/>
          <w:szCs w:val="32"/>
          <w:highlight w:val="none"/>
        </w:rPr>
        <w:t>绩效目标和绩效指标进行再次梳理。再次梳理的绩效目标</w:t>
      </w:r>
      <w:r>
        <w:rPr>
          <w:rFonts w:hint="eastAsia" w:ascii="仿宋_GB2312" w:hAnsi="仿宋_GB2312" w:eastAsia="仿宋_GB2312" w:cs="仿宋_GB2312"/>
          <w:spacing w:val="6"/>
          <w:sz w:val="32"/>
          <w:szCs w:val="32"/>
          <w:highlight w:val="none"/>
          <w:lang w:val="en-US" w:eastAsia="zh-CN"/>
        </w:rPr>
        <w:t>及指标</w:t>
      </w:r>
      <w:r>
        <w:rPr>
          <w:rFonts w:hint="eastAsia" w:ascii="仿宋_GB2312" w:hAnsi="仿宋_GB2312" w:eastAsia="仿宋_GB2312" w:cs="仿宋_GB2312"/>
          <w:spacing w:val="6"/>
          <w:sz w:val="32"/>
          <w:szCs w:val="32"/>
          <w:highlight w:val="none"/>
        </w:rPr>
        <w:t>如下：</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绩效目标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目标1：做好松山、贵医、六广门、松山四个水厂的绩效考核等工作，确保三个水厂正常运营，出水水质达标。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 xml:space="preserve">目标2：对辖区内河道垃圾进行打捞起清运，完成河道8.84km及15km截污管正常维护，保障河道正常运行。                             </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目标3：组织开展水行政执法工作，进行日常巡查，执法范围全覆盖，重点项目全面检查，提高群众对水法等相关法规的知晓率，依法查处水事违法案件，维护辖区内正常水事秩序。</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目标4：全面施行河长制，加强河长制宣传教育，开展河道日常巡查，建立巡河台账，保证河湖污染及时发现、及时处理。</w:t>
      </w:r>
    </w:p>
    <w:p>
      <w:pPr>
        <w:pStyle w:val="2"/>
        <w:rPr>
          <w:rFonts w:hint="default" w:ascii="仿宋_GB2312" w:hAnsi="仿宋_GB2312" w:eastAsia="仿宋_GB2312" w:cs="仿宋_GB2312"/>
          <w:spacing w:val="6"/>
          <w:kern w:val="2"/>
          <w:sz w:val="32"/>
          <w:szCs w:val="32"/>
          <w:highlight w:val="none"/>
          <w:lang w:val="en-US" w:eastAsia="zh-CN" w:bidi="ar-SA"/>
        </w:rPr>
      </w:pPr>
      <w:r>
        <w:rPr>
          <w:rFonts w:hint="eastAsia" w:ascii="仿宋_GB2312" w:hAnsi="仿宋_GB2312" w:eastAsia="仿宋_GB2312" w:cs="仿宋_GB2312"/>
          <w:spacing w:val="6"/>
          <w:sz w:val="32"/>
          <w:szCs w:val="32"/>
          <w:highlight w:val="none"/>
          <w:lang w:val="en-US" w:eastAsia="zh-CN"/>
        </w:rPr>
        <w:t>目标5：完成“云岩区最严格水资源管理工作”，</w:t>
      </w:r>
      <w:r>
        <w:rPr>
          <w:rFonts w:hint="default" w:ascii="仿宋_GB2312" w:hAnsi="仿宋_GB2312" w:eastAsia="仿宋_GB2312" w:cs="仿宋_GB2312"/>
          <w:spacing w:val="6"/>
          <w:kern w:val="2"/>
          <w:sz w:val="32"/>
          <w:szCs w:val="32"/>
          <w:highlight w:val="none"/>
          <w:lang w:val="en-US" w:eastAsia="zh-CN" w:bidi="ar-SA"/>
        </w:rPr>
        <w:t>落实年度政府水土保持目标责任，完成辖区内水土保持预防监督工作，完成年度水土流失综合治理任务。</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．绩效指标</w:t>
      </w:r>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根据绩效目标设置了产出数量、产出质量、产出时效、社会效益、生态效益、可持续影响、服务对象满意度等指标，绩效目标细化分解后的绩效指标情况详见附件1</w:t>
      </w:r>
      <w:r>
        <w:rPr>
          <w:rFonts w:hint="eastAsia" w:ascii="仿宋_GB2312" w:hAnsi="仿宋_GB2312" w:eastAsia="仿宋_GB2312" w:cs="仿宋_GB2312"/>
          <w:spacing w:val="6"/>
          <w:sz w:val="32"/>
          <w:szCs w:val="32"/>
          <w:highlight w:val="none"/>
          <w:lang w:val="en-US" w:eastAsia="zh-CN"/>
        </w:rPr>
        <w:t>。</w:t>
      </w:r>
    </w:p>
    <w:bookmarkEnd w:id="39"/>
    <w:bookmarkEnd w:id="40"/>
    <w:bookmarkEnd w:id="41"/>
    <w:bookmarkEnd w:id="42"/>
    <w:bookmarkEnd w:id="43"/>
    <w:p>
      <w:pPr>
        <w:widowControl w:val="0"/>
        <w:spacing w:line="590" w:lineRule="exact"/>
        <w:ind w:firstLine="664" w:firstLineChars="200"/>
        <w:jc w:val="both"/>
        <w:outlineLvl w:val="0"/>
        <w:rPr>
          <w:rFonts w:ascii="Times New Roman" w:hAnsi="Times New Roman" w:eastAsia="黑体" w:cs="Times New Roman"/>
          <w:spacing w:val="6"/>
          <w:sz w:val="32"/>
          <w:szCs w:val="32"/>
        </w:rPr>
      </w:pPr>
      <w:bookmarkStart w:id="44" w:name="_Toc692"/>
      <w:bookmarkStart w:id="45" w:name="_Toc27503"/>
      <w:bookmarkStart w:id="46" w:name="_Toc26227"/>
      <w:r>
        <w:rPr>
          <w:rFonts w:hint="eastAsia" w:ascii="黑体" w:hAnsi="黑体" w:eastAsia="黑体" w:cs="黑体"/>
          <w:spacing w:val="6"/>
          <w:sz w:val="32"/>
          <w:szCs w:val="32"/>
          <w:lang w:val="en-US" w:eastAsia="zh-CN"/>
        </w:rPr>
        <w:t>二、</w:t>
      </w:r>
      <w:bookmarkEnd w:id="44"/>
      <w:bookmarkEnd w:id="45"/>
      <w:bookmarkEnd w:id="46"/>
      <w:bookmarkStart w:id="47" w:name="_Toc1870"/>
      <w:bookmarkStart w:id="48" w:name="_Toc6797"/>
      <w:bookmarkStart w:id="49" w:name="_Toc24799"/>
      <w:r>
        <w:rPr>
          <w:rFonts w:hint="eastAsia" w:ascii="Times New Roman" w:hAnsi="Times New Roman" w:eastAsia="黑体" w:cs="Times New Roman"/>
          <w:spacing w:val="6"/>
          <w:sz w:val="32"/>
          <w:szCs w:val="32"/>
        </w:rPr>
        <w:t>绩效评价综合评价情况及评价结论</w:t>
      </w:r>
      <w:bookmarkEnd w:id="47"/>
      <w:bookmarkEnd w:id="48"/>
      <w:bookmarkEnd w:id="49"/>
    </w:p>
    <w:p>
      <w:pPr>
        <w:widowControl w:val="0"/>
        <w:spacing w:line="590" w:lineRule="exact"/>
        <w:ind w:firstLine="444" w:firstLineChars="200"/>
        <w:outlineLvl w:val="1"/>
        <w:rPr>
          <w:rFonts w:ascii="Times New Roman" w:hAnsi="Times New Roman" w:eastAsia="楷体_GB2312" w:cs="Times New Roman"/>
          <w:spacing w:val="6"/>
          <w:sz w:val="32"/>
          <w:szCs w:val="32"/>
          <w:lang w:val="zh-CN"/>
        </w:rPr>
      </w:pPr>
      <w:bookmarkStart w:id="50" w:name="_Toc27831"/>
      <w:bookmarkStart w:id="51" w:name="_Toc30521"/>
      <w:bookmarkStart w:id="52" w:name="_Toc11314"/>
      <w:bookmarkStart w:id="53" w:name="_Toc3049"/>
      <w:bookmarkStart w:id="54" w:name="_Toc28124"/>
      <w:bookmarkStart w:id="55" w:name="_Toc29803"/>
      <w:bookmarkStart w:id="56" w:name="_Toc31404"/>
      <w:bookmarkStart w:id="57" w:name="_Toc27494"/>
      <w:bookmarkStart w:id="58" w:name="_Toc1201"/>
      <w:bookmarkStart w:id="59" w:name="_Toc24622"/>
      <w:bookmarkStart w:id="60" w:name="_Toc311"/>
      <w:bookmarkStart w:id="61" w:name="_Toc5772"/>
      <w:bookmarkStart w:id="62" w:name="_Toc4392"/>
      <w:r>
        <w:rPr>
          <w:spacing w:val="6"/>
        </w:rPr>
        <w:fldChar w:fldCharType="begin"/>
      </w:r>
      <w:r>
        <w:rPr>
          <w:spacing w:val="6"/>
        </w:rPr>
        <w:instrText xml:space="preserve"> HYPERLINK \l "_Toc434746187" </w:instrText>
      </w:r>
      <w:r>
        <w:rPr>
          <w:spacing w:val="6"/>
        </w:rPr>
        <w:fldChar w:fldCharType="separate"/>
      </w:r>
      <w:bookmarkStart w:id="63" w:name="_Toc41306282"/>
      <w:bookmarkStart w:id="64" w:name="_Toc531246097"/>
      <w:r>
        <w:rPr>
          <w:rFonts w:hint="eastAsia" w:ascii="Times New Roman" w:hAnsi="Times New Roman" w:eastAsia="楷体_GB2312" w:cs="Times New Roman"/>
          <w:spacing w:val="6"/>
          <w:sz w:val="32"/>
          <w:szCs w:val="32"/>
          <w:lang w:val="zh-CN"/>
        </w:rPr>
        <w:t>（</w:t>
      </w:r>
      <w:r>
        <w:rPr>
          <w:rFonts w:hint="eastAsia" w:ascii="Times New Roman" w:hAnsi="Times New Roman" w:eastAsia="楷体_GB2312" w:cs="Times New Roman"/>
          <w:spacing w:val="6"/>
          <w:sz w:val="32"/>
          <w:szCs w:val="32"/>
          <w:lang w:val="en-US" w:eastAsia="zh-CN"/>
        </w:rPr>
        <w:t>一</w:t>
      </w:r>
      <w:r>
        <w:rPr>
          <w:rFonts w:hint="eastAsia" w:ascii="Times New Roman" w:hAnsi="Times New Roman" w:eastAsia="楷体_GB2312" w:cs="Times New Roman"/>
          <w:spacing w:val="6"/>
          <w:sz w:val="32"/>
          <w:szCs w:val="32"/>
          <w:lang w:val="zh-CN"/>
        </w:rPr>
        <w:t>）</w:t>
      </w:r>
      <w:bookmarkEnd w:id="63"/>
      <w:bookmarkEnd w:id="64"/>
      <w:r>
        <w:rPr>
          <w:rFonts w:hint="eastAsia" w:ascii="Times New Roman" w:hAnsi="Times New Roman" w:eastAsia="楷体_GB2312" w:cs="Times New Roman"/>
          <w:spacing w:val="6"/>
          <w:sz w:val="32"/>
          <w:szCs w:val="32"/>
          <w:lang w:val="zh-CN"/>
        </w:rPr>
        <w:t>绩效评价综合评价情况</w:t>
      </w:r>
      <w:r>
        <w:rPr>
          <w:rFonts w:hint="eastAsia" w:ascii="Times New Roman" w:hAnsi="Times New Roman" w:eastAsia="楷体_GB2312" w:cs="Times New Roman"/>
          <w:spacing w:val="6"/>
          <w:sz w:val="32"/>
          <w:szCs w:val="32"/>
          <w:lang w:val="zh-CN"/>
        </w:rPr>
        <w:fldChar w:fldCharType="end"/>
      </w:r>
      <w:bookmarkEnd w:id="50"/>
      <w:bookmarkEnd w:id="51"/>
      <w:bookmarkEnd w:id="52"/>
      <w:bookmarkEnd w:id="53"/>
      <w:bookmarkEnd w:id="54"/>
      <w:bookmarkEnd w:id="55"/>
      <w:bookmarkEnd w:id="56"/>
      <w:bookmarkEnd w:id="57"/>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rPr>
      </w:pPr>
      <w:bookmarkStart w:id="65" w:name="_Toc3400"/>
      <w:bookmarkStart w:id="66" w:name="_Toc20907"/>
      <w:bookmarkStart w:id="67" w:name="_Toc41306283"/>
      <w:bookmarkStart w:id="68" w:name="_Toc31649"/>
      <w:bookmarkStart w:id="69" w:name="_Toc27041138"/>
      <w:bookmarkStart w:id="70" w:name="_Toc10440"/>
      <w:bookmarkStart w:id="71" w:name="_Toc32724"/>
      <w:r>
        <w:rPr>
          <w:rFonts w:hint="eastAsia" w:ascii="仿宋_GB2312" w:hAnsi="仿宋_GB2312" w:eastAsia="仿宋_GB2312" w:cs="仿宋_GB2312"/>
          <w:spacing w:val="6"/>
          <w:sz w:val="32"/>
          <w:szCs w:val="32"/>
          <w:highlight w:val="none"/>
          <w:lang w:val="en-US" w:eastAsia="zh-CN"/>
        </w:rPr>
        <w:t>根据与区水务局充分沟通后再次梳理的2021年部门整体支出绩效目标合计5个，其中：已完成3个，基本完成2个。绩效指标合计35个，已完成24个，基本完成4个，部分完成1，未完成6个。</w:t>
      </w:r>
      <w:r>
        <w:rPr>
          <w:rFonts w:hint="eastAsia" w:ascii="仿宋_GB2312" w:hAnsi="仿宋_GB2312" w:eastAsia="仿宋_GB2312" w:cs="仿宋_GB2312"/>
          <w:spacing w:val="6"/>
          <w:sz w:val="32"/>
          <w:szCs w:val="32"/>
          <w:highlight w:val="none"/>
        </w:rPr>
        <w:t>绩效目标及绩效指标完成情况详见下表：</w:t>
      </w:r>
    </w:p>
    <w:bookmarkEnd w:id="65"/>
    <w:bookmarkEnd w:id="66"/>
    <w:bookmarkEnd w:id="67"/>
    <w:bookmarkEnd w:id="68"/>
    <w:bookmarkEnd w:id="69"/>
    <w:bookmarkEnd w:id="70"/>
    <w:bookmarkEnd w:id="71"/>
    <w:tbl>
      <w:tblPr>
        <w:tblStyle w:val="18"/>
        <w:tblW w:w="886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4"/>
        <w:gridCol w:w="2925"/>
        <w:gridCol w:w="1300"/>
        <w:gridCol w:w="1359"/>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2021年总体目标</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2021年总体目标完成情况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目标1：做好松山、贵医、六广门、松山四个水厂的绩效考核等工作，确保三个水厂正常运营，出水水质达标。</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目标1：已完成。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目标2：对辖区内河道垃圾进行打捞起清运，完成河道8.84km及15km截污管正常维护，保障河道正常运行。</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目标2：基本完成。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目标3：组织开展水行政执法工作，进行日常巡查，执法范围全覆盖，重点项目全面检查，提高群众对水法等相关法规的知晓率，依法查处水事违法案件，维护辖区内正常水事秩序。</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目标3：已完成。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目标4：全面施行河长制，加强河长制宣传教育，开展河道日常巡查，建立巡河台账，保证河湖污染及时发现、及时处理。</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目标4：基本完成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目标5：完成“云岩区最严格水资源管理工作”，落实年度政府水土保持目标责任，完成辖区内水土保持预防监督工作，完成年度水土流失综合治理任务。</w:t>
            </w:r>
          </w:p>
        </w:tc>
        <w:tc>
          <w:tcPr>
            <w:tcW w:w="2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目标5：已完成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三级指标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指标值</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指标完成情况</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污水处理厂日均处理水量</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污水处理厂日均处理水量</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≥11.9万吨/天</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15.5万吨/天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辖区大沟及生活污水治理情况</w:t>
            </w:r>
          </w:p>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二桥及三桥污水处理厂污水提质增效工程按进度完成率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left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三马片区二桥污水处理厂配套管网及周边设施建设工程按进度完成率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left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贵医、六广门污水处理厂污水提质增效工程按进度完成率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left w:val="single" w:color="000000" w:sz="4" w:space="0"/>
              <w:bottom w:val="single" w:color="auto"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杨柳冲东西支、枣山大沟雨污分流工程按进度完成率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供水管网改造工程建设启动情况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开工建设打渔寨电灌站供水管网改造工程</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开工建设</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开工建设并完成75%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最严格水资源管理指数</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最严格水资源管理指数评估等级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=优秀</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优秀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再生水厂运行监管情况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《关于成立区管再生水厂运行监管工作小组的通知》文件</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制定并印发</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制定并印发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全年运行监管次数</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≥240次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250次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河长制推进情况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巡河并登记台账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≥150次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168次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nil"/>
              <w:left w:val="single" w:color="000000" w:sz="4" w:space="0"/>
              <w:bottom w:val="single" w:color="auto"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河长制宣传</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水政执法监督检查力度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开展执法检查次数</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≥150次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179次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无行政不作为、乱作为情况，无行政复议、行政诉讼事项发生</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default" w:ascii="仿宋_GB2312" w:hAnsi="宋体" w:eastAsia="仿宋_GB2312" w:cs="仿宋_GB2312"/>
                <w:i w:val="0"/>
                <w:iCs w:val="0"/>
                <w:color w:val="000000"/>
                <w:kern w:val="0"/>
                <w:sz w:val="22"/>
                <w:szCs w:val="22"/>
                <w:u w:val="none"/>
                <w:lang w:val="en-US" w:eastAsia="zh-CN" w:bidi="ar"/>
              </w:rPr>
              <w:t>=0例</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default" w:ascii="仿宋_GB2312" w:hAnsi="宋体" w:eastAsia="仿宋_GB2312" w:cs="仿宋_GB2312"/>
                <w:i w:val="0"/>
                <w:iCs w:val="0"/>
                <w:color w:val="000000"/>
                <w:kern w:val="0"/>
                <w:sz w:val="22"/>
                <w:szCs w:val="22"/>
                <w:u w:val="none"/>
                <w:lang w:val="en-US" w:eastAsia="zh-CN" w:bidi="ar"/>
              </w:rPr>
              <w:t>=0例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水土保持工作完成情况</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落实年度政府水土保持目标责任</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辖区内水土保持预防监督工作完成率</w:t>
            </w:r>
          </w:p>
        </w:tc>
        <w:tc>
          <w:tcPr>
            <w:tcW w:w="13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巩固提升节水社会创建情况</w:t>
            </w:r>
          </w:p>
        </w:tc>
        <w:tc>
          <w:tcPr>
            <w:tcW w:w="29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公共机构（含党政机关）节水型单位创建</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≥75家</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75家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节水型校园创建</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≥3所</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市政消火栓管理维护保养情况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市政消火栓维护保养率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招商工作完成情况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新引进产业项目数</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≥1个</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新引进产业项目到位资金</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≥5000</w:t>
            </w:r>
          </w:p>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万元</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拜访辖区龙头企业、商协会</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新引进产业项目投产率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出水水质保障情况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污水处理厂出水标准达到《城镇污水处理厂污染物排放标准》（GB18918-2002）一级A标准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eastAsia" w:ascii="仿宋_GB2312" w:hAnsi="宋体" w:eastAsia="仿宋_GB2312" w:cs="仿宋_GB2312"/>
                <w:i w:val="0"/>
                <w:iCs w:val="0"/>
                <w:color w:val="000000"/>
                <w:kern w:val="0"/>
                <w:sz w:val="22"/>
                <w:szCs w:val="22"/>
                <w:u w:val="none"/>
                <w:lang w:val="en-US" w:eastAsia="zh-CN" w:bidi="ar"/>
              </w:rPr>
              <w:t>超标=</w:t>
            </w:r>
            <w:r>
              <w:rPr>
                <w:rFonts w:hint="default" w:ascii="仿宋_GB2312" w:hAnsi="宋体" w:eastAsia="仿宋_GB2312" w:cs="仿宋_GB2312"/>
                <w:i w:val="0"/>
                <w:iCs w:val="0"/>
                <w:color w:val="000000"/>
                <w:kern w:val="0"/>
                <w:sz w:val="22"/>
                <w:szCs w:val="22"/>
                <w:u w:val="none"/>
                <w:lang w:val="en-US" w:eastAsia="zh-CN" w:bidi="ar"/>
              </w:rPr>
              <w:t>0例</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eastAsia" w:ascii="仿宋_GB2312" w:hAnsi="宋体" w:eastAsia="仿宋_GB2312" w:cs="仿宋_GB2312"/>
                <w:i w:val="0"/>
                <w:iCs w:val="0"/>
                <w:color w:val="000000"/>
                <w:kern w:val="0"/>
                <w:sz w:val="22"/>
                <w:szCs w:val="22"/>
                <w:u w:val="none"/>
                <w:lang w:val="en-US" w:eastAsia="zh-CN" w:bidi="ar"/>
              </w:rPr>
              <w:t>超标</w:t>
            </w:r>
            <w:r>
              <w:rPr>
                <w:rFonts w:hint="default" w:ascii="仿宋_GB2312" w:hAnsi="宋体" w:eastAsia="仿宋_GB2312" w:cs="仿宋_GB2312"/>
                <w:i w:val="0"/>
                <w:iCs w:val="0"/>
                <w:color w:val="000000"/>
                <w:kern w:val="0"/>
                <w:sz w:val="22"/>
                <w:szCs w:val="22"/>
                <w:u w:val="none"/>
                <w:lang w:val="en-US" w:eastAsia="zh-CN" w:bidi="ar"/>
              </w:rPr>
              <w:t>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出水BOD5、CODcr、SS、TN、NH3-N、TP达到地表IV类水体标准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eastAsia" w:ascii="仿宋_GB2312" w:hAnsi="宋体" w:eastAsia="仿宋_GB2312" w:cs="仿宋_GB2312"/>
                <w:i w:val="0"/>
                <w:iCs w:val="0"/>
                <w:color w:val="000000"/>
                <w:kern w:val="0"/>
                <w:sz w:val="22"/>
                <w:szCs w:val="22"/>
                <w:u w:val="none"/>
                <w:lang w:val="en-US" w:eastAsia="zh-CN" w:bidi="ar"/>
              </w:rPr>
              <w:t>超标=</w:t>
            </w:r>
            <w:r>
              <w:rPr>
                <w:rFonts w:hint="default" w:ascii="仿宋_GB2312" w:hAnsi="宋体" w:eastAsia="仿宋_GB2312" w:cs="仿宋_GB2312"/>
                <w:i w:val="0"/>
                <w:iCs w:val="0"/>
                <w:color w:val="000000"/>
                <w:kern w:val="0"/>
                <w:sz w:val="22"/>
                <w:szCs w:val="22"/>
                <w:u w:val="none"/>
                <w:lang w:val="en-US" w:eastAsia="zh-CN" w:bidi="ar"/>
              </w:rPr>
              <w:t>0例</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lang w:val="en-US"/>
              </w:rPr>
            </w:pPr>
            <w:r>
              <w:rPr>
                <w:rFonts w:hint="eastAsia" w:ascii="仿宋_GB2312" w:hAnsi="宋体" w:eastAsia="仿宋_GB2312" w:cs="仿宋_GB2312"/>
                <w:i w:val="0"/>
                <w:iCs w:val="0"/>
                <w:color w:val="000000"/>
                <w:kern w:val="0"/>
                <w:sz w:val="22"/>
                <w:szCs w:val="22"/>
                <w:u w:val="none"/>
                <w:lang w:val="en-US" w:eastAsia="zh-CN" w:bidi="ar"/>
              </w:rPr>
              <w:t>超标</w:t>
            </w:r>
            <w:r>
              <w:rPr>
                <w:rFonts w:hint="default" w:ascii="仿宋_GB2312" w:hAnsi="宋体" w:eastAsia="仿宋_GB2312" w:cs="仿宋_GB2312"/>
                <w:i w:val="0"/>
                <w:iCs w:val="0"/>
                <w:color w:val="000000"/>
                <w:kern w:val="0"/>
                <w:sz w:val="22"/>
                <w:szCs w:val="22"/>
                <w:u w:val="none"/>
                <w:lang w:val="en-US" w:eastAsia="zh-CN" w:bidi="ar"/>
              </w:rPr>
              <w:t>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竣工验收合格率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竣工验收合格率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政执法违法案件查处完成率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查处完成率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按期完工率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按期完工率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部分完成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河道巡查频率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河道巡查频率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≥3次/周</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22周未按3次/周巡查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居住环境改善情况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居住环境改善情况</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84.08%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12345有效投诉情况</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12345投诉数量</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≤168件</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121件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城市生活污水有效处理率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城市生活污水有效处理率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≥98.5%</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国控、省控断面水质达标率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国控、省控断面水质达标率</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沟通协调机制</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安排专人负责对接项目公司</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≥1人</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保障污水处理厂正常运营</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群众满意度</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群众满意度</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82.57%</w:t>
            </w:r>
          </w:p>
        </w:tc>
      </w:tr>
    </w:tbl>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72" w:name="_Toc32377"/>
      <w:bookmarkStart w:id="73" w:name="_Toc23316"/>
      <w:bookmarkStart w:id="74" w:name="_Toc29007"/>
      <w:r>
        <w:rPr>
          <w:spacing w:val="6"/>
        </w:rPr>
        <w:fldChar w:fldCharType="begin"/>
      </w:r>
      <w:r>
        <w:rPr>
          <w:spacing w:val="6"/>
        </w:rPr>
        <w:instrText xml:space="preserve"> HYPERLINK \l "_Toc434746187" </w:instrText>
      </w:r>
      <w:r>
        <w:rPr>
          <w:spacing w:val="6"/>
        </w:rPr>
        <w:fldChar w:fldCharType="separate"/>
      </w:r>
      <w:bookmarkStart w:id="75" w:name="_Toc41306281"/>
      <w:r>
        <w:rPr>
          <w:rFonts w:hint="eastAsia" w:ascii="Times New Roman" w:hAnsi="Times New Roman" w:eastAsia="楷体_GB2312" w:cs="Times New Roman"/>
          <w:spacing w:val="6"/>
          <w:sz w:val="32"/>
          <w:szCs w:val="32"/>
          <w:lang w:val="zh-CN"/>
        </w:rPr>
        <w:t>（</w:t>
      </w:r>
      <w:r>
        <w:rPr>
          <w:rFonts w:hint="eastAsia" w:ascii="Times New Roman" w:hAnsi="Times New Roman" w:eastAsia="楷体_GB2312" w:cs="Times New Roman"/>
          <w:spacing w:val="6"/>
          <w:sz w:val="32"/>
          <w:szCs w:val="32"/>
          <w:lang w:val="en-US" w:eastAsia="zh-CN"/>
        </w:rPr>
        <w:t>二</w:t>
      </w:r>
      <w:r>
        <w:rPr>
          <w:rFonts w:hint="eastAsia" w:ascii="Times New Roman" w:hAnsi="Times New Roman" w:eastAsia="楷体_GB2312" w:cs="Times New Roman"/>
          <w:spacing w:val="6"/>
          <w:sz w:val="32"/>
          <w:szCs w:val="32"/>
          <w:lang w:val="zh-CN"/>
        </w:rPr>
        <w:t>）</w:t>
      </w:r>
      <w:bookmarkStart w:id="76" w:name="_Hlk11067164"/>
      <w:r>
        <w:rPr>
          <w:rFonts w:hint="eastAsia" w:ascii="Times New Roman" w:hAnsi="Times New Roman" w:eastAsia="楷体_GB2312" w:cs="Times New Roman"/>
          <w:spacing w:val="6"/>
          <w:sz w:val="32"/>
          <w:szCs w:val="32"/>
          <w:lang w:val="zh-CN"/>
        </w:rPr>
        <w:t>绩效评价综合结论</w:t>
      </w:r>
      <w:bookmarkEnd w:id="75"/>
      <w:bookmarkEnd w:id="76"/>
      <w:r>
        <w:rPr>
          <w:rFonts w:hint="eastAsia" w:ascii="Times New Roman" w:hAnsi="Times New Roman" w:eastAsia="楷体_GB2312" w:cs="Times New Roman"/>
          <w:spacing w:val="6"/>
          <w:sz w:val="32"/>
          <w:szCs w:val="32"/>
          <w:lang w:val="zh-CN"/>
        </w:rPr>
        <w:fldChar w:fldCharType="end"/>
      </w:r>
      <w:bookmarkEnd w:id="58"/>
      <w:bookmarkEnd w:id="59"/>
      <w:bookmarkEnd w:id="60"/>
      <w:bookmarkEnd w:id="61"/>
      <w:bookmarkEnd w:id="62"/>
      <w:bookmarkEnd w:id="72"/>
      <w:bookmarkEnd w:id="73"/>
      <w:bookmarkEnd w:id="74"/>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color w:val="auto"/>
          <w:spacing w:val="6"/>
          <w:sz w:val="32"/>
          <w:szCs w:val="32"/>
          <w:highlight w:val="none"/>
          <w:lang w:val="en-US" w:eastAsia="zh-CN"/>
        </w:rPr>
        <w:t>区水务局紧紧围绕</w:t>
      </w:r>
      <w:r>
        <w:rPr>
          <w:rFonts w:hint="eastAsia" w:ascii="仿宋_GB2312" w:hAnsi="仿宋_GB2312" w:eastAsia="仿宋_GB2312" w:cs="仿宋_GB2312"/>
          <w:color w:val="auto"/>
          <w:spacing w:val="6"/>
          <w:sz w:val="32"/>
          <w:szCs w:val="32"/>
          <w:highlight w:val="none"/>
        </w:rPr>
        <w:t>党中央、省</w:t>
      </w:r>
      <w:r>
        <w:rPr>
          <w:rFonts w:hint="eastAsia" w:ascii="仿宋_GB2312" w:hAnsi="仿宋_GB2312" w:eastAsia="仿宋_GB2312" w:cs="仿宋_GB2312"/>
          <w:color w:val="auto"/>
          <w:spacing w:val="6"/>
          <w:sz w:val="32"/>
          <w:szCs w:val="32"/>
          <w:highlight w:val="none"/>
          <w:lang w:val="en-US" w:eastAsia="zh-CN"/>
        </w:rPr>
        <w:t>委</w:t>
      </w:r>
      <w:r>
        <w:rPr>
          <w:rFonts w:hint="eastAsia" w:ascii="仿宋_GB2312" w:hAnsi="仿宋_GB2312" w:eastAsia="仿宋_GB2312" w:cs="仿宋_GB2312"/>
          <w:color w:val="auto"/>
          <w:spacing w:val="6"/>
          <w:sz w:val="32"/>
          <w:szCs w:val="32"/>
          <w:highlight w:val="none"/>
        </w:rPr>
        <w:t>、省政府、市委、市政府和区委、区政府决策部署，</w:t>
      </w:r>
      <w:r>
        <w:rPr>
          <w:rFonts w:hint="eastAsia" w:ascii="仿宋_GB2312" w:hAnsi="仿宋_GB2312" w:eastAsia="仿宋_GB2312" w:cs="仿宋_GB2312"/>
          <w:sz w:val="32"/>
          <w:szCs w:val="32"/>
          <w:highlight w:val="none"/>
        </w:rPr>
        <w:t>在履行职责过程中坚持和加强党对民政工作的集中统一领导，围绕</w:t>
      </w:r>
      <w:r>
        <w:rPr>
          <w:rFonts w:hint="eastAsia" w:ascii="仿宋_GB2312" w:hAnsi="仿宋_GB2312" w:eastAsia="仿宋_GB2312" w:cs="仿宋_GB2312"/>
          <w:sz w:val="32"/>
          <w:szCs w:val="32"/>
          <w:highlight w:val="none"/>
          <w:lang w:eastAsia="zh-CN"/>
        </w:rPr>
        <w:t>污水处理、河道及污水管道维护管理、供水管网改造、河长制推进、水土保持工作、招商工作等</w:t>
      </w:r>
      <w:r>
        <w:rPr>
          <w:rFonts w:hint="eastAsia" w:ascii="仿宋_GB2312" w:hAnsi="仿宋_GB2312" w:eastAsia="仿宋_GB2312" w:cs="仿宋_GB2312"/>
          <w:sz w:val="32"/>
          <w:szCs w:val="32"/>
          <w:highlight w:val="none"/>
          <w:lang w:val="en-US" w:eastAsia="zh-CN"/>
        </w:rPr>
        <w:t>开展工作，</w:t>
      </w:r>
      <w:r>
        <w:rPr>
          <w:rFonts w:hint="eastAsia" w:ascii="仿宋_GB2312" w:hAnsi="仿宋_GB2312" w:eastAsia="仿宋_GB2312" w:cs="仿宋_GB2312"/>
          <w:sz w:val="32"/>
          <w:szCs w:val="32"/>
          <w:highlight w:val="none"/>
        </w:rPr>
        <w:t>建立完善了相关预算绩效管理制度、财务管理制度、收支管理制度、政府采购管理制度、合同管理制度等，</w:t>
      </w:r>
      <w:r>
        <w:rPr>
          <w:rFonts w:hint="eastAsia" w:ascii="仿宋_GB2312" w:hAnsi="仿宋_GB2312" w:eastAsia="仿宋_GB2312" w:cs="仿宋_GB2312"/>
          <w:sz w:val="32"/>
          <w:szCs w:val="32"/>
          <w:highlight w:val="none"/>
          <w:lang w:val="en-US" w:eastAsia="zh-CN"/>
        </w:rPr>
        <w:t>2021</w:t>
      </w:r>
      <w:r>
        <w:rPr>
          <w:rFonts w:hint="eastAsia" w:ascii="仿宋_GB2312" w:hAnsi="仿宋_GB2312" w:eastAsia="仿宋_GB2312" w:cs="仿宋_GB2312"/>
          <w:sz w:val="32"/>
          <w:szCs w:val="32"/>
          <w:highlight w:val="none"/>
        </w:rPr>
        <w:t>年度绩效目标基本完成。</w:t>
      </w:r>
      <w:r>
        <w:rPr>
          <w:rFonts w:hint="eastAsia" w:ascii="仿宋_GB2312" w:hAnsi="仿宋_GB2312" w:eastAsia="仿宋_GB2312" w:cs="仿宋_GB2312"/>
          <w:spacing w:val="6"/>
          <w:sz w:val="32"/>
          <w:szCs w:val="32"/>
        </w:rPr>
        <w:t>但在</w:t>
      </w:r>
      <w:r>
        <w:rPr>
          <w:rFonts w:hint="eastAsia" w:ascii="仿宋_GB2312" w:hAnsi="仿宋_GB2312" w:eastAsia="仿宋_GB2312" w:cs="仿宋_GB2312"/>
          <w:spacing w:val="6"/>
          <w:sz w:val="32"/>
          <w:szCs w:val="32"/>
          <w:lang w:val="en-US" w:eastAsia="zh-CN"/>
        </w:rPr>
        <w:t>本次绩效评价</w:t>
      </w:r>
      <w:r>
        <w:rPr>
          <w:rFonts w:hint="eastAsia" w:ascii="仿宋_GB2312" w:hAnsi="仿宋_GB2312" w:eastAsia="仿宋_GB2312" w:cs="仿宋_GB2312"/>
          <w:spacing w:val="6"/>
          <w:sz w:val="32"/>
          <w:szCs w:val="32"/>
        </w:rPr>
        <w:t>过程中</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发现仍存在一些不足之处，</w:t>
      </w:r>
      <w:r>
        <w:rPr>
          <w:rFonts w:hint="eastAsia" w:ascii="仿宋_GB2312" w:hAnsi="仿宋_GB2312" w:eastAsia="仿宋_GB2312" w:cs="仿宋_GB2312"/>
          <w:spacing w:val="6"/>
          <w:sz w:val="32"/>
          <w:szCs w:val="32"/>
          <w:lang w:val="en-US" w:eastAsia="zh-CN"/>
        </w:rPr>
        <w:t>如部分绩效指标设置不够明确、政府采购预算执行率低、管理制度不健全、工程项目未按时完成等</w:t>
      </w:r>
      <w:r>
        <w:rPr>
          <w:rFonts w:hint="eastAsia" w:ascii="仿宋_GB2312" w:hAnsi="仿宋_GB2312" w:eastAsia="仿宋_GB2312" w:cs="仿宋_GB2312"/>
          <w:spacing w:val="6"/>
          <w:sz w:val="32"/>
          <w:szCs w:val="32"/>
        </w:rPr>
        <w:t>。</w:t>
      </w:r>
    </w:p>
    <w:p>
      <w:pPr>
        <w:widowControl w:val="0"/>
        <w:spacing w:line="590" w:lineRule="exact"/>
        <w:ind w:firstLine="664" w:firstLineChars="200"/>
        <w:jc w:val="both"/>
        <w:rPr>
          <w:rFonts w:hint="eastAsia" w:ascii="仿宋_GB2312" w:hAnsi="仿宋_GB2312" w:eastAsia="仿宋_GB2312" w:cs="仿宋_GB2312"/>
          <w:spacing w:val="6"/>
          <w:sz w:val="32"/>
          <w:szCs w:val="32"/>
          <w:lang w:val="zh-CN"/>
        </w:rPr>
      </w:pPr>
      <w:r>
        <w:rPr>
          <w:rFonts w:hint="eastAsia" w:ascii="仿宋_GB2312" w:hAnsi="仿宋_GB2312" w:eastAsia="仿宋_GB2312" w:cs="仿宋_GB2312"/>
          <w:spacing w:val="6"/>
          <w:sz w:val="32"/>
          <w:szCs w:val="32"/>
        </w:rPr>
        <w:t>经综合评定</w:t>
      </w:r>
      <w:r>
        <w:rPr>
          <w:rFonts w:hint="eastAsia" w:ascii="仿宋_GB2312" w:hAnsi="仿宋_GB2312" w:eastAsia="仿宋_GB2312" w:cs="仿宋_GB2312"/>
          <w:spacing w:val="6"/>
          <w:sz w:val="32"/>
          <w:szCs w:val="32"/>
          <w:lang w:val="zh-CN"/>
        </w:rPr>
        <w:t>，绩效评价得分</w:t>
      </w:r>
      <w:r>
        <w:rPr>
          <w:rFonts w:hint="eastAsia" w:ascii="仿宋_GB2312" w:hAnsi="仿宋_GB2312" w:eastAsia="仿宋_GB2312" w:cs="仿宋_GB2312"/>
          <w:color w:val="auto"/>
          <w:spacing w:val="6"/>
          <w:sz w:val="32"/>
          <w:szCs w:val="32"/>
          <w:lang w:val="zh-CN"/>
        </w:rPr>
        <w:t>为：</w:t>
      </w:r>
      <w:r>
        <w:rPr>
          <w:rFonts w:hint="eastAsia" w:ascii="仿宋_GB2312" w:hAnsi="仿宋_GB2312" w:eastAsia="仿宋_GB2312" w:cs="仿宋_GB2312"/>
          <w:color w:val="auto"/>
          <w:spacing w:val="6"/>
          <w:sz w:val="32"/>
          <w:szCs w:val="32"/>
          <w:lang w:val="en-US" w:eastAsia="zh-CN"/>
        </w:rPr>
        <w:t>85</w:t>
      </w:r>
      <w:r>
        <w:rPr>
          <w:rFonts w:hint="eastAsia" w:ascii="仿宋_GB2312" w:hAnsi="仿宋_GB2312" w:eastAsia="仿宋_GB2312" w:cs="仿宋_GB2312"/>
          <w:color w:val="auto"/>
          <w:spacing w:val="6"/>
          <w:sz w:val="32"/>
          <w:szCs w:val="32"/>
          <w:lang w:val="zh-CN"/>
        </w:rPr>
        <w:t>分</w:t>
      </w:r>
      <w:r>
        <w:rPr>
          <w:rFonts w:hint="eastAsia" w:ascii="仿宋_GB2312" w:hAnsi="仿宋_GB2312" w:eastAsia="仿宋_GB2312" w:cs="仿宋_GB2312"/>
          <w:spacing w:val="6"/>
          <w:sz w:val="32"/>
          <w:szCs w:val="32"/>
          <w:lang w:val="zh-CN"/>
        </w:rPr>
        <w:t>，评定等级为：</w:t>
      </w:r>
      <w:r>
        <w:rPr>
          <w:rFonts w:hint="eastAsia" w:ascii="仿宋_GB2312" w:hAnsi="仿宋_GB2312" w:eastAsia="仿宋_GB2312" w:cs="仿宋_GB2312"/>
          <w:spacing w:val="6"/>
          <w:sz w:val="32"/>
          <w:szCs w:val="32"/>
          <w:lang w:val="en-US" w:eastAsia="zh-CN"/>
        </w:rPr>
        <w:t>良</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lang w:val="en-US" w:eastAsia="zh-CN"/>
        </w:rPr>
        <w:t>2021</w:t>
      </w:r>
      <w:r>
        <w:rPr>
          <w:rFonts w:hint="eastAsia" w:ascii="仿宋_GB2312" w:hAnsi="仿宋_GB2312" w:eastAsia="仿宋_GB2312" w:cs="仿宋_GB2312"/>
          <w:spacing w:val="6"/>
          <w:sz w:val="32"/>
          <w:szCs w:val="32"/>
          <w:lang w:val="zh-CN"/>
        </w:rPr>
        <w:t>年度评价得分汇总情况详见下表：</w:t>
      </w:r>
    </w:p>
    <w:p>
      <w:pPr>
        <w:pStyle w:val="2"/>
        <w:rPr>
          <w:rFonts w:hint="eastAsia"/>
          <w:lang w:val="zh-CN"/>
        </w:rPr>
      </w:pPr>
    </w:p>
    <w:tbl>
      <w:tblPr>
        <w:tblStyle w:val="1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60"/>
        <w:gridCol w:w="2009"/>
        <w:gridCol w:w="1879"/>
        <w:gridCol w:w="1761"/>
        <w:gridCol w:w="17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rPr>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ascii="仿宋_GB2312" w:hAnsi="宋体" w:eastAsia="仿宋_GB2312" w:cs="仿宋_GB2312"/>
                <w:b/>
                <w:bCs/>
                <w:i w:val="0"/>
                <w:iCs w:val="0"/>
                <w:color w:val="000000"/>
                <w:sz w:val="28"/>
                <w:szCs w:val="28"/>
                <w:u w:val="none"/>
              </w:rPr>
            </w:pPr>
            <w:bookmarkStart w:id="77" w:name="_Toc21258"/>
            <w:bookmarkStart w:id="78" w:name="_Toc16281"/>
            <w:bookmarkStart w:id="79" w:name="_Toc2803"/>
            <w:bookmarkStart w:id="80" w:name="_Toc41306289"/>
            <w:bookmarkStart w:id="81" w:name="_Toc8587"/>
            <w:bookmarkStart w:id="82" w:name="_Toc30273"/>
            <w:r>
              <w:rPr>
                <w:rFonts w:hint="eastAsia" w:ascii="仿宋_GB2312" w:hAnsi="宋体" w:eastAsia="仿宋_GB2312" w:cs="仿宋_GB2312"/>
                <w:b/>
                <w:bCs/>
                <w:i w:val="0"/>
                <w:iCs w:val="0"/>
                <w:color w:val="000000"/>
                <w:kern w:val="0"/>
                <w:sz w:val="28"/>
                <w:szCs w:val="28"/>
                <w:u w:val="none"/>
                <w:lang w:val="en-US" w:eastAsia="zh-CN" w:bidi="ar"/>
              </w:rPr>
              <w:t>序号</w:t>
            </w:r>
          </w:p>
        </w:tc>
        <w:tc>
          <w:tcPr>
            <w:tcW w:w="10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总分</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10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投入</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11.00</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10.00 </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10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过程</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27.00</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24.66 </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10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产出</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33.00</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25.49 </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77.24%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10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效益</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29.00</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24.85 </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20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  计</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100.00</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85.00 </w:t>
            </w: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85.00%</w:t>
            </w:r>
          </w:p>
        </w:tc>
      </w:tr>
    </w:tbl>
    <w:p>
      <w:pPr>
        <w:pStyle w:val="3"/>
        <w:keepNext w:val="0"/>
        <w:keepLines w:val="0"/>
        <w:widowControl w:val="0"/>
        <w:spacing w:before="0" w:after="0" w:line="590" w:lineRule="exact"/>
        <w:ind w:firstLine="664" w:firstLineChars="200"/>
        <w:rPr>
          <w:rFonts w:ascii="黑体" w:hAnsi="黑体" w:eastAsia="黑体"/>
          <w:b w:val="0"/>
          <w:spacing w:val="6"/>
          <w:sz w:val="32"/>
          <w:szCs w:val="32"/>
        </w:rPr>
      </w:pPr>
      <w:bookmarkStart w:id="83" w:name="_Toc13861"/>
      <w:bookmarkStart w:id="84" w:name="_Toc10423"/>
      <w:bookmarkStart w:id="85" w:name="_Toc7197"/>
      <w:r>
        <w:rPr>
          <w:rFonts w:hint="eastAsia"/>
          <w:b w:val="0"/>
          <w:spacing w:val="6"/>
          <w:sz w:val="32"/>
          <w:szCs w:val="32"/>
          <w:lang w:eastAsia="zh-CN"/>
        </w:rPr>
        <w:t>三</w:t>
      </w:r>
      <w:r>
        <w:rPr>
          <w:rFonts w:hint="eastAsia" w:ascii="黑体" w:hAnsi="黑体" w:eastAsia="黑体"/>
          <w:b w:val="0"/>
          <w:spacing w:val="6"/>
          <w:sz w:val="32"/>
          <w:szCs w:val="32"/>
        </w:rPr>
        <w:t>、存在的主要问题</w:t>
      </w:r>
      <w:bookmarkEnd w:id="77"/>
      <w:bookmarkEnd w:id="78"/>
      <w:bookmarkEnd w:id="79"/>
      <w:bookmarkEnd w:id="80"/>
      <w:bookmarkEnd w:id="81"/>
      <w:bookmarkEnd w:id="82"/>
      <w:bookmarkEnd w:id="83"/>
      <w:bookmarkEnd w:id="84"/>
      <w:bookmarkEnd w:id="85"/>
    </w:p>
    <w:p>
      <w:pPr>
        <w:pStyle w:val="4"/>
        <w:bidi w:val="0"/>
        <w:rPr>
          <w:rFonts w:hint="default"/>
          <w:lang w:val="en-US" w:eastAsia="zh-CN"/>
        </w:rPr>
      </w:pPr>
      <w:bookmarkStart w:id="86" w:name="_Toc19783"/>
      <w:bookmarkStart w:id="87" w:name="_Toc531300200"/>
      <w:r>
        <w:rPr>
          <w:rFonts w:hint="eastAsia"/>
          <w:lang w:eastAsia="zh-CN"/>
        </w:rPr>
        <w:t>（</w:t>
      </w:r>
      <w:r>
        <w:rPr>
          <w:rFonts w:hint="eastAsia"/>
          <w:lang w:val="en-US" w:eastAsia="zh-CN"/>
        </w:rPr>
        <w:t>一）制度管理方面</w:t>
      </w:r>
      <w:bookmarkEnd w:id="86"/>
    </w:p>
    <w:p>
      <w:pPr>
        <w:widowControl w:val="0"/>
        <w:spacing w:line="590" w:lineRule="exact"/>
        <w:ind w:firstLine="664" w:firstLineChars="200"/>
        <w:jc w:val="both"/>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lang w:eastAsia="zh-CN"/>
        </w:rPr>
        <w:t>区水务局内控制度不健全，未根据部门项目需要制定项目管理制度，</w:t>
      </w:r>
      <w:r>
        <w:rPr>
          <w:rFonts w:hint="eastAsia" w:ascii="仿宋_GB2312" w:hAnsi="仿宋_GB2312" w:eastAsia="仿宋_GB2312" w:cs="仿宋_GB2312"/>
          <w:spacing w:val="6"/>
          <w:sz w:val="32"/>
          <w:szCs w:val="32"/>
          <w:lang w:val="en-US" w:eastAsia="zh-CN"/>
        </w:rPr>
        <w:t>以</w:t>
      </w:r>
      <w:r>
        <w:rPr>
          <w:rFonts w:hint="eastAsia" w:ascii="仿宋_GB2312" w:hAnsi="仿宋_GB2312" w:eastAsia="仿宋_GB2312" w:cs="仿宋_GB2312"/>
          <w:spacing w:val="6"/>
          <w:sz w:val="32"/>
          <w:szCs w:val="32"/>
          <w:lang w:eastAsia="zh-CN"/>
        </w:rPr>
        <w:t>规范项目的实施管理。</w:t>
      </w:r>
    </w:p>
    <w:p>
      <w:pPr>
        <w:pStyle w:val="4"/>
        <w:bidi w:val="0"/>
        <w:rPr>
          <w:rFonts w:hint="default"/>
          <w:lang w:val="en-US" w:eastAsia="zh-CN"/>
        </w:rPr>
      </w:pPr>
      <w:bookmarkStart w:id="88" w:name="_Toc19630"/>
      <w:r>
        <w:rPr>
          <w:rFonts w:hint="eastAsia"/>
          <w:lang w:eastAsia="zh-CN"/>
        </w:rPr>
        <w:t>（</w:t>
      </w:r>
      <w:r>
        <w:rPr>
          <w:rFonts w:hint="eastAsia"/>
          <w:lang w:val="en-US" w:eastAsia="zh-CN"/>
        </w:rPr>
        <w:t>二）预算管理方面</w:t>
      </w:r>
      <w:bookmarkEnd w:id="88"/>
    </w:p>
    <w:p>
      <w:pPr>
        <w:pStyle w:val="2"/>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lang w:val="en-US" w:eastAsia="zh-CN"/>
        </w:rPr>
        <w:t>政府采购预算执行率低。</w:t>
      </w:r>
      <w:r>
        <w:rPr>
          <w:rFonts w:hint="default" w:ascii="仿宋_GB2312" w:hAnsi="仿宋_GB2312" w:eastAsia="仿宋_GB2312" w:cs="仿宋_GB2312"/>
          <w:spacing w:val="6"/>
          <w:sz w:val="32"/>
          <w:szCs w:val="32"/>
          <w:lang w:val="en-US"/>
        </w:rPr>
        <w:t>区水务局</w:t>
      </w:r>
      <w:r>
        <w:rPr>
          <w:rFonts w:hint="eastAsia" w:ascii="仿宋_GB2312" w:hAnsi="仿宋_GB2312" w:eastAsia="仿宋_GB2312" w:cs="仿宋_GB2312"/>
          <w:spacing w:val="6"/>
          <w:sz w:val="32"/>
          <w:szCs w:val="32"/>
          <w:lang w:val="en-US" w:eastAsia="zh-CN"/>
        </w:rPr>
        <w:t>2021</w:t>
      </w:r>
      <w:r>
        <w:rPr>
          <w:rFonts w:hint="default" w:ascii="仿宋_GB2312" w:hAnsi="仿宋_GB2312" w:eastAsia="仿宋_GB2312" w:cs="仿宋_GB2312"/>
          <w:spacing w:val="6"/>
          <w:sz w:val="32"/>
          <w:szCs w:val="32"/>
          <w:lang w:val="en-US"/>
        </w:rPr>
        <w:t>年初政府采购预算10979.43万元，政府采购</w:t>
      </w:r>
      <w:r>
        <w:rPr>
          <w:rFonts w:hint="eastAsia" w:ascii="仿宋_GB2312" w:hAnsi="仿宋_GB2312" w:eastAsia="仿宋_GB2312" w:cs="仿宋_GB2312"/>
          <w:spacing w:val="6"/>
          <w:sz w:val="32"/>
          <w:szCs w:val="32"/>
          <w:lang w:val="en-US" w:eastAsia="zh-CN"/>
        </w:rPr>
        <w:t>决算</w:t>
      </w:r>
      <w:r>
        <w:rPr>
          <w:rFonts w:hint="default" w:ascii="仿宋_GB2312" w:hAnsi="仿宋_GB2312" w:eastAsia="仿宋_GB2312" w:cs="仿宋_GB2312"/>
          <w:spacing w:val="6"/>
          <w:sz w:val="32"/>
          <w:szCs w:val="32"/>
          <w:lang w:val="en-US"/>
        </w:rPr>
        <w:t>金额为32.01万元，政府采购执行率=（32.01万元÷10979.43万元）×100%=0.29%。</w:t>
      </w:r>
    </w:p>
    <w:p>
      <w:pPr>
        <w:pStyle w:val="4"/>
        <w:bidi w:val="0"/>
      </w:pPr>
      <w:bookmarkStart w:id="89" w:name="_Toc17001"/>
      <w:r>
        <w:rPr>
          <w:rFonts w:hint="eastAsia"/>
          <w:lang w:val="en-US" w:eastAsia="zh-CN"/>
        </w:rPr>
        <w:t>（三）业务</w:t>
      </w:r>
      <w:r>
        <w:rPr>
          <w:rFonts w:hint="eastAsia"/>
        </w:rPr>
        <w:t>管理方面</w:t>
      </w:r>
      <w:bookmarkEnd w:id="89"/>
    </w:p>
    <w:p>
      <w:pPr>
        <w:widowControl w:val="0"/>
        <w:adjustRightInd w:val="0"/>
        <w:spacing w:line="590" w:lineRule="exact"/>
        <w:ind w:firstLine="664" w:firstLineChars="200"/>
        <w:jc w:val="both"/>
        <w:rPr>
          <w:rFonts w:hint="eastAsia" w:ascii="仿宋_GB2312" w:hAnsi="仿宋_GB2312" w:eastAsia="仿宋_GB2312" w:cs="仿宋_GB2312"/>
          <w:bCs/>
          <w:spacing w:val="6"/>
          <w:sz w:val="32"/>
          <w:szCs w:val="32"/>
          <w:lang w:val="en-US" w:eastAsia="zh-CN"/>
        </w:rPr>
      </w:pPr>
      <w:bookmarkStart w:id="90" w:name="_Toc1628"/>
      <w:bookmarkStart w:id="91" w:name="_Toc41306291"/>
      <w:r>
        <w:rPr>
          <w:rFonts w:hint="eastAsia" w:ascii="仿宋_GB2312" w:hAnsi="仿宋_GB2312" w:eastAsia="仿宋_GB2312" w:cs="仿宋_GB2312"/>
          <w:color w:val="000000"/>
          <w:spacing w:val="6"/>
          <w:sz w:val="32"/>
          <w:szCs w:val="32"/>
          <w:lang w:val="en-US" w:eastAsia="zh-CN" w:bidi="ar"/>
        </w:rPr>
        <w:t>部分绩效管理指标未实现。根据云岩区人民政府与区水务局2021年工作目标责任书，存在部分指标未实现的情况。如：二桥及三桥污水处理厂污水提质增效工程，贵医、六广门污水处理厂污水提质增效工程，杨柳冲东西支、枣山大沟雨污分流工程，新引进产业项目数，拜访辖区龙头企业、商协会，河道巡查频率等未达到预定的目标。</w:t>
      </w:r>
    </w:p>
    <w:p>
      <w:pPr>
        <w:pStyle w:val="4"/>
        <w:bidi w:val="0"/>
        <w:rPr>
          <w:rFonts w:hint="eastAsia"/>
        </w:rPr>
      </w:pPr>
      <w:bookmarkStart w:id="92" w:name="_Toc5077"/>
      <w:r>
        <w:rPr>
          <w:rFonts w:hint="eastAsia"/>
          <w:lang w:val="en-US" w:eastAsia="zh-CN"/>
        </w:rPr>
        <w:t>（四）</w:t>
      </w:r>
      <w:r>
        <w:rPr>
          <w:rFonts w:hint="eastAsia"/>
        </w:rPr>
        <w:t>绩效管理方面</w:t>
      </w:r>
      <w:bookmarkEnd w:id="92"/>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0" w:lineRule="exact"/>
        <w:ind w:left="0" w:firstLine="664" w:firstLineChars="200"/>
        <w:jc w:val="both"/>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pacing w:val="6"/>
          <w:sz w:val="32"/>
          <w:szCs w:val="32"/>
          <w:shd w:val="clear" w:fill="FFFFFF"/>
          <w:lang w:val="en-US" w:eastAsia="zh-CN"/>
        </w:rPr>
        <w:t>1</w:t>
      </w:r>
      <w:r>
        <w:rPr>
          <w:rFonts w:hint="eastAsia" w:ascii="仿宋" w:hAnsi="仿宋" w:eastAsia="仿宋" w:cs="仿宋"/>
          <w:spacing w:val="6"/>
          <w:sz w:val="32"/>
          <w:szCs w:val="32"/>
          <w:shd w:val="clear" w:fill="FFFFFF"/>
          <w:lang w:val="en-US" w:eastAsia="zh-CN"/>
        </w:rPr>
        <w:t>．</w:t>
      </w:r>
      <w:r>
        <w:rPr>
          <w:rFonts w:hint="eastAsia" w:ascii="仿宋_GB2312" w:hAnsi="仿宋_GB2312" w:eastAsia="仿宋_GB2312" w:cs="仿宋_GB2312"/>
          <w:spacing w:val="6"/>
          <w:sz w:val="32"/>
          <w:szCs w:val="32"/>
          <w:shd w:val="clear" w:fill="FFFFFF"/>
        </w:rPr>
        <w:t>部分绩效</w:t>
      </w:r>
      <w:r>
        <w:rPr>
          <w:rFonts w:hint="eastAsia" w:ascii="仿宋_GB2312" w:hAnsi="仿宋_GB2312" w:eastAsia="仿宋_GB2312" w:cs="仿宋_GB2312"/>
          <w:spacing w:val="6"/>
          <w:sz w:val="32"/>
          <w:szCs w:val="32"/>
          <w:shd w:val="clear" w:fill="FFFFFF"/>
          <w:lang w:val="en-US" w:eastAsia="zh-CN"/>
        </w:rPr>
        <w:t>目标未细化分解成具体的绩效指标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jc w:val="both"/>
        <w:textAlignment w:val="auto"/>
        <w:rPr>
          <w:rFonts w:hint="eastAsia" w:ascii="仿宋_GB2312" w:hAnsi="仿宋_GB2312" w:eastAsia="仿宋_GB2312" w:cs="仿宋_GB2312"/>
          <w:spacing w:val="6"/>
          <w:sz w:val="32"/>
          <w:szCs w:val="32"/>
          <w:shd w:val="clear" w:fill="FFFFFF"/>
        </w:rPr>
      </w:pPr>
      <w:r>
        <w:rPr>
          <w:rFonts w:hint="eastAsia" w:ascii="仿宋_GB2312" w:hAnsi="仿宋_GB2312" w:eastAsia="仿宋_GB2312" w:cs="仿宋_GB2312"/>
          <w:spacing w:val="6"/>
          <w:sz w:val="32"/>
          <w:szCs w:val="32"/>
          <w:shd w:val="clear" w:fill="FFFFFF"/>
        </w:rPr>
        <w:t>根据</w:t>
      </w:r>
      <w:r>
        <w:rPr>
          <w:rFonts w:hint="eastAsia" w:ascii="仿宋_GB2312" w:hAnsi="仿宋_GB2312" w:eastAsia="仿宋_GB2312" w:cs="仿宋_GB2312"/>
          <w:spacing w:val="6"/>
          <w:kern w:val="0"/>
          <w:sz w:val="32"/>
          <w:szCs w:val="32"/>
          <w:highlight w:val="none"/>
          <w:lang w:val="en-US" w:eastAsia="zh-CN"/>
        </w:rPr>
        <w:t>《贵阳市财政局关于印发&lt;贵阳市市级预算支出绩效目标管理实施办法&gt;的通知》（筑财绩〔2020〕8号）</w:t>
      </w:r>
      <w:r>
        <w:rPr>
          <w:rFonts w:hint="eastAsia" w:ascii="仿宋_GB2312" w:hAnsi="仿宋_GB2312" w:eastAsia="仿宋_GB2312" w:cs="仿宋_GB2312"/>
          <w:spacing w:val="6"/>
          <w:sz w:val="32"/>
          <w:szCs w:val="32"/>
          <w:shd w:val="clear" w:fill="FFFFFF"/>
        </w:rPr>
        <w:t>文件，绩效指标是绩效目标的细化和量化。区水务局绩效指标中未将部门重点支出项目云岩区中心城区二桥及三桥污水处理厂污水提质增效工程、打鱼寨电灌站供水管网改造工程与贵阳市十九条大沟治理项目（云岩区六条大沟及贯城河）设置对应指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64" w:firstLineChars="200"/>
        <w:jc w:val="both"/>
        <w:textAlignment w:val="auto"/>
        <w:rPr>
          <w:rFonts w:hint="eastAsia" w:ascii="仿宋_GB2312" w:hAnsi="仿宋_GB2312" w:eastAsia="仿宋_GB2312" w:cs="仿宋_GB2312"/>
          <w:spacing w:val="6"/>
          <w:kern w:val="0"/>
          <w:sz w:val="32"/>
          <w:szCs w:val="32"/>
          <w:highlight w:val="none"/>
          <w:lang w:val="en-US" w:eastAsia="zh-CN"/>
        </w:rPr>
      </w:pPr>
      <w:r>
        <w:rPr>
          <w:rFonts w:hint="eastAsia" w:ascii="仿宋_GB2312" w:hAnsi="仿宋_GB2312" w:eastAsia="仿宋_GB2312" w:cs="仿宋_GB2312"/>
          <w:spacing w:val="6"/>
          <w:kern w:val="0"/>
          <w:sz w:val="32"/>
          <w:szCs w:val="32"/>
          <w:shd w:val="clear" w:fill="FFFFFF"/>
          <w:lang w:val="en-US" w:eastAsia="zh-CN" w:bidi="ar"/>
        </w:rPr>
        <w:t>2</w:t>
      </w:r>
      <w:r>
        <w:rPr>
          <w:rFonts w:hint="eastAsia" w:ascii="仿宋" w:hAnsi="仿宋" w:eastAsia="仿宋" w:cs="仿宋"/>
          <w:spacing w:val="6"/>
          <w:sz w:val="32"/>
          <w:szCs w:val="32"/>
          <w:shd w:val="clear" w:fill="FFFFFF"/>
          <w:lang w:val="en-US" w:eastAsia="zh-CN"/>
        </w:rPr>
        <w:t>．</w:t>
      </w:r>
      <w:r>
        <w:rPr>
          <w:rFonts w:hint="eastAsia" w:ascii="仿宋_GB2312" w:hAnsi="仿宋_GB2312" w:eastAsia="仿宋_GB2312" w:cs="仿宋_GB2312"/>
          <w:spacing w:val="6"/>
          <w:kern w:val="0"/>
          <w:sz w:val="32"/>
          <w:szCs w:val="32"/>
          <w:highlight w:val="none"/>
          <w:lang w:val="en-US" w:eastAsia="zh-CN"/>
        </w:rPr>
        <w:t>部分绩效指标设置的指标值过低，未设置清晰、可衡量的指标值</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jc w:val="both"/>
        <w:textAlignment w:val="auto"/>
        <w:rPr>
          <w:rFonts w:hint="eastAsia" w:ascii="仿宋_GB2312" w:hAnsi="仿宋_GB2312" w:eastAsia="仿宋_GB2312" w:cs="仿宋_GB2312"/>
          <w:spacing w:val="6"/>
          <w:kern w:val="0"/>
          <w:sz w:val="32"/>
          <w:szCs w:val="32"/>
          <w:shd w:val="clear" w:fill="FFFFFF"/>
          <w:lang w:val="en-US" w:eastAsia="zh-CN" w:bidi="ar"/>
        </w:rPr>
      </w:pPr>
      <w:r>
        <w:rPr>
          <w:rFonts w:hint="eastAsia" w:ascii="仿宋_GB2312" w:hAnsi="仿宋_GB2312" w:eastAsia="仿宋_GB2312" w:cs="仿宋_GB2312"/>
          <w:spacing w:val="6"/>
          <w:kern w:val="0"/>
          <w:sz w:val="32"/>
          <w:szCs w:val="32"/>
          <w:highlight w:val="none"/>
          <w:lang w:val="en-US" w:eastAsia="zh-CN"/>
        </w:rPr>
        <w:t>根据《贵阳市财政局关于印发〈贵阳市市级预算支出绩效目标管理实施办法〉的通知》（筑财绩〔2020〕8号）文件，指标值设置依据和参考标准包括历史标准、行业标准、计划标准，区水务局绩效自评表中三级指标指标值设置为重点项目全面检查≥1次/年，实际完成为26次/年，指标值设置过低；绩效指标是绩效目标的细化和量化，不能量化表述的，可采用定性表述，但需具有可衡量性。本项目“社会效益指标”“生态效益指标”及“可持续影响指标”下的三级指标均存在未设置细化、量化或可衡量的指标值。</w:t>
      </w:r>
    </w:p>
    <w:p>
      <w:pPr>
        <w:pStyle w:val="3"/>
        <w:bidi w:val="0"/>
        <w:rPr>
          <w:rFonts w:hint="eastAsia"/>
          <w:lang w:val="zh-CN" w:eastAsia="zh-CN"/>
        </w:rPr>
      </w:pPr>
      <w:bookmarkStart w:id="93" w:name="_Toc7274"/>
      <w:bookmarkStart w:id="94" w:name="_Toc25695"/>
      <w:bookmarkStart w:id="95" w:name="_Toc27583"/>
      <w:bookmarkStart w:id="96" w:name="_Toc13479"/>
      <w:bookmarkStart w:id="97" w:name="_Toc885"/>
      <w:bookmarkStart w:id="98" w:name="_Toc5847"/>
      <w:bookmarkStart w:id="99" w:name="_Toc22246"/>
      <w:r>
        <w:rPr>
          <w:rFonts w:hint="eastAsia"/>
          <w:lang w:val="en-US" w:eastAsia="zh-CN"/>
        </w:rPr>
        <w:t>四、针对问题提出的</w:t>
      </w:r>
      <w:r>
        <w:rPr>
          <w:rFonts w:hint="eastAsia"/>
          <w:lang w:val="zh-CN" w:eastAsia="zh-CN"/>
        </w:rPr>
        <w:t>建议</w:t>
      </w:r>
      <w:bookmarkEnd w:id="90"/>
      <w:bookmarkEnd w:id="91"/>
      <w:bookmarkEnd w:id="93"/>
      <w:bookmarkEnd w:id="94"/>
      <w:bookmarkEnd w:id="95"/>
      <w:bookmarkEnd w:id="96"/>
      <w:bookmarkEnd w:id="97"/>
      <w:bookmarkEnd w:id="98"/>
      <w:bookmarkEnd w:id="99"/>
    </w:p>
    <w:p>
      <w:pPr>
        <w:pStyle w:val="4"/>
        <w:bidi w:val="0"/>
      </w:pPr>
      <w:bookmarkStart w:id="100" w:name="_Toc3603"/>
      <w:r>
        <w:rPr>
          <w:rFonts w:hint="eastAsia"/>
          <w:lang w:eastAsia="zh-CN"/>
        </w:rPr>
        <w:t>（</w:t>
      </w:r>
      <w:r>
        <w:rPr>
          <w:rFonts w:hint="eastAsia"/>
          <w:lang w:val="en-US" w:eastAsia="zh-CN"/>
        </w:rPr>
        <w:t>一）制度管理</w:t>
      </w:r>
      <w:r>
        <w:rPr>
          <w:rFonts w:hint="eastAsia"/>
        </w:rPr>
        <w:t>方面</w:t>
      </w:r>
      <w:bookmarkEnd w:id="100"/>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建议区水务局根据部门及项目需要，制定项目管理制度，建立健全内部控制制度，以规范项目实施和管理。</w:t>
      </w:r>
    </w:p>
    <w:p>
      <w:pPr>
        <w:pStyle w:val="4"/>
        <w:bidi w:val="0"/>
        <w:rPr>
          <w:rFonts w:hint="eastAsia"/>
        </w:rPr>
      </w:pPr>
      <w:bookmarkStart w:id="101" w:name="_Toc20750"/>
      <w:r>
        <w:rPr>
          <w:rFonts w:hint="eastAsia"/>
          <w:lang w:val="en-US" w:eastAsia="zh-CN"/>
        </w:rPr>
        <w:t>（二）预算</w:t>
      </w:r>
      <w:r>
        <w:rPr>
          <w:rFonts w:hint="eastAsia"/>
        </w:rPr>
        <w:t>管理方面</w:t>
      </w:r>
      <w:bookmarkEnd w:id="101"/>
    </w:p>
    <w:p>
      <w:pPr>
        <w:widowControl w:val="0"/>
        <w:spacing w:line="590" w:lineRule="exact"/>
        <w:ind w:firstLine="664" w:firstLineChars="200"/>
        <w:jc w:val="both"/>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lang w:val="en-US" w:eastAsia="zh-CN"/>
        </w:rPr>
        <w:t>建议区水务局预算编制时根据部门职责和区政府的要求和实际情况、年度内单位可预见的工作任务，确定单位年度预算目标，细化预算指标，科学合理编制部门年初预算，推进预算编制科学化、准确化，资金使用时严格按照预算编制范围进行合理、规范的使用。</w:t>
      </w:r>
    </w:p>
    <w:p>
      <w:pPr>
        <w:pStyle w:val="4"/>
        <w:bidi w:val="0"/>
      </w:pPr>
      <w:bookmarkStart w:id="102" w:name="_Toc20908"/>
      <w:r>
        <w:rPr>
          <w:rFonts w:hint="eastAsia"/>
          <w:lang w:val="en-US" w:eastAsia="zh-CN"/>
        </w:rPr>
        <w:t>（三）业务</w:t>
      </w:r>
      <w:r>
        <w:rPr>
          <w:rFonts w:hint="eastAsia"/>
        </w:rPr>
        <w:t>管理方面</w:t>
      </w:r>
      <w:bookmarkEnd w:id="102"/>
    </w:p>
    <w:p>
      <w:pPr>
        <w:keepNext w:val="0"/>
        <w:keepLines w:val="0"/>
        <w:pageBreakBefore w:val="0"/>
        <w:widowControl w:val="0"/>
        <w:kinsoku/>
        <w:wordWrap/>
        <w:overflowPunct/>
        <w:topLinePunct w:val="0"/>
        <w:autoSpaceDE/>
        <w:autoSpaceDN/>
        <w:bidi w:val="0"/>
        <w:adjustRightInd w:val="0"/>
        <w:snapToGrid/>
        <w:spacing w:line="590" w:lineRule="exact"/>
        <w:ind w:firstLine="664" w:firstLineChars="200"/>
        <w:jc w:val="both"/>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zh-CN"/>
        </w:rPr>
        <w:t>建议</w:t>
      </w:r>
      <w:r>
        <w:rPr>
          <w:rFonts w:hint="eastAsia" w:ascii="仿宋_GB2312" w:hAnsi="仿宋_GB2312" w:eastAsia="仿宋_GB2312" w:cs="仿宋_GB2312"/>
          <w:bCs/>
          <w:spacing w:val="6"/>
          <w:sz w:val="32"/>
          <w:szCs w:val="32"/>
          <w:lang w:val="en-US" w:eastAsia="zh-CN"/>
        </w:rPr>
        <w:t>区水务局对全年目标进行分解，细化指标至企业、项目，开展精细化调度和服务，同时</w:t>
      </w:r>
      <w:r>
        <w:rPr>
          <w:rFonts w:hint="eastAsia" w:ascii="仿宋_GB2312" w:hAnsi="仿宋_GB2312" w:eastAsia="仿宋_GB2312" w:cs="仿宋_GB2312"/>
          <w:spacing w:val="6"/>
          <w:sz w:val="32"/>
          <w:szCs w:val="32"/>
          <w:lang w:val="zh-CN"/>
        </w:rPr>
        <w:t>加强</w:t>
      </w:r>
      <w:r>
        <w:rPr>
          <w:rFonts w:hint="eastAsia" w:ascii="仿宋_GB2312" w:hAnsi="仿宋_GB2312" w:eastAsia="仿宋_GB2312" w:cs="仿宋_GB2312"/>
          <w:spacing w:val="6"/>
          <w:sz w:val="32"/>
          <w:szCs w:val="32"/>
          <w:lang w:val="en-US" w:eastAsia="zh-CN"/>
        </w:rPr>
        <w:t>与其他部门和项目实施单位对接力度，掌握指标完成情况，分析指标未完成原因，及时</w:t>
      </w:r>
      <w:r>
        <w:rPr>
          <w:rFonts w:hint="eastAsia" w:ascii="仿宋_GB2312" w:hAnsi="仿宋_GB2312" w:eastAsia="仿宋_GB2312" w:cs="仿宋_GB2312"/>
          <w:spacing w:val="6"/>
          <w:sz w:val="32"/>
          <w:szCs w:val="32"/>
          <w:lang w:val="zh-CN"/>
        </w:rPr>
        <w:t>协调解决</w:t>
      </w:r>
      <w:r>
        <w:rPr>
          <w:rFonts w:hint="eastAsia" w:ascii="仿宋_GB2312" w:hAnsi="仿宋_GB2312" w:eastAsia="仿宋_GB2312" w:cs="仿宋_GB2312"/>
          <w:spacing w:val="6"/>
          <w:sz w:val="32"/>
          <w:szCs w:val="32"/>
          <w:lang w:val="en-US" w:eastAsia="zh-CN"/>
        </w:rPr>
        <w:t xml:space="preserve">指标实现过程中的困难和问题，确保目标的实现。   </w:t>
      </w:r>
    </w:p>
    <w:p>
      <w:pPr>
        <w:pStyle w:val="4"/>
        <w:bidi w:val="0"/>
        <w:rPr>
          <w:rFonts w:hint="eastAsia"/>
        </w:rPr>
      </w:pPr>
      <w:bookmarkStart w:id="103" w:name="_Toc32467"/>
      <w:r>
        <w:rPr>
          <w:rFonts w:hint="eastAsia"/>
          <w:lang w:val="en-US" w:eastAsia="zh-CN"/>
        </w:rPr>
        <w:t>（四）</w:t>
      </w:r>
      <w:r>
        <w:rPr>
          <w:rFonts w:hint="eastAsia"/>
        </w:rPr>
        <w:t>绩效管理方面</w:t>
      </w:r>
      <w:bookmarkEnd w:id="103"/>
    </w:p>
    <w:p>
      <w:pPr>
        <w:pStyle w:val="2"/>
        <w:rPr>
          <w:rFonts w:hint="eastAsia"/>
        </w:rPr>
      </w:pPr>
      <w:bookmarkStart w:id="104" w:name="_Toc21085"/>
      <w:bookmarkStart w:id="105" w:name="_Toc14019"/>
      <w:bookmarkStart w:id="106" w:name="_Toc24940"/>
      <w:bookmarkStart w:id="107" w:name="_Toc41306292"/>
      <w:r>
        <w:rPr>
          <w:rFonts w:hint="eastAsia" w:ascii="仿宋_GB2312" w:hAnsi="仿宋_GB2312" w:eastAsia="仿宋_GB2312" w:cs="仿宋_GB2312"/>
          <w:spacing w:val="6"/>
          <w:sz w:val="32"/>
          <w:szCs w:val="32"/>
        </w:rPr>
        <w:t>严格按照《中共中央 国务院关于全面实施预算绩效管理的意见》（中发〔2018〕34号）</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kern w:val="0"/>
          <w:sz w:val="32"/>
          <w:szCs w:val="32"/>
          <w:highlight w:val="none"/>
          <w:lang w:val="en-US" w:eastAsia="zh-CN"/>
        </w:rPr>
        <w:t>《贵阳市财政局关于印发〈贵阳市市级预算支出绩效目标管理实施办法〉的通知》（筑财绩〔2020〕8号）和</w:t>
      </w:r>
      <w:r>
        <w:rPr>
          <w:rFonts w:hint="eastAsia" w:ascii="仿宋_GB2312" w:hAnsi="仿宋_GB2312" w:eastAsia="仿宋_GB2312" w:cs="仿宋_GB2312"/>
          <w:spacing w:val="6"/>
          <w:sz w:val="32"/>
          <w:szCs w:val="32"/>
        </w:rPr>
        <w:t>《中共贵州省委 贵州省人民政府</w:t>
      </w:r>
      <w:r>
        <w:rPr>
          <w:rFonts w:hint="default" w:eastAsia="仿宋"/>
          <w:spacing w:val="6"/>
          <w:sz w:val="32"/>
          <w:szCs w:val="32"/>
          <w:lang w:val="zh-CN" w:eastAsia="zh-CN"/>
        </w:rPr>
        <w:t>〈</w:t>
      </w:r>
      <w:r>
        <w:rPr>
          <w:rFonts w:hint="eastAsia" w:ascii="仿宋_GB2312" w:hAnsi="仿宋_GB2312" w:eastAsia="仿宋_GB2312" w:cs="仿宋_GB2312"/>
          <w:spacing w:val="6"/>
          <w:sz w:val="32"/>
          <w:szCs w:val="32"/>
        </w:rPr>
        <w:t>关于全面实施预算绩效管理的实施意见</w:t>
      </w:r>
      <w:r>
        <w:rPr>
          <w:rFonts w:hint="default" w:eastAsia="仿宋"/>
          <w:spacing w:val="6"/>
          <w:sz w:val="32"/>
          <w:szCs w:val="32"/>
          <w:lang w:val="zh-CN" w:eastAsia="zh-CN"/>
        </w:rPr>
        <w:t>〉</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spacing w:val="6"/>
          <w:sz w:val="32"/>
          <w:szCs w:val="32"/>
        </w:rPr>
        <w:t>等文件规定，提高财政绩效管理认识，积极推进预算绩效管理工作，结合绩效目标，设置全面有效、现实可行、具体量化的绩效指标，</w:t>
      </w:r>
      <w:r>
        <w:rPr>
          <w:rFonts w:hint="eastAsia" w:ascii="仿宋_GB2312" w:hAnsi="仿宋_GB2312" w:eastAsia="仿宋_GB2312" w:cs="仿宋_GB2312"/>
          <w:spacing w:val="6"/>
          <w:sz w:val="32"/>
          <w:szCs w:val="32"/>
          <w:lang w:val="en-US" w:eastAsia="zh-CN"/>
        </w:rPr>
        <w:t>认真开展绩效自评工作，</w:t>
      </w:r>
      <w:r>
        <w:rPr>
          <w:rFonts w:hint="eastAsia" w:ascii="仿宋_GB2312" w:hAnsi="仿宋_GB2312" w:eastAsia="仿宋_GB2312" w:cs="仿宋_GB2312"/>
          <w:spacing w:val="6"/>
          <w:sz w:val="32"/>
          <w:szCs w:val="32"/>
        </w:rPr>
        <w:t>提高预算管理水平。</w:t>
      </w:r>
    </w:p>
    <w:p>
      <w:pPr>
        <w:widowControl w:val="0"/>
        <w:spacing w:line="590" w:lineRule="exact"/>
        <w:ind w:firstLine="664" w:firstLineChars="200"/>
        <w:jc w:val="both"/>
        <w:outlineLvl w:val="0"/>
        <w:rPr>
          <w:rFonts w:ascii="黑体" w:hAnsi="黑体" w:eastAsia="黑体"/>
          <w:spacing w:val="6"/>
          <w:sz w:val="32"/>
          <w:szCs w:val="32"/>
        </w:rPr>
      </w:pPr>
      <w:bookmarkStart w:id="108" w:name="_Toc7114"/>
      <w:bookmarkStart w:id="109" w:name="_Toc24873"/>
      <w:bookmarkStart w:id="110" w:name="_Toc16968"/>
      <w:bookmarkStart w:id="111" w:name="_Toc1863"/>
      <w:bookmarkStart w:id="112" w:name="_Toc20740"/>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104"/>
      <w:bookmarkEnd w:id="105"/>
      <w:bookmarkEnd w:id="106"/>
      <w:bookmarkEnd w:id="107"/>
      <w:bookmarkEnd w:id="108"/>
      <w:bookmarkEnd w:id="109"/>
      <w:bookmarkEnd w:id="110"/>
      <w:bookmarkEnd w:id="111"/>
      <w:bookmarkEnd w:id="112"/>
    </w:p>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113" w:name="_Toc10082"/>
      <w:bookmarkStart w:id="114" w:name="_Toc5519"/>
      <w:bookmarkStart w:id="115" w:name="_Toc22898"/>
      <w:bookmarkStart w:id="116" w:name="_Toc15384"/>
      <w:bookmarkStart w:id="117" w:name="_Toc5474"/>
      <w:bookmarkStart w:id="118" w:name="_Toc17488"/>
      <w:bookmarkStart w:id="119" w:name="_Toc7966"/>
      <w:bookmarkStart w:id="120" w:name="_Toc22089"/>
      <w:r>
        <w:rPr>
          <w:spacing w:val="6"/>
        </w:rPr>
        <w:fldChar w:fldCharType="begin"/>
      </w:r>
      <w:r>
        <w:rPr>
          <w:spacing w:val="6"/>
        </w:rPr>
        <w:instrText xml:space="preserve"> HYPERLINK \l "_Toc434746187" </w:instrText>
      </w:r>
      <w:r>
        <w:rPr>
          <w:spacing w:val="6"/>
        </w:rPr>
        <w:fldChar w:fldCharType="separate"/>
      </w:r>
      <w:bookmarkStart w:id="121" w:name="_Toc41306293"/>
      <w:bookmarkStart w:id="122" w:name="_Toc531300193"/>
      <w:r>
        <w:rPr>
          <w:rFonts w:hint="eastAsia" w:ascii="Times New Roman" w:hAnsi="Times New Roman" w:eastAsia="楷体_GB2312" w:cs="Times New Roman"/>
          <w:spacing w:val="6"/>
          <w:sz w:val="32"/>
          <w:szCs w:val="32"/>
          <w:lang w:val="zh-CN"/>
        </w:rPr>
        <w:t>（一）对发现的问题及时整改</w:t>
      </w:r>
      <w:bookmarkEnd w:id="121"/>
      <w:bookmarkEnd w:id="122"/>
      <w:r>
        <w:rPr>
          <w:rFonts w:hint="eastAsia" w:ascii="Times New Roman" w:hAnsi="Times New Roman" w:eastAsia="楷体_GB2312" w:cs="Times New Roman"/>
          <w:spacing w:val="6"/>
          <w:sz w:val="32"/>
          <w:szCs w:val="32"/>
          <w:lang w:val="zh-CN"/>
        </w:rPr>
        <w:fldChar w:fldCharType="end"/>
      </w:r>
      <w:bookmarkEnd w:id="113"/>
      <w:bookmarkEnd w:id="114"/>
      <w:bookmarkEnd w:id="115"/>
      <w:bookmarkEnd w:id="116"/>
      <w:bookmarkEnd w:id="117"/>
      <w:bookmarkEnd w:id="118"/>
      <w:bookmarkEnd w:id="119"/>
      <w:bookmarkEnd w:id="120"/>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针对现场评价中发现的问题，建议</w:t>
      </w:r>
      <w:r>
        <w:rPr>
          <w:rFonts w:hint="eastAsia" w:ascii="仿宋_GB2312" w:hAnsi="仿宋_GB2312" w:eastAsia="仿宋_GB2312" w:cs="仿宋_GB2312"/>
          <w:bCs/>
          <w:spacing w:val="6"/>
          <w:sz w:val="32"/>
          <w:szCs w:val="32"/>
          <w:lang w:val="en-US" w:eastAsia="zh-CN"/>
        </w:rPr>
        <w:t>区水务局</w:t>
      </w:r>
      <w:r>
        <w:rPr>
          <w:rFonts w:hint="eastAsia" w:ascii="Times New Roman" w:hAnsi="Times New Roman" w:eastAsia="仿宋_GB2312" w:cs="Times New Roman"/>
          <w:spacing w:val="6"/>
          <w:sz w:val="32"/>
          <w:szCs w:val="32"/>
        </w:rPr>
        <w:t>及时进行整改，并将整改情况书面上报相关部门。</w:t>
      </w:r>
      <w:r>
        <w:rPr>
          <w:rFonts w:ascii="Times New Roman" w:hAnsi="Times New Roman" w:eastAsia="仿宋_GB2312" w:cs="Times New Roman"/>
          <w:spacing w:val="6"/>
          <w:sz w:val="32"/>
          <w:szCs w:val="32"/>
        </w:rPr>
        <w:t>同时建议</w:t>
      </w:r>
      <w:r>
        <w:rPr>
          <w:rFonts w:hint="eastAsia" w:ascii="仿宋_GB2312" w:hAnsi="仿宋_GB2312" w:eastAsia="仿宋_GB2312" w:cs="仿宋_GB2312"/>
          <w:bCs/>
          <w:spacing w:val="6"/>
          <w:sz w:val="32"/>
          <w:szCs w:val="32"/>
          <w:lang w:val="en-US" w:eastAsia="zh-CN"/>
        </w:rPr>
        <w:t>区水务局</w:t>
      </w:r>
      <w:r>
        <w:rPr>
          <w:rFonts w:ascii="Times New Roman" w:hAnsi="Times New Roman" w:eastAsia="仿宋_GB2312" w:cs="Times New Roman"/>
          <w:spacing w:val="6"/>
          <w:sz w:val="32"/>
          <w:szCs w:val="32"/>
        </w:rPr>
        <w:t>进一步加强</w:t>
      </w:r>
      <w:r>
        <w:rPr>
          <w:rFonts w:hint="eastAsia" w:ascii="Times New Roman" w:hAnsi="Times New Roman" w:eastAsia="仿宋_GB2312" w:cs="Times New Roman"/>
          <w:spacing w:val="6"/>
          <w:sz w:val="32"/>
          <w:szCs w:val="32"/>
          <w:lang w:val="en-US" w:eastAsia="zh-CN"/>
        </w:rPr>
        <w:t>部门整体支出</w:t>
      </w:r>
      <w:r>
        <w:rPr>
          <w:rFonts w:ascii="Times New Roman" w:hAnsi="Times New Roman" w:eastAsia="仿宋_GB2312" w:cs="Times New Roman"/>
          <w:spacing w:val="6"/>
          <w:sz w:val="32"/>
          <w:szCs w:val="32"/>
        </w:rPr>
        <w:t>督查工作，切实提高财政资源配置效率和使用效益</w:t>
      </w:r>
      <w:r>
        <w:rPr>
          <w:rFonts w:hint="eastAsia" w:ascii="Times New Roman" w:hAnsi="Times New Roman" w:eastAsia="仿宋_GB2312" w:cs="Times New Roman"/>
          <w:spacing w:val="6"/>
          <w:sz w:val="32"/>
          <w:szCs w:val="32"/>
        </w:rPr>
        <w:t>。</w:t>
      </w:r>
    </w:p>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123" w:name="_Toc15938"/>
      <w:bookmarkStart w:id="124" w:name="_Toc13582"/>
      <w:bookmarkStart w:id="125" w:name="_Toc30961"/>
      <w:bookmarkStart w:id="126" w:name="_Toc14903"/>
      <w:bookmarkStart w:id="127" w:name="_Toc25602"/>
      <w:bookmarkStart w:id="128" w:name="_Toc30129"/>
      <w:bookmarkStart w:id="129" w:name="_Toc28714"/>
      <w:bookmarkStart w:id="130" w:name="_Toc25203"/>
      <w:r>
        <w:rPr>
          <w:spacing w:val="6"/>
        </w:rPr>
        <w:fldChar w:fldCharType="begin"/>
      </w:r>
      <w:r>
        <w:rPr>
          <w:spacing w:val="6"/>
        </w:rPr>
        <w:instrText xml:space="preserve"> HYPERLINK \l "_Toc434746187" </w:instrText>
      </w:r>
      <w:r>
        <w:rPr>
          <w:spacing w:val="6"/>
        </w:rPr>
        <w:fldChar w:fldCharType="separate"/>
      </w:r>
      <w:bookmarkStart w:id="131" w:name="_Toc531300194"/>
      <w:bookmarkStart w:id="132" w:name="_Toc41306294"/>
      <w:r>
        <w:rPr>
          <w:rFonts w:hint="eastAsia" w:ascii="Times New Roman" w:hAnsi="Times New Roman" w:eastAsia="楷体_GB2312" w:cs="Times New Roman"/>
          <w:spacing w:val="6"/>
          <w:sz w:val="32"/>
          <w:szCs w:val="32"/>
          <w:lang w:val="zh-CN"/>
        </w:rPr>
        <w:t>（二）以后年度预算安排建议</w:t>
      </w:r>
      <w:bookmarkEnd w:id="131"/>
      <w:bookmarkEnd w:id="132"/>
      <w:r>
        <w:rPr>
          <w:rFonts w:hint="eastAsia" w:ascii="Times New Roman" w:hAnsi="Times New Roman" w:eastAsia="楷体_GB2312" w:cs="Times New Roman"/>
          <w:spacing w:val="6"/>
          <w:sz w:val="32"/>
          <w:szCs w:val="32"/>
          <w:lang w:val="zh-CN"/>
        </w:rPr>
        <w:fldChar w:fldCharType="end"/>
      </w:r>
      <w:bookmarkEnd w:id="123"/>
      <w:bookmarkEnd w:id="124"/>
      <w:bookmarkEnd w:id="125"/>
      <w:bookmarkEnd w:id="126"/>
      <w:bookmarkEnd w:id="127"/>
      <w:bookmarkEnd w:id="128"/>
      <w:bookmarkEnd w:id="129"/>
      <w:bookmarkEnd w:id="130"/>
    </w:p>
    <w:bookmarkEnd w:id="87"/>
    <w:p>
      <w:pPr>
        <w:widowControl/>
        <w:spacing w:line="590" w:lineRule="exact"/>
        <w:ind w:firstLine="664" w:firstLineChars="200"/>
        <w:jc w:val="both"/>
        <w:rPr>
          <w:rFonts w:hint="eastAsia" w:ascii="仿宋_GB2312" w:hAnsi="仿宋_GB2312" w:eastAsia="仿宋_GB2312" w:cs="仿宋_GB2312"/>
          <w:color w:val="000000"/>
          <w:spacing w:val="6"/>
          <w:sz w:val="32"/>
          <w:szCs w:val="32"/>
          <w:lang w:val="en-US" w:eastAsia="zh-CN"/>
        </w:rPr>
      </w:pPr>
      <w:r>
        <w:rPr>
          <w:rFonts w:hint="eastAsia" w:ascii="仿宋_GB2312" w:hAnsi="仿宋_GB2312" w:eastAsia="仿宋_GB2312" w:cs="仿宋_GB2312"/>
          <w:color w:val="000000"/>
          <w:spacing w:val="6"/>
          <w:sz w:val="32"/>
          <w:szCs w:val="32"/>
          <w:highlight w:val="none"/>
        </w:rPr>
        <w:t>严格按照《中共贵州省委 贵州省人民政府</w:t>
      </w:r>
      <w:r>
        <w:rPr>
          <w:rFonts w:hint="eastAsia" w:ascii="仿宋_GB2312" w:hAnsi="仿宋_GB2312" w:eastAsia="仿宋_GB2312" w:cs="仿宋_GB2312"/>
          <w:color w:val="000000"/>
          <w:spacing w:val="6"/>
          <w:sz w:val="32"/>
          <w:szCs w:val="32"/>
          <w:highlight w:val="none"/>
          <w:lang w:val="en-US" w:eastAsia="zh-CN"/>
        </w:rPr>
        <w:t>〈</w:t>
      </w:r>
      <w:r>
        <w:rPr>
          <w:rFonts w:hint="eastAsia" w:ascii="仿宋_GB2312" w:hAnsi="仿宋_GB2312" w:eastAsia="仿宋_GB2312" w:cs="仿宋_GB2312"/>
          <w:color w:val="000000"/>
          <w:spacing w:val="6"/>
          <w:sz w:val="32"/>
          <w:szCs w:val="32"/>
          <w:highlight w:val="none"/>
        </w:rPr>
        <w:t>关于全面实施预算绩效管理的实施意见</w:t>
      </w:r>
      <w:r>
        <w:rPr>
          <w:rFonts w:hint="eastAsia" w:ascii="仿宋_GB2312" w:hAnsi="仿宋_GB2312" w:eastAsia="仿宋_GB2312" w:cs="仿宋_GB2312"/>
          <w:color w:val="000000"/>
          <w:spacing w:val="6"/>
          <w:sz w:val="32"/>
          <w:szCs w:val="32"/>
          <w:highlight w:val="none"/>
          <w:lang w:val="en-US" w:eastAsia="zh-CN"/>
        </w:rPr>
        <w:t>〉</w:t>
      </w:r>
      <w:r>
        <w:rPr>
          <w:rFonts w:hint="eastAsia" w:ascii="仿宋_GB2312" w:hAnsi="仿宋_GB2312" w:eastAsia="仿宋_GB2312" w:cs="仿宋_GB2312"/>
          <w:color w:val="000000"/>
          <w:spacing w:val="6"/>
          <w:sz w:val="32"/>
          <w:szCs w:val="32"/>
          <w:highlight w:val="none"/>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color w:val="000000"/>
          <w:spacing w:val="6"/>
          <w:sz w:val="32"/>
          <w:szCs w:val="32"/>
          <w:highlight w:val="none"/>
        </w:rPr>
        <w:t>要求，全面实施零基预算管理，改变“基数+增长”的预算编制方式，打破财政资金分配的固化格局，建立财政资金“能进能出”的决策机制。在部门“三定”方案规定的部门主要职能基础上，结合</w:t>
      </w:r>
      <w:r>
        <w:rPr>
          <w:rFonts w:hint="eastAsia" w:ascii="仿宋_GB2312" w:hAnsi="仿宋_GB2312" w:eastAsia="仿宋_GB2312" w:cs="仿宋_GB2312"/>
          <w:color w:val="000000"/>
          <w:spacing w:val="6"/>
          <w:sz w:val="32"/>
          <w:szCs w:val="32"/>
          <w:highlight w:val="none"/>
          <w:lang w:val="en-US" w:eastAsia="zh-CN"/>
        </w:rPr>
        <w:t>云岩区人民政府</w:t>
      </w:r>
      <w:r>
        <w:rPr>
          <w:rFonts w:hint="eastAsia" w:ascii="仿宋_GB2312" w:hAnsi="仿宋_GB2312" w:eastAsia="仿宋_GB2312" w:cs="仿宋_GB2312"/>
          <w:color w:val="000000"/>
          <w:spacing w:val="6"/>
          <w:sz w:val="32"/>
          <w:szCs w:val="32"/>
          <w:highlight w:val="none"/>
        </w:rPr>
        <w:t>及上级业务主管部门交办的工作，全面梳理以后年度部门工作任务，合理科学预计以后年度部门工作任务数量、时效、效益等，详细科学规划任务完成时间表和路线图，合理科学安排以后年度预算</w:t>
      </w:r>
      <w:r>
        <w:rPr>
          <w:rFonts w:hint="eastAsia" w:ascii="仿宋_GB2312" w:hAnsi="仿宋_GB2312" w:eastAsia="仿宋_GB2312" w:cs="仿宋_GB2312"/>
          <w:bCs/>
          <w:spacing w:val="6"/>
          <w:sz w:val="32"/>
          <w:szCs w:val="32"/>
          <w:lang w:eastAsia="zh-CN"/>
        </w:rPr>
        <w:t>，</w:t>
      </w:r>
      <w:r>
        <w:rPr>
          <w:rFonts w:hint="eastAsia" w:ascii="仿宋_GB2312" w:hAnsi="仿宋_GB2312" w:eastAsia="仿宋_GB2312" w:cs="仿宋_GB2312"/>
          <w:color w:val="000000"/>
          <w:spacing w:val="6"/>
          <w:sz w:val="32"/>
          <w:szCs w:val="32"/>
          <w:lang w:val="en-US" w:eastAsia="zh-CN"/>
        </w:rPr>
        <w:t>优化预算管理流程，规范财政资金使用管理，提高财政资金使用效益。</w:t>
      </w:r>
    </w:p>
    <w:p>
      <w:pPr>
        <w:widowControl w:val="0"/>
        <w:spacing w:line="590" w:lineRule="exact"/>
        <w:ind w:firstLine="444" w:firstLineChars="200"/>
        <w:jc w:val="both"/>
        <w:outlineLvl w:val="1"/>
        <w:rPr>
          <w:rFonts w:ascii="仿宋_GB2312" w:hAnsi="仿宋" w:eastAsia="楷体_GB2312" w:cs="Times New Roman"/>
          <w:spacing w:val="6"/>
          <w:sz w:val="32"/>
          <w:szCs w:val="32"/>
          <w:lang w:val="zh-CN"/>
        </w:rPr>
      </w:pPr>
      <w:bookmarkStart w:id="133" w:name="_Toc13850"/>
      <w:bookmarkStart w:id="134" w:name="_Toc16585"/>
      <w:bookmarkStart w:id="135" w:name="_Toc8679"/>
      <w:bookmarkStart w:id="136" w:name="_Toc16607"/>
      <w:bookmarkStart w:id="137" w:name="_Toc9665"/>
      <w:bookmarkStart w:id="138" w:name="_Toc32250"/>
      <w:bookmarkStart w:id="139" w:name="_Toc24145"/>
      <w:bookmarkStart w:id="140" w:name="_Toc9047"/>
      <w:bookmarkStart w:id="141" w:name="_Toc14922"/>
      <w:r>
        <w:rPr>
          <w:spacing w:val="6"/>
        </w:rPr>
        <w:fldChar w:fldCharType="begin"/>
      </w:r>
      <w:r>
        <w:rPr>
          <w:spacing w:val="6"/>
        </w:rPr>
        <w:instrText xml:space="preserve"> HYPERLINK \l "_Toc434746187" </w:instrText>
      </w:r>
      <w:r>
        <w:rPr>
          <w:spacing w:val="6"/>
        </w:rPr>
        <w:fldChar w:fldCharType="separate"/>
      </w:r>
      <w:bookmarkStart w:id="142" w:name="_Toc531300195"/>
      <w:bookmarkStart w:id="143" w:name="_Toc41306295"/>
      <w:r>
        <w:rPr>
          <w:rFonts w:hint="eastAsia" w:ascii="仿宋_GB2312" w:hAnsi="仿宋" w:eastAsia="楷体_GB2312" w:cs="Times New Roman"/>
          <w:spacing w:val="6"/>
          <w:sz w:val="32"/>
          <w:szCs w:val="32"/>
          <w:lang w:val="zh-CN"/>
        </w:rPr>
        <w:t>（三）评价结果公开</w:t>
      </w:r>
      <w:bookmarkEnd w:id="142"/>
      <w:bookmarkEnd w:id="143"/>
      <w:r>
        <w:rPr>
          <w:rFonts w:hint="eastAsia" w:ascii="仿宋_GB2312" w:hAnsi="仿宋" w:eastAsia="楷体_GB2312" w:cs="Times New Roman"/>
          <w:spacing w:val="6"/>
          <w:sz w:val="32"/>
          <w:szCs w:val="32"/>
          <w:lang w:val="zh-CN"/>
        </w:rPr>
        <w:fldChar w:fldCharType="end"/>
      </w:r>
      <w:bookmarkEnd w:id="133"/>
      <w:bookmarkEnd w:id="134"/>
      <w:bookmarkEnd w:id="135"/>
      <w:bookmarkEnd w:id="136"/>
      <w:bookmarkEnd w:id="137"/>
      <w:bookmarkEnd w:id="138"/>
      <w:bookmarkEnd w:id="139"/>
      <w:bookmarkEnd w:id="140"/>
      <w:bookmarkEnd w:id="141"/>
    </w:p>
    <w:p>
      <w:pPr>
        <w:widowControl w:val="0"/>
        <w:spacing w:line="590" w:lineRule="exact"/>
        <w:ind w:firstLine="664" w:firstLineChars="200"/>
        <w:jc w:val="both"/>
        <w:rPr>
          <w:rFonts w:hint="eastAsia" w:ascii="仿宋_GB2312" w:hAnsi="仿宋_GB2312" w:eastAsia="仿宋_GB2312" w:cs="仿宋_GB2312"/>
          <w:color w:val="000000"/>
          <w:spacing w:val="6"/>
          <w:sz w:val="32"/>
          <w:szCs w:val="32"/>
        </w:rPr>
      </w:pPr>
      <w:r>
        <w:rPr>
          <w:rFonts w:hint="eastAsia" w:ascii="仿宋_GB2312" w:hAnsi="仿宋_GB2312" w:eastAsia="仿宋_GB2312" w:cs="仿宋_GB2312"/>
          <w:color w:val="000000"/>
          <w:spacing w:val="6"/>
          <w:sz w:val="32"/>
          <w:szCs w:val="32"/>
        </w:rPr>
        <w:t>建议按照《中共中央 国务院关于全面实施预算绩效管理的意见》（中发〔2018〕34号）和《中共贵州省委 贵州省人民政府</w:t>
      </w:r>
      <w:r>
        <w:rPr>
          <w:rFonts w:hint="eastAsia" w:ascii="仿宋_GB2312" w:hAnsi="仿宋_GB2312" w:eastAsia="仿宋_GB2312" w:cs="仿宋_GB2312"/>
          <w:color w:val="000000"/>
          <w:spacing w:val="6"/>
          <w:sz w:val="32"/>
          <w:szCs w:val="32"/>
          <w:lang w:val="en-US" w:eastAsia="zh-CN"/>
        </w:rPr>
        <w:t>〈</w:t>
      </w:r>
      <w:r>
        <w:rPr>
          <w:rFonts w:hint="eastAsia" w:ascii="仿宋_GB2312" w:hAnsi="仿宋_GB2312" w:eastAsia="仿宋_GB2312" w:cs="仿宋_GB2312"/>
          <w:color w:val="000000"/>
          <w:spacing w:val="6"/>
          <w:sz w:val="32"/>
          <w:szCs w:val="32"/>
        </w:rPr>
        <w:t>关于全面实施预算绩效管理的实施意见</w:t>
      </w:r>
      <w:r>
        <w:rPr>
          <w:rFonts w:hint="eastAsia" w:ascii="仿宋_GB2312" w:hAnsi="仿宋_GB2312" w:eastAsia="仿宋_GB2312" w:cs="仿宋_GB2312"/>
          <w:color w:val="000000"/>
          <w:spacing w:val="6"/>
          <w:sz w:val="32"/>
          <w:szCs w:val="32"/>
          <w:lang w:val="en-US" w:eastAsia="zh-CN"/>
        </w:rPr>
        <w:t>〉</w:t>
      </w:r>
      <w:r>
        <w:rPr>
          <w:rFonts w:hint="eastAsia" w:ascii="仿宋_GB2312" w:hAnsi="仿宋_GB2312" w:eastAsia="仿宋_GB2312" w:cs="仿宋_GB2312"/>
          <w:color w:val="000000"/>
          <w:spacing w:val="6"/>
          <w:sz w:val="32"/>
          <w:szCs w:val="32"/>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color w:val="000000"/>
          <w:spacing w:val="6"/>
          <w:sz w:val="32"/>
          <w:szCs w:val="32"/>
        </w:rPr>
        <w:t>规定，财政部门要推进绩效信息公开，重要绩效目标、</w:t>
      </w:r>
      <w:r>
        <w:rPr>
          <w:rFonts w:hint="eastAsia" w:ascii="仿宋_GB2312" w:hAnsi="仿宋_GB2312" w:eastAsia="仿宋_GB2312" w:cs="仿宋_GB2312"/>
          <w:color w:val="000000"/>
          <w:spacing w:val="6"/>
          <w:sz w:val="32"/>
          <w:szCs w:val="32"/>
          <w:lang w:eastAsia="zh-CN"/>
        </w:rPr>
        <w:t>绩效评价</w:t>
      </w:r>
      <w:r>
        <w:rPr>
          <w:rFonts w:hint="eastAsia" w:ascii="仿宋_GB2312" w:hAnsi="仿宋_GB2312" w:eastAsia="仿宋_GB2312" w:cs="仿宋_GB2312"/>
          <w:color w:val="000000"/>
          <w:spacing w:val="6"/>
          <w:sz w:val="32"/>
          <w:szCs w:val="32"/>
        </w:rPr>
        <w:t>结果要与预决算草案同步报送同级人大，同步向社会主动公开，搭建社会公众参与预算绩效管理的途径和平台，自觉接受人大和社会各界监督。</w:t>
      </w:r>
    </w:p>
    <w:p>
      <w:pPr>
        <w:numPr>
          <w:ilvl w:val="0"/>
          <w:numId w:val="0"/>
        </w:numPr>
        <w:outlineLvl w:val="9"/>
        <w:rPr>
          <w:rFonts w:hint="eastAsia"/>
          <w:lang w:val="en-US" w:eastAsia="zh-CN"/>
        </w:rPr>
      </w:pPr>
      <w:bookmarkStart w:id="144" w:name="_Toc41306296"/>
      <w:bookmarkStart w:id="145" w:name="_Toc17563"/>
      <w:bookmarkStart w:id="146" w:name="_Toc7208"/>
      <w:bookmarkStart w:id="147" w:name="_Toc30675"/>
    </w:p>
    <w:bookmarkEnd w:id="10"/>
    <w:bookmarkEnd w:id="144"/>
    <w:bookmarkEnd w:id="145"/>
    <w:bookmarkEnd w:id="146"/>
    <w:bookmarkEnd w:id="147"/>
    <w:p>
      <w:pPr>
        <w:pStyle w:val="1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textAlignment w:val="auto"/>
        <w:outlineLvl w:val="2"/>
        <w:rPr>
          <w:rFonts w:hint="default" w:ascii="Times New Roman" w:hAnsi="Times New Roman" w:eastAsia="黑体" w:cs="Times New Roman"/>
          <w:b w:val="0"/>
          <w:bCs w:val="0"/>
          <w:kern w:val="2"/>
          <w:sz w:val="32"/>
          <w:szCs w:val="21"/>
          <w:highlight w:val="none"/>
          <w:lang w:val="en-US" w:eastAsia="zh-CN" w:bidi="ar-SA"/>
        </w:rPr>
      </w:pPr>
    </w:p>
    <w:sectPr>
      <w:footerReference r:id="rId6" w:type="default"/>
      <w:footerReference r:id="rId7"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240" w:firstLineChars="1800"/>
                          </w:pP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M8qNU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3V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zyo1RECAAAJBAAADgAAAAAAAAABACAA&#10;AAAfAQAAZHJzL2Uyb0RvYy54bWxQSwUGAAAAAAYABgBZAQAAogUAAAAA&#10;">
              <v:fill on="f" focussize="0,0"/>
              <v:stroke on="f" weight="0.5pt"/>
              <v:imagedata o:title=""/>
              <o:lock v:ext="edit" aspectratio="f"/>
              <v:textbox inset="0mm,0mm,0mm,0mm" style="mso-fit-shape-to-text:t;">
                <w:txbxContent>
                  <w:p>
                    <w:pPr>
                      <w:pStyle w:val="11"/>
                      <w:ind w:firstLine="3240" w:firstLineChars="1800"/>
                    </w:pP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67592034"/>
                          </w:sdtPr>
                          <w:sdtEndPr>
                            <w:rPr>
                              <w:rFonts w:ascii="仿宋" w:hAnsi="仿宋" w:eastAsia="仿宋"/>
                              <w:sz w:val="28"/>
                              <w:szCs w:val="28"/>
                            </w:rPr>
                          </w:sdtEndPr>
                          <w:sdtContent>
                            <w:p>
                              <w:pPr>
                                <w:pStyle w:val="11"/>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nDlUR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U6cOVRECAAAJBAAADgAAAAAAAAABACAA&#10;AAAfAQAAZHJzL2Uyb0RvYy54bWxQSwUGAAAAAAYABgBZAQAAogUAAAAA&#10;">
              <v:fill on="f" focussize="0,0"/>
              <v:stroke on="f" weight="0.5pt"/>
              <v:imagedata o:title=""/>
              <o:lock v:ext="edit" aspectratio="f"/>
              <v:textbox inset="0mm,0mm,0mm,0mm" style="mso-fit-shape-to-text:t;">
                <w:txbxContent>
                  <w:sdt>
                    <w:sdtPr>
                      <w:id w:val="-1867592034"/>
                    </w:sdtPr>
                    <w:sdtEndPr>
                      <w:rPr>
                        <w:rFonts w:ascii="仿宋" w:hAnsi="仿宋" w:eastAsia="仿宋"/>
                        <w:sz w:val="28"/>
                        <w:szCs w:val="28"/>
                      </w:rPr>
                    </w:sdtEndPr>
                    <w:sdtContent>
                      <w:p>
                        <w:pPr>
                          <w:pStyle w:val="11"/>
                        </w:pPr>
                      </w:p>
                    </w:sdtContent>
                  </w:sd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Brfc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5EGt9xQCAAAVBAAADgAAAAAAAAAB&#10;ACAAAAAfAQAAZHJzL2Uyb0RvYy54bWxQSwUGAAAAAAYABgBZAQAApQ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FrnWAR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YWudYBECAAAJBAAADgAAAAAAAAABACAA&#10;AAAfAQAAZHJzL2Uyb0RvYy54bWxQSwUGAAAAAAYABgBZAQAAogUAAAAA&#10;">
              <v:fill on="f" focussize="0,0"/>
              <v:stroke on="f" weight="0.5pt"/>
              <v:imagedata o:title=""/>
              <o:lock v:ext="edit" aspectratio="f"/>
              <v:textbox inset="0mm,0mm,0mm,0mm" style="mso-fit-shape-to-text:t;">
                <w:txbxContent>
                  <w:p>
                    <w:pPr>
                      <w:pStyle w:val="11"/>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ascii="仿宋" w:hAnsi="仿宋" w:eastAsia="仿宋"/>
                              <w:sz w:val="28"/>
                              <w:szCs w:val="28"/>
                              <w:highlight w:val="none"/>
                            </w:rPr>
                            <w:t>—</w:t>
                          </w:r>
                          <w: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t xml:space="preserve"> </w:t>
                          </w:r>
                          <w:r>
                            <w:rPr>
                              <w:rFonts w:hint="eastAsia" w:ascii="仿宋" w:hAnsi="仿宋" w:eastAsia="仿宋"/>
                              <w:sz w:val="28"/>
                              <w:szCs w:val="28"/>
                              <w:highlight w:val="none"/>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pPr>
                    <w:r>
                      <w:rPr>
                        <w:rFonts w:hint="eastAsia" w:ascii="仿宋" w:hAnsi="仿宋" w:eastAsia="仿宋"/>
                        <w:sz w:val="28"/>
                        <w:szCs w:val="28"/>
                        <w:highlight w:val="none"/>
                      </w:rPr>
                      <w:t>—</w:t>
                    </w:r>
                    <w: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t xml:space="preserve"> </w:t>
                    </w:r>
                    <w:r>
                      <w:rPr>
                        <w:rFonts w:hint="eastAsia" w:ascii="仿宋" w:hAnsi="仿宋" w:eastAsia="仿宋"/>
                        <w:sz w:val="28"/>
                        <w:szCs w:val="28"/>
                        <w:highlight w:val="none"/>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ascii="仿宋" w:hAnsi="仿宋" w:eastAsia="仿宋"/>
                              <w:sz w:val="28"/>
                              <w:szCs w:val="28"/>
                              <w:highlight w:val="none"/>
                            </w:rPr>
                            <w:t>—</w:t>
                          </w:r>
                          <w: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t xml:space="preserve"> </w:t>
                          </w:r>
                          <w:r>
                            <w:rPr>
                              <w:rFonts w:hint="eastAsia" w:ascii="仿宋" w:hAnsi="仿宋" w:eastAsia="仿宋"/>
                              <w:sz w:val="28"/>
                              <w:szCs w:val="28"/>
                              <w:highlight w:val="none"/>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ascii="仿宋" w:hAnsi="仿宋" w:eastAsia="仿宋"/>
                        <w:sz w:val="28"/>
                        <w:szCs w:val="28"/>
                        <w:highlight w:val="none"/>
                      </w:rPr>
                      <w:t>—</w:t>
                    </w:r>
                    <w: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t xml:space="preserve"> </w:t>
                    </w:r>
                    <w:r>
                      <w:rPr>
                        <w:rFonts w:hint="eastAsia" w:ascii="仿宋" w:hAnsi="仿宋" w:eastAsia="仿宋"/>
                        <w:sz w:val="28"/>
                        <w:szCs w:val="28"/>
                        <w:highlight w:val="none"/>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3E4F"/>
    <w:multiLevelType w:val="multilevel"/>
    <w:tmpl w:val="12A43E4F"/>
    <w:lvl w:ilvl="0" w:tentative="0">
      <w:start w:val="1"/>
      <w:numFmt w:val="decimal"/>
      <w:suff w:val="space"/>
      <w:lvlText w:val="第%1章"/>
      <w:lvlJc w:val="left"/>
      <w:pPr>
        <w:ind w:left="3685"/>
      </w:pPr>
      <w:rPr>
        <w:rFonts w:hint="eastAsia" w:cs="Times New Roman"/>
      </w:rPr>
    </w:lvl>
    <w:lvl w:ilvl="1" w:tentative="0">
      <w:start w:val="1"/>
      <w:numFmt w:val="decimal"/>
      <w:suff w:val="space"/>
      <w:lvlText w:val="§%1.%2"/>
      <w:lvlJc w:val="left"/>
      <w:rPr>
        <w:rFonts w:hint="eastAsia" w:cs="Times New Roman"/>
      </w:rPr>
    </w:lvl>
    <w:lvl w:ilvl="2" w:tentative="0">
      <w:start w:val="1"/>
      <w:numFmt w:val="decimal"/>
      <w:suff w:val="space"/>
      <w:lvlText w:val="§%1.%2.%3"/>
      <w:lvlJc w:val="left"/>
      <w:rPr>
        <w:rFonts w:hint="eastAsia" w:cs="Times New Roman"/>
      </w:rPr>
    </w:lvl>
    <w:lvl w:ilvl="3" w:tentative="0">
      <w:start w:val="1"/>
      <w:numFmt w:val="decimal"/>
      <w:pStyle w:val="6"/>
      <w:suff w:val="space"/>
      <w:lvlText w:val="(%4)"/>
      <w:lvlJc w:val="left"/>
      <w:rPr>
        <w:rFonts w:hint="eastAsia" w:cs="Times New Roman"/>
      </w:rPr>
    </w:lvl>
    <w:lvl w:ilvl="4" w:tentative="0">
      <w:start w:val="1"/>
      <w:numFmt w:val="bullet"/>
      <w:suff w:val="space"/>
      <w:lvlText w:val=""/>
      <w:lvlJc w:val="left"/>
      <w:rPr>
        <w:rFonts w:hint="default" w:ascii="Wingdings" w:hAnsi="Wingdings"/>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366DA0"/>
    <w:rsid w:val="024971C1"/>
    <w:rsid w:val="024D5B94"/>
    <w:rsid w:val="0262009D"/>
    <w:rsid w:val="026412FF"/>
    <w:rsid w:val="026818CF"/>
    <w:rsid w:val="026E0318"/>
    <w:rsid w:val="02A52145"/>
    <w:rsid w:val="02D26E72"/>
    <w:rsid w:val="02F41103"/>
    <w:rsid w:val="02F53E74"/>
    <w:rsid w:val="02FB7869"/>
    <w:rsid w:val="03315E11"/>
    <w:rsid w:val="03BC007F"/>
    <w:rsid w:val="03EB3FC7"/>
    <w:rsid w:val="040717CA"/>
    <w:rsid w:val="040C68A6"/>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A35FB"/>
    <w:rsid w:val="07673691"/>
    <w:rsid w:val="07675D60"/>
    <w:rsid w:val="079A234F"/>
    <w:rsid w:val="07BD350D"/>
    <w:rsid w:val="07BE76F9"/>
    <w:rsid w:val="07ED67BF"/>
    <w:rsid w:val="07FB5842"/>
    <w:rsid w:val="0810522F"/>
    <w:rsid w:val="08251C3E"/>
    <w:rsid w:val="086B433E"/>
    <w:rsid w:val="087C3235"/>
    <w:rsid w:val="089524A2"/>
    <w:rsid w:val="08A44134"/>
    <w:rsid w:val="08C32FB7"/>
    <w:rsid w:val="08C80360"/>
    <w:rsid w:val="08ED6A93"/>
    <w:rsid w:val="094C130B"/>
    <w:rsid w:val="096E6557"/>
    <w:rsid w:val="097612D8"/>
    <w:rsid w:val="09776B1A"/>
    <w:rsid w:val="09870B6B"/>
    <w:rsid w:val="09D6522B"/>
    <w:rsid w:val="0A2E55C3"/>
    <w:rsid w:val="0A38598E"/>
    <w:rsid w:val="0A4F305E"/>
    <w:rsid w:val="0A9E65F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5E7DEF"/>
    <w:rsid w:val="0C6D10C4"/>
    <w:rsid w:val="0C6E7CC4"/>
    <w:rsid w:val="0C870841"/>
    <w:rsid w:val="0C8804C9"/>
    <w:rsid w:val="0CD4772C"/>
    <w:rsid w:val="0CEC71C9"/>
    <w:rsid w:val="0D8F691E"/>
    <w:rsid w:val="0DAC0FC0"/>
    <w:rsid w:val="0DBD6E33"/>
    <w:rsid w:val="0DC95DFB"/>
    <w:rsid w:val="0DCA67D5"/>
    <w:rsid w:val="0DE23BDC"/>
    <w:rsid w:val="0DEC2FD8"/>
    <w:rsid w:val="0DFC7201"/>
    <w:rsid w:val="0E5701F3"/>
    <w:rsid w:val="0E597024"/>
    <w:rsid w:val="0E5F1975"/>
    <w:rsid w:val="0E7712A1"/>
    <w:rsid w:val="0E9244A6"/>
    <w:rsid w:val="0EB43F87"/>
    <w:rsid w:val="0EE93260"/>
    <w:rsid w:val="0F0C791F"/>
    <w:rsid w:val="0F2F66D7"/>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1609D1"/>
    <w:rsid w:val="11374D2A"/>
    <w:rsid w:val="1164062F"/>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7E01C7"/>
    <w:rsid w:val="16B2239E"/>
    <w:rsid w:val="16D74074"/>
    <w:rsid w:val="16F44210"/>
    <w:rsid w:val="17051E8C"/>
    <w:rsid w:val="17213F37"/>
    <w:rsid w:val="174A3117"/>
    <w:rsid w:val="175156BB"/>
    <w:rsid w:val="177535F3"/>
    <w:rsid w:val="17876CD8"/>
    <w:rsid w:val="17991F6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6D7F1B"/>
    <w:rsid w:val="1979726C"/>
    <w:rsid w:val="1989731E"/>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2638C"/>
    <w:rsid w:val="1AD350C2"/>
    <w:rsid w:val="1AFC6CAA"/>
    <w:rsid w:val="1B003A3A"/>
    <w:rsid w:val="1B1C0FCD"/>
    <w:rsid w:val="1B1F290F"/>
    <w:rsid w:val="1B352E36"/>
    <w:rsid w:val="1B3E6055"/>
    <w:rsid w:val="1B44195B"/>
    <w:rsid w:val="1B62011E"/>
    <w:rsid w:val="1B82212A"/>
    <w:rsid w:val="1B8E3D13"/>
    <w:rsid w:val="1BC44BC3"/>
    <w:rsid w:val="1BD53688"/>
    <w:rsid w:val="1BDC6CBF"/>
    <w:rsid w:val="1BDD1553"/>
    <w:rsid w:val="1C1A2140"/>
    <w:rsid w:val="1C5546C9"/>
    <w:rsid w:val="1C5B3D52"/>
    <w:rsid w:val="1C65417E"/>
    <w:rsid w:val="1C715F47"/>
    <w:rsid w:val="1C8E2171"/>
    <w:rsid w:val="1CCB7B47"/>
    <w:rsid w:val="1CCF56FE"/>
    <w:rsid w:val="1CED7C11"/>
    <w:rsid w:val="1CF9370A"/>
    <w:rsid w:val="1D1D282B"/>
    <w:rsid w:val="1D203231"/>
    <w:rsid w:val="1D216739"/>
    <w:rsid w:val="1D4F7665"/>
    <w:rsid w:val="1D5C4CAA"/>
    <w:rsid w:val="1D8553CF"/>
    <w:rsid w:val="1D937E42"/>
    <w:rsid w:val="1DA05AE8"/>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F26EC"/>
    <w:rsid w:val="21970268"/>
    <w:rsid w:val="21B67E14"/>
    <w:rsid w:val="21DE511C"/>
    <w:rsid w:val="21F2725D"/>
    <w:rsid w:val="21F7407A"/>
    <w:rsid w:val="21FA0F0C"/>
    <w:rsid w:val="22443F52"/>
    <w:rsid w:val="22800F5B"/>
    <w:rsid w:val="22A6148F"/>
    <w:rsid w:val="22B068DF"/>
    <w:rsid w:val="22C11AA0"/>
    <w:rsid w:val="22C62F3A"/>
    <w:rsid w:val="22EF6456"/>
    <w:rsid w:val="22F912D1"/>
    <w:rsid w:val="230449BC"/>
    <w:rsid w:val="23236989"/>
    <w:rsid w:val="2324394A"/>
    <w:rsid w:val="2328248D"/>
    <w:rsid w:val="2333099E"/>
    <w:rsid w:val="234647AA"/>
    <w:rsid w:val="23573815"/>
    <w:rsid w:val="2367752F"/>
    <w:rsid w:val="23753B32"/>
    <w:rsid w:val="2380657F"/>
    <w:rsid w:val="238621A3"/>
    <w:rsid w:val="23AD3F39"/>
    <w:rsid w:val="23D5432C"/>
    <w:rsid w:val="23F1591B"/>
    <w:rsid w:val="24051C87"/>
    <w:rsid w:val="24354C4F"/>
    <w:rsid w:val="24470B4A"/>
    <w:rsid w:val="24832ECC"/>
    <w:rsid w:val="248C46D2"/>
    <w:rsid w:val="24DB4E93"/>
    <w:rsid w:val="2509275D"/>
    <w:rsid w:val="250D0121"/>
    <w:rsid w:val="250D22FE"/>
    <w:rsid w:val="25172298"/>
    <w:rsid w:val="251972DF"/>
    <w:rsid w:val="25286633"/>
    <w:rsid w:val="253B4C73"/>
    <w:rsid w:val="25672E21"/>
    <w:rsid w:val="256D11CB"/>
    <w:rsid w:val="2572129F"/>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270BA0"/>
    <w:rsid w:val="27292897"/>
    <w:rsid w:val="272A512B"/>
    <w:rsid w:val="273057C2"/>
    <w:rsid w:val="273242A5"/>
    <w:rsid w:val="2736007B"/>
    <w:rsid w:val="2736402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FB2465"/>
    <w:rsid w:val="2B0C5681"/>
    <w:rsid w:val="2B2379C3"/>
    <w:rsid w:val="2B6215F2"/>
    <w:rsid w:val="2BB875F8"/>
    <w:rsid w:val="2BCA7BD5"/>
    <w:rsid w:val="2BEE6654"/>
    <w:rsid w:val="2BF06118"/>
    <w:rsid w:val="2C082643"/>
    <w:rsid w:val="2C09361F"/>
    <w:rsid w:val="2C0B09FB"/>
    <w:rsid w:val="2C5F50E7"/>
    <w:rsid w:val="2C80640C"/>
    <w:rsid w:val="2CB044A6"/>
    <w:rsid w:val="2CD3475D"/>
    <w:rsid w:val="2CF471CC"/>
    <w:rsid w:val="2D2B1BF1"/>
    <w:rsid w:val="2D300C2A"/>
    <w:rsid w:val="2D9F4C9A"/>
    <w:rsid w:val="2DBB19C8"/>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EB1091"/>
    <w:rsid w:val="30FA2B83"/>
    <w:rsid w:val="31132AF6"/>
    <w:rsid w:val="31435308"/>
    <w:rsid w:val="316E7B6E"/>
    <w:rsid w:val="31777A59"/>
    <w:rsid w:val="31812D76"/>
    <w:rsid w:val="31B43FAE"/>
    <w:rsid w:val="32073DFD"/>
    <w:rsid w:val="32566F80"/>
    <w:rsid w:val="326233D5"/>
    <w:rsid w:val="326B0EC2"/>
    <w:rsid w:val="326C44C8"/>
    <w:rsid w:val="32BA614A"/>
    <w:rsid w:val="32D1566D"/>
    <w:rsid w:val="32E5345D"/>
    <w:rsid w:val="32EA3EBA"/>
    <w:rsid w:val="32F842C3"/>
    <w:rsid w:val="330274F1"/>
    <w:rsid w:val="33142F7A"/>
    <w:rsid w:val="334F62FB"/>
    <w:rsid w:val="337335DF"/>
    <w:rsid w:val="337749FD"/>
    <w:rsid w:val="339D73B6"/>
    <w:rsid w:val="33AE4D73"/>
    <w:rsid w:val="33C91820"/>
    <w:rsid w:val="33D86AEF"/>
    <w:rsid w:val="33EC19CF"/>
    <w:rsid w:val="33FB1B8D"/>
    <w:rsid w:val="33FB32EE"/>
    <w:rsid w:val="33FF598D"/>
    <w:rsid w:val="34621545"/>
    <w:rsid w:val="348B0BD6"/>
    <w:rsid w:val="34AA0C12"/>
    <w:rsid w:val="34B2110A"/>
    <w:rsid w:val="34C22379"/>
    <w:rsid w:val="34C50876"/>
    <w:rsid w:val="35135448"/>
    <w:rsid w:val="353C6C05"/>
    <w:rsid w:val="355B21DB"/>
    <w:rsid w:val="355E734D"/>
    <w:rsid w:val="35A013B7"/>
    <w:rsid w:val="35C72AF8"/>
    <w:rsid w:val="35CE4051"/>
    <w:rsid w:val="35D02BB2"/>
    <w:rsid w:val="35E51E53"/>
    <w:rsid w:val="35F6A475"/>
    <w:rsid w:val="362F3BFA"/>
    <w:rsid w:val="364524C4"/>
    <w:rsid w:val="365D549E"/>
    <w:rsid w:val="366521B7"/>
    <w:rsid w:val="36757D1C"/>
    <w:rsid w:val="36826112"/>
    <w:rsid w:val="36A070EC"/>
    <w:rsid w:val="36B42A54"/>
    <w:rsid w:val="36D143C2"/>
    <w:rsid w:val="36F44BA5"/>
    <w:rsid w:val="370C25EC"/>
    <w:rsid w:val="375D5EFF"/>
    <w:rsid w:val="3769177D"/>
    <w:rsid w:val="378C0C0A"/>
    <w:rsid w:val="379530C6"/>
    <w:rsid w:val="37995C56"/>
    <w:rsid w:val="37A02467"/>
    <w:rsid w:val="37AA2A2B"/>
    <w:rsid w:val="37E976EC"/>
    <w:rsid w:val="380D4B9D"/>
    <w:rsid w:val="38121C1A"/>
    <w:rsid w:val="381A0DF2"/>
    <w:rsid w:val="381D0A3E"/>
    <w:rsid w:val="383A0E52"/>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7777D0"/>
    <w:rsid w:val="3D811E42"/>
    <w:rsid w:val="3D837D98"/>
    <w:rsid w:val="3D922A13"/>
    <w:rsid w:val="3D9E02C2"/>
    <w:rsid w:val="3DC106F4"/>
    <w:rsid w:val="3E2B3F62"/>
    <w:rsid w:val="3E396A25"/>
    <w:rsid w:val="3E4D46A5"/>
    <w:rsid w:val="3E52118C"/>
    <w:rsid w:val="3E91345E"/>
    <w:rsid w:val="3ECC2AD7"/>
    <w:rsid w:val="3EDE5E36"/>
    <w:rsid w:val="3EF43A44"/>
    <w:rsid w:val="3F361EF8"/>
    <w:rsid w:val="3F4C7A99"/>
    <w:rsid w:val="3F5E0CFB"/>
    <w:rsid w:val="3F6820E8"/>
    <w:rsid w:val="3F785E92"/>
    <w:rsid w:val="3F9000D1"/>
    <w:rsid w:val="3FA31F73"/>
    <w:rsid w:val="3FB32FC5"/>
    <w:rsid w:val="3FDF0148"/>
    <w:rsid w:val="3FE63E16"/>
    <w:rsid w:val="40252866"/>
    <w:rsid w:val="402F04A0"/>
    <w:rsid w:val="408840AB"/>
    <w:rsid w:val="409509DC"/>
    <w:rsid w:val="409E77BA"/>
    <w:rsid w:val="40A57984"/>
    <w:rsid w:val="40BE6BF1"/>
    <w:rsid w:val="40E71237"/>
    <w:rsid w:val="415E2689"/>
    <w:rsid w:val="41643F29"/>
    <w:rsid w:val="41823BD3"/>
    <w:rsid w:val="419E1033"/>
    <w:rsid w:val="41D852BC"/>
    <w:rsid w:val="41ED7AF0"/>
    <w:rsid w:val="41F13BCE"/>
    <w:rsid w:val="41FB072E"/>
    <w:rsid w:val="420348D1"/>
    <w:rsid w:val="42097B6B"/>
    <w:rsid w:val="421B6EBA"/>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406369"/>
    <w:rsid w:val="44556E66"/>
    <w:rsid w:val="448122BC"/>
    <w:rsid w:val="44A92B99"/>
    <w:rsid w:val="44B03FEF"/>
    <w:rsid w:val="44B10046"/>
    <w:rsid w:val="44DF2AE7"/>
    <w:rsid w:val="44E93244"/>
    <w:rsid w:val="4504546D"/>
    <w:rsid w:val="451510B8"/>
    <w:rsid w:val="4528670D"/>
    <w:rsid w:val="452A5D48"/>
    <w:rsid w:val="455276EB"/>
    <w:rsid w:val="45C32D56"/>
    <w:rsid w:val="45CC78C7"/>
    <w:rsid w:val="45FE7AE7"/>
    <w:rsid w:val="463020CF"/>
    <w:rsid w:val="46373BE9"/>
    <w:rsid w:val="46524D89"/>
    <w:rsid w:val="468A544C"/>
    <w:rsid w:val="468B1BCE"/>
    <w:rsid w:val="469D4B1B"/>
    <w:rsid w:val="46AC19EA"/>
    <w:rsid w:val="46AD6653"/>
    <w:rsid w:val="46B74165"/>
    <w:rsid w:val="46CA4FFB"/>
    <w:rsid w:val="46DD6398"/>
    <w:rsid w:val="471B661C"/>
    <w:rsid w:val="472752D8"/>
    <w:rsid w:val="47541B92"/>
    <w:rsid w:val="47900390"/>
    <w:rsid w:val="47A348CC"/>
    <w:rsid w:val="47B82C9D"/>
    <w:rsid w:val="47F037D9"/>
    <w:rsid w:val="482E30E8"/>
    <w:rsid w:val="48384B20"/>
    <w:rsid w:val="483940A5"/>
    <w:rsid w:val="489719B6"/>
    <w:rsid w:val="489E512A"/>
    <w:rsid w:val="48BA25C3"/>
    <w:rsid w:val="48D56883"/>
    <w:rsid w:val="493F2F15"/>
    <w:rsid w:val="49532D21"/>
    <w:rsid w:val="4956496E"/>
    <w:rsid w:val="49657F06"/>
    <w:rsid w:val="49764533"/>
    <w:rsid w:val="49925A51"/>
    <w:rsid w:val="49AB61D0"/>
    <w:rsid w:val="49C41488"/>
    <w:rsid w:val="49FF3F32"/>
    <w:rsid w:val="4A017DCC"/>
    <w:rsid w:val="4A0A565D"/>
    <w:rsid w:val="4A17690A"/>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791D17"/>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3623C9"/>
    <w:rsid w:val="4D6D77F9"/>
    <w:rsid w:val="4DA6502A"/>
    <w:rsid w:val="4DA76A63"/>
    <w:rsid w:val="4DC40A29"/>
    <w:rsid w:val="4E0A344B"/>
    <w:rsid w:val="4E6A36F3"/>
    <w:rsid w:val="4E93737E"/>
    <w:rsid w:val="4EA12770"/>
    <w:rsid w:val="4EC046F5"/>
    <w:rsid w:val="4EC93D5C"/>
    <w:rsid w:val="4ECA12B4"/>
    <w:rsid w:val="4EF0641F"/>
    <w:rsid w:val="4EF53B2A"/>
    <w:rsid w:val="4EFB304E"/>
    <w:rsid w:val="4F0F4C4F"/>
    <w:rsid w:val="4F315A8C"/>
    <w:rsid w:val="4F490370"/>
    <w:rsid w:val="4F544D29"/>
    <w:rsid w:val="4F5B7C85"/>
    <w:rsid w:val="4F635298"/>
    <w:rsid w:val="4F9454BF"/>
    <w:rsid w:val="4F9C52B7"/>
    <w:rsid w:val="4FC96B8B"/>
    <w:rsid w:val="4FDA6C8F"/>
    <w:rsid w:val="4FF74967"/>
    <w:rsid w:val="4FFF7151"/>
    <w:rsid w:val="50253FD1"/>
    <w:rsid w:val="502C1819"/>
    <w:rsid w:val="502E1606"/>
    <w:rsid w:val="503E4B73"/>
    <w:rsid w:val="503F546A"/>
    <w:rsid w:val="505A5C1E"/>
    <w:rsid w:val="50625C59"/>
    <w:rsid w:val="50813B06"/>
    <w:rsid w:val="508654A4"/>
    <w:rsid w:val="509C25F0"/>
    <w:rsid w:val="50B271A1"/>
    <w:rsid w:val="50B954EA"/>
    <w:rsid w:val="50C81174"/>
    <w:rsid w:val="511C5162"/>
    <w:rsid w:val="513F29B7"/>
    <w:rsid w:val="517023EE"/>
    <w:rsid w:val="51813D34"/>
    <w:rsid w:val="519A1758"/>
    <w:rsid w:val="51AF1B37"/>
    <w:rsid w:val="51C51E76"/>
    <w:rsid w:val="51CC39AC"/>
    <w:rsid w:val="51E51128"/>
    <w:rsid w:val="522937E0"/>
    <w:rsid w:val="522C3F9D"/>
    <w:rsid w:val="5238713E"/>
    <w:rsid w:val="52D34235"/>
    <w:rsid w:val="534B1A77"/>
    <w:rsid w:val="534B7672"/>
    <w:rsid w:val="536C1090"/>
    <w:rsid w:val="53737C03"/>
    <w:rsid w:val="539E5D3D"/>
    <w:rsid w:val="53EF5A68"/>
    <w:rsid w:val="540079CA"/>
    <w:rsid w:val="54027532"/>
    <w:rsid w:val="540310D2"/>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49690B"/>
    <w:rsid w:val="557425CC"/>
    <w:rsid w:val="5587746A"/>
    <w:rsid w:val="55B04437"/>
    <w:rsid w:val="55F01018"/>
    <w:rsid w:val="562468CA"/>
    <w:rsid w:val="563665FD"/>
    <w:rsid w:val="56784506"/>
    <w:rsid w:val="56A936AC"/>
    <w:rsid w:val="56BA1C1B"/>
    <w:rsid w:val="56C83A42"/>
    <w:rsid w:val="56FA6D9E"/>
    <w:rsid w:val="57623859"/>
    <w:rsid w:val="5767274F"/>
    <w:rsid w:val="579E3DE8"/>
    <w:rsid w:val="57A17216"/>
    <w:rsid w:val="57D216E2"/>
    <w:rsid w:val="57D24171"/>
    <w:rsid w:val="57D60097"/>
    <w:rsid w:val="57D66949"/>
    <w:rsid w:val="57DC6A48"/>
    <w:rsid w:val="58156F93"/>
    <w:rsid w:val="5827352B"/>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DB2086"/>
    <w:rsid w:val="59E86C16"/>
    <w:rsid w:val="59ED2DB1"/>
    <w:rsid w:val="59F8019B"/>
    <w:rsid w:val="5A0278DF"/>
    <w:rsid w:val="5A190E8E"/>
    <w:rsid w:val="5A23356B"/>
    <w:rsid w:val="5A487E05"/>
    <w:rsid w:val="5A53173B"/>
    <w:rsid w:val="5A943606"/>
    <w:rsid w:val="5AAA653F"/>
    <w:rsid w:val="5AB90D1D"/>
    <w:rsid w:val="5ACE62ED"/>
    <w:rsid w:val="5B1E17B1"/>
    <w:rsid w:val="5B2A40D0"/>
    <w:rsid w:val="5B627C79"/>
    <w:rsid w:val="5B651940"/>
    <w:rsid w:val="5B7752B2"/>
    <w:rsid w:val="5B9D3C91"/>
    <w:rsid w:val="5C284E5F"/>
    <w:rsid w:val="5C3C237D"/>
    <w:rsid w:val="5C513549"/>
    <w:rsid w:val="5C6E6E89"/>
    <w:rsid w:val="5C705231"/>
    <w:rsid w:val="5CA55B5B"/>
    <w:rsid w:val="5CAA1701"/>
    <w:rsid w:val="5CC92078"/>
    <w:rsid w:val="5CD50D73"/>
    <w:rsid w:val="5CEC60C7"/>
    <w:rsid w:val="5CF33B63"/>
    <w:rsid w:val="5D323CF7"/>
    <w:rsid w:val="5D52490D"/>
    <w:rsid w:val="5D5A3682"/>
    <w:rsid w:val="5D647EB1"/>
    <w:rsid w:val="5D9756B6"/>
    <w:rsid w:val="5DAB6C09"/>
    <w:rsid w:val="5DB47DAE"/>
    <w:rsid w:val="5DD62B9F"/>
    <w:rsid w:val="5DF529F6"/>
    <w:rsid w:val="5DFA4DF5"/>
    <w:rsid w:val="5DFD04B0"/>
    <w:rsid w:val="5E495643"/>
    <w:rsid w:val="5E5B734D"/>
    <w:rsid w:val="5E88771E"/>
    <w:rsid w:val="5EE50805"/>
    <w:rsid w:val="5F542679"/>
    <w:rsid w:val="5F683DAD"/>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D7F7B"/>
    <w:rsid w:val="628E5793"/>
    <w:rsid w:val="62A24636"/>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85243"/>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327E1E"/>
    <w:rsid w:val="704F7779"/>
    <w:rsid w:val="708F4923"/>
    <w:rsid w:val="70B25961"/>
    <w:rsid w:val="70B75B8D"/>
    <w:rsid w:val="70BF6591"/>
    <w:rsid w:val="711A18D2"/>
    <w:rsid w:val="712966A9"/>
    <w:rsid w:val="714D6817"/>
    <w:rsid w:val="71524046"/>
    <w:rsid w:val="71533ADD"/>
    <w:rsid w:val="717D1E65"/>
    <w:rsid w:val="71A66CC4"/>
    <w:rsid w:val="720555E9"/>
    <w:rsid w:val="72193393"/>
    <w:rsid w:val="72331CBD"/>
    <w:rsid w:val="724701E1"/>
    <w:rsid w:val="725255EA"/>
    <w:rsid w:val="72BF19FC"/>
    <w:rsid w:val="72D9434B"/>
    <w:rsid w:val="72F82052"/>
    <w:rsid w:val="730C26C5"/>
    <w:rsid w:val="731C1EB6"/>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6004CA4"/>
    <w:rsid w:val="76425EE2"/>
    <w:rsid w:val="7653072E"/>
    <w:rsid w:val="766E623E"/>
    <w:rsid w:val="767F5B8B"/>
    <w:rsid w:val="76822B21"/>
    <w:rsid w:val="768C5471"/>
    <w:rsid w:val="769D58AC"/>
    <w:rsid w:val="76AA4B74"/>
    <w:rsid w:val="76B66965"/>
    <w:rsid w:val="76CA5D5C"/>
    <w:rsid w:val="77074F83"/>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B83CAE"/>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E586C"/>
    <w:rsid w:val="7B8B0C38"/>
    <w:rsid w:val="7B9850A6"/>
    <w:rsid w:val="7BE032DA"/>
    <w:rsid w:val="7BF049EB"/>
    <w:rsid w:val="7BFF6846"/>
    <w:rsid w:val="7C146461"/>
    <w:rsid w:val="7C221215"/>
    <w:rsid w:val="7C377446"/>
    <w:rsid w:val="7C5A6DFB"/>
    <w:rsid w:val="7C6E35CD"/>
    <w:rsid w:val="7CA00D26"/>
    <w:rsid w:val="7CB623F6"/>
    <w:rsid w:val="7CC30BB4"/>
    <w:rsid w:val="7CD12BEF"/>
    <w:rsid w:val="7CD9506D"/>
    <w:rsid w:val="7D076221"/>
    <w:rsid w:val="7D144EB5"/>
    <w:rsid w:val="7D6D2AF7"/>
    <w:rsid w:val="7D713FBB"/>
    <w:rsid w:val="7D8A60E2"/>
    <w:rsid w:val="7E0A5B14"/>
    <w:rsid w:val="7E121FB6"/>
    <w:rsid w:val="7E2205D3"/>
    <w:rsid w:val="7E385C8F"/>
    <w:rsid w:val="7E3C6F26"/>
    <w:rsid w:val="7E5B31B8"/>
    <w:rsid w:val="7E6A484C"/>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9"/>
    <w:pPr>
      <w:numPr>
        <w:ilvl w:val="3"/>
        <w:numId w:val="1"/>
      </w:numPr>
      <w:adjustRightInd w:val="0"/>
      <w:snapToGrid w:val="0"/>
      <w:spacing w:afterLines="50" w:line="400" w:lineRule="exact"/>
      <w:outlineLvl w:val="3"/>
    </w:pPr>
    <w:rPr>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annotation text"/>
    <w:basedOn w:val="1"/>
    <w:link w:val="32"/>
    <w:semiHidden/>
    <w:unhideWhenUsed/>
    <w:qFormat/>
    <w:uiPriority w:val="99"/>
    <w:pPr>
      <w:jc w:val="left"/>
    </w:pPr>
  </w:style>
  <w:style w:type="paragraph" w:styleId="8">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Balloon Text"/>
    <w:basedOn w:val="1"/>
    <w:link w:val="30"/>
    <w:semiHidden/>
    <w:unhideWhenUsed/>
    <w:qFormat/>
    <w:uiPriority w:val="99"/>
    <w:rPr>
      <w:sz w:val="18"/>
      <w:szCs w:val="18"/>
    </w:rPr>
  </w:style>
  <w:style w:type="paragraph" w:styleId="11">
    <w:name w:val="footer"/>
    <w:basedOn w:val="1"/>
    <w:next w:val="12"/>
    <w:link w:val="27"/>
    <w:unhideWhenUsed/>
    <w:qFormat/>
    <w:uiPriority w:val="99"/>
    <w:pPr>
      <w:tabs>
        <w:tab w:val="center" w:pos="4153"/>
        <w:tab w:val="right" w:pos="8306"/>
      </w:tabs>
      <w:snapToGrid w:val="0"/>
      <w:jc w:val="left"/>
    </w:pPr>
    <w:rPr>
      <w:sz w:val="18"/>
      <w:szCs w:val="18"/>
    </w:rPr>
  </w:style>
  <w:style w:type="paragraph" w:styleId="12">
    <w:name w:val="Normal (Web)"/>
    <w:basedOn w:val="1"/>
    <w:next w:val="13"/>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index 9"/>
    <w:basedOn w:val="1"/>
    <w:next w:val="1"/>
    <w:qFormat/>
    <w:uiPriority w:val="0"/>
    <w:pPr>
      <w:ind w:left="3360"/>
    </w:p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spacing w:line="540" w:lineRule="exact"/>
    </w:pPr>
    <w:rPr>
      <w:rFonts w:ascii="Times New Roman" w:hAnsi="Times New Roman" w:eastAsia="黑体" w:cs="Times New Roman"/>
      <w:sz w:val="28"/>
      <w:szCs w:val="24"/>
    </w:rPr>
  </w:style>
  <w:style w:type="paragraph" w:styleId="16">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7">
    <w:name w:val="annotation subject"/>
    <w:basedOn w:val="7"/>
    <w:next w:val="7"/>
    <w:link w:val="33"/>
    <w:semiHidden/>
    <w:unhideWhenUsed/>
    <w:qFormat/>
    <w:uiPriority w:val="99"/>
    <w:rPr>
      <w:b/>
      <w:bCs/>
    </w:rPr>
  </w:style>
  <w:style w:type="table" w:styleId="19">
    <w:name w:val="Table Grid"/>
    <w:basedOn w:val="1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1">
    <w:name w:val="page number"/>
    <w:basedOn w:val="20"/>
    <w:qFormat/>
    <w:uiPriority w:val="0"/>
  </w:style>
  <w:style w:type="character" w:styleId="22">
    <w:name w:val="Emphasis"/>
    <w:qFormat/>
    <w:uiPriority w:val="0"/>
    <w:rPr>
      <w:rFonts w:ascii="Times New Roman" w:hAnsi="Times New Roman" w:eastAsia="黑体"/>
      <w:iCs/>
      <w:sz w:val="24"/>
    </w:rPr>
  </w:style>
  <w:style w:type="character" w:styleId="23">
    <w:name w:val="Hyperlink"/>
    <w:unhideWhenUsed/>
    <w:qFormat/>
    <w:uiPriority w:val="99"/>
    <w:rPr>
      <w:color w:val="0000FF"/>
      <w:u w:val="single"/>
    </w:rPr>
  </w:style>
  <w:style w:type="character" w:styleId="24">
    <w:name w:val="annotation reference"/>
    <w:basedOn w:val="20"/>
    <w:semiHidden/>
    <w:unhideWhenUsed/>
    <w:qFormat/>
    <w:uiPriority w:val="99"/>
    <w:rPr>
      <w:sz w:val="21"/>
      <w:szCs w:val="21"/>
    </w:rPr>
  </w:style>
  <w:style w:type="paragraph" w:customStyle="1" w:styleId="25">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6">
    <w:name w:val="页眉 字符"/>
    <w:basedOn w:val="20"/>
    <w:link w:val="14"/>
    <w:qFormat/>
    <w:uiPriority w:val="99"/>
    <w:rPr>
      <w:sz w:val="18"/>
      <w:szCs w:val="18"/>
    </w:rPr>
  </w:style>
  <w:style w:type="character" w:customStyle="1" w:styleId="27">
    <w:name w:val="页脚 字符"/>
    <w:basedOn w:val="20"/>
    <w:link w:val="11"/>
    <w:qFormat/>
    <w:uiPriority w:val="99"/>
    <w:rPr>
      <w:sz w:val="18"/>
      <w:szCs w:val="18"/>
    </w:rPr>
  </w:style>
  <w:style w:type="character" w:customStyle="1" w:styleId="28">
    <w:name w:val="标题 1 字符"/>
    <w:basedOn w:val="20"/>
    <w:link w:val="3"/>
    <w:qFormat/>
    <w:uiPriority w:val="9"/>
    <w:rPr>
      <w:rFonts w:ascii="黑体" w:hAnsi="黑体" w:eastAsia="黑体"/>
      <w:bCs/>
      <w:kern w:val="44"/>
      <w:sz w:val="32"/>
      <w:szCs w:val="44"/>
    </w:rPr>
  </w:style>
  <w:style w:type="paragraph" w:customStyle="1" w:styleId="29">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20"/>
    <w:link w:val="10"/>
    <w:semiHidden/>
    <w:qFormat/>
    <w:uiPriority w:val="99"/>
    <w:rPr>
      <w:sz w:val="18"/>
      <w:szCs w:val="18"/>
    </w:rPr>
  </w:style>
  <w:style w:type="paragraph" w:styleId="31">
    <w:name w:val="List Paragraph"/>
    <w:basedOn w:val="1"/>
    <w:qFormat/>
    <w:uiPriority w:val="34"/>
    <w:pPr>
      <w:ind w:firstLine="420" w:firstLineChars="200"/>
    </w:pPr>
  </w:style>
  <w:style w:type="character" w:customStyle="1" w:styleId="32">
    <w:name w:val="批注文字 字符"/>
    <w:basedOn w:val="20"/>
    <w:link w:val="7"/>
    <w:semiHidden/>
    <w:qFormat/>
    <w:uiPriority w:val="99"/>
  </w:style>
  <w:style w:type="character" w:customStyle="1" w:styleId="33">
    <w:name w:val="批注主题 字符"/>
    <w:basedOn w:val="32"/>
    <w:link w:val="17"/>
    <w:semiHidden/>
    <w:qFormat/>
    <w:uiPriority w:val="99"/>
    <w:rPr>
      <w:b/>
      <w:bCs/>
    </w:rPr>
  </w:style>
  <w:style w:type="character" w:customStyle="1" w:styleId="34">
    <w:name w:val="font11"/>
    <w:basedOn w:val="20"/>
    <w:qFormat/>
    <w:uiPriority w:val="0"/>
    <w:rPr>
      <w:rFonts w:ascii="仿宋_GB2312" w:eastAsia="仿宋_GB2312" w:cs="仿宋_GB2312"/>
      <w:color w:val="000000"/>
      <w:sz w:val="22"/>
      <w:szCs w:val="22"/>
      <w:u w:val="none"/>
    </w:rPr>
  </w:style>
  <w:style w:type="character" w:customStyle="1" w:styleId="35">
    <w:name w:val="font81"/>
    <w:basedOn w:val="20"/>
    <w:qFormat/>
    <w:uiPriority w:val="0"/>
    <w:rPr>
      <w:rFonts w:hint="default" w:ascii="Times New Roman" w:hAnsi="Times New Roman" w:cs="Times New Roman"/>
      <w:b/>
      <w:color w:val="000000"/>
      <w:sz w:val="22"/>
      <w:szCs w:val="22"/>
      <w:u w:val="none"/>
    </w:rPr>
  </w:style>
  <w:style w:type="character" w:customStyle="1" w:styleId="36">
    <w:name w:val="font21"/>
    <w:basedOn w:val="20"/>
    <w:qFormat/>
    <w:uiPriority w:val="0"/>
    <w:rPr>
      <w:rFonts w:ascii="仿宋_GB2312" w:eastAsia="仿宋_GB2312" w:cs="仿宋_GB2312"/>
      <w:color w:val="000000"/>
      <w:sz w:val="22"/>
      <w:szCs w:val="22"/>
      <w:u w:val="none"/>
    </w:rPr>
  </w:style>
  <w:style w:type="character" w:customStyle="1" w:styleId="37">
    <w:name w:val="font31"/>
    <w:basedOn w:val="20"/>
    <w:qFormat/>
    <w:uiPriority w:val="0"/>
    <w:rPr>
      <w:rFonts w:ascii="仿宋_GB2312" w:eastAsia="仿宋_GB2312" w:cs="仿宋_GB2312"/>
      <w:color w:val="000000"/>
      <w:sz w:val="22"/>
      <w:szCs w:val="22"/>
      <w:u w:val="none"/>
    </w:rPr>
  </w:style>
  <w:style w:type="character" w:customStyle="1" w:styleId="38">
    <w:name w:val="font41"/>
    <w:basedOn w:val="20"/>
    <w:qFormat/>
    <w:uiPriority w:val="0"/>
    <w:rPr>
      <w:rFonts w:hint="default" w:ascii="Times New Roman" w:hAnsi="Times New Roman" w:cs="Times New Roman"/>
      <w:color w:val="000000"/>
      <w:sz w:val="22"/>
      <w:szCs w:val="22"/>
      <w:u w:val="none"/>
    </w:rPr>
  </w:style>
  <w:style w:type="character" w:customStyle="1" w:styleId="39">
    <w:name w:val="font01"/>
    <w:basedOn w:val="20"/>
    <w:qFormat/>
    <w:uiPriority w:val="0"/>
    <w:rPr>
      <w:rFonts w:hint="eastAsia" w:ascii="仿宋_GB2312" w:eastAsia="仿宋_GB2312" w:cs="仿宋_GB2312"/>
      <w:color w:val="000000"/>
      <w:sz w:val="22"/>
      <w:szCs w:val="22"/>
      <w:u w:val="none"/>
    </w:rPr>
  </w:style>
  <w:style w:type="paragraph" w:customStyle="1" w:styleId="40">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1">
    <w:name w:val="font91"/>
    <w:basedOn w:val="20"/>
    <w:qFormat/>
    <w:uiPriority w:val="0"/>
    <w:rPr>
      <w:rFonts w:hint="eastAsia" w:ascii="仿宋_GB2312" w:eastAsia="仿宋_GB2312" w:cs="仿宋_GB2312"/>
      <w:color w:val="000000"/>
      <w:sz w:val="22"/>
      <w:szCs w:val="22"/>
      <w:u w:val="none"/>
    </w:rPr>
  </w:style>
  <w:style w:type="character" w:customStyle="1" w:styleId="42">
    <w:name w:val="font61"/>
    <w:basedOn w:val="20"/>
    <w:qFormat/>
    <w:uiPriority w:val="0"/>
    <w:rPr>
      <w:rFonts w:ascii="仿宋_GB2312" w:eastAsia="仿宋_GB2312" w:cs="仿宋_GB2312"/>
      <w:b/>
      <w:color w:val="000000"/>
      <w:sz w:val="22"/>
      <w:szCs w:val="22"/>
      <w:u w:val="none"/>
    </w:rPr>
  </w:style>
  <w:style w:type="character" w:customStyle="1" w:styleId="43">
    <w:name w:val="font51"/>
    <w:basedOn w:val="20"/>
    <w:qFormat/>
    <w:uiPriority w:val="0"/>
    <w:rPr>
      <w:rFonts w:hint="eastAsia" w:ascii="仿宋_GB2312" w:eastAsia="仿宋_GB2312" w:cs="仿宋_GB2312"/>
      <w:b/>
      <w:color w:val="000000"/>
      <w:sz w:val="24"/>
      <w:szCs w:val="24"/>
      <w:u w:val="none"/>
    </w:rPr>
  </w:style>
  <w:style w:type="character" w:customStyle="1" w:styleId="44">
    <w:name w:val="font101"/>
    <w:basedOn w:val="20"/>
    <w:qFormat/>
    <w:uiPriority w:val="0"/>
    <w:rPr>
      <w:rFonts w:hint="default" w:ascii="Times New Roman" w:hAnsi="Times New Roman" w:cs="Times New Roman"/>
      <w:color w:val="000000"/>
      <w:sz w:val="24"/>
      <w:szCs w:val="24"/>
      <w:u w:val="none"/>
    </w:rPr>
  </w:style>
  <w:style w:type="character" w:customStyle="1" w:styleId="45">
    <w:name w:val="font71"/>
    <w:basedOn w:val="20"/>
    <w:qFormat/>
    <w:uiPriority w:val="0"/>
    <w:rPr>
      <w:rFonts w:hint="eastAsia" w:ascii="仿宋_GB2312" w:eastAsia="仿宋_GB2312" w:cs="仿宋_GB2312"/>
      <w:color w:val="000000"/>
      <w:sz w:val="24"/>
      <w:szCs w:val="24"/>
      <w:u w:val="none"/>
    </w:rPr>
  </w:style>
  <w:style w:type="character" w:customStyle="1" w:styleId="46">
    <w:name w:val="font112"/>
    <w:basedOn w:val="20"/>
    <w:qFormat/>
    <w:uiPriority w:val="0"/>
    <w:rPr>
      <w:rFonts w:hint="default" w:ascii="Times New Roman" w:hAnsi="Times New Roman" w:cs="Times New Roman"/>
      <w:color w:val="000000"/>
      <w:sz w:val="24"/>
      <w:szCs w:val="24"/>
      <w:u w:val="none"/>
    </w:rPr>
  </w:style>
  <w:style w:type="character" w:customStyle="1" w:styleId="47">
    <w:name w:val="font121"/>
    <w:basedOn w:val="20"/>
    <w:qFormat/>
    <w:uiPriority w:val="0"/>
    <w:rPr>
      <w:rFonts w:hint="eastAsia" w:ascii="仿宋_GB2312" w:eastAsia="仿宋_GB2312" w:cs="仿宋_GB2312"/>
      <w:b/>
      <w:color w:val="000000"/>
      <w:sz w:val="22"/>
      <w:szCs w:val="22"/>
      <w:u w:val="none"/>
    </w:rPr>
  </w:style>
  <w:style w:type="character" w:customStyle="1" w:styleId="48">
    <w:name w:val="font131"/>
    <w:basedOn w:val="20"/>
    <w:qFormat/>
    <w:uiPriority w:val="0"/>
    <w:rPr>
      <w:rFonts w:hint="eastAsia" w:ascii="仿宋_GB2312" w:eastAsia="仿宋_GB2312" w:cs="仿宋_GB2312"/>
      <w:b/>
      <w:color w:val="000000"/>
      <w:sz w:val="22"/>
      <w:szCs w:val="22"/>
      <w:u w:val="none"/>
    </w:rPr>
  </w:style>
  <w:style w:type="paragraph" w:customStyle="1" w:styleId="4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表头"/>
    <w:basedOn w:val="1"/>
    <w:qFormat/>
    <w:uiPriority w:val="0"/>
    <w:pPr>
      <w:spacing w:line="240" w:lineRule="auto"/>
      <w:ind w:firstLine="0" w:firstLineChars="0"/>
      <w:jc w:val="center"/>
    </w:pPr>
    <w:rPr>
      <w:rFonts w:eastAsia="黑体"/>
      <w:sz w:val="24"/>
    </w:rPr>
  </w:style>
  <w:style w:type="table" w:customStyle="1" w:styleId="51">
    <w:name w:val="网格型11"/>
    <w:basedOn w:val="18"/>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44</Pages>
  <Words>21079</Words>
  <Characters>23718</Characters>
  <Lines>1</Lines>
  <Paragraphs>1</Paragraphs>
  <TotalTime>1</TotalTime>
  <ScaleCrop>false</ScaleCrop>
  <LinksUpToDate>false</LinksUpToDate>
  <CharactersWithSpaces>23986</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2022-08-30T04:52:00Z</cp:lastPrinted>
  <dcterms:modified xsi:type="dcterms:W3CDTF">2023-04-26T03:13:26Z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625F9F55F30F4E598E05122D09410172</vt:lpwstr>
  </property>
</Properties>
</file>