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宋体" w:eastAsia="方正小标宋简体" w:cs="宋体"/>
          <w:bCs/>
          <w:sz w:val="44"/>
          <w:szCs w:val="44"/>
          <w:highlight w:val="none"/>
          <w:lang w:val="en-US" w:eastAsia="zh-CN"/>
        </w:rPr>
      </w:pPr>
    </w:p>
    <w:p>
      <w:pPr>
        <w:jc w:val="center"/>
        <w:rPr>
          <w:rFonts w:hint="eastAsia" w:ascii="方正小标宋简体" w:hAnsi="宋体" w:eastAsia="方正小标宋简体" w:cs="宋体"/>
          <w:bCs/>
          <w:sz w:val="44"/>
          <w:szCs w:val="44"/>
          <w:highlight w:val="none"/>
          <w:lang w:val="en-US" w:eastAsia="zh-CN"/>
        </w:rPr>
      </w:pPr>
    </w:p>
    <w:p>
      <w:pPr>
        <w:jc w:val="center"/>
        <w:rPr>
          <w:rFonts w:hint="eastAsia" w:ascii="方正小标宋简体" w:hAnsi="黑体" w:eastAsia="方正小标宋简体"/>
          <w:w w:val="98"/>
          <w:sz w:val="44"/>
          <w:szCs w:val="44"/>
          <w:lang w:val="en-US" w:eastAsia="zh-CN"/>
        </w:rPr>
      </w:pPr>
      <w:r>
        <w:rPr>
          <w:rFonts w:hint="eastAsia" w:ascii="方正小标宋简体" w:hAnsi="黑体" w:eastAsia="方正小标宋简体"/>
          <w:w w:val="98"/>
          <w:sz w:val="44"/>
          <w:szCs w:val="44"/>
        </w:rPr>
        <w:t>贵阳市</w:t>
      </w:r>
      <w:r>
        <w:rPr>
          <w:rFonts w:hint="eastAsia" w:ascii="方正小标宋简体" w:hAnsi="黑体" w:eastAsia="方正小标宋简体"/>
          <w:w w:val="98"/>
          <w:sz w:val="44"/>
          <w:szCs w:val="44"/>
          <w:lang w:val="en-US" w:eastAsia="zh-CN"/>
        </w:rPr>
        <w:t>云岩</w:t>
      </w:r>
      <w:r>
        <w:rPr>
          <w:rFonts w:hint="eastAsia" w:ascii="方正小标宋简体" w:hAnsi="黑体" w:eastAsia="方正小标宋简体"/>
          <w:w w:val="98"/>
          <w:sz w:val="44"/>
          <w:szCs w:val="44"/>
        </w:rPr>
        <w:t>区</w:t>
      </w:r>
      <w:r>
        <w:rPr>
          <w:rFonts w:hint="eastAsia" w:ascii="方正小标宋简体" w:hAnsi="黑体" w:eastAsia="方正小标宋简体"/>
          <w:w w:val="98"/>
          <w:sz w:val="44"/>
          <w:szCs w:val="44"/>
          <w:lang w:val="en-US" w:eastAsia="zh-CN"/>
        </w:rPr>
        <w:t>司法局</w:t>
      </w:r>
    </w:p>
    <w:p>
      <w:pPr>
        <w:jc w:val="center"/>
        <w:rPr>
          <w:rFonts w:ascii="Times New Roman" w:hAnsi="黑体" w:eastAsia="黑体" w:cs="宋体"/>
          <w:kern w:val="0"/>
          <w:sz w:val="24"/>
          <w:szCs w:val="24"/>
          <w:highlight w:val="none"/>
        </w:rPr>
      </w:pPr>
      <w:r>
        <w:rPr>
          <w:rFonts w:hint="eastAsia" w:ascii="方正小标宋简体" w:hAnsi="黑体" w:eastAsia="方正小标宋简体"/>
          <w:w w:val="98"/>
          <w:sz w:val="44"/>
          <w:szCs w:val="44"/>
          <w:lang w:val="en-US" w:eastAsia="zh-CN"/>
        </w:rPr>
        <w:t>2021年</w:t>
      </w:r>
      <w:r>
        <w:rPr>
          <w:rFonts w:hint="eastAsia" w:ascii="方正小标宋简体" w:hAnsi="黑体" w:eastAsia="方正小标宋简体"/>
          <w:w w:val="98"/>
          <w:sz w:val="44"/>
          <w:szCs w:val="44"/>
        </w:rPr>
        <w:t>普法宣传工作经费项目</w:t>
      </w: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jc w:val="center"/>
        <w:rPr>
          <w:rFonts w:ascii="方正小标宋简体" w:hAnsi="黑体" w:eastAsia="方正小标宋简体" w:cs="宋体"/>
          <w:kern w:val="0"/>
          <w:sz w:val="72"/>
          <w:szCs w:val="72"/>
          <w:highlight w:val="none"/>
        </w:rPr>
      </w:pPr>
      <w:r>
        <w:rPr>
          <w:rFonts w:hint="eastAsia" w:ascii="方正小标宋简体" w:hAnsi="黑体" w:eastAsia="方正小标宋简体" w:cs="宋体"/>
          <w:kern w:val="0"/>
          <w:sz w:val="72"/>
          <w:szCs w:val="72"/>
          <w:highlight w:val="none"/>
          <w:lang w:eastAsia="zh-CN"/>
        </w:rPr>
        <w:t>绩效评价</w:t>
      </w:r>
      <w:r>
        <w:rPr>
          <w:rFonts w:hint="eastAsia" w:ascii="方正小标宋简体" w:hAnsi="黑体" w:eastAsia="方正小标宋简体" w:cs="宋体"/>
          <w:kern w:val="0"/>
          <w:sz w:val="72"/>
          <w:szCs w:val="72"/>
          <w:highlight w:val="none"/>
        </w:rPr>
        <w:t>报告</w:t>
      </w: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pStyle w:val="26"/>
        <w:rPr>
          <w:rFonts w:ascii="Times New Roman" w:hAnsi="黑体" w:eastAsia="黑体" w:cs="宋体"/>
          <w:kern w:val="0"/>
          <w:sz w:val="24"/>
          <w:szCs w:val="24"/>
          <w:highlight w:val="none"/>
        </w:rPr>
      </w:pPr>
    </w:p>
    <w:p>
      <w:pPr>
        <w:pStyle w:val="26"/>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spacing w:line="360" w:lineRule="auto"/>
        <w:ind w:firstLine="2240" w:firstLineChars="800"/>
        <w:jc w:val="left"/>
        <w:rPr>
          <w:rFonts w:hint="eastAsia" w:ascii="黑体" w:hAnsi="黑体" w:eastAsia="黑体" w:cs="宋体"/>
          <w:kern w:val="0"/>
          <w:sz w:val="28"/>
          <w:szCs w:val="28"/>
          <w:lang w:val="en-US" w:eastAsia="zh-CN"/>
        </w:rPr>
      </w:pPr>
      <w:r>
        <w:rPr>
          <w:rFonts w:hint="eastAsia" w:ascii="黑体" w:hAnsi="黑体" w:eastAsia="黑体" w:cs="宋体"/>
          <w:kern w:val="0"/>
          <w:sz w:val="28"/>
          <w:szCs w:val="28"/>
        </w:rPr>
        <w:t>报告编号：贵州黔元绩效字﹝202</w:t>
      </w:r>
      <w:r>
        <w:rPr>
          <w:rFonts w:hint="eastAsia" w:ascii="黑体" w:hAnsi="黑体" w:eastAsia="黑体" w:cs="宋体"/>
          <w:kern w:val="0"/>
          <w:sz w:val="28"/>
          <w:szCs w:val="28"/>
          <w:lang w:val="en-US" w:eastAsia="zh-CN"/>
        </w:rPr>
        <w:t>2</w:t>
      </w:r>
      <w:r>
        <w:rPr>
          <w:rFonts w:hint="eastAsia" w:ascii="黑体" w:hAnsi="黑体" w:eastAsia="黑体" w:cs="宋体"/>
          <w:kern w:val="0"/>
          <w:sz w:val="28"/>
          <w:szCs w:val="28"/>
        </w:rPr>
        <w:t>﹞第</w:t>
      </w:r>
      <w:r>
        <w:rPr>
          <w:rFonts w:hint="eastAsia" w:ascii="黑体" w:hAnsi="黑体" w:eastAsia="黑体" w:cs="宋体"/>
          <w:kern w:val="0"/>
          <w:sz w:val="28"/>
          <w:szCs w:val="28"/>
          <w:lang w:val="en-US" w:eastAsia="zh-CN"/>
        </w:rPr>
        <w:t>32</w:t>
      </w:r>
      <w:r>
        <w:rPr>
          <w:rFonts w:hint="eastAsia" w:ascii="黑体" w:hAnsi="黑体" w:eastAsia="黑体" w:cs="宋体"/>
          <w:kern w:val="0"/>
          <w:sz w:val="28"/>
          <w:szCs w:val="28"/>
        </w:rPr>
        <w:t>号</w:t>
      </w:r>
    </w:p>
    <w:p>
      <w:pPr>
        <w:spacing w:line="360" w:lineRule="auto"/>
        <w:ind w:firstLine="2240" w:firstLineChars="800"/>
        <w:jc w:val="left"/>
        <w:rPr>
          <w:rFonts w:hint="eastAsia" w:ascii="黑体" w:hAnsi="黑体" w:eastAsia="黑体" w:cs="宋体"/>
          <w:kern w:val="0"/>
          <w:sz w:val="28"/>
          <w:szCs w:val="28"/>
        </w:rPr>
      </w:pPr>
      <w:r>
        <w:rPr>
          <w:rFonts w:hint="eastAsia" w:ascii="黑体" w:hAnsi="黑体" w:eastAsia="黑体" w:cs="宋体"/>
          <w:kern w:val="0"/>
          <w:sz w:val="28"/>
          <w:szCs w:val="28"/>
        </w:rPr>
        <w:t>委托单位：贵阳市</w:t>
      </w:r>
      <w:r>
        <w:rPr>
          <w:rFonts w:hint="eastAsia" w:ascii="黑体" w:hAnsi="黑体" w:eastAsia="黑体" w:cs="宋体"/>
          <w:kern w:val="0"/>
          <w:sz w:val="28"/>
          <w:szCs w:val="28"/>
          <w:lang w:val="en-US" w:eastAsia="zh-CN"/>
        </w:rPr>
        <w:t>云岩</w:t>
      </w:r>
      <w:r>
        <w:rPr>
          <w:rFonts w:hint="eastAsia" w:ascii="黑体" w:hAnsi="黑体" w:eastAsia="黑体" w:cs="宋体"/>
          <w:kern w:val="0"/>
          <w:sz w:val="28"/>
          <w:szCs w:val="28"/>
        </w:rPr>
        <w:t>区财政</w:t>
      </w:r>
      <w:r>
        <w:rPr>
          <w:rFonts w:hint="eastAsia" w:ascii="黑体" w:hAnsi="黑体" w:eastAsia="黑体" w:cs="宋体"/>
          <w:kern w:val="0"/>
          <w:sz w:val="28"/>
          <w:szCs w:val="28"/>
          <w:lang w:val="en-US" w:eastAsia="zh-CN"/>
        </w:rPr>
        <w:t>局</w:t>
      </w:r>
    </w:p>
    <w:p>
      <w:pPr>
        <w:spacing w:line="360" w:lineRule="auto"/>
        <w:ind w:firstLine="2240" w:firstLineChars="800"/>
        <w:jc w:val="left"/>
        <w:rPr>
          <w:rFonts w:hint="eastAsia" w:ascii="黑体" w:hAnsi="黑体" w:eastAsia="黑体" w:cs="宋体"/>
          <w:kern w:val="0"/>
          <w:sz w:val="28"/>
          <w:szCs w:val="28"/>
        </w:rPr>
      </w:pPr>
      <w:r>
        <w:rPr>
          <w:rFonts w:hint="eastAsia" w:ascii="黑体" w:hAnsi="黑体" w:eastAsia="黑体" w:cs="宋体"/>
          <w:kern w:val="0"/>
          <w:sz w:val="28"/>
          <w:szCs w:val="28"/>
        </w:rPr>
        <w:t>评价机构：贵州黔元会计师事务所有限公司</w:t>
      </w:r>
    </w:p>
    <w:p>
      <w:pPr>
        <w:spacing w:line="360" w:lineRule="auto"/>
        <w:ind w:firstLine="2240" w:firstLineChars="800"/>
        <w:jc w:val="left"/>
        <w:rPr>
          <w:rFonts w:hint="eastAsia" w:ascii="黑体" w:hAnsi="黑体" w:eastAsia="黑体" w:cs="宋体"/>
          <w:kern w:val="0"/>
          <w:sz w:val="28"/>
          <w:szCs w:val="28"/>
        </w:rPr>
      </w:pPr>
      <w:r>
        <w:rPr>
          <w:rFonts w:hint="eastAsia" w:ascii="黑体" w:hAnsi="黑体" w:eastAsia="黑体" w:cs="宋体"/>
          <w:kern w:val="0"/>
          <w:sz w:val="28"/>
          <w:szCs w:val="28"/>
        </w:rPr>
        <w:t>报告时间：202</w:t>
      </w:r>
      <w:r>
        <w:rPr>
          <w:rFonts w:hint="eastAsia" w:ascii="黑体" w:hAnsi="黑体" w:eastAsia="黑体" w:cs="宋体"/>
          <w:kern w:val="0"/>
          <w:sz w:val="28"/>
          <w:szCs w:val="28"/>
          <w:lang w:val="en-US" w:eastAsia="zh-CN"/>
        </w:rPr>
        <w:t>2</w:t>
      </w:r>
      <w:r>
        <w:rPr>
          <w:rFonts w:hint="eastAsia" w:ascii="黑体" w:hAnsi="黑体" w:eastAsia="黑体" w:cs="宋体"/>
          <w:kern w:val="0"/>
          <w:sz w:val="28"/>
          <w:szCs w:val="28"/>
        </w:rPr>
        <w:t>年</w:t>
      </w:r>
      <w:r>
        <w:rPr>
          <w:rFonts w:hint="eastAsia" w:ascii="黑体" w:hAnsi="黑体" w:eastAsia="黑体" w:cs="宋体"/>
          <w:kern w:val="0"/>
          <w:sz w:val="28"/>
          <w:szCs w:val="28"/>
          <w:lang w:val="en-US" w:eastAsia="zh-CN"/>
        </w:rPr>
        <w:t>12</w:t>
      </w:r>
      <w:r>
        <w:rPr>
          <w:rFonts w:hint="eastAsia" w:ascii="黑体" w:hAnsi="黑体" w:eastAsia="黑体" w:cs="宋体"/>
          <w:kern w:val="0"/>
          <w:sz w:val="28"/>
          <w:szCs w:val="28"/>
        </w:rPr>
        <w:t>月</w:t>
      </w:r>
      <w:r>
        <w:rPr>
          <w:rFonts w:hint="eastAsia" w:ascii="黑体" w:hAnsi="黑体" w:eastAsia="黑体" w:cs="宋体"/>
          <w:kern w:val="0"/>
          <w:sz w:val="28"/>
          <w:szCs w:val="28"/>
          <w:lang w:val="en-US" w:eastAsia="zh-CN"/>
        </w:rPr>
        <w:t>15</w:t>
      </w:r>
      <w:r>
        <w:rPr>
          <w:rFonts w:hint="eastAsia" w:ascii="黑体" w:hAnsi="黑体" w:eastAsia="黑体" w:cs="宋体"/>
          <w:kern w:val="0"/>
          <w:sz w:val="28"/>
          <w:szCs w:val="28"/>
        </w:rPr>
        <w:t>日</w:t>
      </w:r>
    </w:p>
    <w:p>
      <w:pPr>
        <w:spacing w:line="240" w:lineRule="auto"/>
        <w:ind w:firstLine="0" w:firstLineChars="0"/>
        <w:jc w:val="left"/>
        <w:rPr>
          <w:rFonts w:ascii="黑体" w:hAnsi="黑体" w:eastAsia="黑体" w:cs="宋体"/>
          <w:kern w:val="0"/>
          <w:sz w:val="24"/>
          <w:szCs w:val="24"/>
          <w:highlight w:val="none"/>
        </w:rPr>
      </w:pPr>
      <w:r>
        <w:rPr>
          <w:rFonts w:ascii="黑体" w:hAnsi="黑体" w:eastAsia="黑体" w:cs="宋体"/>
          <w:kern w:val="0"/>
          <w:sz w:val="24"/>
          <w:szCs w:val="24"/>
          <w:highlight w:val="none"/>
        </w:rPr>
        <w:br w:type="page"/>
      </w:r>
    </w:p>
    <w:p>
      <w:pPr>
        <w:rPr>
          <w:rFonts w:hint="eastAsia" w:ascii="黑体" w:hAnsi="宋体" w:eastAsia="黑体" w:cs="黑体"/>
          <w:color w:val="000000"/>
          <w:kern w:val="0"/>
          <w:sz w:val="24"/>
          <w:highlight w:val="none"/>
        </w:rPr>
        <w:sectPr>
          <w:pgSz w:w="11906" w:h="16838"/>
          <w:pgMar w:top="1985" w:right="1474" w:bottom="1871" w:left="1474" w:header="851" w:footer="1474" w:gutter="0"/>
          <w:pgBorders>
            <w:top w:val="none" w:sz="0" w:space="0"/>
            <w:left w:val="none" w:sz="0" w:space="0"/>
            <w:bottom w:val="none" w:sz="0" w:space="0"/>
            <w:right w:val="none" w:sz="0" w:space="0"/>
          </w:pgBorders>
          <w:pgNumType w:fmt="decimal" w:start="1"/>
          <w:cols w:space="425" w:num="1"/>
          <w:titlePg/>
          <w:docGrid w:type="lines" w:linePitch="312" w:charSpace="0"/>
        </w:sectPr>
      </w:pPr>
    </w:p>
    <w:tbl>
      <w:tblPr>
        <w:tblStyle w:val="19"/>
        <w:tblpPr w:leftFromText="180" w:rightFromText="180" w:vertAnchor="text" w:horzAnchor="margin" w:tblpY="-77"/>
        <w:tblOverlap w:val="never"/>
        <w:tblW w:w="8983" w:type="dxa"/>
        <w:tblInd w:w="0" w:type="dxa"/>
        <w:tblLayout w:type="fixed"/>
        <w:tblCellMar>
          <w:top w:w="17" w:type="dxa"/>
          <w:left w:w="17" w:type="dxa"/>
          <w:bottom w:w="17" w:type="dxa"/>
          <w:right w:w="17" w:type="dxa"/>
        </w:tblCellMar>
      </w:tblPr>
      <w:tblGrid>
        <w:gridCol w:w="1356"/>
        <w:gridCol w:w="751"/>
        <w:gridCol w:w="639"/>
        <w:gridCol w:w="492"/>
        <w:gridCol w:w="848"/>
        <w:gridCol w:w="854"/>
        <w:gridCol w:w="974"/>
        <w:gridCol w:w="1541"/>
        <w:gridCol w:w="1528"/>
      </w:tblGrid>
      <w:tr>
        <w:tblPrEx>
          <w:tblCellMar>
            <w:top w:w="17" w:type="dxa"/>
            <w:left w:w="17" w:type="dxa"/>
            <w:bottom w:w="17" w:type="dxa"/>
            <w:right w:w="17" w:type="dxa"/>
          </w:tblCellMar>
        </w:tblPrEx>
        <w:trPr>
          <w:trHeight w:val="90" w:hRule="atLeast"/>
        </w:trPr>
        <w:tc>
          <w:tcPr>
            <w:tcW w:w="8983" w:type="dxa"/>
            <w:gridSpan w:val="9"/>
            <w:noWrap w:val="0"/>
            <w:vAlign w:val="center"/>
          </w:tcPr>
          <w:p>
            <w:pPr>
              <w:rPr>
                <w:rFonts w:hint="eastAsia" w:ascii="黑体" w:hAnsi="宋体" w:eastAsia="黑体" w:cs="黑体"/>
                <w:color w:val="000000"/>
                <w:sz w:val="24"/>
                <w:highlight w:val="none"/>
                <w:lang w:val="en-US" w:eastAsia="zh-CN"/>
              </w:rPr>
            </w:pPr>
            <w:r>
              <w:rPr>
                <w:rFonts w:hint="eastAsia" w:ascii="黑体" w:hAnsi="宋体" w:eastAsia="黑体" w:cs="黑体"/>
                <w:color w:val="000000"/>
                <w:kern w:val="0"/>
                <w:sz w:val="24"/>
                <w:highlight w:val="none"/>
              </w:rPr>
              <w:t>评价分值：</w:t>
            </w:r>
            <w:r>
              <w:rPr>
                <w:rFonts w:hint="eastAsia" w:ascii="黑体" w:hAnsi="宋体" w:eastAsia="黑体" w:cs="黑体"/>
                <w:color w:val="000000"/>
                <w:kern w:val="0"/>
                <w:sz w:val="24"/>
                <w:highlight w:val="none"/>
                <w:lang w:val="en-US" w:eastAsia="zh-CN"/>
              </w:rPr>
              <w:t>92.35分</w:t>
            </w:r>
            <w:r>
              <w:rPr>
                <w:rStyle w:val="39"/>
                <w:rFonts w:hint="eastAsia" w:hAnsi="宋体"/>
                <w:highlight w:val="none"/>
              </w:rPr>
              <w:t xml:space="preserve">      </w:t>
            </w:r>
            <w:r>
              <w:rPr>
                <w:rFonts w:hint="eastAsia" w:ascii="黑体" w:hAnsi="宋体" w:eastAsia="黑体" w:cs="黑体"/>
                <w:color w:val="000000"/>
                <w:kern w:val="0"/>
                <w:sz w:val="24"/>
                <w:highlight w:val="none"/>
              </w:rPr>
              <w:t>评价等级：</w:t>
            </w:r>
            <w:r>
              <w:rPr>
                <w:rFonts w:hint="eastAsia" w:ascii="黑体" w:hAnsi="宋体" w:eastAsia="黑体" w:cs="黑体"/>
                <w:color w:val="000000"/>
                <w:kern w:val="0"/>
                <w:sz w:val="24"/>
                <w:highlight w:val="none"/>
                <w:lang w:val="en-US" w:eastAsia="zh-CN"/>
              </w:rPr>
              <w:t>优</w:t>
            </w:r>
          </w:p>
        </w:tc>
      </w:tr>
      <w:tr>
        <w:tblPrEx>
          <w:tblCellMar>
            <w:top w:w="17" w:type="dxa"/>
            <w:left w:w="17" w:type="dxa"/>
            <w:bottom w:w="17" w:type="dxa"/>
            <w:right w:w="17" w:type="dxa"/>
          </w:tblCellMar>
        </w:tblPrEx>
        <w:trPr>
          <w:trHeight w:val="299" w:hRule="atLeast"/>
        </w:trPr>
        <w:tc>
          <w:tcPr>
            <w:tcW w:w="8983" w:type="dxa"/>
            <w:gridSpan w:val="9"/>
            <w:noWrap w:val="0"/>
            <w:vAlign w:val="center"/>
          </w:tcPr>
          <w:p>
            <w:pPr>
              <w:widowControl/>
              <w:jc w:val="center"/>
              <w:textAlignment w:val="center"/>
              <w:rPr>
                <w:rFonts w:ascii="黑体" w:hAnsi="宋体" w:eastAsia="黑体" w:cs="黑体"/>
                <w:b/>
                <w:color w:val="000000"/>
                <w:sz w:val="36"/>
                <w:szCs w:val="36"/>
                <w:highlight w:val="none"/>
              </w:rPr>
            </w:pPr>
            <w:r>
              <w:rPr>
                <w:rFonts w:hint="eastAsia" w:ascii="黑体" w:hAnsi="宋体" w:eastAsia="黑体" w:cs="黑体"/>
                <w:b/>
                <w:color w:val="000000"/>
                <w:kern w:val="0"/>
                <w:sz w:val="36"/>
                <w:szCs w:val="36"/>
                <w:highlight w:val="none"/>
              </w:rPr>
              <w:t>概   要</w:t>
            </w:r>
          </w:p>
        </w:tc>
      </w:tr>
      <w:tr>
        <w:tblPrEx>
          <w:tblCellMar>
            <w:top w:w="17" w:type="dxa"/>
            <w:left w:w="17" w:type="dxa"/>
            <w:bottom w:w="17" w:type="dxa"/>
            <w:right w:w="17" w:type="dxa"/>
          </w:tblCellMar>
        </w:tblPrEx>
        <w:trPr>
          <w:trHeight w:val="330" w:hRule="atLeast"/>
        </w:trPr>
        <w:tc>
          <w:tcPr>
            <w:tcW w:w="8983" w:type="dxa"/>
            <w:gridSpan w:val="9"/>
            <w:noWrap w:val="0"/>
            <w:vAlign w:val="center"/>
          </w:tcPr>
          <w:p>
            <w:pPr>
              <w:widowControl/>
              <w:jc w:val="left"/>
              <w:textAlignment w:val="center"/>
              <w:rPr>
                <w:rFonts w:ascii="黑体" w:hAnsi="黑体" w:eastAsia="黑体" w:cs="仿宋_GB2312"/>
                <w:color w:val="000000"/>
                <w:sz w:val="22"/>
                <w:highlight w:val="none"/>
              </w:rPr>
            </w:pPr>
            <w:r>
              <w:rPr>
                <w:rFonts w:hint="eastAsia" w:ascii="黑体" w:hAnsi="黑体" w:eastAsia="黑体" w:cs="仿宋_GB2312"/>
                <w:color w:val="000000"/>
                <w:kern w:val="0"/>
                <w:sz w:val="22"/>
                <w:highlight w:val="none"/>
              </w:rPr>
              <w:t>评价机构全称（盖章）：</w:t>
            </w:r>
            <w:r>
              <w:rPr>
                <w:rFonts w:hint="eastAsia" w:ascii="黑体" w:hAnsi="黑体" w:eastAsia="黑体" w:cs="仿宋_GB2312"/>
                <w:color w:val="000000"/>
                <w:kern w:val="0"/>
                <w:sz w:val="22"/>
                <w:highlight w:val="none"/>
                <w:lang w:val="en-US" w:eastAsia="zh-CN"/>
              </w:rPr>
              <w:t>贵州黔元会计师事务所有限公司</w:t>
            </w:r>
            <w:r>
              <w:rPr>
                <w:rFonts w:hint="eastAsia" w:ascii="黑体" w:hAnsi="黑体" w:eastAsia="黑体" w:cs="仿宋_GB2312"/>
                <w:color w:val="000000"/>
                <w:kern w:val="0"/>
                <w:sz w:val="22"/>
                <w:highlight w:val="none"/>
              </w:rPr>
              <w:t xml:space="preserve">                </w:t>
            </w:r>
            <w:r>
              <w:rPr>
                <w:rFonts w:hint="eastAsia" w:ascii="黑体" w:hAnsi="黑体" w:eastAsia="黑体" w:cs="仿宋_GB2312"/>
                <w:color w:val="000000"/>
                <w:kern w:val="0"/>
                <w:sz w:val="22"/>
                <w:highlight w:val="none"/>
                <w:lang w:val="en-US" w:eastAsia="zh-CN"/>
              </w:rPr>
              <w:t xml:space="preserve"> </w:t>
            </w:r>
            <w:r>
              <w:rPr>
                <w:rFonts w:hint="eastAsia" w:ascii="黑体" w:hAnsi="黑体" w:eastAsia="黑体" w:cs="仿宋_GB2312"/>
                <w:color w:val="000000"/>
                <w:kern w:val="0"/>
                <w:sz w:val="22"/>
                <w:highlight w:val="none"/>
              </w:rPr>
              <w:t>单位：万元、个</w:t>
            </w:r>
          </w:p>
        </w:tc>
      </w:tr>
      <w:tr>
        <w:tblPrEx>
          <w:tblCellMar>
            <w:top w:w="17" w:type="dxa"/>
            <w:left w:w="17" w:type="dxa"/>
            <w:bottom w:w="17" w:type="dxa"/>
            <w:right w:w="17" w:type="dxa"/>
          </w:tblCellMar>
        </w:tblPrEx>
        <w:trPr>
          <w:trHeight w:val="359" w:hRule="atLeast"/>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项目名称</w:t>
            </w:r>
          </w:p>
        </w:tc>
        <w:tc>
          <w:tcPr>
            <w:tcW w:w="4558"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2021年云岩区司法局</w:t>
            </w:r>
            <w:r>
              <w:rPr>
                <w:rFonts w:hint="default" w:ascii="仿宋_GB2312" w:hAnsi="宋体" w:eastAsia="仿宋_GB2312" w:cs="仿宋_GB2312"/>
                <w:color w:val="000000"/>
                <w:sz w:val="20"/>
                <w:szCs w:val="20"/>
                <w:highlight w:val="none"/>
                <w:lang w:val="en-US" w:eastAsia="zh-CN"/>
              </w:rPr>
              <w:t>普法宣传工作经费</w:t>
            </w:r>
            <w:r>
              <w:rPr>
                <w:rFonts w:hint="eastAsia" w:ascii="仿宋_GB2312" w:hAnsi="宋体" w:eastAsia="仿宋_GB2312" w:cs="仿宋_GB2312"/>
                <w:color w:val="000000"/>
                <w:sz w:val="20"/>
                <w:szCs w:val="20"/>
                <w:highlight w:val="none"/>
                <w:lang w:val="en-US" w:eastAsia="zh-CN"/>
              </w:rPr>
              <w:t>项目</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评价年度</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2021年</w:t>
            </w:r>
          </w:p>
        </w:tc>
      </w:tr>
      <w:tr>
        <w:tblPrEx>
          <w:tblCellMar>
            <w:top w:w="17" w:type="dxa"/>
            <w:left w:w="17" w:type="dxa"/>
            <w:bottom w:w="17" w:type="dxa"/>
            <w:right w:w="17" w:type="dxa"/>
          </w:tblCellMar>
        </w:tblPrEx>
        <w:trPr>
          <w:trHeight w:val="510" w:hRule="atLeast"/>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主管部门</w:t>
            </w:r>
          </w:p>
        </w:tc>
        <w:tc>
          <w:tcPr>
            <w:tcW w:w="2730"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 w:val="20"/>
                <w:szCs w:val="20"/>
                <w:highlight w:val="none"/>
                <w:lang w:eastAsia="zh-CN"/>
              </w:rPr>
            </w:pPr>
            <w:r>
              <w:rPr>
                <w:rFonts w:hint="eastAsia" w:ascii="仿宋_GB2312" w:hAnsi="宋体" w:eastAsia="仿宋_GB2312" w:cs="仿宋_GB2312"/>
                <w:color w:val="000000"/>
                <w:sz w:val="20"/>
                <w:szCs w:val="20"/>
                <w:highlight w:val="none"/>
                <w:lang w:eastAsia="zh-CN"/>
              </w:rPr>
              <w:t>云岩区司法局</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联系人及联系方式</w:t>
            </w:r>
          </w:p>
        </w:tc>
        <w:tc>
          <w:tcPr>
            <w:tcW w:w="306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default" w:ascii="仿宋_GB2312" w:hAnsi="宋体" w:eastAsia="仿宋_GB2312" w:cs="仿宋_GB2312"/>
                <w:color w:val="000000"/>
                <w:sz w:val="20"/>
                <w:szCs w:val="20"/>
                <w:highlight w:val="none"/>
                <w:lang w:val="en-US"/>
              </w:rPr>
            </w:pPr>
            <w:r>
              <w:rPr>
                <w:rFonts w:hint="eastAsia" w:ascii="仿宋_GB2312" w:hAnsi="宋体" w:eastAsia="仿宋_GB2312" w:cs="仿宋_GB2312"/>
                <w:color w:val="000000"/>
                <w:sz w:val="20"/>
                <w:szCs w:val="20"/>
                <w:highlight w:val="none"/>
              </w:rPr>
              <w:t>廖堰源：</w:t>
            </w:r>
            <w:r>
              <w:rPr>
                <w:rFonts w:hint="eastAsia" w:ascii="仿宋_GB2312" w:hAnsi="宋体" w:eastAsia="仿宋_GB2312" w:cs="仿宋_GB2312"/>
                <w:color w:val="000000"/>
                <w:sz w:val="20"/>
                <w:szCs w:val="20"/>
                <w:highlight w:val="none"/>
                <w:lang w:val="en-US" w:eastAsia="zh-CN"/>
              </w:rPr>
              <w:t>18386011596</w:t>
            </w:r>
          </w:p>
        </w:tc>
      </w:tr>
      <w:tr>
        <w:tblPrEx>
          <w:tblCellMar>
            <w:top w:w="17" w:type="dxa"/>
            <w:left w:w="17" w:type="dxa"/>
            <w:bottom w:w="17" w:type="dxa"/>
            <w:right w:w="17" w:type="dxa"/>
          </w:tblCellMar>
        </w:tblPrEx>
        <w:trPr>
          <w:trHeight w:val="576" w:hRule="atLeast"/>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自评方式</w:t>
            </w:r>
          </w:p>
        </w:tc>
        <w:tc>
          <w:tcPr>
            <w:tcW w:w="139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自评</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自评分值</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100</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自评等级</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 w:val="20"/>
                <w:szCs w:val="20"/>
                <w:highlight w:val="none"/>
                <w:lang w:eastAsia="zh-CN"/>
              </w:rPr>
            </w:pPr>
            <w:r>
              <w:rPr>
                <w:rFonts w:hint="eastAsia" w:ascii="仿宋_GB2312" w:hAnsi="宋体" w:eastAsia="仿宋_GB2312" w:cs="仿宋_GB2312"/>
                <w:color w:val="000000"/>
                <w:sz w:val="20"/>
                <w:szCs w:val="20"/>
                <w:highlight w:val="none"/>
                <w:lang w:eastAsia="zh-CN"/>
              </w:rPr>
              <w:t>优</w:t>
            </w:r>
          </w:p>
        </w:tc>
      </w:tr>
      <w:tr>
        <w:tblPrEx>
          <w:tblCellMar>
            <w:top w:w="17" w:type="dxa"/>
            <w:left w:w="17" w:type="dxa"/>
            <w:bottom w:w="17" w:type="dxa"/>
            <w:right w:w="17" w:type="dxa"/>
          </w:tblCellMar>
        </w:tblPrEx>
        <w:trPr>
          <w:trHeight w:val="453" w:hRule="atLeast"/>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val="en-US" w:eastAsia="zh-CN"/>
              </w:rPr>
            </w:pPr>
            <w:r>
              <w:rPr>
                <w:rFonts w:hint="eastAsia" w:ascii="黑体" w:hAnsi="宋体" w:eastAsia="黑体" w:cs="黑体"/>
                <w:color w:val="000000"/>
                <w:kern w:val="0"/>
                <w:sz w:val="20"/>
                <w:szCs w:val="20"/>
                <w:highlight w:val="none"/>
                <w:lang w:val="en-US" w:eastAsia="zh-CN"/>
              </w:rPr>
              <w:t>区级财政预算</w:t>
            </w:r>
          </w:p>
          <w:p>
            <w:pPr>
              <w:widowControl/>
              <w:jc w:val="center"/>
              <w:textAlignment w:val="center"/>
              <w:rPr>
                <w:rFonts w:hint="default"/>
                <w:lang w:val="en-US" w:eastAsia="zh-CN"/>
              </w:rPr>
            </w:pPr>
            <w:r>
              <w:rPr>
                <w:rFonts w:hint="default" w:ascii="黑体" w:hAnsi="宋体" w:eastAsia="黑体" w:cs="黑体"/>
                <w:color w:val="000000"/>
                <w:kern w:val="0"/>
                <w:sz w:val="20"/>
                <w:szCs w:val="20"/>
                <w:highlight w:val="none"/>
                <w:lang w:val="en-US" w:eastAsia="zh-CN"/>
              </w:rPr>
              <w:t>安排资金</w:t>
            </w:r>
          </w:p>
        </w:tc>
        <w:tc>
          <w:tcPr>
            <w:tcW w:w="139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98.09</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hint="eastAsia" w:ascii="黑体" w:hAnsi="宋体" w:eastAsia="黑体" w:cs="黑体"/>
                <w:color w:val="000000"/>
                <w:kern w:val="0"/>
                <w:sz w:val="20"/>
                <w:szCs w:val="20"/>
                <w:highlight w:val="none"/>
                <w:lang w:eastAsia="zh-CN"/>
              </w:rPr>
              <w:t>抽查资金</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98.09</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hint="eastAsia" w:ascii="黑体" w:hAnsi="宋体" w:eastAsia="黑体" w:cs="黑体"/>
                <w:color w:val="000000"/>
                <w:kern w:val="0"/>
                <w:sz w:val="20"/>
                <w:szCs w:val="20"/>
                <w:highlight w:val="none"/>
                <w:lang w:eastAsia="zh-CN"/>
              </w:rPr>
              <w:t>抽查占比</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r>
      <w:tr>
        <w:tblPrEx>
          <w:tblCellMar>
            <w:top w:w="17" w:type="dxa"/>
            <w:left w:w="17" w:type="dxa"/>
            <w:bottom w:w="17" w:type="dxa"/>
            <w:right w:w="17" w:type="dxa"/>
          </w:tblCellMar>
        </w:tblPrEx>
        <w:trPr>
          <w:trHeight w:val="453" w:hRule="atLeast"/>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val="en-US" w:eastAsia="zh-CN"/>
              </w:rPr>
            </w:pPr>
            <w:r>
              <w:rPr>
                <w:rFonts w:ascii="Times New Roman" w:hAnsi="Times New Roman" w:eastAsia="黑体" w:cs="Times New Roman"/>
                <w:kern w:val="0"/>
                <w:sz w:val="20"/>
                <w:szCs w:val="20"/>
              </w:rPr>
              <w:t>项目类别</w:t>
            </w:r>
          </w:p>
        </w:tc>
        <w:tc>
          <w:tcPr>
            <w:tcW w:w="139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 w:val="20"/>
                <w:szCs w:val="20"/>
                <w:highlight w:val="none"/>
                <w:lang w:val="en-US" w:eastAsia="zh-CN"/>
              </w:rPr>
            </w:pPr>
            <w:r>
              <w:rPr>
                <w:rFonts w:hint="eastAsia" w:ascii="仿宋_GB2312" w:hAnsi="仿宋_GB2312" w:eastAsia="仿宋_GB2312" w:cs="仿宋_GB2312"/>
                <w:sz w:val="20"/>
                <w:szCs w:val="20"/>
                <w:lang w:val="en-US" w:eastAsia="zh-CN"/>
              </w:rPr>
              <w:t>1</w:t>
            </w:r>
            <w:r>
              <w:rPr>
                <w:rFonts w:hint="eastAsia" w:ascii="仿宋_GB2312" w:hAnsi="仿宋_GB2312" w:eastAsia="仿宋_GB2312" w:cs="仿宋_GB2312"/>
                <w:sz w:val="20"/>
                <w:szCs w:val="20"/>
              </w:rPr>
              <w:t>类</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ascii="Times New Roman" w:hAnsi="Times New Roman" w:eastAsia="黑体" w:cs="Times New Roman"/>
                <w:kern w:val="0"/>
                <w:sz w:val="20"/>
                <w:szCs w:val="20"/>
              </w:rPr>
              <w:t>抽查类别</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 w:val="20"/>
                <w:szCs w:val="20"/>
                <w:highlight w:val="none"/>
                <w:lang w:val="en-US" w:eastAsia="zh-CN"/>
              </w:rPr>
            </w:pPr>
            <w:r>
              <w:rPr>
                <w:rFonts w:hint="eastAsia" w:ascii="仿宋_GB2312" w:hAnsi="仿宋_GB2312" w:eastAsia="仿宋_GB2312" w:cs="仿宋_GB2312"/>
                <w:sz w:val="20"/>
                <w:szCs w:val="20"/>
                <w:lang w:val="en-US" w:eastAsia="zh-CN"/>
              </w:rPr>
              <w:t>1</w:t>
            </w:r>
            <w:r>
              <w:rPr>
                <w:rFonts w:hint="eastAsia" w:ascii="仿宋_GB2312" w:hAnsi="仿宋_GB2312" w:eastAsia="仿宋_GB2312" w:cs="仿宋_GB2312"/>
                <w:sz w:val="20"/>
                <w:szCs w:val="20"/>
              </w:rPr>
              <w:t>类</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rPr>
            </w:pPr>
            <w:r>
              <w:rPr>
                <w:rFonts w:ascii="Times New Roman" w:hAnsi="Times New Roman" w:eastAsia="黑体" w:cs="Times New Roman"/>
                <w:kern w:val="0"/>
                <w:sz w:val="20"/>
                <w:szCs w:val="20"/>
              </w:rPr>
              <w:t>类别抽查占比</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0"/>
                <w:szCs w:val="20"/>
                <w:highlight w:val="none"/>
                <w:lang w:val="en-US" w:eastAsia="zh-CN"/>
              </w:rPr>
            </w:pPr>
            <w:r>
              <w:rPr>
                <w:rFonts w:ascii="仿宋_GB2312" w:hAnsi="仿宋_GB2312" w:eastAsia="仿宋_GB2312" w:cs="仿宋_GB2312"/>
                <w:sz w:val="20"/>
                <w:szCs w:val="20"/>
              </w:rPr>
              <w:t>100%</w:t>
            </w:r>
          </w:p>
        </w:tc>
      </w:tr>
      <w:tr>
        <w:tblPrEx>
          <w:tblCellMar>
            <w:top w:w="17" w:type="dxa"/>
            <w:left w:w="17" w:type="dxa"/>
            <w:bottom w:w="17" w:type="dxa"/>
            <w:right w:w="17" w:type="dxa"/>
          </w:tblCellMar>
        </w:tblPrEx>
        <w:trPr>
          <w:trHeight w:val="453" w:hRule="atLeast"/>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黑体" w:hAnsi="宋体" w:eastAsia="黑体" w:cs="黑体"/>
                <w:color w:val="000000"/>
                <w:kern w:val="0"/>
                <w:sz w:val="20"/>
                <w:szCs w:val="20"/>
                <w:highlight w:val="none"/>
                <w:lang w:val="en-US" w:eastAsia="zh-CN"/>
              </w:rPr>
            </w:pPr>
            <w:r>
              <w:rPr>
                <w:rFonts w:hint="eastAsia" w:ascii="黑体" w:hAnsi="宋体" w:eastAsia="黑体" w:cs="黑体"/>
                <w:color w:val="000000"/>
                <w:kern w:val="0"/>
                <w:sz w:val="20"/>
                <w:szCs w:val="20"/>
                <w:highlight w:val="none"/>
                <w:lang w:val="en-US" w:eastAsia="zh-CN"/>
              </w:rPr>
              <w:t>项目数量</w:t>
            </w:r>
          </w:p>
        </w:tc>
        <w:tc>
          <w:tcPr>
            <w:tcW w:w="139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1个</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hint="eastAsia" w:ascii="黑体" w:hAnsi="宋体" w:eastAsia="黑体" w:cs="黑体"/>
                <w:color w:val="000000"/>
                <w:kern w:val="0"/>
                <w:sz w:val="20"/>
                <w:szCs w:val="20"/>
                <w:highlight w:val="none"/>
                <w:lang w:eastAsia="zh-CN"/>
              </w:rPr>
              <w:t>抽查</w:t>
            </w:r>
            <w:r>
              <w:rPr>
                <w:rFonts w:hint="eastAsia" w:ascii="黑体" w:hAnsi="宋体" w:eastAsia="黑体" w:cs="黑体"/>
                <w:color w:val="000000"/>
                <w:kern w:val="0"/>
                <w:sz w:val="20"/>
                <w:szCs w:val="20"/>
                <w:highlight w:val="none"/>
                <w:lang w:val="en-US" w:eastAsia="zh-CN"/>
              </w:rPr>
              <w:t>项目</w:t>
            </w:r>
            <w:r>
              <w:rPr>
                <w:rFonts w:hint="eastAsia" w:ascii="黑体" w:hAnsi="宋体" w:eastAsia="黑体" w:cs="黑体"/>
                <w:color w:val="000000"/>
                <w:kern w:val="0"/>
                <w:sz w:val="20"/>
                <w:szCs w:val="20"/>
                <w:highlight w:val="none"/>
                <w:lang w:eastAsia="zh-CN"/>
              </w:rPr>
              <w:t>数</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1个</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hint="eastAsia" w:ascii="黑体" w:hAnsi="宋体" w:eastAsia="黑体" w:cs="黑体"/>
                <w:color w:val="000000"/>
                <w:kern w:val="0"/>
                <w:sz w:val="20"/>
                <w:szCs w:val="20"/>
                <w:highlight w:val="none"/>
              </w:rPr>
              <w:t>抽查占比</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r>
      <w:tr>
        <w:tblPrEx>
          <w:tblCellMar>
            <w:top w:w="17" w:type="dxa"/>
            <w:left w:w="17" w:type="dxa"/>
            <w:bottom w:w="17" w:type="dxa"/>
            <w:right w:w="17" w:type="dxa"/>
          </w:tblCellMar>
        </w:tblPrEx>
        <w:trPr>
          <w:trHeight w:val="770" w:hRule="atLeast"/>
        </w:trPr>
        <w:tc>
          <w:tcPr>
            <w:tcW w:w="1356"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发放调查</w:t>
            </w:r>
          </w:p>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问卷</w:t>
            </w:r>
          </w:p>
        </w:tc>
        <w:tc>
          <w:tcPr>
            <w:tcW w:w="751"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hint="default" w:ascii="仿宋_GB2312" w:hAnsi="宋体" w:eastAsia="仿宋_GB2312" w:cs="仿宋_GB2312"/>
                <w:color w:val="000000"/>
                <w:kern w:val="0"/>
                <w:sz w:val="20"/>
                <w:szCs w:val="20"/>
                <w:highlight w:val="none"/>
                <w:lang w:val="en-US" w:eastAsia="zh-CN"/>
              </w:rPr>
            </w:pPr>
            <w:r>
              <w:rPr>
                <w:rFonts w:hint="eastAsia" w:ascii="仿宋_GB2312" w:hAnsi="宋体" w:eastAsia="仿宋_GB2312" w:cs="仿宋_GB2312"/>
                <w:color w:val="000000"/>
                <w:kern w:val="0"/>
                <w:sz w:val="20"/>
                <w:szCs w:val="20"/>
                <w:highlight w:val="none"/>
                <w:lang w:val="en-US" w:eastAsia="zh-CN"/>
              </w:rPr>
              <w:t>326</w:t>
            </w:r>
          </w:p>
        </w:tc>
        <w:tc>
          <w:tcPr>
            <w:tcW w:w="1131" w:type="dxa"/>
            <w:gridSpan w:val="2"/>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有效调查</w:t>
            </w:r>
          </w:p>
          <w:p>
            <w:pPr>
              <w:widowControl/>
              <w:spacing w:line="320" w:lineRule="exact"/>
              <w:jc w:val="center"/>
              <w:textAlignment w:val="center"/>
              <w:rPr>
                <w:rFonts w:ascii="黑体" w:hAnsi="黑体" w:eastAsia="黑体" w:cs="仿宋_GB2312"/>
                <w:color w:val="000000"/>
                <w:kern w:val="0"/>
                <w:sz w:val="20"/>
                <w:szCs w:val="20"/>
                <w:highlight w:val="none"/>
              </w:rPr>
            </w:pPr>
            <w:r>
              <w:rPr>
                <w:rFonts w:hint="eastAsia" w:ascii="黑体" w:hAnsi="宋体" w:eastAsia="黑体" w:cs="黑体"/>
                <w:color w:val="000000"/>
                <w:kern w:val="0"/>
                <w:sz w:val="20"/>
                <w:szCs w:val="20"/>
                <w:highlight w:val="none"/>
              </w:rPr>
              <w:t>问卷</w:t>
            </w:r>
          </w:p>
        </w:tc>
        <w:tc>
          <w:tcPr>
            <w:tcW w:w="848"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hint="default" w:ascii="仿宋_GB2312" w:hAnsi="宋体" w:eastAsia="仿宋_GB2312" w:cs="仿宋_GB2312"/>
                <w:color w:val="000000"/>
                <w:kern w:val="0"/>
                <w:sz w:val="20"/>
                <w:szCs w:val="20"/>
                <w:highlight w:val="none"/>
                <w:lang w:val="en-US" w:eastAsia="zh-CN"/>
              </w:rPr>
            </w:pPr>
            <w:r>
              <w:rPr>
                <w:rFonts w:hint="eastAsia" w:ascii="仿宋_GB2312" w:hAnsi="宋体" w:eastAsia="仿宋_GB2312" w:cs="仿宋_GB2312"/>
                <w:color w:val="000000"/>
                <w:kern w:val="0"/>
                <w:sz w:val="20"/>
                <w:szCs w:val="20"/>
                <w:highlight w:val="none"/>
                <w:lang w:val="en-US" w:eastAsia="zh-CN"/>
              </w:rPr>
              <w:t>303</w:t>
            </w:r>
          </w:p>
        </w:tc>
        <w:tc>
          <w:tcPr>
            <w:tcW w:w="854"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满意度</w:t>
            </w:r>
          </w:p>
          <w:p>
            <w:pPr>
              <w:widowControl/>
              <w:spacing w:line="320" w:lineRule="exact"/>
              <w:jc w:val="center"/>
              <w:textAlignment w:val="center"/>
              <w:rPr>
                <w:rFonts w:ascii="仿宋_GB2312" w:hAnsi="宋体" w:eastAsia="仿宋_GB2312" w:cs="仿宋_GB2312"/>
                <w:color w:val="000000"/>
                <w:kern w:val="0"/>
                <w:sz w:val="20"/>
                <w:szCs w:val="20"/>
                <w:highlight w:val="none"/>
              </w:rPr>
            </w:pPr>
            <w:r>
              <w:rPr>
                <w:rFonts w:hint="eastAsia" w:ascii="黑体" w:hAnsi="宋体" w:eastAsia="黑体" w:cs="黑体"/>
                <w:color w:val="000000"/>
                <w:kern w:val="0"/>
                <w:sz w:val="20"/>
                <w:szCs w:val="20"/>
                <w:highlight w:val="none"/>
              </w:rPr>
              <w:t>情况</w:t>
            </w:r>
          </w:p>
        </w:tc>
        <w:tc>
          <w:tcPr>
            <w:tcW w:w="4043" w:type="dxa"/>
            <w:gridSpan w:val="3"/>
            <w:tcBorders>
              <w:top w:val="single" w:color="000000" w:sz="4" w:space="0"/>
              <w:left w:val="single" w:color="000000" w:sz="4" w:space="0"/>
              <w:bottom w:val="single" w:color="auto" w:sz="4" w:space="0"/>
              <w:right w:val="single" w:color="000000" w:sz="4" w:space="0"/>
            </w:tcBorders>
            <w:noWrap w:val="0"/>
            <w:vAlign w:val="center"/>
          </w:tcPr>
          <w:p>
            <w:pPr>
              <w:widowControl/>
              <w:numPr>
                <w:ilvl w:val="0"/>
                <w:numId w:val="0"/>
              </w:numPr>
              <w:spacing w:line="320" w:lineRule="exact"/>
              <w:jc w:val="left"/>
              <w:textAlignment w:val="center"/>
              <w:rPr>
                <w:rFonts w:hint="default" w:ascii="仿宋_GB2312" w:hAnsi="宋体" w:eastAsia="仿宋_GB2312" w:cs="仿宋_GB2312"/>
                <w:color w:val="000000"/>
                <w:kern w:val="0"/>
                <w:sz w:val="20"/>
                <w:szCs w:val="20"/>
                <w:highlight w:val="none"/>
                <w:lang w:val="en-US" w:eastAsia="zh-CN"/>
              </w:rPr>
            </w:pPr>
            <w:r>
              <w:rPr>
                <w:rFonts w:hint="eastAsia" w:ascii="仿宋_GB2312" w:hAnsi="宋体" w:eastAsia="仿宋_GB2312" w:cs="仿宋_GB2312"/>
                <w:color w:val="000000"/>
                <w:kern w:val="0"/>
                <w:sz w:val="20"/>
                <w:szCs w:val="20"/>
                <w:highlight w:val="none"/>
                <w:lang w:val="en-US" w:eastAsia="zh-CN"/>
              </w:rPr>
              <w:t>（1）</w:t>
            </w:r>
            <w:r>
              <w:rPr>
                <w:rFonts w:hint="default" w:ascii="仿宋_GB2312" w:hAnsi="宋体" w:eastAsia="仿宋_GB2312" w:cs="仿宋_GB2312"/>
                <w:color w:val="000000"/>
                <w:kern w:val="0"/>
                <w:sz w:val="20"/>
                <w:szCs w:val="20"/>
                <w:highlight w:val="none"/>
                <w:lang w:val="en-US" w:eastAsia="zh-CN"/>
              </w:rPr>
              <w:t>国家工作人员对普法宣传教育的满意度</w:t>
            </w:r>
            <w:r>
              <w:rPr>
                <w:rFonts w:hint="eastAsia" w:ascii="仿宋_GB2312" w:hAnsi="宋体" w:eastAsia="仿宋_GB2312" w:cs="仿宋_GB2312"/>
                <w:color w:val="000000"/>
                <w:kern w:val="0"/>
                <w:sz w:val="20"/>
                <w:szCs w:val="20"/>
                <w:highlight w:val="none"/>
                <w:lang w:val="en-US" w:eastAsia="zh-CN"/>
              </w:rPr>
              <w:t>：</w:t>
            </w:r>
            <w:r>
              <w:rPr>
                <w:rFonts w:hint="default" w:ascii="仿宋_GB2312" w:hAnsi="宋体" w:eastAsia="仿宋_GB2312" w:cs="仿宋_GB2312"/>
                <w:color w:val="000000"/>
                <w:kern w:val="0"/>
                <w:sz w:val="20"/>
                <w:szCs w:val="20"/>
                <w:highlight w:val="none"/>
                <w:lang w:val="en-US" w:eastAsia="zh-CN"/>
              </w:rPr>
              <w:t>9</w:t>
            </w:r>
            <w:r>
              <w:rPr>
                <w:rFonts w:hint="eastAsia" w:ascii="仿宋_GB2312" w:hAnsi="宋体" w:eastAsia="仿宋_GB2312" w:cs="仿宋_GB2312"/>
                <w:color w:val="000000"/>
                <w:kern w:val="0"/>
                <w:sz w:val="20"/>
                <w:szCs w:val="20"/>
                <w:highlight w:val="none"/>
                <w:lang w:val="en-US" w:eastAsia="zh-CN"/>
              </w:rPr>
              <w:t>6.19</w:t>
            </w:r>
            <w:r>
              <w:rPr>
                <w:rFonts w:hint="default" w:ascii="仿宋_GB2312" w:hAnsi="宋体" w:eastAsia="仿宋_GB2312" w:cs="仿宋_GB2312"/>
                <w:color w:val="000000"/>
                <w:kern w:val="0"/>
                <w:sz w:val="20"/>
                <w:szCs w:val="20"/>
                <w:highlight w:val="none"/>
                <w:lang w:val="en-US" w:eastAsia="zh-CN"/>
              </w:rPr>
              <w:t>%</w:t>
            </w:r>
            <w:r>
              <w:rPr>
                <w:rFonts w:hint="eastAsia" w:ascii="仿宋_GB2312" w:hAnsi="宋体" w:eastAsia="仿宋_GB2312" w:cs="仿宋_GB2312"/>
                <w:color w:val="000000"/>
                <w:kern w:val="0"/>
                <w:sz w:val="20"/>
                <w:szCs w:val="20"/>
                <w:highlight w:val="none"/>
                <w:lang w:val="en-US" w:eastAsia="zh-CN"/>
              </w:rPr>
              <w:t>；</w:t>
            </w:r>
          </w:p>
          <w:p>
            <w:pPr>
              <w:widowControl/>
              <w:numPr>
                <w:ilvl w:val="0"/>
                <w:numId w:val="0"/>
              </w:numPr>
              <w:spacing w:line="320" w:lineRule="exact"/>
              <w:jc w:val="left"/>
              <w:textAlignment w:val="center"/>
              <w:rPr>
                <w:rFonts w:hint="default" w:ascii="仿宋_GB2312" w:hAnsi="宋体" w:eastAsia="仿宋_GB2312" w:cs="仿宋_GB2312"/>
                <w:color w:val="000000"/>
                <w:kern w:val="0"/>
                <w:sz w:val="20"/>
                <w:szCs w:val="20"/>
                <w:highlight w:val="none"/>
                <w:lang w:val="en-US" w:eastAsia="zh-CN"/>
              </w:rPr>
            </w:pPr>
            <w:r>
              <w:rPr>
                <w:rFonts w:hint="eastAsia" w:ascii="仿宋_GB2312" w:hAnsi="宋体" w:eastAsia="仿宋_GB2312" w:cs="仿宋_GB2312"/>
                <w:color w:val="000000"/>
                <w:kern w:val="0"/>
                <w:sz w:val="20"/>
                <w:szCs w:val="20"/>
                <w:highlight w:val="none"/>
                <w:lang w:val="en-US" w:eastAsia="zh-CN"/>
              </w:rPr>
              <w:t>（2）</w:t>
            </w:r>
            <w:r>
              <w:rPr>
                <w:rFonts w:hint="default" w:ascii="仿宋_GB2312" w:hAnsi="宋体" w:eastAsia="仿宋_GB2312" w:cs="仿宋_GB2312"/>
                <w:color w:val="000000"/>
                <w:kern w:val="0"/>
                <w:sz w:val="20"/>
                <w:szCs w:val="20"/>
                <w:highlight w:val="none"/>
                <w:lang w:val="en-US" w:eastAsia="zh-CN"/>
              </w:rPr>
              <w:t>群众对普法宣传教育工作的满意度</w:t>
            </w:r>
            <w:r>
              <w:rPr>
                <w:rFonts w:hint="eastAsia" w:ascii="仿宋_GB2312" w:hAnsi="宋体" w:eastAsia="仿宋_GB2312" w:cs="仿宋_GB2312"/>
                <w:color w:val="000000"/>
                <w:kern w:val="0"/>
                <w:sz w:val="20"/>
                <w:szCs w:val="20"/>
                <w:highlight w:val="none"/>
                <w:lang w:val="en-US" w:eastAsia="zh-CN"/>
              </w:rPr>
              <w:t>：</w:t>
            </w:r>
            <w:r>
              <w:rPr>
                <w:rFonts w:hint="default" w:ascii="仿宋_GB2312" w:hAnsi="宋体" w:eastAsia="仿宋_GB2312" w:cs="仿宋_GB2312"/>
                <w:color w:val="000000"/>
                <w:kern w:val="0"/>
                <w:sz w:val="20"/>
                <w:szCs w:val="20"/>
                <w:highlight w:val="none"/>
                <w:lang w:val="en-US" w:eastAsia="zh-CN"/>
              </w:rPr>
              <w:t>9</w:t>
            </w:r>
            <w:r>
              <w:rPr>
                <w:rFonts w:hint="eastAsia" w:ascii="仿宋_GB2312" w:hAnsi="宋体" w:eastAsia="仿宋_GB2312" w:cs="仿宋_GB2312"/>
                <w:color w:val="000000"/>
                <w:kern w:val="0"/>
                <w:sz w:val="20"/>
                <w:szCs w:val="20"/>
                <w:highlight w:val="none"/>
                <w:lang w:val="en-US" w:eastAsia="zh-CN"/>
              </w:rPr>
              <w:t>4.73</w:t>
            </w:r>
            <w:r>
              <w:rPr>
                <w:rFonts w:hint="default" w:ascii="仿宋_GB2312" w:hAnsi="宋体" w:eastAsia="仿宋_GB2312" w:cs="仿宋_GB2312"/>
                <w:color w:val="000000"/>
                <w:kern w:val="0"/>
                <w:sz w:val="20"/>
                <w:szCs w:val="20"/>
                <w:highlight w:val="none"/>
                <w:lang w:val="en-US" w:eastAsia="zh-CN"/>
              </w:rPr>
              <w:t>%</w:t>
            </w:r>
          </w:p>
        </w:tc>
      </w:tr>
      <w:tr>
        <w:tblPrEx>
          <w:tblCellMar>
            <w:top w:w="17" w:type="dxa"/>
            <w:left w:w="17" w:type="dxa"/>
            <w:bottom w:w="17" w:type="dxa"/>
            <w:right w:w="17" w:type="dxa"/>
          </w:tblCellMar>
        </w:tblPrEx>
        <w:trPr>
          <w:trHeight w:val="90" w:hRule="atLeast"/>
        </w:trPr>
        <w:tc>
          <w:tcPr>
            <w:tcW w:w="1356"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绩效目标</w:t>
            </w:r>
          </w:p>
          <w:p>
            <w:pPr>
              <w:widowControl/>
              <w:spacing w:line="320" w:lineRule="exact"/>
              <w:jc w:val="center"/>
              <w:textAlignment w:val="center"/>
              <w:rPr>
                <w:rFonts w:hint="eastAsia"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实现情况</w:t>
            </w:r>
          </w:p>
        </w:tc>
        <w:tc>
          <w:tcPr>
            <w:tcW w:w="7627" w:type="dxa"/>
            <w:gridSpan w:val="8"/>
            <w:tcBorders>
              <w:top w:val="single" w:color="000000" w:sz="4" w:space="0"/>
              <w:left w:val="single" w:color="000000" w:sz="4" w:space="0"/>
              <w:bottom w:val="single" w:color="auto" w:sz="4" w:space="0"/>
              <w:right w:val="single" w:color="000000" w:sz="4" w:space="0"/>
            </w:tcBorders>
            <w:noWrap w:val="0"/>
            <w:vAlign w:val="center"/>
          </w:tcPr>
          <w:p>
            <w:pPr>
              <w:pStyle w:val="26"/>
              <w:rPr>
                <w:rFonts w:hint="default" w:ascii="仿宋_GB2312" w:hAnsi="宋体" w:eastAsia="仿宋_GB2312" w:cs="仿宋_GB2312"/>
                <w:color w:val="000000"/>
                <w:sz w:val="20"/>
                <w:szCs w:val="20"/>
                <w:highlight w:val="none"/>
                <w:lang w:val="en-US" w:eastAsia="zh-CN"/>
              </w:rPr>
            </w:pPr>
            <w:r>
              <w:rPr>
                <w:rFonts w:hint="default" w:ascii="仿宋_GB2312" w:hAnsi="宋体" w:eastAsia="仿宋_GB2312" w:cs="仿宋_GB2312"/>
                <w:color w:val="000000"/>
                <w:sz w:val="20"/>
                <w:szCs w:val="20"/>
                <w:highlight w:val="none"/>
                <w:lang w:val="en-US" w:eastAsia="zh-CN"/>
              </w:rPr>
              <w:t>2021年普法宣传工作资金绩效目标合计6个，已完成5个，部分完成1个</w:t>
            </w:r>
            <w:r>
              <w:rPr>
                <w:rFonts w:hint="eastAsia" w:ascii="仿宋_GB2312" w:hAnsi="宋体" w:cs="仿宋_GB2312"/>
                <w:color w:val="000000"/>
                <w:sz w:val="20"/>
                <w:szCs w:val="20"/>
                <w:highlight w:val="none"/>
                <w:lang w:val="en-US" w:eastAsia="zh-CN"/>
              </w:rPr>
              <w:t>。</w:t>
            </w:r>
          </w:p>
        </w:tc>
      </w:tr>
      <w:tr>
        <w:tblPrEx>
          <w:tblCellMar>
            <w:top w:w="17" w:type="dxa"/>
            <w:left w:w="17" w:type="dxa"/>
            <w:bottom w:w="17" w:type="dxa"/>
            <w:right w:w="17" w:type="dxa"/>
          </w:tblCellMar>
        </w:tblPrEx>
        <w:trPr>
          <w:trHeight w:val="750" w:hRule="atLeast"/>
        </w:trPr>
        <w:tc>
          <w:tcPr>
            <w:tcW w:w="1356"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评价问题</w:t>
            </w:r>
          </w:p>
          <w:p>
            <w:pPr>
              <w:widowControl/>
              <w:spacing w:line="32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简要情况</w:t>
            </w:r>
          </w:p>
        </w:tc>
        <w:tc>
          <w:tcPr>
            <w:tcW w:w="7627"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（一）</w:t>
            </w:r>
            <w:r>
              <w:rPr>
                <w:rFonts w:hint="eastAsia" w:ascii="仿宋_GB2312" w:hAnsi="仿宋_GB2312" w:eastAsia="仿宋_GB2312" w:cs="仿宋_GB2312"/>
                <w:sz w:val="20"/>
                <w:szCs w:val="20"/>
                <w:lang w:val="en-US" w:eastAsia="zh-CN"/>
              </w:rPr>
              <w:t>政策</w:t>
            </w:r>
            <w:r>
              <w:rPr>
                <w:rFonts w:hint="eastAsia" w:ascii="仿宋_GB2312" w:hAnsi="仿宋_GB2312" w:eastAsia="仿宋_GB2312" w:cs="仿宋_GB2312"/>
                <w:sz w:val="20"/>
                <w:szCs w:val="20"/>
              </w:rPr>
              <w:t>制度方面</w:t>
            </w:r>
          </w:p>
          <w:p>
            <w:pPr>
              <w:widowControl/>
              <w:spacing w:line="400" w:lineRule="exact"/>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项目预算调整及支出调整手续不完备，制度未有效执行。</w:t>
            </w:r>
          </w:p>
          <w:p>
            <w:pPr>
              <w:widowControl/>
              <w:spacing w:line="400" w:lineRule="exact"/>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（二）资金</w:t>
            </w:r>
            <w:r>
              <w:rPr>
                <w:rFonts w:hint="eastAsia" w:ascii="仿宋_GB2312" w:hAnsi="仿宋_GB2312" w:eastAsia="仿宋_GB2312" w:cs="仿宋_GB2312"/>
                <w:sz w:val="20"/>
                <w:szCs w:val="20"/>
                <w:lang w:val="en-US" w:eastAsia="zh-CN"/>
              </w:rPr>
              <w:t>管理</w:t>
            </w:r>
            <w:r>
              <w:rPr>
                <w:rFonts w:hint="eastAsia" w:ascii="仿宋_GB2312" w:hAnsi="仿宋_GB2312" w:eastAsia="仿宋_GB2312" w:cs="仿宋_GB2312"/>
                <w:sz w:val="20"/>
                <w:szCs w:val="20"/>
              </w:rPr>
              <w:t>方面</w:t>
            </w:r>
          </w:p>
          <w:p>
            <w:pPr>
              <w:widowControl/>
              <w:spacing w:line="400" w:lineRule="exact"/>
              <w:jc w:val="left"/>
              <w:textAlignment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rPr>
              <w:t>1．资金使用不符合项目预算规定的用途。</w:t>
            </w:r>
            <w:r>
              <w:rPr>
                <w:rFonts w:hint="eastAsia" w:ascii="仿宋_GB2312" w:hAnsi="仿宋_GB2312" w:eastAsia="仿宋_GB2312" w:cs="仿宋_GB2312"/>
                <w:sz w:val="20"/>
                <w:szCs w:val="20"/>
                <w:lang w:val="en-US" w:eastAsia="zh-CN"/>
              </w:rPr>
              <w:t>项目经费中包含</w:t>
            </w:r>
            <w:r>
              <w:rPr>
                <w:rFonts w:hint="eastAsia" w:ascii="仿宋_GB2312" w:hAnsi="仿宋_GB2312" w:eastAsia="仿宋_GB2312" w:cs="仿宋_GB2312"/>
                <w:sz w:val="20"/>
                <w:szCs w:val="20"/>
                <w:lang w:val="zh-CN" w:eastAsia="zh-CN"/>
              </w:rPr>
              <w:t>17,047.00元</w:t>
            </w:r>
            <w:r>
              <w:rPr>
                <w:rFonts w:hint="eastAsia" w:ascii="仿宋_GB2312" w:hAnsi="仿宋_GB2312" w:eastAsia="仿宋_GB2312" w:cs="仿宋_GB2312"/>
                <w:sz w:val="20"/>
                <w:szCs w:val="20"/>
                <w:lang w:val="en-US" w:eastAsia="zh-CN"/>
              </w:rPr>
              <w:t>办公耗材费用。</w:t>
            </w:r>
          </w:p>
          <w:p>
            <w:pPr>
              <w:widowControl/>
              <w:spacing w:line="400" w:lineRule="exact"/>
              <w:jc w:val="left"/>
              <w:textAlignment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rPr>
              <w:t>2．预算编制科学性不足。未根据年度工作计划开展预算资金分配工作</w:t>
            </w:r>
            <w:r>
              <w:rPr>
                <w:rFonts w:hint="eastAsia" w:ascii="仿宋_GB2312" w:hAnsi="仿宋_GB2312" w:eastAsia="仿宋_GB2312" w:cs="仿宋_GB2312"/>
                <w:sz w:val="20"/>
                <w:szCs w:val="20"/>
                <w:lang w:val="en-US" w:eastAsia="zh-CN"/>
              </w:rPr>
              <w:t>。</w:t>
            </w:r>
          </w:p>
          <w:p>
            <w:pPr>
              <w:widowControl/>
              <w:spacing w:line="400" w:lineRule="exact"/>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（三）绩效管理方面</w:t>
            </w:r>
          </w:p>
          <w:p>
            <w:pPr>
              <w:keepNext w:val="0"/>
              <w:keepLines w:val="0"/>
              <w:pageBreakBefore w:val="0"/>
              <w:widowControl/>
              <w:kinsoku/>
              <w:wordWrap/>
              <w:overflowPunct/>
              <w:topLinePunct w:val="0"/>
              <w:autoSpaceDE/>
              <w:autoSpaceDN/>
              <w:bidi w:val="0"/>
              <w:adjustRightInd/>
              <w:snapToGrid/>
              <w:spacing w:line="400" w:lineRule="exact"/>
              <w:jc w:val="left"/>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仿宋_GB2312" w:eastAsia="仿宋_GB2312" w:cs="仿宋_GB2312"/>
                <w:sz w:val="20"/>
                <w:szCs w:val="20"/>
              </w:rPr>
              <w:t>绩效</w:t>
            </w:r>
            <w:r>
              <w:rPr>
                <w:rFonts w:hint="eastAsia" w:ascii="仿宋_GB2312" w:hAnsi="仿宋_GB2312" w:eastAsia="仿宋_GB2312" w:cs="仿宋_GB2312"/>
                <w:sz w:val="20"/>
                <w:szCs w:val="20"/>
                <w:lang w:val="en-US" w:eastAsia="zh-CN"/>
              </w:rPr>
              <w:t>指标</w:t>
            </w:r>
            <w:r>
              <w:rPr>
                <w:rFonts w:hint="eastAsia" w:ascii="仿宋_GB2312" w:hAnsi="仿宋_GB2312" w:eastAsia="仿宋_GB2312" w:cs="仿宋_GB2312"/>
                <w:sz w:val="20"/>
                <w:szCs w:val="20"/>
              </w:rPr>
              <w:t>编制合理性有待加强。</w:t>
            </w:r>
            <w:r>
              <w:rPr>
                <w:rFonts w:hint="eastAsia" w:ascii="仿宋_GB2312" w:hAnsi="仿宋_GB2312" w:eastAsia="仿宋_GB2312" w:cs="仿宋_GB2312"/>
                <w:sz w:val="20"/>
                <w:szCs w:val="20"/>
                <w:lang w:val="zh-CN"/>
              </w:rPr>
              <w:t>普法宣传活动、印制普法宣传资料</w:t>
            </w:r>
            <w:r>
              <w:rPr>
                <w:rFonts w:hint="eastAsia" w:ascii="仿宋_GB2312" w:hAnsi="仿宋_GB2312" w:eastAsia="仿宋_GB2312" w:cs="仿宋_GB2312"/>
                <w:sz w:val="20"/>
                <w:szCs w:val="20"/>
                <w:lang w:val="en-US" w:eastAsia="zh-CN"/>
              </w:rPr>
              <w:t>数量和</w:t>
            </w:r>
            <w:r>
              <w:rPr>
                <w:rFonts w:hint="eastAsia" w:ascii="仿宋_GB2312" w:hAnsi="仿宋_GB2312" w:eastAsia="仿宋_GB2312" w:cs="仿宋_GB2312"/>
                <w:sz w:val="20"/>
                <w:szCs w:val="20"/>
                <w:lang w:val="zh-CN"/>
              </w:rPr>
              <w:t>普法宣传活动</w:t>
            </w:r>
            <w:r>
              <w:rPr>
                <w:rFonts w:hint="eastAsia" w:ascii="仿宋_GB2312" w:hAnsi="仿宋_GB2312" w:eastAsia="仿宋_GB2312" w:cs="仿宋_GB2312"/>
                <w:sz w:val="20"/>
                <w:szCs w:val="20"/>
                <w:lang w:val="en-US" w:eastAsia="zh-CN"/>
              </w:rPr>
              <w:t>时间间隔绩效指标值低于历史标准；社会效益指标指标值不清晰，不可衡量。</w:t>
            </w:r>
          </w:p>
        </w:tc>
      </w:tr>
      <w:tr>
        <w:tblPrEx>
          <w:tblCellMar>
            <w:top w:w="17" w:type="dxa"/>
            <w:left w:w="17" w:type="dxa"/>
            <w:bottom w:w="17" w:type="dxa"/>
            <w:right w:w="17" w:type="dxa"/>
          </w:tblCellMar>
        </w:tblPrEx>
        <w:trPr>
          <w:trHeight w:val="386" w:hRule="atLeast"/>
        </w:trPr>
        <w:tc>
          <w:tcPr>
            <w:tcW w:w="1356" w:type="dxa"/>
            <w:tcBorders>
              <w:top w:val="single" w:color="auto"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评价问题</w:t>
            </w:r>
          </w:p>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简要建议</w:t>
            </w:r>
          </w:p>
        </w:tc>
        <w:tc>
          <w:tcPr>
            <w:tcW w:w="7627" w:type="dxa"/>
            <w:gridSpan w:val="8"/>
            <w:tcBorders>
              <w:top w:val="single" w:color="auto" w:sz="4" w:space="0"/>
              <w:left w:val="single" w:color="000000" w:sz="4" w:space="0"/>
              <w:bottom w:val="single" w:color="auto" w:sz="4" w:space="0"/>
              <w:right w:val="single" w:color="000000" w:sz="4" w:space="0"/>
            </w:tcBorders>
            <w:noWrap w:val="0"/>
            <w:vAlign w:val="center"/>
          </w:tcPr>
          <w:p>
            <w:pPr>
              <w:widowControl/>
              <w:spacing w:line="400" w:lineRule="exact"/>
              <w:jc w:val="left"/>
              <w:textAlignment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（一）政策制度方面</w:t>
            </w:r>
          </w:p>
          <w:p>
            <w:pPr>
              <w:widowControl/>
              <w:spacing w:line="400" w:lineRule="exact"/>
              <w:jc w:val="left"/>
              <w:textAlignment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加强人员培训指导，严格执行管理制度规定。</w:t>
            </w:r>
          </w:p>
          <w:p>
            <w:pPr>
              <w:widowControl/>
              <w:spacing w:line="400" w:lineRule="exact"/>
              <w:jc w:val="left"/>
              <w:textAlignment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（二）资金管理方面</w:t>
            </w:r>
          </w:p>
          <w:p>
            <w:pPr>
              <w:widowControl/>
              <w:spacing w:line="400" w:lineRule="exact"/>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1．严格按照项目预算批复的用途使用资金。</w:t>
            </w:r>
          </w:p>
          <w:p>
            <w:pPr>
              <w:widowControl/>
              <w:spacing w:line="400" w:lineRule="exact"/>
              <w:jc w:val="left"/>
              <w:textAlignment w:val="center"/>
              <w:rPr>
                <w:rFonts w:hint="eastAsia" w:ascii="仿宋_GB2312" w:hAnsi="仿宋_GB2312" w:eastAsia="仿宋_GB2312" w:cs="仿宋_GB2312"/>
                <w:sz w:val="20"/>
                <w:szCs w:val="20"/>
                <w:lang w:eastAsia="zh-CN"/>
              </w:rPr>
            </w:pPr>
            <w:r>
              <w:rPr>
                <w:rFonts w:hint="eastAsia" w:ascii="仿宋_GB2312" w:hAnsi="仿宋_GB2312" w:eastAsia="仿宋_GB2312" w:cs="仿宋_GB2312"/>
                <w:sz w:val="20"/>
                <w:szCs w:val="20"/>
              </w:rPr>
              <w:t>2．提高项目预算编制科学性。</w:t>
            </w:r>
          </w:p>
          <w:p>
            <w:pPr>
              <w:widowControl/>
              <w:spacing w:line="400" w:lineRule="exact"/>
              <w:jc w:val="left"/>
              <w:textAlignment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w:t>
            </w:r>
            <w:r>
              <w:rPr>
                <w:rFonts w:hint="eastAsia" w:ascii="仿宋_GB2312" w:hAnsi="仿宋_GB2312" w:eastAsia="仿宋_GB2312" w:cs="仿宋_GB2312"/>
                <w:sz w:val="20"/>
                <w:szCs w:val="20"/>
                <w:lang w:eastAsia="zh-CN"/>
              </w:rPr>
              <w:t>三</w:t>
            </w:r>
            <w:r>
              <w:rPr>
                <w:rFonts w:hint="eastAsia" w:ascii="仿宋_GB2312" w:hAnsi="仿宋_GB2312" w:eastAsia="仿宋_GB2312" w:cs="仿宋_GB2312"/>
                <w:sz w:val="20"/>
                <w:szCs w:val="20"/>
              </w:rPr>
              <w:t>）绩效管理方面</w:t>
            </w:r>
          </w:p>
          <w:p>
            <w:pPr>
              <w:widowControl/>
              <w:spacing w:line="400" w:lineRule="exact"/>
              <w:jc w:val="left"/>
              <w:textAlignment w:val="center"/>
              <w:rPr>
                <w:rFonts w:hint="eastAsia" w:ascii="仿宋_GB2312" w:hAnsi="宋体" w:eastAsia="仿宋_GB2312" w:cs="仿宋_GB2312"/>
                <w:color w:val="000000"/>
                <w:sz w:val="20"/>
                <w:szCs w:val="20"/>
                <w:highlight w:val="none"/>
              </w:rPr>
            </w:pPr>
            <w:r>
              <w:rPr>
                <w:rFonts w:hint="eastAsia" w:ascii="仿宋_GB2312" w:hAnsi="仿宋_GB2312" w:eastAsia="仿宋_GB2312" w:cs="仿宋_GB2312"/>
                <w:sz w:val="20"/>
                <w:szCs w:val="20"/>
              </w:rPr>
              <w:t>科学设置项目绩效指标。</w:t>
            </w:r>
          </w:p>
        </w:tc>
      </w:tr>
      <w:tr>
        <w:tblPrEx>
          <w:tblCellMar>
            <w:top w:w="17" w:type="dxa"/>
            <w:left w:w="17" w:type="dxa"/>
            <w:bottom w:w="17" w:type="dxa"/>
            <w:right w:w="17" w:type="dxa"/>
          </w:tblCellMar>
        </w:tblPrEx>
        <w:trPr>
          <w:trHeight w:val="0" w:hRule="atLeast"/>
        </w:trPr>
        <w:tc>
          <w:tcPr>
            <w:tcW w:w="1356"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sz w:val="20"/>
                <w:szCs w:val="20"/>
                <w:highlight w:val="none"/>
              </w:rPr>
              <w:t>评价结果</w:t>
            </w:r>
          </w:p>
          <w:p>
            <w:pPr>
              <w:widowControl/>
              <w:spacing w:line="32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sz w:val="20"/>
                <w:szCs w:val="20"/>
                <w:highlight w:val="none"/>
              </w:rPr>
              <w:t>应用建议</w:t>
            </w:r>
          </w:p>
        </w:tc>
        <w:tc>
          <w:tcPr>
            <w:tcW w:w="7627" w:type="dxa"/>
            <w:gridSpan w:val="8"/>
            <w:tcBorders>
              <w:top w:val="single" w:color="auto" w:sz="4" w:space="0"/>
              <w:left w:val="single" w:color="auto" w:sz="4" w:space="0"/>
              <w:bottom w:val="single" w:color="auto" w:sz="4" w:space="0"/>
              <w:right w:val="single" w:color="auto" w:sz="4" w:space="0"/>
            </w:tcBorders>
            <w:noWrap w:val="0"/>
            <w:vAlign w:val="center"/>
          </w:tcPr>
          <w:p>
            <w:pPr>
              <w:widowControl/>
              <w:numPr>
                <w:ilvl w:val="-1"/>
                <w:numId w:val="0"/>
              </w:numPr>
              <w:spacing w:line="400" w:lineRule="exact"/>
              <w:ind w:firstLine="0" w:firstLineChars="0"/>
              <w:jc w:val="left"/>
              <w:textAlignment w:val="auto"/>
              <w:rPr>
                <w:rFonts w:ascii="仿宋_GB2312" w:hAnsi="宋体" w:eastAsia="仿宋_GB2312" w:cs="仿宋_GB2312"/>
                <w:color w:val="000000"/>
                <w:sz w:val="20"/>
                <w:szCs w:val="20"/>
                <w:highlight w:val="none"/>
              </w:rPr>
            </w:pPr>
            <w:r>
              <w:rPr>
                <w:rFonts w:hint="eastAsia" w:ascii="仿宋_GB2312" w:hAnsi="仿宋_GB2312" w:eastAsia="仿宋_GB2312" w:cs="仿宋_GB2312"/>
                <w:sz w:val="20"/>
                <w:szCs w:val="20"/>
                <w:lang w:eastAsia="zh-CN"/>
              </w:rPr>
              <w:t>建议适当加大项目资金预算规模。根据《关于印发〈贵阳贵安司法行政系统“八五”普法规划（2021-2025年）的通知》等文件要</w:t>
            </w:r>
            <w:r>
              <w:rPr>
                <w:rFonts w:hint="eastAsia" w:ascii="仿宋_GB2312" w:hAnsi="仿宋_GB2312" w:eastAsia="仿宋_GB2312" w:cs="仿宋_GB2312"/>
                <w:sz w:val="20"/>
                <w:szCs w:val="20"/>
                <w:highlight w:val="none"/>
                <w:lang w:eastAsia="zh-CN"/>
              </w:rPr>
              <w:t>求，</w:t>
            </w:r>
            <w:r>
              <w:rPr>
                <w:rFonts w:hint="eastAsia" w:ascii="仿宋_GB2312" w:hAnsi="仿宋_GB2312" w:eastAsia="仿宋_GB2312" w:cs="仿宋_GB2312"/>
                <w:sz w:val="20"/>
                <w:szCs w:val="20"/>
                <w:highlight w:val="none"/>
                <w:lang w:val="en-US" w:eastAsia="zh-CN"/>
              </w:rPr>
              <w:t>以后年度</w:t>
            </w:r>
            <w:r>
              <w:rPr>
                <w:rFonts w:hint="eastAsia" w:ascii="仿宋_GB2312" w:hAnsi="仿宋_GB2312" w:eastAsia="仿宋_GB2312" w:cs="仿宋_GB2312"/>
                <w:sz w:val="20"/>
                <w:szCs w:val="20"/>
                <w:highlight w:val="none"/>
                <w:lang w:eastAsia="zh-CN"/>
              </w:rPr>
              <w:t>将</w:t>
            </w:r>
            <w:r>
              <w:rPr>
                <w:rFonts w:hint="eastAsia" w:ascii="仿宋_GB2312" w:hAnsi="仿宋_GB2312" w:eastAsia="仿宋_GB2312" w:cs="仿宋_GB2312"/>
                <w:sz w:val="20"/>
                <w:szCs w:val="20"/>
                <w:lang w:eastAsia="zh-CN"/>
              </w:rPr>
              <w:t>加大各项普法宣传教育工作规模，进一步健全完善贵阳贵安司法行政系统宣传教育机制，推进社会治理的法治水平，普法工作的针对性、时效性显著提高。</w:t>
            </w:r>
          </w:p>
        </w:tc>
      </w:tr>
    </w:tbl>
    <w:tbl>
      <w:tblPr>
        <w:tblStyle w:val="19"/>
        <w:tblpPr w:leftFromText="180" w:rightFromText="180" w:vertAnchor="text" w:horzAnchor="margin" w:tblpY="1"/>
        <w:tblOverlap w:val="never"/>
        <w:tblW w:w="8983" w:type="dxa"/>
        <w:tblInd w:w="0" w:type="dxa"/>
        <w:tblBorders>
          <w:top w:val="none" w:color="auto" w:sz="0"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17" w:type="dxa"/>
          <w:bottom w:w="17" w:type="dxa"/>
          <w:right w:w="17" w:type="dxa"/>
        </w:tblCellMar>
      </w:tblPr>
      <w:tblGrid>
        <w:gridCol w:w="2059"/>
        <w:gridCol w:w="2252"/>
        <w:gridCol w:w="2238"/>
        <w:gridCol w:w="2434"/>
      </w:tblGrid>
      <w:tr>
        <w:tblPrEx>
          <w:tblBorders>
            <w:top w:val="none" w:color="auto" w:sz="0"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7" w:type="dxa"/>
            <w:bottom w:w="17" w:type="dxa"/>
            <w:right w:w="17" w:type="dxa"/>
          </w:tblCellMar>
        </w:tblPrEx>
        <w:trPr>
          <w:trHeight w:val="1012" w:hRule="atLeast"/>
        </w:trPr>
        <w:tc>
          <w:tcPr>
            <w:tcW w:w="2059" w:type="dxa"/>
            <w:tcBorders>
              <w:tl2br w:val="nil"/>
              <w:tr2bl w:val="nil"/>
            </w:tcBorders>
            <w:noWrap w:val="0"/>
            <w:vAlign w:val="center"/>
          </w:tcPr>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评价时间</w:t>
            </w:r>
          </w:p>
        </w:tc>
        <w:tc>
          <w:tcPr>
            <w:tcW w:w="2252" w:type="dxa"/>
            <w:tcBorders>
              <w:tl2br w:val="nil"/>
              <w:tr2bl w:val="nil"/>
            </w:tcBorders>
            <w:noWrap w:val="0"/>
            <w:vAlign w:val="center"/>
          </w:tcPr>
          <w:p>
            <w:pPr>
              <w:widowControl/>
              <w:spacing w:line="320" w:lineRule="exact"/>
              <w:jc w:val="left"/>
              <w:textAlignment w:val="center"/>
              <w:rPr>
                <w:rFonts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rPr>
              <w:t>20</w:t>
            </w:r>
            <w:r>
              <w:rPr>
                <w:rFonts w:hint="eastAsia" w:ascii="仿宋_GB2312" w:hAnsi="宋体" w:eastAsia="仿宋_GB2312" w:cs="仿宋_GB2312"/>
                <w:color w:val="000000"/>
                <w:sz w:val="20"/>
                <w:szCs w:val="20"/>
                <w:highlight w:val="none"/>
                <w:lang w:val="en-US" w:eastAsia="zh-CN"/>
              </w:rPr>
              <w:t>22</w:t>
            </w:r>
            <w:r>
              <w:rPr>
                <w:rFonts w:hint="eastAsia" w:ascii="仿宋_GB2312" w:hAnsi="宋体" w:eastAsia="仿宋_GB2312" w:cs="仿宋_GB2312"/>
                <w:color w:val="000000"/>
                <w:sz w:val="20"/>
                <w:szCs w:val="20"/>
                <w:highlight w:val="none"/>
              </w:rPr>
              <w:t>年</w:t>
            </w:r>
            <w:r>
              <w:rPr>
                <w:rFonts w:hint="eastAsia" w:ascii="仿宋_GB2312" w:hAnsi="宋体" w:eastAsia="仿宋_GB2312" w:cs="仿宋_GB2312"/>
                <w:color w:val="000000"/>
                <w:sz w:val="20"/>
                <w:szCs w:val="20"/>
                <w:highlight w:val="none"/>
                <w:lang w:val="en-US" w:eastAsia="zh-CN"/>
              </w:rPr>
              <w:t>8</w:t>
            </w:r>
            <w:r>
              <w:rPr>
                <w:rFonts w:hint="eastAsia" w:ascii="仿宋_GB2312" w:hAnsi="宋体" w:eastAsia="仿宋_GB2312" w:cs="仿宋_GB2312"/>
                <w:color w:val="000000"/>
                <w:sz w:val="20"/>
                <w:szCs w:val="20"/>
                <w:highlight w:val="none"/>
              </w:rPr>
              <w:t>月</w:t>
            </w:r>
            <w:r>
              <w:rPr>
                <w:rFonts w:hint="eastAsia" w:ascii="仿宋_GB2312" w:hAnsi="宋体" w:eastAsia="仿宋_GB2312" w:cs="仿宋_GB2312"/>
                <w:color w:val="000000"/>
                <w:sz w:val="20"/>
                <w:szCs w:val="20"/>
                <w:highlight w:val="none"/>
                <w:lang w:val="en-US" w:eastAsia="zh-CN"/>
              </w:rPr>
              <w:t>30</w:t>
            </w:r>
            <w:r>
              <w:rPr>
                <w:rFonts w:hint="eastAsia" w:ascii="仿宋_GB2312" w:hAnsi="宋体" w:eastAsia="仿宋_GB2312" w:cs="仿宋_GB2312"/>
                <w:color w:val="000000"/>
                <w:sz w:val="20"/>
                <w:szCs w:val="20"/>
                <w:highlight w:val="none"/>
              </w:rPr>
              <w:t>日—20</w:t>
            </w:r>
            <w:r>
              <w:rPr>
                <w:rFonts w:hint="eastAsia" w:ascii="仿宋_GB2312" w:hAnsi="宋体" w:eastAsia="仿宋_GB2312" w:cs="仿宋_GB2312"/>
                <w:color w:val="000000"/>
                <w:sz w:val="20"/>
                <w:szCs w:val="20"/>
                <w:highlight w:val="none"/>
                <w:lang w:val="en-US" w:eastAsia="zh-CN"/>
              </w:rPr>
              <w:t>22</w:t>
            </w:r>
            <w:r>
              <w:rPr>
                <w:rFonts w:hint="eastAsia" w:ascii="仿宋_GB2312" w:hAnsi="宋体" w:eastAsia="仿宋_GB2312" w:cs="仿宋_GB2312"/>
                <w:color w:val="000000"/>
                <w:sz w:val="20"/>
                <w:szCs w:val="20"/>
                <w:highlight w:val="none"/>
              </w:rPr>
              <w:t>年</w:t>
            </w:r>
            <w:r>
              <w:rPr>
                <w:rFonts w:hint="eastAsia" w:ascii="仿宋_GB2312" w:hAnsi="宋体" w:eastAsia="仿宋_GB2312" w:cs="仿宋_GB2312"/>
                <w:color w:val="000000"/>
                <w:sz w:val="20"/>
                <w:szCs w:val="20"/>
                <w:highlight w:val="none"/>
                <w:lang w:val="en-US" w:eastAsia="zh-CN"/>
              </w:rPr>
              <w:t>12</w:t>
            </w:r>
            <w:r>
              <w:rPr>
                <w:rFonts w:hint="eastAsia" w:ascii="仿宋_GB2312" w:hAnsi="宋体" w:eastAsia="仿宋_GB2312" w:cs="仿宋_GB2312"/>
                <w:color w:val="000000"/>
                <w:sz w:val="20"/>
                <w:szCs w:val="20"/>
                <w:highlight w:val="none"/>
              </w:rPr>
              <w:t>月</w:t>
            </w:r>
            <w:r>
              <w:rPr>
                <w:rFonts w:hint="eastAsia" w:ascii="仿宋_GB2312" w:hAnsi="宋体" w:eastAsia="仿宋_GB2312" w:cs="仿宋_GB2312"/>
                <w:color w:val="000000"/>
                <w:sz w:val="20"/>
                <w:szCs w:val="20"/>
                <w:highlight w:val="none"/>
                <w:lang w:val="en-US" w:eastAsia="zh-CN"/>
              </w:rPr>
              <w:t>15</w:t>
            </w:r>
            <w:r>
              <w:rPr>
                <w:rFonts w:hint="eastAsia" w:ascii="仿宋_GB2312" w:hAnsi="宋体" w:eastAsia="仿宋_GB2312" w:cs="仿宋_GB2312"/>
                <w:color w:val="000000"/>
                <w:sz w:val="20"/>
                <w:szCs w:val="20"/>
                <w:highlight w:val="none"/>
              </w:rPr>
              <w:t>日</w:t>
            </w:r>
          </w:p>
        </w:tc>
        <w:tc>
          <w:tcPr>
            <w:tcW w:w="2238" w:type="dxa"/>
            <w:tcBorders>
              <w:tl2br w:val="nil"/>
              <w:tr2bl w:val="nil"/>
            </w:tcBorders>
            <w:noWrap w:val="0"/>
            <w:vAlign w:val="center"/>
          </w:tcPr>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评价机构报告编号</w:t>
            </w:r>
          </w:p>
        </w:tc>
        <w:tc>
          <w:tcPr>
            <w:tcW w:w="2434" w:type="dxa"/>
            <w:tcBorders>
              <w:tl2br w:val="nil"/>
              <w:tr2bl w:val="nil"/>
            </w:tcBorders>
            <w:noWrap w:val="0"/>
            <w:vAlign w:val="center"/>
          </w:tcPr>
          <w:p>
            <w:pPr>
              <w:widowControl/>
              <w:spacing w:line="320" w:lineRule="exact"/>
              <w:jc w:val="center"/>
              <w:textAlignment w:val="center"/>
              <w:rPr>
                <w:rFonts w:hint="eastAsia"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rPr>
              <w:t>贵州黔元</w:t>
            </w:r>
          </w:p>
          <w:p>
            <w:pPr>
              <w:widowControl/>
              <w:spacing w:line="320" w:lineRule="exact"/>
              <w:jc w:val="center"/>
              <w:textAlignment w:val="center"/>
              <w:rPr>
                <w:rFonts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rPr>
              <w:t>绩效字〔2022〕第</w:t>
            </w:r>
            <w:r>
              <w:rPr>
                <w:rFonts w:hint="eastAsia" w:ascii="仿宋_GB2312" w:hAnsi="宋体" w:eastAsia="仿宋_GB2312" w:cs="仿宋_GB2312"/>
                <w:color w:val="000000"/>
                <w:sz w:val="20"/>
                <w:szCs w:val="20"/>
                <w:highlight w:val="none"/>
                <w:lang w:val="en-US" w:eastAsia="zh-CN"/>
              </w:rPr>
              <w:t>32</w:t>
            </w:r>
            <w:r>
              <w:rPr>
                <w:rFonts w:hint="eastAsia" w:ascii="仿宋_GB2312" w:hAnsi="宋体" w:eastAsia="仿宋_GB2312" w:cs="仿宋_GB2312"/>
                <w:color w:val="000000"/>
                <w:sz w:val="20"/>
                <w:szCs w:val="20"/>
                <w:highlight w:val="none"/>
              </w:rPr>
              <w:t>号</w:t>
            </w:r>
          </w:p>
        </w:tc>
      </w:tr>
      <w:tr>
        <w:tblPrEx>
          <w:tblBorders>
            <w:top w:val="none" w:color="auto" w:sz="0"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7" w:type="dxa"/>
            <w:bottom w:w="17" w:type="dxa"/>
            <w:right w:w="17" w:type="dxa"/>
          </w:tblCellMar>
        </w:tblPrEx>
        <w:trPr>
          <w:trHeight w:val="2234" w:hRule="atLeast"/>
        </w:trPr>
        <w:tc>
          <w:tcPr>
            <w:tcW w:w="2059" w:type="dxa"/>
            <w:tcBorders>
              <w:tl2br w:val="nil"/>
              <w:tr2bl w:val="nil"/>
            </w:tcBorders>
            <w:noWrap w:val="0"/>
            <w:vAlign w:val="center"/>
          </w:tcPr>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lang w:eastAsia="zh-CN"/>
              </w:rPr>
              <w:t>项目主评人</w:t>
            </w:r>
            <w:r>
              <w:rPr>
                <w:rFonts w:hint="eastAsia" w:ascii="黑体" w:hAnsi="黑体" w:eastAsia="黑体" w:cs="仿宋_GB2312"/>
                <w:color w:val="000000"/>
                <w:sz w:val="20"/>
                <w:szCs w:val="20"/>
                <w:highlight w:val="none"/>
              </w:rPr>
              <w:t>（签字）</w:t>
            </w:r>
          </w:p>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及联系方式</w:t>
            </w:r>
          </w:p>
        </w:tc>
        <w:tc>
          <w:tcPr>
            <w:tcW w:w="2252" w:type="dxa"/>
            <w:tcBorders>
              <w:tl2br w:val="nil"/>
              <w:tr2bl w:val="nil"/>
            </w:tcBorders>
            <w:noWrap w:val="0"/>
            <w:vAlign w:val="center"/>
          </w:tcPr>
          <w:p>
            <w:pPr>
              <w:widowControl/>
              <w:spacing w:line="320" w:lineRule="exact"/>
              <w:jc w:val="left"/>
              <w:textAlignment w:val="center"/>
              <w:rPr>
                <w:rFonts w:ascii="仿宋_GB2312" w:hAnsi="宋体" w:eastAsia="仿宋_GB2312" w:cs="仿宋_GB2312"/>
                <w:color w:val="000000"/>
                <w:sz w:val="20"/>
                <w:szCs w:val="20"/>
                <w:highlight w:val="none"/>
              </w:rPr>
            </w:pPr>
          </w:p>
          <w:p>
            <w:pPr>
              <w:pStyle w:val="26"/>
              <w:rPr>
                <w:rFonts w:ascii="仿宋_GB2312" w:hAnsi="宋体" w:eastAsia="仿宋_GB2312" w:cs="仿宋_GB2312"/>
                <w:color w:val="000000"/>
                <w:sz w:val="20"/>
                <w:szCs w:val="20"/>
                <w:highlight w:val="none"/>
              </w:rPr>
            </w:pPr>
          </w:p>
          <w:p>
            <w:pPr>
              <w:pStyle w:val="26"/>
              <w:rPr>
                <w:rFonts w:ascii="仿宋_GB2312" w:hAnsi="宋体" w:eastAsia="仿宋_GB2312" w:cs="仿宋_GB2312"/>
                <w:color w:val="000000"/>
                <w:sz w:val="20"/>
                <w:szCs w:val="20"/>
                <w:highlight w:val="none"/>
              </w:rPr>
            </w:pPr>
          </w:p>
          <w:p>
            <w:pPr>
              <w:widowControl/>
              <w:spacing w:line="320" w:lineRule="exact"/>
              <w:jc w:val="left"/>
              <w:textAlignment w:val="center"/>
              <w:rPr>
                <w:rFonts w:ascii="仿宋_GB2312" w:hAnsi="宋体" w:eastAsia="仿宋_GB2312" w:cs="仿宋_GB2312"/>
                <w:color w:val="000000"/>
                <w:sz w:val="20"/>
                <w:szCs w:val="20"/>
                <w:highlight w:val="none"/>
              </w:rPr>
            </w:pPr>
          </w:p>
          <w:p>
            <w:pPr>
              <w:widowControl/>
              <w:spacing w:line="320" w:lineRule="exact"/>
              <w:jc w:val="left"/>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宫经全：13985455127</w:t>
            </w:r>
          </w:p>
        </w:tc>
        <w:tc>
          <w:tcPr>
            <w:tcW w:w="2238" w:type="dxa"/>
            <w:tcBorders>
              <w:tl2br w:val="nil"/>
              <w:tr2bl w:val="nil"/>
            </w:tcBorders>
            <w:noWrap w:val="0"/>
            <w:vAlign w:val="center"/>
          </w:tcPr>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法定代表人（签字）</w:t>
            </w:r>
          </w:p>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及联系方式</w:t>
            </w:r>
          </w:p>
        </w:tc>
        <w:tc>
          <w:tcPr>
            <w:tcW w:w="2434" w:type="dxa"/>
            <w:tcBorders>
              <w:tl2br w:val="nil"/>
              <w:tr2bl w:val="nil"/>
            </w:tcBorders>
            <w:noWrap w:val="0"/>
            <w:vAlign w:val="center"/>
          </w:tcPr>
          <w:p>
            <w:pPr>
              <w:widowControl/>
              <w:spacing w:line="320" w:lineRule="exact"/>
              <w:jc w:val="left"/>
              <w:textAlignment w:val="center"/>
              <w:rPr>
                <w:rFonts w:hint="eastAsia" w:ascii="仿宋_GB2312" w:hAnsi="仿宋_GB2312" w:eastAsia="仿宋_GB2312" w:cs="仿宋_GB2312"/>
                <w:sz w:val="20"/>
                <w:szCs w:val="20"/>
                <w:highlight w:val="none"/>
              </w:rPr>
            </w:pPr>
          </w:p>
          <w:p>
            <w:pPr>
              <w:pStyle w:val="26"/>
              <w:rPr>
                <w:rFonts w:hint="eastAsia" w:ascii="仿宋_GB2312" w:hAnsi="仿宋_GB2312" w:eastAsia="仿宋_GB2312" w:cs="仿宋_GB2312"/>
                <w:sz w:val="20"/>
                <w:szCs w:val="20"/>
                <w:highlight w:val="none"/>
              </w:rPr>
            </w:pPr>
          </w:p>
          <w:p>
            <w:pPr>
              <w:pStyle w:val="26"/>
              <w:rPr>
                <w:rFonts w:hint="eastAsia" w:ascii="仿宋_GB2312" w:hAnsi="仿宋_GB2312" w:eastAsia="仿宋_GB2312" w:cs="仿宋_GB2312"/>
                <w:sz w:val="20"/>
                <w:szCs w:val="20"/>
                <w:highlight w:val="none"/>
              </w:rPr>
            </w:pPr>
          </w:p>
          <w:p>
            <w:pPr>
              <w:widowControl/>
              <w:spacing w:line="320" w:lineRule="exact"/>
              <w:jc w:val="left"/>
              <w:textAlignment w:val="center"/>
              <w:rPr>
                <w:rFonts w:hint="eastAsia" w:ascii="仿宋_GB2312" w:hAnsi="仿宋_GB2312" w:eastAsia="仿宋_GB2312" w:cs="仿宋_GB2312"/>
                <w:sz w:val="20"/>
                <w:szCs w:val="20"/>
                <w:highlight w:val="none"/>
              </w:rPr>
            </w:pPr>
          </w:p>
          <w:p>
            <w:pPr>
              <w:widowControl/>
              <w:spacing w:line="320" w:lineRule="exact"/>
              <w:jc w:val="left"/>
              <w:textAlignment w:val="center"/>
              <w:rPr>
                <w:rFonts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陈万琪：</w:t>
            </w:r>
            <w:r>
              <w:rPr>
                <w:rFonts w:ascii="仿宋_GB2312" w:hAnsi="仿宋_GB2312" w:eastAsia="仿宋_GB2312" w:cs="仿宋_GB2312"/>
                <w:sz w:val="20"/>
                <w:szCs w:val="20"/>
                <w:highlight w:val="none"/>
              </w:rPr>
              <w:t>13985006396</w:t>
            </w:r>
          </w:p>
        </w:tc>
      </w:tr>
    </w:tbl>
    <w:p>
      <w:pPr>
        <w:rPr>
          <w:highlight w:val="none"/>
        </w:rPr>
      </w:pPr>
    </w:p>
    <w:p>
      <w:pPr>
        <w:rPr>
          <w:rFonts w:eastAsia="方正小标宋简体"/>
          <w:sz w:val="44"/>
          <w:szCs w:val="44"/>
          <w:highlight w:val="none"/>
        </w:rPr>
        <w:sectPr>
          <w:pgSz w:w="11906" w:h="16838"/>
          <w:pgMar w:top="1985" w:right="1474" w:bottom="1871" w:left="1474" w:header="851" w:footer="1474"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4"/>
        <w:keepNext w:val="0"/>
        <w:keepLines w:val="0"/>
        <w:pageBreakBefore w:val="0"/>
        <w:widowControl w:val="0"/>
        <w:kinsoku/>
        <w:wordWrap/>
        <w:overflowPunct/>
        <w:topLinePunct w:val="0"/>
        <w:autoSpaceDE/>
        <w:autoSpaceDN/>
        <w:bidi w:val="0"/>
        <w:adjustRightInd/>
        <w:snapToGrid/>
        <w:ind w:firstLine="664" w:firstLineChars="200"/>
        <w:textAlignment w:val="auto"/>
        <w:rPr>
          <w:spacing w:val="6"/>
          <w:highlight w:val="none"/>
        </w:rPr>
      </w:pPr>
      <w:bookmarkStart w:id="0" w:name="_Toc29412"/>
      <w:bookmarkStart w:id="1" w:name="_Toc25748"/>
      <w:bookmarkStart w:id="2" w:name="_Toc9163"/>
      <w:bookmarkStart w:id="3" w:name="_Toc8051"/>
      <w:bookmarkStart w:id="4" w:name="_Toc21015"/>
      <w:bookmarkStart w:id="5" w:name="_Toc13207"/>
      <w:bookmarkStart w:id="6" w:name="_Toc14205"/>
      <w:bookmarkStart w:id="7" w:name="_Toc6327"/>
      <w:bookmarkStart w:id="8" w:name="_Toc25305"/>
      <w:bookmarkStart w:id="9" w:name="_Toc15338"/>
      <w:bookmarkStart w:id="10" w:name="_Toc15972"/>
      <w:bookmarkStart w:id="11" w:name="_Toc12764"/>
      <w:bookmarkStart w:id="12" w:name="_Toc30498"/>
      <w:bookmarkStart w:id="13" w:name="_Toc12290"/>
      <w:bookmarkStart w:id="14" w:name="_Toc1193"/>
      <w:bookmarkStart w:id="15" w:name="_Toc30987"/>
      <w:bookmarkStart w:id="16" w:name="_Toc28719"/>
      <w:bookmarkStart w:id="17" w:name="_Toc6906"/>
      <w:bookmarkStart w:id="18" w:name="_Toc9684"/>
      <w:bookmarkStart w:id="19" w:name="_Toc11919"/>
      <w:bookmarkStart w:id="20" w:name="_Toc30388"/>
      <w:bookmarkStart w:id="21" w:name="_Toc2662"/>
      <w:bookmarkStart w:id="22" w:name="_Toc1391"/>
      <w:bookmarkStart w:id="23" w:name="_Toc23747"/>
      <w:bookmarkStart w:id="24" w:name="_Toc24329"/>
      <w:bookmarkStart w:id="25" w:name="_Toc12079"/>
      <w:bookmarkStart w:id="26" w:name="_Toc12766"/>
      <w:bookmarkStart w:id="27" w:name="_Toc15159"/>
      <w:bookmarkStart w:id="28" w:name="_Toc16295"/>
      <w:bookmarkStart w:id="29" w:name="_Toc22300"/>
      <w:bookmarkStart w:id="30" w:name="_Toc13910"/>
      <w:r>
        <w:rPr>
          <w:rFonts w:hint="eastAsia"/>
          <w:spacing w:val="6"/>
          <w:highlight w:val="none"/>
        </w:rPr>
        <w:t>一、</w:t>
      </w:r>
      <w:bookmarkStart w:id="377" w:name="_GoBack"/>
      <w:bookmarkEnd w:id="377"/>
      <w:r>
        <w:rPr>
          <w:rFonts w:hint="eastAsia"/>
          <w:spacing w:val="6"/>
          <w:highlight w:val="none"/>
        </w:rPr>
        <w:t>基本情况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pPr>
        <w:pStyle w:val="5"/>
        <w:keepNext w:val="0"/>
        <w:keepLines w:val="0"/>
        <w:pageBreakBefore w:val="0"/>
        <w:widowControl w:val="0"/>
        <w:kinsoku/>
        <w:wordWrap/>
        <w:overflowPunct/>
        <w:topLinePunct w:val="0"/>
        <w:autoSpaceDE/>
        <w:autoSpaceDN/>
        <w:bidi w:val="0"/>
        <w:adjustRightInd/>
        <w:snapToGrid/>
        <w:ind w:firstLine="664" w:firstLineChars="200"/>
        <w:textAlignment w:val="auto"/>
        <w:rPr>
          <w:rFonts w:hint="eastAsia" w:hAnsi="仿宋" w:eastAsia="楷体_GB2312"/>
          <w:spacing w:val="6"/>
          <w:szCs w:val="32"/>
          <w:highlight w:val="none"/>
          <w:lang w:val="en-US" w:eastAsia="zh-CN"/>
        </w:rPr>
      </w:pPr>
      <w:bookmarkStart w:id="31" w:name="_Toc4534"/>
      <w:bookmarkStart w:id="32" w:name="_Toc32693"/>
      <w:bookmarkStart w:id="33" w:name="_Toc8687"/>
      <w:bookmarkStart w:id="34" w:name="_Toc27860"/>
      <w:bookmarkStart w:id="35" w:name="_Toc2255"/>
      <w:bookmarkStart w:id="36" w:name="_Toc12188"/>
      <w:bookmarkStart w:id="37" w:name="_Toc286"/>
      <w:bookmarkStart w:id="38" w:name="_Toc24129"/>
      <w:bookmarkStart w:id="39" w:name="_Toc29893"/>
      <w:bookmarkStart w:id="40" w:name="_Toc17123"/>
      <w:bookmarkStart w:id="41" w:name="_Toc13002"/>
      <w:bookmarkStart w:id="42" w:name="_Toc9213"/>
      <w:bookmarkStart w:id="43" w:name="_Toc28210"/>
      <w:bookmarkStart w:id="44" w:name="_Toc27289"/>
      <w:bookmarkStart w:id="45" w:name="_Toc12975"/>
      <w:bookmarkStart w:id="46" w:name="_Toc12643"/>
      <w:bookmarkStart w:id="47" w:name="_Toc8811"/>
      <w:bookmarkStart w:id="48" w:name="_Toc28486"/>
      <w:bookmarkStart w:id="49" w:name="_Toc16625"/>
      <w:bookmarkStart w:id="50" w:name="_Toc22895"/>
      <w:bookmarkStart w:id="51" w:name="_Toc20737"/>
      <w:bookmarkStart w:id="52" w:name="_Toc31337"/>
      <w:bookmarkStart w:id="53" w:name="_Toc5632"/>
      <w:bookmarkStart w:id="54" w:name="_Toc12996"/>
      <w:bookmarkStart w:id="55" w:name="_Toc11765"/>
      <w:bookmarkStart w:id="56" w:name="_Toc27433"/>
      <w:bookmarkStart w:id="57" w:name="_Toc29818"/>
      <w:bookmarkStart w:id="58" w:name="_Toc28451"/>
      <w:bookmarkStart w:id="59" w:name="_Toc11736"/>
      <w:bookmarkStart w:id="60" w:name="_Toc30155"/>
      <w:bookmarkStart w:id="61" w:name="_Toc31559"/>
      <w:r>
        <w:rPr>
          <w:spacing w:val="6"/>
          <w:highlight w:val="none"/>
        </w:rPr>
        <w:fldChar w:fldCharType="begin"/>
      </w:r>
      <w:r>
        <w:rPr>
          <w:spacing w:val="6"/>
          <w:highlight w:val="none"/>
        </w:rPr>
        <w:instrText xml:space="preserve"> HYPERLINK \l "_Toc434746187" </w:instrText>
      </w:r>
      <w:r>
        <w:rPr>
          <w:spacing w:val="6"/>
          <w:highlight w:val="none"/>
        </w:rPr>
        <w:fldChar w:fldCharType="separate"/>
      </w:r>
      <w:r>
        <w:rPr>
          <w:rFonts w:hAnsi="仿宋"/>
          <w:spacing w:val="6"/>
          <w:szCs w:val="32"/>
          <w:highlight w:val="none"/>
          <w:lang w:val="zh-CN"/>
        </w:rPr>
        <w:t>（一）</w:t>
      </w:r>
      <w:r>
        <w:rPr>
          <w:rFonts w:hAnsi="仿宋"/>
          <w:spacing w:val="6"/>
          <w:szCs w:val="32"/>
          <w:highlight w:val="none"/>
          <w:lang w:val="zh-CN"/>
        </w:rPr>
        <w:fldChar w:fldCharType="end"/>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Pr>
          <w:rFonts w:hint="eastAsia" w:hAnsi="仿宋"/>
          <w:spacing w:val="6"/>
          <w:szCs w:val="32"/>
          <w:highlight w:val="none"/>
          <w:lang w:val="en-US" w:eastAsia="zh-CN"/>
        </w:rPr>
        <w:t>项目概况</w:t>
      </w:r>
      <w:bookmarkEnd w:id="56"/>
      <w:bookmarkEnd w:id="57"/>
      <w:bookmarkEnd w:id="58"/>
      <w:bookmarkEnd w:id="59"/>
      <w:bookmarkEnd w:id="60"/>
      <w:bookmarkEnd w:id="61"/>
    </w:p>
    <w:p>
      <w:pPr>
        <w:keepNext w:val="0"/>
        <w:keepLines w:val="0"/>
        <w:pageBreakBefore w:val="0"/>
        <w:widowControl w:val="0"/>
        <w:kinsoku/>
        <w:wordWrap/>
        <w:overflowPunct/>
        <w:topLinePunct w:val="0"/>
        <w:autoSpaceDE/>
        <w:autoSpaceDN/>
        <w:bidi w:val="0"/>
        <w:adjustRightInd/>
        <w:snapToGrid/>
        <w:ind w:firstLine="664" w:firstLineChars="200"/>
        <w:textAlignment w:val="auto"/>
        <w:outlineLvl w:val="9"/>
        <w:rPr>
          <w:rFonts w:hint="eastAsia" w:ascii="仿宋_GB2312" w:hAnsi="仿宋_GB2312" w:eastAsia="仿宋_GB2312" w:cs="仿宋_GB2312"/>
          <w:spacing w:val="6"/>
          <w:sz w:val="32"/>
          <w:szCs w:val="32"/>
          <w:highlight w:val="none"/>
          <w:lang w:val="en-US"/>
        </w:rPr>
      </w:pPr>
      <w:r>
        <w:rPr>
          <w:rFonts w:hint="eastAsia" w:ascii="仿宋_GB2312" w:hAnsi="仿宋_GB2312" w:eastAsia="仿宋_GB2312" w:cs="仿宋_GB2312"/>
          <w:spacing w:val="6"/>
          <w:sz w:val="32"/>
          <w:szCs w:val="32"/>
          <w:highlight w:val="none"/>
          <w:lang w:val="en-US" w:eastAsia="zh-CN"/>
        </w:rPr>
        <w:t>1</w:t>
      </w:r>
      <w:r>
        <w:rPr>
          <w:rFonts w:hint="eastAsia" w:ascii="仿宋_GB2312" w:hAnsi="仿宋_GB2312" w:eastAsia="仿宋_GB2312" w:cs="仿宋_GB2312"/>
          <w:spacing w:val="6"/>
          <w:sz w:val="32"/>
          <w:szCs w:val="32"/>
          <w:lang w:val="zh-CN"/>
        </w:rPr>
        <w:t>．</w:t>
      </w:r>
      <w:r>
        <w:rPr>
          <w:rFonts w:hint="eastAsia" w:ascii="仿宋_GB2312" w:hAnsi="仿宋_GB2312" w:eastAsia="仿宋_GB2312" w:cs="仿宋_GB2312"/>
          <w:spacing w:val="6"/>
          <w:sz w:val="32"/>
          <w:szCs w:val="32"/>
          <w:highlight w:val="none"/>
          <w:lang w:val="en-US" w:eastAsia="zh-CN"/>
        </w:rPr>
        <w:t>项目背景</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黑体" w:eastAsia="仿宋_GB2312" w:cs="仿宋_GB2312"/>
          <w:color w:val="000000"/>
          <w:sz w:val="32"/>
          <w:szCs w:val="32"/>
          <w:lang w:eastAsia="zh-CN"/>
        </w:rPr>
      </w:pPr>
      <w:r>
        <w:rPr>
          <w:rFonts w:hint="eastAsia" w:ascii="仿宋_GB2312" w:hAnsi="黑体" w:eastAsia="仿宋_GB2312" w:cs="仿宋_GB2312"/>
          <w:color w:val="000000"/>
          <w:sz w:val="32"/>
          <w:szCs w:val="32"/>
        </w:rPr>
        <w:t>2021年是“十四五”的开局之年,也是“八五”普法的启动之年。</w:t>
      </w:r>
      <w:r>
        <w:rPr>
          <w:rFonts w:hint="eastAsia" w:ascii="仿宋_GB2312" w:hAnsi="黑体" w:eastAsia="仿宋_GB2312" w:cs="仿宋_GB2312"/>
          <w:color w:val="000000"/>
          <w:sz w:val="32"/>
          <w:szCs w:val="32"/>
          <w:lang w:eastAsia="zh-CN"/>
        </w:rPr>
        <w:t>云岩区</w:t>
      </w:r>
      <w:r>
        <w:rPr>
          <w:rFonts w:hint="eastAsia" w:ascii="仿宋_GB2312" w:hAnsi="黑体" w:eastAsia="仿宋_GB2312" w:cs="仿宋_GB2312"/>
          <w:color w:val="000000"/>
          <w:sz w:val="32"/>
          <w:szCs w:val="32"/>
        </w:rPr>
        <w:t>普法依法治理工作的总体要求是：坚持以习近平新时代中国特色社会主义思想为指导，坚持围绕中心、服务大局、服务人民的总基调，立足新发展阶段、贯彻新发展理念、融入新发展格局,以战略的高度谋划好“八五”普法规划，严格落实“谁执法谁普法，谁主管谁普法，谁服务谁普法”普法责任制，大力加强社会主义法治文化建设,为</w:t>
      </w:r>
      <w:r>
        <w:rPr>
          <w:rFonts w:hint="eastAsia" w:ascii="仿宋_GB2312" w:hAnsi="黑体" w:eastAsia="仿宋_GB2312" w:cs="仿宋_GB2312"/>
          <w:color w:val="000000"/>
          <w:sz w:val="32"/>
          <w:szCs w:val="32"/>
          <w:lang w:eastAsia="zh-CN"/>
        </w:rPr>
        <w:t>云岩区经济社会发展</w:t>
      </w:r>
      <w:r>
        <w:rPr>
          <w:rFonts w:hint="eastAsia" w:ascii="仿宋_GB2312" w:hAnsi="黑体" w:eastAsia="仿宋_GB2312" w:cs="仿宋_GB2312"/>
          <w:color w:val="000000"/>
          <w:sz w:val="32"/>
          <w:szCs w:val="32"/>
        </w:rPr>
        <w:t>营造浓厚的法治环境。</w:t>
      </w:r>
    </w:p>
    <w:p>
      <w:pPr>
        <w:widowControl w:val="0"/>
        <w:spacing w:line="610" w:lineRule="exact"/>
        <w:ind w:firstLine="664" w:firstLineChars="200"/>
        <w:jc w:val="both"/>
        <w:rPr>
          <w:rFonts w:hint="default" w:ascii="仿宋_GB2312" w:hAnsi="仿宋_GB2312" w:eastAsia="仿宋_GB2312" w:cs="仿宋_GB2312"/>
          <w:spacing w:val="6"/>
          <w:sz w:val="32"/>
          <w:szCs w:val="32"/>
          <w:highlight w:val="none"/>
          <w:lang w:val="en-US"/>
        </w:rPr>
      </w:pPr>
      <w:r>
        <w:rPr>
          <w:rFonts w:hint="eastAsia" w:ascii="仿宋_GB2312" w:hAnsi="仿宋_GB2312" w:eastAsia="仿宋_GB2312" w:cs="仿宋_GB2312"/>
          <w:spacing w:val="6"/>
          <w:sz w:val="32"/>
          <w:szCs w:val="32"/>
          <w:highlight w:val="none"/>
          <w:lang w:val="en-US" w:eastAsia="zh-CN"/>
        </w:rPr>
        <w:t>2</w:t>
      </w:r>
      <w:r>
        <w:rPr>
          <w:rFonts w:hint="eastAsia" w:ascii="仿宋_GB2312" w:hAnsi="仿宋_GB2312" w:eastAsia="仿宋_GB2312" w:cs="仿宋_GB2312"/>
          <w:spacing w:val="6"/>
          <w:sz w:val="32"/>
          <w:szCs w:val="32"/>
          <w:highlight w:val="none"/>
          <w:lang w:val="zh-CN"/>
        </w:rPr>
        <w:t>．</w:t>
      </w:r>
      <w:r>
        <w:rPr>
          <w:rFonts w:hint="eastAsia" w:ascii="仿宋_GB2312" w:hAnsi="仿宋_GB2312" w:eastAsia="仿宋_GB2312" w:cs="仿宋_GB2312"/>
          <w:spacing w:val="6"/>
          <w:sz w:val="32"/>
          <w:szCs w:val="32"/>
          <w:highlight w:val="none"/>
          <w:lang w:val="en-US" w:eastAsia="zh-CN"/>
        </w:rPr>
        <w:t>主要内容及实施情况</w:t>
      </w:r>
    </w:p>
    <w:p>
      <w:pPr>
        <w:keepNext w:val="0"/>
        <w:keepLines w:val="0"/>
        <w:pageBreakBefore w:val="0"/>
        <w:widowControl w:val="0"/>
        <w:kinsoku/>
        <w:wordWrap/>
        <w:overflowPunct/>
        <w:topLinePunct w:val="0"/>
        <w:autoSpaceDE/>
        <w:autoSpaceDN/>
        <w:bidi w:val="0"/>
        <w:adjustRightInd/>
        <w:snapToGrid w:val="0"/>
        <w:spacing w:before="0" w:after="0" w:line="600" w:lineRule="exact"/>
        <w:ind w:firstLine="640" w:firstLineChars="200"/>
        <w:jc w:val="both"/>
        <w:textAlignment w:val="auto"/>
        <w:rPr>
          <w:rFonts w:hint="eastAsia"/>
          <w:sz w:val="18"/>
          <w:szCs w:val="21"/>
          <w:lang w:val="en-US" w:eastAsia="zh-CN"/>
        </w:rPr>
      </w:pPr>
      <w:r>
        <w:rPr>
          <w:rFonts w:hint="eastAsia" w:ascii="仿宋_GB2312" w:hAnsi="仿宋_GB2312" w:eastAsia="仿宋_GB2312" w:cs="仿宋_GB2312"/>
          <w:color w:val="auto"/>
          <w:kern w:val="2"/>
          <w:sz w:val="32"/>
          <w:szCs w:val="32"/>
          <w:lang w:val="en-US" w:eastAsia="zh-CN" w:bidi="ar-SA"/>
        </w:rPr>
        <w:t>2021年区司法局</w:t>
      </w:r>
      <w:r>
        <w:rPr>
          <w:rFonts w:hint="default" w:ascii="仿宋_GB2312" w:hAnsi="仿宋_GB2312" w:eastAsia="仿宋_GB2312" w:cs="仿宋_GB2312"/>
          <w:color w:val="auto"/>
          <w:kern w:val="2"/>
          <w:sz w:val="32"/>
          <w:szCs w:val="32"/>
          <w:lang w:val="en-US" w:eastAsia="zh-CN" w:bidi="ar-SA"/>
        </w:rPr>
        <w:t>坚持</w:t>
      </w:r>
      <w:r>
        <w:rPr>
          <w:rFonts w:hint="eastAsia" w:ascii="仿宋_GB2312" w:hAnsi="仿宋_GB2312" w:eastAsia="仿宋_GB2312" w:cs="仿宋_GB2312"/>
          <w:color w:val="auto"/>
          <w:kern w:val="2"/>
          <w:sz w:val="32"/>
          <w:szCs w:val="32"/>
          <w:lang w:val="en-US" w:eastAsia="zh-CN" w:bidi="ar-SA"/>
        </w:rPr>
        <w:t>以习近平法治思想为引领，全面推进普法与依法治理工作</w:t>
      </w:r>
      <w:r>
        <w:rPr>
          <w:rFonts w:hint="default" w:ascii="仿宋_GB2312" w:hAnsi="仿宋_GB2312" w:eastAsia="仿宋_GB2312" w:cs="仿宋_GB2312"/>
          <w:color w:val="auto"/>
          <w:kern w:val="2"/>
          <w:sz w:val="32"/>
          <w:szCs w:val="32"/>
          <w:lang w:val="en-US" w:eastAsia="zh-CN" w:bidi="ar-SA"/>
        </w:rPr>
        <w:t>。</w:t>
      </w:r>
      <w:r>
        <w:rPr>
          <w:rFonts w:hint="eastAsia" w:ascii="仿宋_GB2312" w:hAnsi="仿宋_GB2312" w:eastAsia="仿宋_GB2312" w:cs="仿宋_GB2312"/>
          <w:color w:val="auto"/>
          <w:kern w:val="2"/>
          <w:sz w:val="32"/>
          <w:szCs w:val="32"/>
          <w:lang w:val="en-US" w:eastAsia="zh-CN" w:bidi="ar-SA"/>
        </w:rPr>
        <w:t>紧紧围绕党委、政府中心工作、重点人群开展法治宣传教育，通过大力开展各类主题法治宣传活动，增强了全社会尊法学法守法用法的浓厚氛围。</w:t>
      </w:r>
      <w:r>
        <w:rPr>
          <w:rFonts w:hint="eastAsia" w:ascii="仿宋_GB2312" w:hAnsi="黑体" w:eastAsia="仿宋_GB2312" w:cs="黑体"/>
          <w:b w:val="0"/>
          <w:bCs w:val="0"/>
          <w:color w:val="000000"/>
          <w:sz w:val="32"/>
          <w:szCs w:val="32"/>
          <w:lang w:eastAsia="zh-CN"/>
        </w:rPr>
        <w:t>组</w:t>
      </w:r>
      <w:r>
        <w:rPr>
          <w:rFonts w:hint="eastAsia" w:ascii="仿宋_GB2312" w:hAnsi="黑体" w:eastAsia="仿宋_GB2312" w:cs="黑体"/>
          <w:b w:val="0"/>
          <w:bCs w:val="0"/>
          <w:color w:val="000000"/>
          <w:sz w:val="32"/>
          <w:szCs w:val="32"/>
          <w:lang w:val="en-US" w:eastAsia="zh-CN"/>
        </w:rPr>
        <w:t>织全区单位干部参加了“2021年度全省国家工作人员统一在</w:t>
      </w:r>
      <w:r>
        <w:rPr>
          <w:rFonts w:hint="eastAsia" w:ascii="仿宋_GB2312" w:hAnsi="仿宋_GB2312" w:eastAsia="仿宋_GB2312" w:cs="仿宋_GB2312"/>
          <w:color w:val="auto"/>
          <w:kern w:val="2"/>
          <w:sz w:val="32"/>
          <w:szCs w:val="32"/>
          <w:lang w:val="en-US" w:eastAsia="zh-CN" w:bidi="ar-SA"/>
        </w:rPr>
        <w:t>线学法考试”，有效提升了全区领导干部及国家工作人员的法治素养。同时，组织水东街道办事处百合园居委会、三桥街道办事处帝景居委会申报第二批市级“民主法治示范村”，组织</w:t>
      </w:r>
      <w:r>
        <w:rPr>
          <w:rFonts w:hint="eastAsia" w:ascii="仿宋_GB2312" w:hAnsi="仿宋_GB2312" w:eastAsia="仿宋_GB2312" w:cs="仿宋_GB2312"/>
          <w:color w:val="auto"/>
          <w:kern w:val="2"/>
          <w:sz w:val="32"/>
          <w:szCs w:val="32"/>
          <w:lang w:val="en-US" w:eastAsia="en-US" w:bidi="ar-SA"/>
        </w:rPr>
        <w:t>贵州爱信诺航天信息有限公司</w:t>
      </w:r>
      <w:r>
        <w:rPr>
          <w:rFonts w:hint="eastAsia" w:ascii="仿宋_GB2312" w:hAnsi="仿宋_GB2312" w:eastAsia="仿宋_GB2312" w:cs="仿宋_GB2312"/>
          <w:color w:val="auto"/>
          <w:kern w:val="2"/>
          <w:sz w:val="32"/>
          <w:szCs w:val="32"/>
          <w:lang w:val="en-US" w:eastAsia="zh-CN" w:bidi="ar-SA"/>
        </w:rPr>
        <w:t>申报贵州省第一批“法治文化建设示范企业”示范创建企业，</w:t>
      </w:r>
      <w:r>
        <w:rPr>
          <w:rStyle w:val="21"/>
          <w:rFonts w:hint="eastAsia" w:ascii="仿宋_GB2312" w:hAnsi="仿宋_GB2312" w:eastAsia="仿宋_GB2312" w:cs="仿宋_GB2312"/>
          <w:b w:val="0"/>
          <w:bCs w:val="0"/>
          <w:color w:val="auto"/>
          <w:spacing w:val="6"/>
          <w:kern w:val="2"/>
          <w:sz w:val="32"/>
          <w:szCs w:val="32"/>
          <w:lang w:bidi="ar-SA"/>
        </w:rPr>
        <w:t>有效</w:t>
      </w:r>
      <w:r>
        <w:rPr>
          <w:rStyle w:val="21"/>
          <w:rFonts w:hint="eastAsia" w:ascii="仿宋_GB2312" w:hAnsi="仿宋_GB2312" w:eastAsia="仿宋_GB2312" w:cs="仿宋_GB2312"/>
          <w:b w:val="0"/>
          <w:bCs w:val="0"/>
          <w:color w:val="auto"/>
          <w:spacing w:val="6"/>
          <w:kern w:val="2"/>
          <w:sz w:val="32"/>
          <w:szCs w:val="32"/>
          <w:lang w:eastAsia="zh-CN" w:bidi="ar-SA"/>
        </w:rPr>
        <w:t>提升</w:t>
      </w:r>
      <w:r>
        <w:rPr>
          <w:rStyle w:val="21"/>
          <w:rFonts w:hint="eastAsia" w:ascii="仿宋_GB2312" w:hAnsi="仿宋_GB2312" w:eastAsia="仿宋_GB2312" w:cs="仿宋_GB2312"/>
          <w:b w:val="0"/>
          <w:bCs w:val="0"/>
          <w:color w:val="auto"/>
          <w:spacing w:val="6"/>
          <w:kern w:val="2"/>
          <w:sz w:val="32"/>
          <w:szCs w:val="32"/>
          <w:lang w:bidi="ar-SA"/>
        </w:rPr>
        <w:t>群众</w:t>
      </w:r>
      <w:r>
        <w:rPr>
          <w:rStyle w:val="21"/>
          <w:rFonts w:hint="eastAsia" w:ascii="仿宋_GB2312" w:hAnsi="仿宋_GB2312" w:eastAsia="仿宋_GB2312" w:cs="仿宋_GB2312"/>
          <w:b w:val="0"/>
          <w:bCs w:val="0"/>
          <w:color w:val="auto"/>
          <w:spacing w:val="6"/>
          <w:kern w:val="2"/>
          <w:sz w:val="32"/>
          <w:szCs w:val="32"/>
          <w:lang w:eastAsia="zh-CN" w:bidi="ar-SA"/>
        </w:rPr>
        <w:t>对普法工作的知晓率、参与率</w:t>
      </w:r>
      <w:r>
        <w:rPr>
          <w:rStyle w:val="21"/>
          <w:rFonts w:hint="eastAsia" w:ascii="仿宋_GB2312" w:hAnsi="仿宋_GB2312" w:eastAsia="仿宋_GB2312" w:cs="仿宋_GB2312"/>
          <w:b w:val="0"/>
          <w:bCs w:val="0"/>
          <w:color w:val="auto"/>
          <w:spacing w:val="6"/>
          <w:kern w:val="2"/>
          <w:sz w:val="32"/>
          <w:szCs w:val="32"/>
          <w:lang w:bidi="ar-SA"/>
        </w:rPr>
        <w:t>，</w:t>
      </w:r>
      <w:r>
        <w:rPr>
          <w:rStyle w:val="21"/>
          <w:rFonts w:hint="eastAsia" w:ascii="仿宋_GB2312" w:hAnsi="仿宋_GB2312" w:eastAsia="仿宋_GB2312" w:cs="仿宋_GB2312"/>
          <w:b w:val="0"/>
          <w:bCs w:val="0"/>
          <w:color w:val="auto"/>
          <w:spacing w:val="6"/>
          <w:kern w:val="2"/>
          <w:sz w:val="32"/>
          <w:szCs w:val="32"/>
          <w:lang w:eastAsia="zh-CN" w:bidi="ar-SA"/>
        </w:rPr>
        <w:t>让法治工作深入人心</w:t>
      </w:r>
      <w:r>
        <w:rPr>
          <w:rFonts w:hint="eastAsia" w:ascii="仿宋_GB2312" w:hAnsi="仿宋_GB2312" w:eastAsia="仿宋_GB2312" w:cs="仿宋_GB2312"/>
          <w:color w:val="auto"/>
          <w:kern w:val="2"/>
          <w:sz w:val="32"/>
          <w:szCs w:val="32"/>
          <w:lang w:val="en-US" w:eastAsia="zh-CN" w:bidi="ar-SA"/>
        </w:rPr>
        <w:t>。</w:t>
      </w:r>
    </w:p>
    <w:p>
      <w:pPr>
        <w:widowControl w:val="0"/>
        <w:spacing w:line="590" w:lineRule="exact"/>
        <w:ind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3．项目资金概况</w:t>
      </w:r>
    </w:p>
    <w:p>
      <w:pPr>
        <w:widowControl w:val="0"/>
        <w:spacing w:line="590" w:lineRule="exact"/>
        <w:ind w:firstLine="640" w:firstLineChars="200"/>
        <w:jc w:val="both"/>
        <w:rPr>
          <w:rFonts w:hint="default" w:ascii="仿宋_GB2312" w:hAnsi="仿宋_GB2312" w:eastAsia="仿宋_GB2312" w:cs="仿宋_GB2312"/>
          <w:sz w:val="32"/>
          <w:szCs w:val="32"/>
          <w:lang w:val="en-US" w:eastAsia="zh-CN"/>
        </w:rPr>
      </w:pPr>
      <w:bookmarkStart w:id="62" w:name="_Toc12077"/>
      <w:bookmarkStart w:id="63" w:name="_Toc21623"/>
      <w:bookmarkStart w:id="64" w:name="_Toc12683"/>
      <w:bookmarkStart w:id="65" w:name="_Toc28875"/>
      <w:r>
        <w:rPr>
          <w:rFonts w:hint="eastAsia" w:ascii="仿宋_GB2312" w:hAnsi="仿宋_GB2312" w:eastAsia="仿宋_GB2312" w:cs="仿宋_GB2312"/>
          <w:sz w:val="32"/>
          <w:szCs w:val="32"/>
          <w:lang w:val="en-US" w:eastAsia="zh-CN"/>
        </w:rPr>
        <w:t>（1）项目资金预算及到位情况</w:t>
      </w:r>
    </w:p>
    <w:p>
      <w:pPr>
        <w:widowControl w:val="0"/>
        <w:spacing w:line="590" w:lineRule="exact"/>
        <w:ind w:firstLine="640" w:firstLineChars="200"/>
        <w:jc w:val="both"/>
        <w:rPr>
          <w:rFonts w:hint="eastAsia" w:ascii="仿宋_GB2312" w:hAnsi="仿宋_GB2312" w:eastAsia="仿宋_GB2312" w:cs="仿宋_GB2312"/>
          <w:sz w:val="32"/>
          <w:szCs w:val="32"/>
          <w:highlight w:val="green"/>
          <w:lang w:val="en-US" w:eastAsia="zh-CN"/>
        </w:rPr>
      </w:pPr>
      <w:r>
        <w:rPr>
          <w:rFonts w:hint="eastAsia" w:ascii="仿宋_GB2312" w:hAnsi="仿宋_GB2312" w:eastAsia="仿宋_GB2312" w:cs="仿宋_GB2312"/>
          <w:sz w:val="32"/>
          <w:szCs w:val="32"/>
          <w:lang w:val="en-US" w:eastAsia="zh-CN"/>
        </w:rPr>
        <w:t>根据区财政局《关于下达2021年财政预算指标的通知》（云财字〔2021〕2号）文件，</w:t>
      </w:r>
      <w:r>
        <w:rPr>
          <w:rFonts w:hint="eastAsia" w:ascii="仿宋_GB2312" w:hAnsi="仿宋_GB2312" w:eastAsia="仿宋_GB2312" w:cs="仿宋_GB2312"/>
          <w:sz w:val="32"/>
          <w:szCs w:val="32"/>
          <w:highlight w:val="none"/>
          <w:lang w:val="en-US" w:eastAsia="zh-CN"/>
        </w:rPr>
        <w:t>区司法局2021年</w:t>
      </w:r>
      <w:r>
        <w:rPr>
          <w:rFonts w:hint="eastAsia" w:ascii="仿宋_GB2312" w:hAnsi="仿宋_GB2312" w:eastAsia="仿宋_GB2312" w:cs="仿宋_GB2312"/>
          <w:spacing w:val="6"/>
          <w:sz w:val="32"/>
          <w:szCs w:val="32"/>
          <w:highlight w:val="none"/>
          <w:lang w:val="en-US" w:eastAsia="zh-CN"/>
        </w:rPr>
        <w:t>普法宣传工作经费</w:t>
      </w:r>
      <w:r>
        <w:rPr>
          <w:rFonts w:hint="eastAsia" w:ascii="仿宋_GB2312" w:hAnsi="仿宋_GB2312" w:eastAsia="仿宋_GB2312" w:cs="仿宋_GB2312"/>
          <w:sz w:val="32"/>
          <w:szCs w:val="32"/>
          <w:highlight w:val="none"/>
          <w:lang w:val="en-US" w:eastAsia="zh-CN"/>
        </w:rPr>
        <w:t>预算96.14万元。2021年项目调整增加经费预算1.95万元，调整后项目经费预算共98.09万元，项目经费预算指标已全额下达。</w:t>
      </w:r>
    </w:p>
    <w:p>
      <w:pPr>
        <w:widowControl w:val="0"/>
        <w:spacing w:line="590"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（2）项目资金使用及结余情况</w:t>
      </w:r>
    </w:p>
    <w:p>
      <w:pPr>
        <w:widowControl w:val="0"/>
        <w:spacing w:line="590"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区司法局2021年本项目经费预算98.09万元，实际使用项目资金98.09万元。</w:t>
      </w:r>
      <w:bookmarkStart w:id="66" w:name="_Toc12227"/>
      <w:bookmarkStart w:id="67" w:name="_Toc18218"/>
      <w:bookmarkStart w:id="68" w:name="_Toc3639"/>
      <w:bookmarkStart w:id="69" w:name="_Toc30638"/>
      <w:bookmarkStart w:id="70" w:name="_Toc7768"/>
      <w:bookmarkStart w:id="71" w:name="_Toc30573"/>
      <w:bookmarkStart w:id="72" w:name="_Toc3459"/>
      <w:bookmarkStart w:id="73" w:name="_Toc5300"/>
      <w:bookmarkStart w:id="74" w:name="_Toc22749"/>
      <w:bookmarkStart w:id="75" w:name="_Toc22093"/>
      <w:bookmarkStart w:id="76" w:name="_Toc30360"/>
      <w:bookmarkStart w:id="77" w:name="_Toc20306"/>
      <w:bookmarkStart w:id="78" w:name="_Toc6292"/>
      <w:bookmarkStart w:id="79" w:name="_Toc23751"/>
      <w:bookmarkStart w:id="80" w:name="_Toc31686"/>
      <w:bookmarkStart w:id="81" w:name="_Toc29235"/>
      <w:bookmarkStart w:id="82" w:name="_Toc22724"/>
      <w:bookmarkStart w:id="83" w:name="_Toc14706"/>
      <w:bookmarkStart w:id="84" w:name="_Toc32675"/>
      <w:bookmarkStart w:id="85" w:name="_Toc23233"/>
      <w:bookmarkStart w:id="86" w:name="_Toc13986"/>
    </w:p>
    <w:p>
      <w:pPr>
        <w:pStyle w:val="5"/>
        <w:keepNext w:val="0"/>
        <w:keepLines w:val="0"/>
        <w:pageBreakBefore w:val="0"/>
        <w:widowControl w:val="0"/>
        <w:kinsoku/>
        <w:wordWrap/>
        <w:overflowPunct/>
        <w:topLinePunct w:val="0"/>
        <w:autoSpaceDE/>
        <w:autoSpaceDN/>
        <w:bidi w:val="0"/>
        <w:adjustRightInd/>
        <w:snapToGrid/>
        <w:ind w:firstLine="664" w:firstLineChars="200"/>
        <w:textAlignment w:val="auto"/>
        <w:rPr>
          <w:rFonts w:hint="eastAsia" w:hAnsi="仿宋"/>
          <w:spacing w:val="6"/>
          <w:szCs w:val="32"/>
          <w:highlight w:val="none"/>
          <w:lang w:val="en-US" w:eastAsia="zh-CN"/>
        </w:rPr>
      </w:pPr>
      <w:bookmarkStart w:id="87" w:name="_Toc10412"/>
      <w:bookmarkStart w:id="88" w:name="_Toc22346"/>
      <w:bookmarkStart w:id="89" w:name="_Toc554"/>
      <w:bookmarkStart w:id="90" w:name="_Toc25907"/>
      <w:bookmarkStart w:id="91" w:name="_Toc30276"/>
      <w:bookmarkStart w:id="92" w:name="_Toc9799"/>
      <w:r>
        <w:rPr>
          <w:spacing w:val="6"/>
          <w:highlight w:val="none"/>
        </w:rPr>
        <w:fldChar w:fldCharType="begin"/>
      </w:r>
      <w:r>
        <w:rPr>
          <w:spacing w:val="6"/>
          <w:highlight w:val="none"/>
        </w:rPr>
        <w:instrText xml:space="preserve"> HYPERLINK \l "_Toc434746187" </w:instrText>
      </w:r>
      <w:r>
        <w:rPr>
          <w:spacing w:val="6"/>
          <w:highlight w:val="none"/>
        </w:rPr>
        <w:fldChar w:fldCharType="separate"/>
      </w:r>
      <w:r>
        <w:rPr>
          <w:rFonts w:hAnsi="仿宋"/>
          <w:spacing w:val="6"/>
          <w:szCs w:val="32"/>
          <w:highlight w:val="none"/>
          <w:lang w:val="zh-CN"/>
        </w:rPr>
        <w:t>（</w:t>
      </w:r>
      <w:r>
        <w:rPr>
          <w:rFonts w:hint="eastAsia" w:hAnsi="仿宋"/>
          <w:spacing w:val="6"/>
          <w:szCs w:val="32"/>
          <w:highlight w:val="none"/>
          <w:lang w:val="en-US" w:eastAsia="zh-CN"/>
        </w:rPr>
        <w:t>二</w:t>
      </w:r>
      <w:r>
        <w:rPr>
          <w:rFonts w:hAnsi="仿宋"/>
          <w:spacing w:val="6"/>
          <w:szCs w:val="32"/>
          <w:highlight w:val="none"/>
          <w:lang w:val="zh-CN"/>
        </w:rPr>
        <w:t>）</w:t>
      </w:r>
      <w:r>
        <w:rPr>
          <w:rFonts w:hAnsi="仿宋"/>
          <w:spacing w:val="6"/>
          <w:szCs w:val="32"/>
          <w:highlight w:val="none"/>
          <w:lang w:val="zh-CN"/>
        </w:rPr>
        <w:fldChar w:fldCharType="end"/>
      </w:r>
      <w:r>
        <w:rPr>
          <w:rFonts w:hint="eastAsia" w:hAnsi="仿宋"/>
          <w:spacing w:val="6"/>
          <w:szCs w:val="32"/>
          <w:highlight w:val="none"/>
          <w:lang w:val="en-US" w:eastAsia="zh-CN"/>
        </w:rPr>
        <w:t>项目支出绩效目标及指标设立情况</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pPr>
        <w:spacing w:line="590" w:lineRule="exact"/>
        <w:ind w:firstLine="664" w:firstLineChars="200"/>
        <w:rPr>
          <w:rFonts w:hint="default"/>
        </w:rPr>
      </w:pPr>
      <w:r>
        <w:rPr>
          <w:rFonts w:hint="eastAsia" w:ascii="仿宋_GB2312" w:hAnsi="仿宋_GB2312" w:eastAsia="仿宋_GB2312" w:cs="仿宋_GB2312"/>
          <w:spacing w:val="6"/>
          <w:sz w:val="32"/>
          <w:szCs w:val="32"/>
        </w:rPr>
        <w:t>我们在与</w:t>
      </w:r>
      <w:r>
        <w:rPr>
          <w:rFonts w:hint="eastAsia" w:ascii="仿宋_GB2312" w:hAnsi="仿宋_GB2312" w:eastAsia="仿宋_GB2312" w:cs="仿宋_GB2312"/>
          <w:spacing w:val="6"/>
          <w:sz w:val="32"/>
          <w:szCs w:val="32"/>
          <w:lang w:val="en-US" w:eastAsia="zh-CN"/>
        </w:rPr>
        <w:t>区</w:t>
      </w:r>
      <w:r>
        <w:rPr>
          <w:rFonts w:hint="eastAsia" w:ascii="仿宋_GB2312" w:hAnsi="仿宋_GB2312" w:eastAsia="仿宋_GB2312" w:cs="仿宋_GB2312"/>
          <w:spacing w:val="6"/>
          <w:sz w:val="32"/>
          <w:szCs w:val="32"/>
          <w:lang w:eastAsia="zh-CN"/>
        </w:rPr>
        <w:t>司法局</w:t>
      </w:r>
      <w:r>
        <w:rPr>
          <w:rFonts w:hint="eastAsia" w:ascii="仿宋_GB2312" w:hAnsi="仿宋_GB2312" w:eastAsia="仿宋_GB2312" w:cs="仿宋_GB2312"/>
          <w:spacing w:val="6"/>
          <w:sz w:val="32"/>
          <w:szCs w:val="32"/>
        </w:rPr>
        <w:t>、</w:t>
      </w:r>
      <w:r>
        <w:rPr>
          <w:rFonts w:hint="eastAsia" w:ascii="仿宋_GB2312" w:hAnsi="仿宋_GB2312" w:eastAsia="仿宋_GB2312" w:cs="仿宋_GB2312"/>
          <w:spacing w:val="6"/>
          <w:sz w:val="32"/>
          <w:szCs w:val="32"/>
          <w:lang w:val="en-US" w:eastAsia="zh-CN"/>
        </w:rPr>
        <w:t>区</w:t>
      </w:r>
      <w:r>
        <w:rPr>
          <w:rFonts w:hint="eastAsia" w:ascii="仿宋_GB2312" w:hAnsi="仿宋_GB2312" w:eastAsia="仿宋_GB2312" w:cs="仿宋_GB2312"/>
          <w:spacing w:val="6"/>
          <w:sz w:val="32"/>
          <w:szCs w:val="32"/>
        </w:rPr>
        <w:t>财政</w:t>
      </w:r>
      <w:r>
        <w:rPr>
          <w:rFonts w:hint="eastAsia" w:ascii="仿宋_GB2312" w:hAnsi="仿宋_GB2312" w:eastAsia="仿宋_GB2312" w:cs="仿宋_GB2312"/>
          <w:spacing w:val="6"/>
          <w:sz w:val="32"/>
          <w:szCs w:val="32"/>
          <w:lang w:val="en-US" w:eastAsia="zh-CN"/>
        </w:rPr>
        <w:t>局</w:t>
      </w:r>
      <w:r>
        <w:rPr>
          <w:rFonts w:hint="eastAsia" w:ascii="仿宋_GB2312" w:hAnsi="仿宋_GB2312" w:eastAsia="仿宋_GB2312" w:cs="仿宋_GB2312"/>
          <w:spacing w:val="6"/>
          <w:sz w:val="32"/>
          <w:szCs w:val="32"/>
        </w:rPr>
        <w:t>业务处室充分沟通的基础上，根据</w:t>
      </w:r>
      <w:r>
        <w:rPr>
          <w:rFonts w:hint="eastAsia" w:ascii="仿宋_GB2312" w:hAnsi="仿宋_GB2312" w:eastAsia="仿宋_GB2312" w:cs="仿宋_GB2312"/>
          <w:spacing w:val="6"/>
          <w:sz w:val="32"/>
          <w:szCs w:val="32"/>
          <w:lang w:val="en-US" w:eastAsia="zh-CN"/>
        </w:rPr>
        <w:t>区</w:t>
      </w:r>
      <w:r>
        <w:rPr>
          <w:rFonts w:hint="eastAsia" w:ascii="仿宋_GB2312" w:hAnsi="仿宋_GB2312" w:eastAsia="仿宋_GB2312" w:cs="仿宋_GB2312"/>
          <w:spacing w:val="6"/>
          <w:sz w:val="32"/>
          <w:szCs w:val="32"/>
          <w:lang w:eastAsia="zh-CN"/>
        </w:rPr>
        <w:t>司法局</w:t>
      </w:r>
      <w:r>
        <w:rPr>
          <w:rFonts w:hint="eastAsia" w:ascii="仿宋_GB2312" w:hAnsi="仿宋_GB2312" w:eastAsia="仿宋_GB2312" w:cs="仿宋_GB2312"/>
          <w:spacing w:val="6"/>
          <w:sz w:val="32"/>
          <w:szCs w:val="32"/>
        </w:rPr>
        <w:t>提供的项目绩效目标表</w:t>
      </w:r>
      <w:r>
        <w:rPr>
          <w:rFonts w:hint="eastAsia" w:ascii="仿宋_GB2312" w:hAnsi="仿宋_GB2312" w:eastAsia="仿宋_GB2312" w:cs="仿宋_GB2312"/>
          <w:spacing w:val="6"/>
          <w:sz w:val="32"/>
          <w:szCs w:val="32"/>
          <w:lang w:eastAsia="zh-CN"/>
        </w:rPr>
        <w:t>以及</w:t>
      </w:r>
      <w:r>
        <w:rPr>
          <w:rFonts w:hint="eastAsia" w:ascii="仿宋_GB2312" w:hAnsi="仿宋_GB2312" w:eastAsia="仿宋_GB2312" w:cs="仿宋_GB2312"/>
          <w:spacing w:val="6"/>
          <w:kern w:val="0"/>
          <w:sz w:val="32"/>
          <w:szCs w:val="32"/>
          <w:lang w:eastAsia="zh-CN"/>
        </w:rPr>
        <w:t>区司法局</w:t>
      </w:r>
      <w:r>
        <w:rPr>
          <w:rFonts w:hint="eastAsia" w:ascii="仿宋_GB2312" w:hAnsi="仿宋_GB2312" w:eastAsia="仿宋_GB2312" w:cs="仿宋_GB2312"/>
          <w:spacing w:val="6"/>
          <w:kern w:val="0"/>
          <w:sz w:val="32"/>
          <w:szCs w:val="32"/>
        </w:rPr>
        <w:t>制定的</w:t>
      </w:r>
      <w:r>
        <w:rPr>
          <w:rFonts w:hint="eastAsia" w:ascii="仿宋_GB2312" w:hAnsi="仿宋_GB2312" w:eastAsia="仿宋_GB2312" w:cs="仿宋_GB2312"/>
          <w:spacing w:val="6"/>
          <w:kern w:val="0"/>
          <w:sz w:val="32"/>
          <w:szCs w:val="32"/>
          <w:lang w:val="en-US" w:eastAsia="zh-CN"/>
        </w:rPr>
        <w:t>2021年普法依法治理工作要点</w:t>
      </w:r>
      <w:r>
        <w:rPr>
          <w:rFonts w:hint="eastAsia" w:ascii="仿宋_GB2312" w:hAnsi="仿宋_GB2312" w:eastAsia="仿宋_GB2312" w:cs="仿宋_GB2312"/>
          <w:spacing w:val="6"/>
          <w:sz w:val="32"/>
          <w:szCs w:val="32"/>
        </w:rPr>
        <w:t>等资料结合项目实际情况对项目绩效目标和绩效指标进行再次梳理。再次梳理的绩效目标</w:t>
      </w:r>
      <w:r>
        <w:rPr>
          <w:rFonts w:hint="eastAsia" w:ascii="仿宋_GB2312" w:hAnsi="仿宋_GB2312" w:eastAsia="仿宋_GB2312" w:cs="仿宋_GB2312"/>
          <w:spacing w:val="6"/>
          <w:sz w:val="32"/>
          <w:szCs w:val="32"/>
          <w:lang w:val="en-US" w:eastAsia="zh-CN"/>
        </w:rPr>
        <w:t>如下：一是</w:t>
      </w:r>
      <w:r>
        <w:rPr>
          <w:rStyle w:val="21"/>
          <w:rFonts w:hint="eastAsia" w:ascii="仿宋_GB2312" w:hAnsi="仿宋_GB2312" w:eastAsia="仿宋_GB2312" w:cs="仿宋_GB2312"/>
          <w:b w:val="0"/>
          <w:bCs w:val="0"/>
          <w:color w:val="auto"/>
          <w:spacing w:val="6"/>
          <w:kern w:val="2"/>
          <w:sz w:val="32"/>
          <w:szCs w:val="32"/>
          <w:lang w:bidi="ar-SA"/>
        </w:rPr>
        <w:t>202</w:t>
      </w:r>
      <w:r>
        <w:rPr>
          <w:rStyle w:val="21"/>
          <w:rFonts w:hint="eastAsia" w:ascii="仿宋_GB2312" w:hAnsi="仿宋_GB2312" w:eastAsia="仿宋_GB2312" w:cs="仿宋_GB2312"/>
          <w:b w:val="0"/>
          <w:bCs w:val="0"/>
          <w:color w:val="auto"/>
          <w:spacing w:val="6"/>
          <w:kern w:val="2"/>
          <w:sz w:val="32"/>
          <w:szCs w:val="32"/>
          <w:lang w:val="en-US" w:eastAsia="zh-CN" w:bidi="ar-SA"/>
        </w:rPr>
        <w:t>1</w:t>
      </w:r>
      <w:r>
        <w:rPr>
          <w:rStyle w:val="21"/>
          <w:rFonts w:hint="eastAsia" w:ascii="仿宋_GB2312" w:hAnsi="仿宋_GB2312" w:eastAsia="仿宋_GB2312" w:cs="仿宋_GB2312"/>
          <w:b w:val="0"/>
          <w:bCs w:val="0"/>
          <w:color w:val="auto"/>
          <w:spacing w:val="6"/>
          <w:kern w:val="2"/>
          <w:sz w:val="32"/>
          <w:szCs w:val="32"/>
          <w:lang w:bidi="ar-SA"/>
        </w:rPr>
        <w:t>年</w:t>
      </w:r>
      <w:r>
        <w:rPr>
          <w:rStyle w:val="21"/>
          <w:rFonts w:hint="eastAsia" w:ascii="仿宋_GB2312" w:hAnsi="仿宋_GB2312" w:eastAsia="仿宋_GB2312" w:cs="仿宋_GB2312"/>
          <w:b w:val="0"/>
          <w:bCs w:val="0"/>
          <w:color w:val="auto"/>
          <w:spacing w:val="6"/>
          <w:kern w:val="2"/>
          <w:sz w:val="32"/>
          <w:szCs w:val="32"/>
          <w:lang w:eastAsia="zh-CN" w:bidi="ar-SA"/>
        </w:rPr>
        <w:t>普法宣传工作</w:t>
      </w:r>
      <w:r>
        <w:rPr>
          <w:rStyle w:val="21"/>
          <w:rFonts w:hint="eastAsia" w:ascii="仿宋_GB2312" w:hAnsi="仿宋_GB2312" w:eastAsia="仿宋_GB2312" w:cs="仿宋_GB2312"/>
          <w:b w:val="0"/>
          <w:bCs w:val="0"/>
          <w:color w:val="auto"/>
          <w:spacing w:val="6"/>
          <w:kern w:val="2"/>
          <w:sz w:val="32"/>
          <w:szCs w:val="32"/>
          <w:lang w:bidi="ar-SA"/>
        </w:rPr>
        <w:t>计划</w:t>
      </w:r>
      <w:r>
        <w:rPr>
          <w:rFonts w:hint="eastAsia" w:ascii="仿宋_GB2312" w:hAnsi="仿宋_GB2312" w:eastAsia="仿宋_GB2312" w:cs="仿宋_GB2312"/>
          <w:color w:val="auto"/>
          <w:kern w:val="2"/>
          <w:sz w:val="32"/>
          <w:szCs w:val="32"/>
          <w:lang w:val="en-US" w:eastAsia="zh-CN" w:bidi="ar-SA"/>
        </w:rPr>
        <w:t>紧紧围绕党委、政府中心工作、重点人群开展法治宣传教育，通过大力开展各类主题法治宣传活动，增强全社会尊法学法守法用法的浓厚氛围；</w:t>
      </w:r>
      <w:r>
        <w:rPr>
          <w:rFonts w:hint="eastAsia" w:ascii="仿宋_GB2312" w:hAnsi="仿宋_GB2312" w:eastAsia="仿宋_GB2312" w:cs="仿宋_GB2312"/>
          <w:bCs w:val="0"/>
          <w:spacing w:val="6"/>
          <w:kern w:val="2"/>
          <w:sz w:val="32"/>
          <w:szCs w:val="32"/>
          <w:lang w:val="en-US" w:eastAsia="zh-CN" w:bidi="ar-SA"/>
        </w:rPr>
        <w:t>二是</w:t>
      </w:r>
      <w:r>
        <w:rPr>
          <w:rFonts w:hint="eastAsia" w:ascii="仿宋_GB2312" w:hAnsi="宋体" w:eastAsia="仿宋_GB2312" w:cs="仿宋_GB2312"/>
          <w:color w:val="000000"/>
          <w:kern w:val="0"/>
          <w:sz w:val="32"/>
          <w:szCs w:val="32"/>
        </w:rPr>
        <w:t>切实</w:t>
      </w:r>
      <w:r>
        <w:rPr>
          <w:rFonts w:hint="eastAsia" w:ascii="仿宋_GB2312" w:hAnsi="Tahoma" w:eastAsia="仿宋_GB2312" w:cs="仿宋_GB2312"/>
          <w:color w:val="0D0D0D"/>
          <w:kern w:val="0"/>
          <w:sz w:val="32"/>
          <w:szCs w:val="32"/>
        </w:rPr>
        <w:t>抓好国家工作人员普法宣传</w:t>
      </w:r>
      <w:r>
        <w:rPr>
          <w:rFonts w:hint="eastAsia" w:ascii="仿宋_GB2312" w:hAnsi="Tahoma" w:eastAsia="仿宋_GB2312" w:cs="仿宋_GB2312"/>
          <w:color w:val="0D0D0D"/>
          <w:kern w:val="0"/>
          <w:sz w:val="32"/>
          <w:szCs w:val="32"/>
          <w:lang w:eastAsia="zh-CN"/>
        </w:rPr>
        <w:t>，</w:t>
      </w:r>
      <w:r>
        <w:rPr>
          <w:rFonts w:hint="eastAsia" w:ascii="仿宋_GB2312" w:hAnsi="黑体" w:eastAsia="仿宋_GB2312" w:cs="黑体"/>
          <w:b w:val="0"/>
          <w:bCs w:val="0"/>
          <w:color w:val="000000"/>
          <w:sz w:val="32"/>
          <w:szCs w:val="32"/>
          <w:highlight w:val="none"/>
          <w:lang w:val="en-US" w:eastAsia="zh-CN"/>
        </w:rPr>
        <w:t>提升全区领导干部及国家工作人员的法治素养</w:t>
      </w:r>
      <w:r>
        <w:rPr>
          <w:rStyle w:val="21"/>
          <w:rFonts w:hint="eastAsia" w:ascii="仿宋_GB2312" w:hAnsi="仿宋_GB2312" w:eastAsia="仿宋_GB2312" w:cs="仿宋_GB2312"/>
          <w:b w:val="0"/>
          <w:bCs w:val="0"/>
          <w:color w:val="auto"/>
          <w:spacing w:val="6"/>
          <w:kern w:val="2"/>
          <w:sz w:val="32"/>
          <w:szCs w:val="32"/>
          <w:highlight w:val="none"/>
          <w:lang w:eastAsia="zh-CN" w:bidi="ar-SA"/>
        </w:rPr>
        <w:t>；</w:t>
      </w:r>
      <w:r>
        <w:rPr>
          <w:rFonts w:hint="eastAsia" w:ascii="仿宋_GB2312" w:hAnsi="仿宋_GB2312" w:eastAsia="仿宋_GB2312" w:cs="仿宋_GB2312"/>
          <w:bCs w:val="0"/>
          <w:spacing w:val="6"/>
          <w:kern w:val="2"/>
          <w:sz w:val="32"/>
          <w:szCs w:val="32"/>
          <w:lang w:val="en-US" w:eastAsia="zh-CN" w:bidi="ar-SA"/>
        </w:rPr>
        <w:t>三是深入云岩区各街道开展定向培训，确保</w:t>
      </w:r>
      <w:r>
        <w:rPr>
          <w:rFonts w:hint="eastAsia" w:ascii="Times New Roman" w:hAnsi="Times New Roman" w:eastAsia="仿宋_GB2312" w:cs="Times New Roman"/>
          <w:sz w:val="32"/>
          <w:lang w:val="en-US" w:eastAsia="zh-CN"/>
        </w:rPr>
        <w:t>“法律明白人”培养工程村（居）全覆盖</w:t>
      </w:r>
      <w:r>
        <w:rPr>
          <w:rStyle w:val="21"/>
          <w:rFonts w:hint="eastAsia" w:ascii="仿宋_GB2312" w:hAnsi="仿宋_GB2312" w:eastAsia="仿宋_GB2312" w:cs="仿宋_GB2312"/>
          <w:b w:val="0"/>
          <w:bCs w:val="0"/>
          <w:color w:val="auto"/>
          <w:spacing w:val="6"/>
          <w:kern w:val="2"/>
          <w:sz w:val="32"/>
          <w:szCs w:val="32"/>
          <w:lang w:eastAsia="zh-CN" w:bidi="ar-SA"/>
        </w:rPr>
        <w:t>；四是控制普法宣传活动开展时间间隔，提高普法宣传活动开展频率；</w:t>
      </w:r>
      <w:r>
        <w:rPr>
          <w:rFonts w:hint="eastAsia" w:ascii="仿宋_GB2312" w:hAnsi="仿宋_GB2312" w:eastAsia="仿宋_GB2312" w:cs="仿宋_GB2312"/>
          <w:bCs w:val="0"/>
          <w:spacing w:val="6"/>
          <w:kern w:val="2"/>
          <w:sz w:val="32"/>
          <w:szCs w:val="32"/>
          <w:lang w:val="en-US" w:eastAsia="zh-CN" w:bidi="ar-SA"/>
        </w:rPr>
        <w:t>五是打造“民主法治示范村”、创建“</w:t>
      </w:r>
      <w:r>
        <w:rPr>
          <w:rFonts w:hint="eastAsia" w:ascii="Times New Roman" w:hAnsi="Times New Roman" w:eastAsia="仿宋_GB2312" w:cs="Times New Roman"/>
          <w:b w:val="0"/>
          <w:bCs w:val="0"/>
          <w:kern w:val="0"/>
          <w:sz w:val="32"/>
          <w:szCs w:val="32"/>
          <w:lang w:val="en-US" w:eastAsia="zh-CN" w:bidi="ar-SA"/>
        </w:rPr>
        <w:t>法治文化企业</w:t>
      </w:r>
      <w:r>
        <w:rPr>
          <w:rFonts w:hint="eastAsia" w:ascii="仿宋_GB2312" w:hAnsi="仿宋_GB2312" w:eastAsia="仿宋_GB2312" w:cs="仿宋_GB2312"/>
          <w:bCs w:val="0"/>
          <w:spacing w:val="6"/>
          <w:kern w:val="2"/>
          <w:sz w:val="32"/>
          <w:szCs w:val="32"/>
          <w:lang w:val="en-US" w:eastAsia="zh-CN" w:bidi="ar-SA"/>
        </w:rPr>
        <w:t>”，</w:t>
      </w:r>
      <w:r>
        <w:rPr>
          <w:rStyle w:val="21"/>
          <w:rFonts w:hint="eastAsia" w:ascii="仿宋_GB2312" w:hAnsi="仿宋_GB2312" w:eastAsia="仿宋_GB2312" w:cs="仿宋_GB2312"/>
          <w:b w:val="0"/>
          <w:bCs w:val="0"/>
          <w:color w:val="auto"/>
          <w:spacing w:val="6"/>
          <w:kern w:val="2"/>
          <w:sz w:val="32"/>
          <w:szCs w:val="32"/>
          <w:lang w:bidi="ar-SA"/>
        </w:rPr>
        <w:t>有效</w:t>
      </w:r>
      <w:r>
        <w:rPr>
          <w:rStyle w:val="21"/>
          <w:rFonts w:hint="eastAsia" w:ascii="仿宋_GB2312" w:hAnsi="仿宋_GB2312" w:eastAsia="仿宋_GB2312" w:cs="仿宋_GB2312"/>
          <w:b w:val="0"/>
          <w:bCs w:val="0"/>
          <w:color w:val="auto"/>
          <w:spacing w:val="6"/>
          <w:kern w:val="2"/>
          <w:sz w:val="32"/>
          <w:szCs w:val="32"/>
          <w:lang w:eastAsia="zh-CN" w:bidi="ar-SA"/>
        </w:rPr>
        <w:t>提升</w:t>
      </w:r>
      <w:r>
        <w:rPr>
          <w:rStyle w:val="21"/>
          <w:rFonts w:hint="eastAsia" w:ascii="仿宋_GB2312" w:hAnsi="仿宋_GB2312" w:eastAsia="仿宋_GB2312" w:cs="仿宋_GB2312"/>
          <w:b w:val="0"/>
          <w:bCs w:val="0"/>
          <w:color w:val="auto"/>
          <w:spacing w:val="6"/>
          <w:kern w:val="2"/>
          <w:sz w:val="32"/>
          <w:szCs w:val="32"/>
          <w:lang w:bidi="ar-SA"/>
        </w:rPr>
        <w:t>群众</w:t>
      </w:r>
      <w:r>
        <w:rPr>
          <w:rStyle w:val="21"/>
          <w:rFonts w:hint="eastAsia" w:ascii="仿宋_GB2312" w:hAnsi="仿宋_GB2312" w:eastAsia="仿宋_GB2312" w:cs="仿宋_GB2312"/>
          <w:b w:val="0"/>
          <w:bCs w:val="0"/>
          <w:color w:val="auto"/>
          <w:spacing w:val="6"/>
          <w:kern w:val="2"/>
          <w:sz w:val="32"/>
          <w:szCs w:val="32"/>
          <w:lang w:eastAsia="zh-CN" w:bidi="ar-SA"/>
        </w:rPr>
        <w:t>对普法工作的知晓率、参与率</w:t>
      </w:r>
      <w:r>
        <w:rPr>
          <w:rStyle w:val="21"/>
          <w:rFonts w:hint="eastAsia" w:ascii="仿宋_GB2312" w:hAnsi="仿宋_GB2312" w:eastAsia="仿宋_GB2312" w:cs="仿宋_GB2312"/>
          <w:b w:val="0"/>
          <w:bCs w:val="0"/>
          <w:color w:val="auto"/>
          <w:spacing w:val="6"/>
          <w:kern w:val="2"/>
          <w:sz w:val="32"/>
          <w:szCs w:val="32"/>
          <w:lang w:bidi="ar-SA"/>
        </w:rPr>
        <w:t>，</w:t>
      </w:r>
      <w:r>
        <w:rPr>
          <w:rStyle w:val="21"/>
          <w:rFonts w:hint="eastAsia" w:ascii="仿宋_GB2312" w:hAnsi="仿宋_GB2312" w:eastAsia="仿宋_GB2312" w:cs="仿宋_GB2312"/>
          <w:b w:val="0"/>
          <w:bCs w:val="0"/>
          <w:color w:val="auto"/>
          <w:spacing w:val="6"/>
          <w:kern w:val="2"/>
          <w:sz w:val="32"/>
          <w:szCs w:val="32"/>
          <w:lang w:eastAsia="zh-CN" w:bidi="ar-SA"/>
        </w:rPr>
        <w:t>让法治工作深入人心</w:t>
      </w:r>
      <w:r>
        <w:rPr>
          <w:rStyle w:val="21"/>
          <w:rFonts w:hint="eastAsia" w:ascii="仿宋_GB2312" w:hAnsi="仿宋_GB2312" w:eastAsia="仿宋_GB2312" w:cs="仿宋_GB2312"/>
          <w:b w:val="0"/>
          <w:bCs w:val="0"/>
          <w:spacing w:val="6"/>
          <w:kern w:val="2"/>
          <w:sz w:val="32"/>
          <w:szCs w:val="32"/>
          <w:lang w:eastAsia="zh-CN" w:bidi="ar-SA"/>
        </w:rPr>
        <w:t>；</w:t>
      </w:r>
      <w:r>
        <w:rPr>
          <w:rFonts w:hint="eastAsia" w:ascii="仿宋_GB2312" w:hAnsi="仿宋_GB2312" w:eastAsia="仿宋_GB2312" w:cs="仿宋_GB2312"/>
          <w:b w:val="0"/>
          <w:bCs w:val="0"/>
          <w:spacing w:val="6"/>
          <w:kern w:val="2"/>
          <w:sz w:val="32"/>
          <w:szCs w:val="32"/>
          <w:lang w:val="en-US" w:eastAsia="zh-CN" w:bidi="ar-SA"/>
        </w:rPr>
        <w:t>六是群众以及国家工作人员</w:t>
      </w:r>
      <w:r>
        <w:rPr>
          <w:rStyle w:val="21"/>
          <w:rFonts w:hint="eastAsia" w:ascii="仿宋_GB2312" w:hAnsi="仿宋_GB2312" w:eastAsia="仿宋_GB2312" w:cs="仿宋_GB2312"/>
          <w:b w:val="0"/>
          <w:bCs w:val="0"/>
          <w:color w:val="auto"/>
          <w:spacing w:val="6"/>
          <w:kern w:val="2"/>
          <w:sz w:val="32"/>
          <w:szCs w:val="32"/>
          <w:lang w:bidi="ar-SA"/>
        </w:rPr>
        <w:t>满意度高于</w:t>
      </w:r>
      <w:r>
        <w:rPr>
          <w:rFonts w:hint="eastAsia" w:ascii="仿宋_GB2312" w:hAnsi="仿宋_GB2312" w:eastAsia="仿宋_GB2312" w:cs="仿宋_GB2312"/>
          <w:bCs w:val="0"/>
          <w:spacing w:val="6"/>
          <w:kern w:val="2"/>
          <w:sz w:val="32"/>
          <w:szCs w:val="32"/>
          <w:lang w:bidi="ar-SA"/>
        </w:rPr>
        <w:t>80%</w:t>
      </w:r>
      <w:r>
        <w:rPr>
          <w:rStyle w:val="21"/>
          <w:rFonts w:hint="eastAsia" w:ascii="仿宋_GB2312" w:hAnsi="仿宋_GB2312" w:eastAsia="仿宋_GB2312" w:cs="仿宋_GB2312"/>
          <w:b w:val="0"/>
          <w:bCs w:val="0"/>
          <w:color w:val="auto"/>
          <w:spacing w:val="6"/>
          <w:kern w:val="2"/>
          <w:sz w:val="32"/>
          <w:szCs w:val="32"/>
          <w:lang w:bidi="ar-SA"/>
        </w:rPr>
        <w:t>。</w:t>
      </w:r>
      <w:r>
        <w:rPr>
          <w:rFonts w:hint="eastAsia" w:ascii="仿宋_GB2312" w:hAnsi="仿宋_GB2312" w:eastAsia="仿宋_GB2312" w:cs="仿宋_GB2312"/>
          <w:spacing w:val="6"/>
          <w:sz w:val="32"/>
          <w:szCs w:val="32"/>
        </w:rPr>
        <w:t>再次梳理的绩效</w:t>
      </w:r>
      <w:r>
        <w:rPr>
          <w:rFonts w:hint="eastAsia" w:ascii="仿宋_GB2312" w:hAnsi="仿宋_GB2312" w:eastAsia="仿宋_GB2312" w:cs="仿宋_GB2312"/>
          <w:spacing w:val="6"/>
          <w:sz w:val="32"/>
          <w:szCs w:val="32"/>
          <w:lang w:val="en-US" w:eastAsia="zh-CN"/>
        </w:rPr>
        <w:t>指标详见附件1</w:t>
      </w:r>
      <w:r>
        <w:rPr>
          <w:rFonts w:hint="eastAsia" w:ascii="仿宋_GB2312" w:hAnsi="仿宋_GB2312" w:eastAsia="仿宋_GB2312" w:cs="仿宋_GB2312"/>
          <w:b w:val="0"/>
          <w:bCs w:val="0"/>
          <w:spacing w:val="6"/>
          <w:kern w:val="2"/>
          <w:sz w:val="32"/>
          <w:szCs w:val="32"/>
          <w:lang w:bidi="ar-SA"/>
        </w:rPr>
        <w:t>。</w:t>
      </w:r>
    </w:p>
    <w:p>
      <w:pPr>
        <w:pStyle w:val="4"/>
        <w:ind w:firstLine="640"/>
        <w:rPr>
          <w:rFonts w:hint="default" w:eastAsia="黑体"/>
          <w:highlight w:val="none"/>
          <w:lang w:val="en-US" w:eastAsia="zh-CN"/>
        </w:rPr>
      </w:pPr>
      <w:bookmarkStart w:id="93" w:name="_Toc7504"/>
      <w:bookmarkStart w:id="94" w:name="_Toc1312"/>
      <w:bookmarkStart w:id="95" w:name="_Toc18419"/>
      <w:bookmarkStart w:id="96" w:name="_Toc10633"/>
      <w:bookmarkStart w:id="97" w:name="_Toc12994"/>
      <w:bookmarkStart w:id="98" w:name="_Toc32474"/>
      <w:bookmarkStart w:id="99" w:name="_Toc24126"/>
      <w:bookmarkStart w:id="100" w:name="_Toc14"/>
      <w:bookmarkStart w:id="101" w:name="_Toc15311"/>
      <w:bookmarkStart w:id="102" w:name="_Toc14823"/>
      <w:bookmarkStart w:id="103" w:name="_Toc19137"/>
      <w:bookmarkStart w:id="104" w:name="_Toc8780"/>
      <w:bookmarkStart w:id="105" w:name="_Toc12654"/>
      <w:bookmarkStart w:id="106" w:name="_Toc32268"/>
      <w:bookmarkStart w:id="107" w:name="_Toc25973"/>
      <w:bookmarkStart w:id="108" w:name="_Toc14722"/>
      <w:bookmarkStart w:id="109" w:name="_Toc9242"/>
      <w:bookmarkStart w:id="110" w:name="_Toc8630"/>
      <w:bookmarkStart w:id="111" w:name="_Toc12695"/>
      <w:bookmarkStart w:id="112" w:name="_Toc11796"/>
      <w:bookmarkStart w:id="113" w:name="_Toc30546"/>
      <w:bookmarkStart w:id="114" w:name="_Toc14372"/>
      <w:bookmarkStart w:id="115" w:name="_Toc3187"/>
      <w:bookmarkStart w:id="116" w:name="_Toc21902"/>
      <w:bookmarkStart w:id="117" w:name="_Toc26716"/>
      <w:bookmarkStart w:id="118" w:name="_Toc15898"/>
      <w:bookmarkStart w:id="119" w:name="_Toc14235"/>
      <w:bookmarkStart w:id="120" w:name="_Toc14131"/>
      <w:bookmarkStart w:id="121" w:name="_Toc4668"/>
      <w:bookmarkStart w:id="122" w:name="_Toc1279"/>
      <w:bookmarkStart w:id="123" w:name="_Toc17451"/>
      <w:r>
        <w:rPr>
          <w:rFonts w:hint="eastAsia"/>
          <w:spacing w:val="6"/>
          <w:highlight w:val="none"/>
        </w:rPr>
        <w:t>二</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Start w:id="124" w:name="_Toc17437"/>
      <w:bookmarkStart w:id="125" w:name="_Toc14582"/>
      <w:bookmarkStart w:id="126" w:name="_Toc7105"/>
      <w:bookmarkStart w:id="127" w:name="_Toc5864"/>
      <w:bookmarkStart w:id="128" w:name="_Toc30906"/>
      <w:bookmarkStart w:id="129" w:name="_Toc926"/>
      <w:bookmarkStart w:id="130" w:name="_Toc4537"/>
      <w:bookmarkStart w:id="131" w:name="_Toc31360"/>
      <w:bookmarkStart w:id="132" w:name="_Toc4991"/>
      <w:bookmarkStart w:id="133" w:name="_Toc30093"/>
      <w:bookmarkStart w:id="134" w:name="_Toc19817"/>
      <w:bookmarkStart w:id="135" w:name="_Toc26264"/>
      <w:bookmarkStart w:id="136" w:name="_Toc1184"/>
      <w:bookmarkStart w:id="137" w:name="_Toc2870"/>
      <w:bookmarkStart w:id="138" w:name="_Toc21932"/>
      <w:bookmarkStart w:id="139" w:name="_Toc19828364"/>
      <w:bookmarkStart w:id="140" w:name="_Toc3536"/>
      <w:bookmarkStart w:id="141" w:name="_Toc14497"/>
      <w:bookmarkStart w:id="142" w:name="_Toc29296"/>
      <w:bookmarkStart w:id="143" w:name="_Toc25715"/>
      <w:bookmarkStart w:id="144" w:name="_Toc21081"/>
      <w:bookmarkStart w:id="145" w:name="_Toc21152"/>
      <w:bookmarkStart w:id="146" w:name="_Toc25843"/>
      <w:bookmarkStart w:id="147" w:name="_Toc30786"/>
      <w:bookmarkStart w:id="148" w:name="_Toc1740"/>
      <w:bookmarkStart w:id="149" w:name="_Toc16723"/>
      <w:bookmarkStart w:id="150" w:name="_Toc4642"/>
      <w:bookmarkStart w:id="151" w:name="_Toc11157"/>
      <w:bookmarkStart w:id="152" w:name="_Toc9928"/>
      <w:bookmarkStart w:id="153" w:name="_Toc23269"/>
      <w:bookmarkStart w:id="154" w:name="_Toc7100"/>
      <w:bookmarkStart w:id="155" w:name="_Toc8138"/>
      <w:r>
        <w:rPr>
          <w:rFonts w:hint="eastAsia"/>
          <w:highlight w:val="none"/>
        </w:rPr>
        <w:t>、</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Pr>
          <w:rFonts w:hint="eastAsia"/>
          <w:highlight w:val="none"/>
          <w:lang w:eastAsia="zh-CN"/>
        </w:rPr>
        <w:t>绩效评价</w:t>
      </w:r>
      <w:r>
        <w:rPr>
          <w:rFonts w:hint="eastAsia"/>
          <w:highlight w:val="none"/>
          <w:lang w:val="en-US" w:eastAsia="zh-CN"/>
        </w:rPr>
        <w:t>综合评价情况及评价结论</w:t>
      </w:r>
      <w:bookmarkEnd w:id="150"/>
      <w:bookmarkEnd w:id="151"/>
      <w:bookmarkEnd w:id="152"/>
      <w:bookmarkEnd w:id="153"/>
      <w:bookmarkEnd w:id="154"/>
      <w:bookmarkEnd w:id="155"/>
    </w:p>
    <w:p>
      <w:pPr>
        <w:pStyle w:val="5"/>
        <w:keepNext w:val="0"/>
        <w:keepLines w:val="0"/>
        <w:pageBreakBefore w:val="0"/>
        <w:widowControl w:val="0"/>
        <w:kinsoku/>
        <w:wordWrap/>
        <w:overflowPunct/>
        <w:topLinePunct w:val="0"/>
        <w:autoSpaceDE/>
        <w:autoSpaceDN/>
        <w:bidi w:val="0"/>
        <w:adjustRightInd/>
        <w:snapToGrid/>
        <w:ind w:firstLine="664" w:firstLineChars="200"/>
        <w:textAlignment w:val="auto"/>
        <w:rPr>
          <w:rFonts w:hint="default" w:hAnsi="Times New Roman"/>
          <w:spacing w:val="6"/>
          <w:szCs w:val="32"/>
          <w:highlight w:val="none"/>
        </w:rPr>
      </w:pPr>
      <w:bookmarkStart w:id="156" w:name="_Toc21470"/>
      <w:bookmarkStart w:id="157" w:name="_Toc29698"/>
      <w:bookmarkStart w:id="158" w:name="_Toc20088"/>
      <w:bookmarkStart w:id="159" w:name="_Toc3326"/>
      <w:bookmarkStart w:id="160" w:name="_Toc28788"/>
      <w:bookmarkStart w:id="161" w:name="_Toc7449"/>
      <w:bookmarkStart w:id="162" w:name="_Toc14782"/>
      <w:bookmarkStart w:id="163" w:name="_Toc29986"/>
      <w:bookmarkStart w:id="164" w:name="_Toc22311"/>
      <w:bookmarkStart w:id="165" w:name="_Toc26866"/>
      <w:bookmarkStart w:id="166" w:name="_Toc7253"/>
      <w:bookmarkStart w:id="167" w:name="_Toc5337"/>
      <w:bookmarkStart w:id="168" w:name="_Toc2067"/>
      <w:bookmarkStart w:id="169" w:name="_Toc21342"/>
      <w:bookmarkStart w:id="170" w:name="_Toc1628"/>
      <w:bookmarkStart w:id="171" w:name="_Toc23292"/>
      <w:bookmarkStart w:id="172" w:name="_Toc10355"/>
      <w:bookmarkStart w:id="173" w:name="_Toc4334"/>
      <w:bookmarkStart w:id="174" w:name="_Toc3094"/>
      <w:bookmarkStart w:id="175" w:name="_Toc2163"/>
      <w:bookmarkStart w:id="176" w:name="_Toc4167"/>
      <w:bookmarkStart w:id="177" w:name="_Toc20407"/>
      <w:bookmarkStart w:id="178" w:name="_Toc10438"/>
      <w:bookmarkStart w:id="179" w:name="_Toc3501"/>
      <w:bookmarkStart w:id="180" w:name="_Toc6631"/>
      <w:bookmarkStart w:id="181" w:name="_Toc31503"/>
      <w:bookmarkStart w:id="182" w:name="_Toc5056"/>
      <w:bookmarkStart w:id="183" w:name="_Toc28513"/>
      <w:bookmarkStart w:id="184" w:name="_Toc10476"/>
      <w:bookmarkStart w:id="185" w:name="_Toc23533"/>
      <w:bookmarkStart w:id="186" w:name="_Toc12057"/>
      <w:bookmarkStart w:id="187" w:name="_Toc12500"/>
      <w:bookmarkStart w:id="188" w:name="_Toc21209"/>
      <w:bookmarkStart w:id="189" w:name="_Toc28"/>
      <w:bookmarkStart w:id="190" w:name="_Toc18864"/>
      <w:bookmarkStart w:id="191" w:name="_Toc30397"/>
      <w:bookmarkStart w:id="192" w:name="_Toc16718"/>
      <w:bookmarkStart w:id="193" w:name="_Toc12833"/>
      <w:bookmarkStart w:id="194" w:name="_Toc27933"/>
      <w:bookmarkStart w:id="195" w:name="_Toc25448"/>
      <w:bookmarkStart w:id="196" w:name="_Toc7700"/>
      <w:bookmarkStart w:id="197" w:name="_Toc26262"/>
      <w:bookmarkStart w:id="198" w:name="_Toc4287"/>
      <w:bookmarkStart w:id="199" w:name="_Toc10657"/>
      <w:bookmarkStart w:id="200" w:name="_Toc6894"/>
      <w:bookmarkStart w:id="201" w:name="_Toc30654"/>
      <w:bookmarkStart w:id="202" w:name="_Toc11753"/>
      <w:bookmarkStart w:id="203" w:name="_Toc11180"/>
      <w:bookmarkStart w:id="204" w:name="_Toc29377"/>
      <w:bookmarkStart w:id="205" w:name="_Toc26347"/>
      <w:bookmarkStart w:id="206" w:name="_Toc2590"/>
      <w:bookmarkStart w:id="207" w:name="_Toc29109"/>
      <w:bookmarkStart w:id="208" w:name="_Toc5311"/>
      <w:bookmarkStart w:id="209" w:name="_Toc8459"/>
      <w:bookmarkStart w:id="210" w:name="_Hlk49420951"/>
      <w:r>
        <w:rPr>
          <w:spacing w:val="6"/>
          <w:highlight w:val="none"/>
        </w:rPr>
        <w:fldChar w:fldCharType="begin"/>
      </w:r>
      <w:r>
        <w:rPr>
          <w:spacing w:val="6"/>
          <w:highlight w:val="none"/>
        </w:rPr>
        <w:instrText xml:space="preserve"> HYPERLINK \l "_Toc434746187" </w:instrText>
      </w:r>
      <w:r>
        <w:rPr>
          <w:spacing w:val="6"/>
          <w:highlight w:val="none"/>
        </w:rPr>
        <w:fldChar w:fldCharType="separate"/>
      </w:r>
      <w:r>
        <w:rPr>
          <w:rFonts w:hAnsi="Times New Roman"/>
          <w:spacing w:val="6"/>
          <w:szCs w:val="32"/>
          <w:highlight w:val="none"/>
          <w:lang w:val="zh-CN"/>
        </w:rPr>
        <w:t>（</w:t>
      </w:r>
      <w:r>
        <w:rPr>
          <w:rFonts w:hint="eastAsia" w:hAnsi="Times New Roman"/>
          <w:spacing w:val="6"/>
          <w:szCs w:val="32"/>
          <w:highlight w:val="none"/>
          <w:lang w:val="en-US" w:eastAsia="zh-CN"/>
        </w:rPr>
        <w:t>一</w:t>
      </w:r>
      <w:r>
        <w:rPr>
          <w:rFonts w:hAnsi="Times New Roman"/>
          <w:spacing w:val="6"/>
          <w:szCs w:val="32"/>
          <w:highlight w:val="none"/>
          <w:lang w:val="zh-CN"/>
        </w:rPr>
        <w:t>）</w:t>
      </w:r>
      <w:r>
        <w:rPr>
          <w:rFonts w:hint="eastAsia" w:hAnsi="Times New Roman"/>
          <w:spacing w:val="6"/>
          <w:szCs w:val="32"/>
          <w:highlight w:val="none"/>
          <w:lang w:val="en-US" w:eastAsia="zh-CN"/>
        </w:rPr>
        <w:t>绩效评价综合结论</w:t>
      </w:r>
      <w:r>
        <w:rPr>
          <w:rFonts w:hAnsi="Times New Roman"/>
          <w:spacing w:val="6"/>
          <w:szCs w:val="32"/>
          <w:highlight w:val="none"/>
          <w:lang w:val="zh-CN"/>
        </w:rPr>
        <w:fldChar w:fldCharType="end"/>
      </w:r>
      <w:bookmarkEnd w:id="156"/>
    </w:p>
    <w:p>
      <w:pPr>
        <w:spacing w:line="590" w:lineRule="exact"/>
        <w:ind w:firstLine="640" w:firstLineChars="200"/>
        <w:rPr>
          <w:rFonts w:ascii="仿宋_GB2312" w:hAnsi="仿宋_GB2312" w:eastAsia="仿宋_GB2312" w:cs="仿宋_GB2312"/>
          <w:spacing w:val="6"/>
          <w:sz w:val="32"/>
          <w:szCs w:val="32"/>
        </w:rPr>
      </w:pPr>
      <w:r>
        <w:rPr>
          <w:rFonts w:hint="eastAsia" w:ascii="仿宋_GB2312" w:hAnsi="仿宋_GB2312" w:eastAsia="仿宋_GB2312" w:cs="仿宋_GB2312"/>
          <w:sz w:val="32"/>
          <w:szCs w:val="32"/>
          <w:lang w:eastAsia="zh-CN"/>
        </w:rPr>
        <w:t>云岩区</w:t>
      </w:r>
      <w:r>
        <w:rPr>
          <w:rFonts w:hint="eastAsia" w:ascii="仿宋_GB2312" w:hAnsi="仿宋_GB2312" w:eastAsia="仿宋_GB2312" w:cs="仿宋_GB2312"/>
          <w:sz w:val="32"/>
          <w:szCs w:val="32"/>
          <w:lang w:val="en-US" w:eastAsia="zh-CN"/>
        </w:rPr>
        <w:t>2021年</w:t>
      </w:r>
      <w:r>
        <w:rPr>
          <w:rFonts w:hint="eastAsia" w:ascii="仿宋_GB2312" w:hAnsi="仿宋_GB2312" w:eastAsia="仿宋_GB2312" w:cs="仿宋_GB2312"/>
          <w:spacing w:val="6"/>
          <w:sz w:val="32"/>
          <w:szCs w:val="32"/>
          <w:lang w:eastAsia="zh-CN"/>
        </w:rPr>
        <w:t>普法宣传工作通过在全区开展各类普法宣传培训</w:t>
      </w:r>
      <w:r>
        <w:rPr>
          <w:rFonts w:hint="eastAsia" w:ascii="仿宋_GB2312" w:hAnsi="仿宋_GB2312" w:eastAsia="仿宋_GB2312" w:cs="仿宋_GB2312"/>
          <w:spacing w:val="6"/>
          <w:sz w:val="32"/>
          <w:szCs w:val="32"/>
          <w:lang w:val="en-US" w:eastAsia="zh-CN"/>
        </w:rPr>
        <w:t>有效增强了全区尊法学法守法用法的浓厚氛围，达成了高法治宣传教育工作的知晓率、参与率。通过问卷调查，群众以及国家工作人员的满意度高于80%。</w:t>
      </w:r>
      <w:r>
        <w:rPr>
          <w:rFonts w:hint="eastAsia" w:ascii="仿宋_GB2312" w:hAnsi="仿宋_GB2312" w:eastAsia="仿宋_GB2312" w:cs="仿宋_GB2312"/>
          <w:sz w:val="32"/>
          <w:szCs w:val="32"/>
        </w:rPr>
        <w:t>但是存在部分制度执行不到位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资金</w:t>
      </w:r>
      <w:r>
        <w:rPr>
          <w:rFonts w:hint="eastAsia" w:ascii="仿宋_GB2312" w:hAnsi="仿宋_GB2312" w:eastAsia="仿宋_GB2312" w:cs="仿宋_GB2312"/>
          <w:sz w:val="32"/>
          <w:szCs w:val="32"/>
          <w:lang w:eastAsia="zh-CN"/>
        </w:rPr>
        <w:t>使用</w:t>
      </w:r>
      <w:r>
        <w:rPr>
          <w:rFonts w:hint="eastAsia" w:ascii="仿宋_GB2312" w:hAnsi="仿宋_GB2312" w:eastAsia="仿宋_GB2312" w:cs="仿宋_GB2312"/>
          <w:bCs w:val="0"/>
          <w:spacing w:val="6"/>
          <w:sz w:val="32"/>
          <w:szCs w:val="32"/>
          <w:highlight w:val="none"/>
          <w:lang w:val="zh-CN" w:eastAsia="zh-CN"/>
        </w:rPr>
        <w:t>不符合项目预算规定的用途</w:t>
      </w:r>
      <w:r>
        <w:rPr>
          <w:rFonts w:hint="eastAsia" w:ascii="仿宋_GB2312" w:hAnsi="仿宋_GB2312" w:eastAsia="仿宋_GB2312" w:cs="仿宋_GB2312"/>
          <w:sz w:val="32"/>
          <w:szCs w:val="32"/>
          <w:lang w:eastAsia="zh-CN"/>
        </w:rPr>
        <w:t>，项目预算未经过科学论证，资金分配不合理</w:t>
      </w:r>
      <w:r>
        <w:rPr>
          <w:rFonts w:hint="eastAsia" w:ascii="仿宋_GB2312" w:hAnsi="仿宋_GB2312" w:eastAsia="仿宋_GB2312" w:cs="仿宋_GB2312"/>
          <w:sz w:val="32"/>
          <w:szCs w:val="32"/>
        </w:rPr>
        <w:t>等情况</w:t>
      </w:r>
      <w:r>
        <w:rPr>
          <w:rFonts w:hint="eastAsia" w:ascii="仿宋_GB2312" w:hAnsi="仿宋_GB2312" w:eastAsia="仿宋_GB2312" w:cs="仿宋_GB2312"/>
          <w:spacing w:val="6"/>
          <w:sz w:val="32"/>
          <w:szCs w:val="32"/>
        </w:rPr>
        <w:t>。</w:t>
      </w:r>
    </w:p>
    <w:p>
      <w:pPr>
        <w:widowControl w:val="0"/>
        <w:spacing w:after="0" w:afterLines="0" w:line="590" w:lineRule="exact"/>
        <w:ind w:firstLine="640" w:firstLineChars="200"/>
        <w:jc w:val="both"/>
        <w:rPr>
          <w:rFonts w:hint="eastAsia" w:ascii="仿宋_GB2312" w:hAnsi="仿宋_GB2312" w:eastAsia="仿宋_GB2312" w:cs="仿宋_GB2312"/>
          <w:spacing w:val="6"/>
          <w:sz w:val="32"/>
          <w:szCs w:val="32"/>
          <w:highlight w:val="none"/>
          <w:lang w:val="zh-CN"/>
        </w:rPr>
      </w:pPr>
      <w:r>
        <w:rPr>
          <w:rFonts w:hint="eastAsia" w:ascii="仿宋_GB2312" w:hAnsi="仿宋_GB2312" w:eastAsia="仿宋_GB2312" w:cs="仿宋_GB2312"/>
          <w:sz w:val="32"/>
          <w:szCs w:val="32"/>
        </w:rPr>
        <w:t>经综合评定</w:t>
      </w:r>
      <w:r>
        <w:rPr>
          <w:rFonts w:hint="eastAsia" w:ascii="仿宋_GB2312" w:hAnsi="仿宋_GB2312" w:eastAsia="仿宋_GB2312" w:cs="仿宋_GB2312"/>
          <w:spacing w:val="6"/>
          <w:sz w:val="32"/>
          <w:szCs w:val="32"/>
          <w:lang w:val="zh-CN"/>
        </w:rPr>
        <w:t>，绩效评价得分为：</w:t>
      </w:r>
      <w:r>
        <w:rPr>
          <w:rFonts w:hint="eastAsia" w:ascii="仿宋_GB2312" w:hAnsi="仿宋_GB2312" w:eastAsia="仿宋_GB2312" w:cs="仿宋_GB2312"/>
          <w:spacing w:val="6"/>
          <w:sz w:val="32"/>
          <w:szCs w:val="32"/>
          <w:highlight w:val="none"/>
          <w:lang w:val="en-US" w:eastAsia="zh-CN"/>
        </w:rPr>
        <w:t>92.35</w:t>
      </w:r>
      <w:r>
        <w:rPr>
          <w:rFonts w:hint="eastAsia" w:ascii="仿宋_GB2312" w:hAnsi="仿宋_GB2312" w:eastAsia="仿宋_GB2312" w:cs="仿宋_GB2312"/>
          <w:spacing w:val="6"/>
          <w:sz w:val="32"/>
          <w:szCs w:val="32"/>
          <w:highlight w:val="none"/>
          <w:lang w:val="zh-CN"/>
        </w:rPr>
        <w:t>分，评定等级为：</w:t>
      </w:r>
      <w:r>
        <w:rPr>
          <w:rFonts w:hint="eastAsia" w:ascii="仿宋_GB2312" w:hAnsi="仿宋_GB2312" w:eastAsia="仿宋_GB2312" w:cs="仿宋_GB2312"/>
          <w:spacing w:val="6"/>
          <w:sz w:val="32"/>
          <w:szCs w:val="32"/>
          <w:highlight w:val="none"/>
          <w:lang w:val="en-US" w:eastAsia="zh-CN"/>
        </w:rPr>
        <w:t>优</w:t>
      </w:r>
      <w:r>
        <w:rPr>
          <w:rFonts w:hint="eastAsia" w:ascii="仿宋_GB2312" w:hAnsi="仿宋_GB2312" w:eastAsia="仿宋_GB2312" w:cs="仿宋_GB2312"/>
          <w:spacing w:val="6"/>
          <w:sz w:val="32"/>
          <w:szCs w:val="32"/>
          <w:highlight w:val="none"/>
          <w:lang w:val="zh-CN"/>
        </w:rPr>
        <w:t>。评价得分汇总情况详见下表：</w:t>
      </w:r>
    </w:p>
    <w:tbl>
      <w:tblPr>
        <w:tblStyle w:val="19"/>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108" w:type="dxa"/>
          <w:bottom w:w="0" w:type="dxa"/>
          <w:right w:w="108" w:type="dxa"/>
        </w:tblCellMar>
      </w:tblPr>
      <w:tblGrid>
        <w:gridCol w:w="1392"/>
        <w:gridCol w:w="2397"/>
        <w:gridCol w:w="2215"/>
        <w:gridCol w:w="1583"/>
        <w:gridCol w:w="15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82" w:hRule="atLeast"/>
          <w:tblHeader/>
        </w:trPr>
        <w:tc>
          <w:tcPr>
            <w:tcW w:w="139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序号</w:t>
            </w:r>
          </w:p>
        </w:tc>
        <w:tc>
          <w:tcPr>
            <w:tcW w:w="239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一级指标</w:t>
            </w:r>
          </w:p>
        </w:tc>
        <w:tc>
          <w:tcPr>
            <w:tcW w:w="221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指标分值</w:t>
            </w:r>
          </w:p>
        </w:tc>
        <w:tc>
          <w:tcPr>
            <w:tcW w:w="1583"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得分</w:t>
            </w:r>
          </w:p>
        </w:tc>
        <w:tc>
          <w:tcPr>
            <w:tcW w:w="158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宋体" w:eastAsia="仿宋_GB2312" w:cs="仿宋_GB2312"/>
                <w:b/>
                <w:bCs/>
                <w:i w:val="0"/>
                <w:iCs w:val="0"/>
                <w:color w:val="000000"/>
                <w:kern w:val="0"/>
                <w:sz w:val="28"/>
                <w:szCs w:val="28"/>
                <w:u w:val="none"/>
                <w:lang w:val="en-US" w:eastAsia="zh-CN" w:bidi="ar"/>
              </w:rPr>
              <w:t>扣分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139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1</w:t>
            </w:r>
          </w:p>
        </w:tc>
        <w:tc>
          <w:tcPr>
            <w:tcW w:w="239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决   策</w:t>
            </w:r>
          </w:p>
        </w:tc>
        <w:tc>
          <w:tcPr>
            <w:tcW w:w="2215" w:type="dxa"/>
            <w:tcBorders>
              <w:tl2br w:val="nil"/>
              <w:tr2bl w:val="nil"/>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16.00 </w:t>
            </w:r>
          </w:p>
        </w:tc>
        <w:tc>
          <w:tcPr>
            <w:tcW w:w="1583"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10.10 </w:t>
            </w:r>
          </w:p>
        </w:tc>
        <w:tc>
          <w:tcPr>
            <w:tcW w:w="1587"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宋体" w:eastAsia="仿宋_GB2312" w:cs="仿宋_GB2312"/>
                <w:i w:val="0"/>
                <w:iCs w:val="0"/>
                <w:color w:val="000000"/>
                <w:kern w:val="0"/>
                <w:sz w:val="28"/>
                <w:szCs w:val="28"/>
                <w:u w:val="none"/>
                <w:lang w:val="en-US" w:eastAsia="zh-CN" w:bidi="ar"/>
              </w:rPr>
              <w:t xml:space="preserve">5.90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1392"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2</w:t>
            </w:r>
          </w:p>
        </w:tc>
        <w:tc>
          <w:tcPr>
            <w:tcW w:w="239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过   程</w:t>
            </w:r>
          </w:p>
        </w:tc>
        <w:tc>
          <w:tcPr>
            <w:tcW w:w="221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19.00 </w:t>
            </w:r>
          </w:p>
        </w:tc>
        <w:tc>
          <w:tcPr>
            <w:tcW w:w="1583"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18.20 </w:t>
            </w:r>
          </w:p>
        </w:tc>
        <w:tc>
          <w:tcPr>
            <w:tcW w:w="1587"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宋体" w:eastAsia="仿宋_GB2312" w:cs="仿宋_GB2312"/>
                <w:i w:val="0"/>
                <w:iCs w:val="0"/>
                <w:color w:val="000000"/>
                <w:kern w:val="0"/>
                <w:sz w:val="28"/>
                <w:szCs w:val="28"/>
                <w:u w:val="none"/>
                <w:lang w:val="en-US" w:eastAsia="zh-CN" w:bidi="ar"/>
              </w:rPr>
              <w:t xml:space="preserve">0.80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1392"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3</w:t>
            </w:r>
          </w:p>
        </w:tc>
        <w:tc>
          <w:tcPr>
            <w:tcW w:w="239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产   出</w:t>
            </w:r>
          </w:p>
        </w:tc>
        <w:tc>
          <w:tcPr>
            <w:tcW w:w="221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40.00 </w:t>
            </w:r>
          </w:p>
        </w:tc>
        <w:tc>
          <w:tcPr>
            <w:tcW w:w="1583"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39.05 </w:t>
            </w:r>
          </w:p>
        </w:tc>
        <w:tc>
          <w:tcPr>
            <w:tcW w:w="1587"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宋体" w:eastAsia="仿宋_GB2312" w:cs="仿宋_GB2312"/>
                <w:i w:val="0"/>
                <w:iCs w:val="0"/>
                <w:color w:val="000000"/>
                <w:kern w:val="0"/>
                <w:sz w:val="28"/>
                <w:szCs w:val="28"/>
                <w:u w:val="none"/>
                <w:lang w:val="en-US" w:eastAsia="zh-CN" w:bidi="ar"/>
              </w:rPr>
              <w:t xml:space="preserve">0.95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139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4</w:t>
            </w:r>
          </w:p>
        </w:tc>
        <w:tc>
          <w:tcPr>
            <w:tcW w:w="239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效   益</w:t>
            </w:r>
          </w:p>
        </w:tc>
        <w:tc>
          <w:tcPr>
            <w:tcW w:w="2215" w:type="dxa"/>
            <w:tcBorders>
              <w:tl2br w:val="nil"/>
              <w:tr2bl w:val="nil"/>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25.00 </w:t>
            </w:r>
          </w:p>
        </w:tc>
        <w:tc>
          <w:tcPr>
            <w:tcW w:w="1583"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25.00 </w:t>
            </w:r>
          </w:p>
        </w:tc>
        <w:tc>
          <w:tcPr>
            <w:tcW w:w="1587"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宋体" w:eastAsia="仿宋_GB2312" w:cs="仿宋_GB2312"/>
                <w:i w:val="0"/>
                <w:iCs w:val="0"/>
                <w:color w:val="000000"/>
                <w:kern w:val="0"/>
                <w:sz w:val="28"/>
                <w:szCs w:val="28"/>
                <w:u w:val="none"/>
                <w:lang w:val="en-US" w:eastAsia="zh-CN" w:bidi="ar"/>
              </w:rPr>
              <w:t xml:space="preserve">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3789"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合计</w:t>
            </w:r>
          </w:p>
        </w:tc>
        <w:tc>
          <w:tcPr>
            <w:tcW w:w="221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 xml:space="preserve">100.00 </w:t>
            </w:r>
          </w:p>
        </w:tc>
        <w:tc>
          <w:tcPr>
            <w:tcW w:w="1583"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 xml:space="preserve">92.35 </w:t>
            </w:r>
          </w:p>
        </w:tc>
        <w:tc>
          <w:tcPr>
            <w:tcW w:w="1587"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宋体" w:eastAsia="仿宋_GB2312" w:cs="仿宋_GB2312"/>
                <w:b/>
                <w:bCs/>
                <w:i w:val="0"/>
                <w:iCs w:val="0"/>
                <w:color w:val="000000"/>
                <w:kern w:val="0"/>
                <w:sz w:val="28"/>
                <w:szCs w:val="28"/>
                <w:u w:val="none"/>
                <w:lang w:val="en-US" w:eastAsia="zh-CN" w:bidi="ar"/>
              </w:rPr>
              <w:t xml:space="preserve">7.65 </w:t>
            </w:r>
          </w:p>
        </w:tc>
      </w:tr>
    </w:tbl>
    <w:p>
      <w:pPr>
        <w:pStyle w:val="5"/>
        <w:ind w:firstLine="664" w:firstLineChars="200"/>
        <w:rPr>
          <w:rFonts w:hint="default" w:hAnsi="Times New Roman" w:eastAsia="楷体_GB2312"/>
          <w:spacing w:val="6"/>
          <w:szCs w:val="32"/>
          <w:highlight w:val="none"/>
          <w:lang w:val="en-US" w:eastAsia="zh-CN"/>
        </w:rPr>
      </w:pPr>
      <w:bookmarkStart w:id="211" w:name="_Toc21006"/>
      <w:r>
        <w:rPr>
          <w:spacing w:val="6"/>
          <w:highlight w:val="none"/>
        </w:rPr>
        <w:fldChar w:fldCharType="begin"/>
      </w:r>
      <w:r>
        <w:rPr>
          <w:spacing w:val="6"/>
          <w:highlight w:val="none"/>
        </w:rPr>
        <w:instrText xml:space="preserve"> HYPERLINK \l "_Toc434746187" </w:instrText>
      </w:r>
      <w:r>
        <w:rPr>
          <w:spacing w:val="6"/>
          <w:highlight w:val="none"/>
        </w:rPr>
        <w:fldChar w:fldCharType="separate"/>
      </w:r>
      <w:r>
        <w:rPr>
          <w:rFonts w:hAnsi="Times New Roman"/>
          <w:spacing w:val="6"/>
          <w:szCs w:val="32"/>
          <w:highlight w:val="none"/>
          <w:lang w:val="zh-CN"/>
        </w:rPr>
        <w:t>（</w:t>
      </w:r>
      <w:r>
        <w:rPr>
          <w:rFonts w:hint="eastAsia" w:hAnsi="Times New Roman"/>
          <w:spacing w:val="6"/>
          <w:szCs w:val="32"/>
          <w:highlight w:val="none"/>
          <w:lang w:val="en-US" w:eastAsia="zh-CN"/>
        </w:rPr>
        <w:t>二</w:t>
      </w:r>
      <w:r>
        <w:rPr>
          <w:rFonts w:hAnsi="Times New Roman"/>
          <w:spacing w:val="6"/>
          <w:szCs w:val="32"/>
          <w:highlight w:val="none"/>
          <w:lang w:val="zh-CN"/>
        </w:rPr>
        <w:t>）</w:t>
      </w:r>
      <w:r>
        <w:rPr>
          <w:rFonts w:hAnsi="Times New Roman"/>
          <w:spacing w:val="6"/>
          <w:szCs w:val="32"/>
          <w:highlight w:val="none"/>
          <w:lang w:val="zh-CN"/>
        </w:rPr>
        <w:fldChar w:fldCharType="end"/>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rPr>
          <w:rFonts w:hint="eastAsia" w:hAnsi="Times New Roman"/>
          <w:spacing w:val="6"/>
          <w:szCs w:val="32"/>
          <w:highlight w:val="none"/>
          <w:lang w:val="en-US" w:eastAsia="zh-CN"/>
        </w:rPr>
        <w:t>绩效目标实现情况</w:t>
      </w:r>
      <w:bookmarkEnd w:id="179"/>
      <w:bookmarkEnd w:id="180"/>
      <w:bookmarkEnd w:id="181"/>
      <w:bookmarkEnd w:id="182"/>
      <w:bookmarkEnd w:id="183"/>
      <w:bookmarkEnd w:id="211"/>
    </w:p>
    <w:p>
      <w:pPr>
        <w:widowControl/>
        <w:spacing w:line="590" w:lineRule="exact"/>
        <w:ind w:firstLine="664" w:firstLineChars="200"/>
        <w:jc w:val="left"/>
        <w:rPr>
          <w:rFonts w:hint="default"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rPr>
        <w:t>结合项目实际情况，与</w:t>
      </w:r>
      <w:r>
        <w:rPr>
          <w:rFonts w:hint="eastAsia" w:ascii="仿宋_GB2312" w:hAnsi="仿宋_GB2312" w:eastAsia="仿宋_GB2312" w:cs="仿宋_GB2312"/>
          <w:spacing w:val="6"/>
          <w:sz w:val="32"/>
          <w:szCs w:val="32"/>
          <w:lang w:val="en-US" w:eastAsia="zh-CN"/>
        </w:rPr>
        <w:t>区</w:t>
      </w:r>
      <w:r>
        <w:rPr>
          <w:rFonts w:hint="eastAsia" w:ascii="仿宋_GB2312" w:hAnsi="仿宋_GB2312" w:eastAsia="仿宋_GB2312" w:cs="仿宋_GB2312"/>
          <w:spacing w:val="6"/>
          <w:sz w:val="32"/>
          <w:szCs w:val="32"/>
          <w:lang w:eastAsia="zh-CN"/>
        </w:rPr>
        <w:t>司法局</w:t>
      </w:r>
      <w:r>
        <w:rPr>
          <w:rFonts w:hint="eastAsia" w:ascii="仿宋_GB2312" w:hAnsi="仿宋_GB2312" w:eastAsia="仿宋_GB2312" w:cs="仿宋_GB2312"/>
          <w:spacing w:val="6"/>
          <w:sz w:val="32"/>
          <w:szCs w:val="32"/>
        </w:rPr>
        <w:t>、</w:t>
      </w:r>
      <w:r>
        <w:rPr>
          <w:rFonts w:hint="eastAsia" w:ascii="仿宋_GB2312" w:hAnsi="仿宋_GB2312" w:eastAsia="仿宋_GB2312" w:cs="仿宋_GB2312"/>
          <w:spacing w:val="6"/>
          <w:sz w:val="32"/>
          <w:szCs w:val="32"/>
          <w:lang w:val="en-US" w:eastAsia="zh-CN"/>
        </w:rPr>
        <w:t>区</w:t>
      </w:r>
      <w:r>
        <w:rPr>
          <w:rFonts w:hint="eastAsia" w:ascii="仿宋_GB2312" w:hAnsi="仿宋_GB2312" w:eastAsia="仿宋_GB2312" w:cs="仿宋_GB2312"/>
          <w:spacing w:val="6"/>
          <w:sz w:val="32"/>
          <w:szCs w:val="32"/>
        </w:rPr>
        <w:t>财政</w:t>
      </w:r>
      <w:r>
        <w:rPr>
          <w:rFonts w:hint="eastAsia" w:ascii="仿宋_GB2312" w:hAnsi="仿宋_GB2312" w:eastAsia="仿宋_GB2312" w:cs="仿宋_GB2312"/>
          <w:spacing w:val="6"/>
          <w:sz w:val="32"/>
          <w:szCs w:val="32"/>
          <w:lang w:val="en-US" w:eastAsia="zh-CN"/>
        </w:rPr>
        <w:t>局</w:t>
      </w:r>
      <w:r>
        <w:rPr>
          <w:rFonts w:hint="eastAsia" w:ascii="仿宋_GB2312" w:hAnsi="仿宋_GB2312" w:eastAsia="仿宋_GB2312" w:cs="仿宋_GB2312"/>
          <w:spacing w:val="6"/>
          <w:sz w:val="32"/>
          <w:szCs w:val="32"/>
        </w:rPr>
        <w:t>业务处室充分沟通后再次梳理的202</w:t>
      </w:r>
      <w:r>
        <w:rPr>
          <w:rFonts w:hint="eastAsia" w:ascii="仿宋_GB2312" w:hAnsi="仿宋_GB2312" w:eastAsia="仿宋_GB2312" w:cs="仿宋_GB2312"/>
          <w:spacing w:val="6"/>
          <w:sz w:val="32"/>
          <w:szCs w:val="32"/>
          <w:lang w:val="en-US" w:eastAsia="zh-CN"/>
        </w:rPr>
        <w:t>1</w:t>
      </w:r>
      <w:r>
        <w:rPr>
          <w:rFonts w:hint="eastAsia" w:ascii="仿宋_GB2312" w:hAnsi="仿宋_GB2312" w:eastAsia="仿宋_GB2312" w:cs="仿宋_GB2312"/>
          <w:spacing w:val="6"/>
          <w:sz w:val="32"/>
          <w:szCs w:val="32"/>
        </w:rPr>
        <w:t>年</w:t>
      </w:r>
      <w:r>
        <w:rPr>
          <w:rFonts w:hint="eastAsia" w:ascii="仿宋_GB2312" w:hAnsi="仿宋_GB2312" w:eastAsia="仿宋_GB2312" w:cs="仿宋_GB2312"/>
          <w:spacing w:val="6"/>
          <w:sz w:val="32"/>
          <w:szCs w:val="32"/>
          <w:lang w:eastAsia="zh-CN"/>
        </w:rPr>
        <w:t>普法宣传工作</w:t>
      </w:r>
      <w:r>
        <w:rPr>
          <w:rFonts w:hint="eastAsia" w:ascii="仿宋_GB2312" w:hAnsi="仿宋_GB2312" w:eastAsia="仿宋_GB2312" w:cs="仿宋_GB2312"/>
          <w:spacing w:val="6"/>
          <w:sz w:val="32"/>
          <w:szCs w:val="32"/>
        </w:rPr>
        <w:t>资金绩效目标合计</w:t>
      </w:r>
      <w:r>
        <w:rPr>
          <w:rFonts w:hint="eastAsia" w:ascii="仿宋_GB2312" w:hAnsi="仿宋_GB2312" w:eastAsia="仿宋_GB2312" w:cs="仿宋_GB2312"/>
          <w:spacing w:val="6"/>
          <w:sz w:val="32"/>
          <w:szCs w:val="32"/>
          <w:lang w:val="en-US" w:eastAsia="zh-CN"/>
        </w:rPr>
        <w:t>6</w:t>
      </w:r>
      <w:r>
        <w:rPr>
          <w:rFonts w:hint="eastAsia" w:ascii="仿宋_GB2312" w:hAnsi="仿宋_GB2312" w:eastAsia="仿宋_GB2312" w:cs="仿宋_GB2312"/>
          <w:spacing w:val="6"/>
          <w:sz w:val="32"/>
          <w:szCs w:val="32"/>
        </w:rPr>
        <w:t>个，已完成</w:t>
      </w:r>
      <w:r>
        <w:rPr>
          <w:rFonts w:hint="eastAsia" w:ascii="仿宋_GB2312" w:hAnsi="仿宋_GB2312" w:eastAsia="仿宋_GB2312" w:cs="仿宋_GB2312"/>
          <w:spacing w:val="6"/>
          <w:sz w:val="32"/>
          <w:szCs w:val="32"/>
          <w:lang w:val="en-US" w:eastAsia="zh-CN"/>
        </w:rPr>
        <w:t>5</w:t>
      </w:r>
      <w:r>
        <w:rPr>
          <w:rFonts w:hint="eastAsia" w:ascii="仿宋_GB2312" w:hAnsi="仿宋_GB2312" w:eastAsia="仿宋_GB2312" w:cs="仿宋_GB2312"/>
          <w:spacing w:val="6"/>
          <w:sz w:val="32"/>
          <w:szCs w:val="32"/>
        </w:rPr>
        <w:t>个</w:t>
      </w:r>
      <w:r>
        <w:rPr>
          <w:rFonts w:hint="eastAsia" w:ascii="仿宋_GB2312" w:hAnsi="仿宋_GB2312" w:eastAsia="仿宋_GB2312" w:cs="仿宋_GB2312"/>
          <w:spacing w:val="6"/>
          <w:sz w:val="32"/>
          <w:szCs w:val="32"/>
          <w:lang w:eastAsia="zh-CN"/>
        </w:rPr>
        <w:t>，部分完成</w:t>
      </w:r>
      <w:r>
        <w:rPr>
          <w:rFonts w:hint="eastAsia" w:ascii="仿宋_GB2312" w:hAnsi="仿宋_GB2312" w:eastAsia="仿宋_GB2312" w:cs="仿宋_GB2312"/>
          <w:spacing w:val="6"/>
          <w:sz w:val="32"/>
          <w:szCs w:val="32"/>
          <w:lang w:val="en-US" w:eastAsia="zh-CN"/>
        </w:rPr>
        <w:t>1个</w:t>
      </w:r>
      <w:r>
        <w:rPr>
          <w:rFonts w:hint="eastAsia" w:ascii="仿宋_GB2312" w:hAnsi="仿宋_GB2312" w:eastAsia="仿宋_GB2312" w:cs="仿宋_GB2312"/>
          <w:spacing w:val="6"/>
          <w:sz w:val="32"/>
          <w:szCs w:val="32"/>
        </w:rPr>
        <w:t>；绩效指标合计1</w:t>
      </w:r>
      <w:r>
        <w:rPr>
          <w:rFonts w:hint="eastAsia" w:ascii="仿宋_GB2312" w:hAnsi="仿宋_GB2312" w:eastAsia="仿宋_GB2312" w:cs="仿宋_GB2312"/>
          <w:spacing w:val="6"/>
          <w:sz w:val="32"/>
          <w:szCs w:val="32"/>
          <w:lang w:val="en-US" w:eastAsia="zh-CN"/>
        </w:rPr>
        <w:t>5</w:t>
      </w:r>
      <w:r>
        <w:rPr>
          <w:rFonts w:hint="eastAsia" w:ascii="仿宋_GB2312" w:hAnsi="仿宋_GB2312" w:eastAsia="仿宋_GB2312" w:cs="仿宋_GB2312"/>
          <w:spacing w:val="6"/>
          <w:sz w:val="32"/>
          <w:szCs w:val="32"/>
        </w:rPr>
        <w:t>个，已完成</w:t>
      </w:r>
      <w:r>
        <w:rPr>
          <w:rFonts w:hint="eastAsia" w:ascii="仿宋_GB2312" w:hAnsi="仿宋_GB2312" w:eastAsia="仿宋_GB2312" w:cs="仿宋_GB2312"/>
          <w:spacing w:val="6"/>
          <w:sz w:val="32"/>
          <w:szCs w:val="32"/>
          <w:lang w:val="en-US" w:eastAsia="zh-CN"/>
        </w:rPr>
        <w:t>14</w:t>
      </w:r>
      <w:r>
        <w:rPr>
          <w:rFonts w:hint="eastAsia" w:ascii="仿宋_GB2312" w:hAnsi="仿宋_GB2312" w:eastAsia="仿宋_GB2312" w:cs="仿宋_GB2312"/>
          <w:spacing w:val="6"/>
          <w:sz w:val="32"/>
          <w:szCs w:val="32"/>
        </w:rPr>
        <w:t>个</w:t>
      </w:r>
      <w:r>
        <w:rPr>
          <w:rFonts w:hint="eastAsia" w:ascii="仿宋_GB2312" w:hAnsi="仿宋_GB2312" w:eastAsia="仿宋_GB2312" w:cs="仿宋_GB2312"/>
          <w:spacing w:val="6"/>
          <w:sz w:val="32"/>
          <w:szCs w:val="32"/>
          <w:lang w:eastAsia="zh-CN"/>
        </w:rPr>
        <w:t>，部分完成</w:t>
      </w:r>
      <w:r>
        <w:rPr>
          <w:rFonts w:hint="eastAsia" w:ascii="仿宋_GB2312" w:hAnsi="仿宋_GB2312" w:eastAsia="仿宋_GB2312" w:cs="仿宋_GB2312"/>
          <w:spacing w:val="6"/>
          <w:sz w:val="32"/>
          <w:szCs w:val="32"/>
          <w:lang w:val="en-US" w:eastAsia="zh-CN"/>
        </w:rPr>
        <w:t>1个</w:t>
      </w:r>
      <w:r>
        <w:rPr>
          <w:rFonts w:hint="eastAsia" w:ascii="仿宋_GB2312" w:hAnsi="仿宋_GB2312" w:eastAsia="仿宋_GB2312" w:cs="仿宋_GB2312"/>
          <w:spacing w:val="6"/>
          <w:sz w:val="32"/>
          <w:szCs w:val="32"/>
        </w:rPr>
        <w:t>。绩效目标及绩效指标完成情况详见下表：</w:t>
      </w:r>
    </w:p>
    <w:tbl>
      <w:tblPr>
        <w:tblStyle w:val="19"/>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741"/>
        <w:gridCol w:w="1396"/>
        <w:gridCol w:w="1525"/>
        <w:gridCol w:w="15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334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202</w:t>
            </w:r>
            <w:r>
              <w:rPr>
                <w:rFonts w:hint="eastAsia" w:ascii="Times New Roman" w:hAnsi="Times New Roman" w:eastAsia="仿宋_GB2312" w:cs="Times New Roman"/>
                <w:b/>
                <w:bCs/>
                <w:i w:val="0"/>
                <w:iCs w:val="0"/>
                <w:color w:val="000000"/>
                <w:kern w:val="0"/>
                <w:sz w:val="24"/>
                <w:szCs w:val="24"/>
                <w:u w:val="none"/>
                <w:lang w:val="en-US" w:eastAsia="zh-CN" w:bidi="ar"/>
              </w:rPr>
              <w:t>1</w:t>
            </w:r>
            <w:r>
              <w:rPr>
                <w:rFonts w:hint="default" w:ascii="Times New Roman" w:hAnsi="Times New Roman" w:eastAsia="仿宋_GB2312" w:cs="Times New Roman"/>
                <w:b/>
                <w:bCs/>
                <w:i w:val="0"/>
                <w:iCs w:val="0"/>
                <w:color w:val="000000"/>
                <w:kern w:val="0"/>
                <w:sz w:val="24"/>
                <w:szCs w:val="24"/>
                <w:u w:val="none"/>
                <w:lang w:val="en-US" w:eastAsia="zh-CN" w:bidi="ar"/>
              </w:rPr>
              <w:t>年总体目标</w:t>
            </w:r>
          </w:p>
        </w:tc>
        <w:tc>
          <w:tcPr>
            <w:tcW w:w="16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202</w:t>
            </w:r>
            <w:r>
              <w:rPr>
                <w:rFonts w:hint="eastAsia" w:ascii="Times New Roman" w:hAnsi="Times New Roman" w:eastAsia="仿宋_GB2312" w:cs="Times New Roman"/>
                <w:b/>
                <w:bCs/>
                <w:i w:val="0"/>
                <w:iCs w:val="0"/>
                <w:color w:val="000000"/>
                <w:kern w:val="0"/>
                <w:sz w:val="24"/>
                <w:szCs w:val="24"/>
                <w:u w:val="none"/>
                <w:lang w:val="en-US" w:eastAsia="zh-CN" w:bidi="ar"/>
              </w:rPr>
              <w:t>1</w:t>
            </w:r>
            <w:r>
              <w:rPr>
                <w:rFonts w:hint="default" w:ascii="Times New Roman" w:hAnsi="Times New Roman" w:eastAsia="仿宋_GB2312" w:cs="Times New Roman"/>
                <w:b/>
                <w:bCs/>
                <w:i w:val="0"/>
                <w:iCs w:val="0"/>
                <w:color w:val="000000"/>
                <w:kern w:val="0"/>
                <w:sz w:val="24"/>
                <w:szCs w:val="24"/>
                <w:u w:val="none"/>
                <w:lang w:val="en-US" w:eastAsia="zh-CN" w:bidi="ar"/>
              </w:rPr>
              <w:t>年总体目标完成情况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8" w:hRule="atLeast"/>
        </w:trPr>
        <w:tc>
          <w:tcPr>
            <w:tcW w:w="334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jc w:val="left"/>
              <w:textAlignment w:val="center"/>
              <w:rPr>
                <w:rFonts w:hint="default" w:ascii="Times New Roman" w:hAnsi="Times New Roman" w:eastAsia="仿宋_GB2312" w:cs="Times New Roman"/>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目标1：2021年普法宣传工作计划紧紧围绕党委、政府中心工作、重点人群开展法治宣传教育，通过大力开展各类主题法治宣传活动，增强全社会尊法学法守法用法的浓厚氛围。</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目标2：切实抓好国家工作人员普法宣传，提升全区领导干部及国家工作人员的法治素养。</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目标3：深入云岩区各街道开展定向培训，确保“法律明白人”培养工程村（居）全覆盖。</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目标4：控制普法宣传活动开展时间间隔，提高普法宣传活动开展频率。</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目标5：打造“民主法治示范村”、创建“法治文化企业”，有效提升群众对普法工作的知晓率、参与率，让法治工作深入人心。</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目标6：群众以及国家工作人员满意度高于80%。</w:t>
            </w:r>
          </w:p>
        </w:tc>
        <w:tc>
          <w:tcPr>
            <w:tcW w:w="16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jc w:val="center"/>
              <w:textAlignment w:val="center"/>
              <w:rPr>
                <w:rFonts w:hint="default" w:ascii="Times New Roman" w:hAnsi="Times New Roman" w:eastAsia="仿宋_GB2312" w:cs="Times New Roman"/>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  目标1：部分完成。</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目标2：已完成。</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目标3：已完成。</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目标4：已完成。</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目标5：已完成。</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目标6：已完成。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Style w:val="52"/>
                <w:rFonts w:hint="default" w:ascii="Times New Roman" w:hAnsi="Times New Roman" w:eastAsia="仿宋_GB2312" w:cs="Times New Roman"/>
                <w:lang w:val="en-US" w:eastAsia="zh-CN" w:bidi="ar"/>
              </w:rPr>
              <w:t>三级指标</w:t>
            </w: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Style w:val="52"/>
                <w:rFonts w:hint="default" w:ascii="Times New Roman" w:hAnsi="Times New Roman" w:eastAsia="仿宋_GB2312" w:cs="Times New Roman"/>
                <w:lang w:val="en-US" w:eastAsia="zh-CN" w:bidi="ar"/>
              </w:rPr>
              <w:t>指标值</w:t>
            </w:r>
          </w:p>
        </w:tc>
        <w:tc>
          <w:tcPr>
            <w:tcW w:w="8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Style w:val="52"/>
                <w:rFonts w:hint="default" w:ascii="Times New Roman" w:hAnsi="Times New Roman" w:eastAsia="仿宋_GB2312" w:cs="Times New Roman"/>
                <w:lang w:val="en-US" w:eastAsia="zh-CN" w:bidi="ar"/>
              </w:rPr>
              <w:t>指标完成情况</w:t>
            </w:r>
          </w:p>
        </w:tc>
        <w:tc>
          <w:tcPr>
            <w:tcW w:w="8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Style w:val="52"/>
                <w:rFonts w:hint="default" w:ascii="Times New Roman" w:hAnsi="Times New Roman" w:eastAsia="仿宋_GB2312" w:cs="Times New Roman"/>
                <w:lang w:val="en-US" w:eastAsia="zh-CN" w:bidi="ar"/>
              </w:rPr>
              <w:t>完成情况说明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建设法治文化阵地</w:t>
            </w:r>
          </w:p>
        </w:tc>
        <w:tc>
          <w:tcPr>
            <w:tcW w:w="7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≥3个</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8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开展普法宣传活动</w:t>
            </w:r>
          </w:p>
        </w:tc>
        <w:tc>
          <w:tcPr>
            <w:tcW w:w="7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≥50次</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8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50次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印制普法宣传资料</w:t>
            </w:r>
          </w:p>
        </w:tc>
        <w:tc>
          <w:tcPr>
            <w:tcW w:w="7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≥55000份</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部分完成</w:t>
            </w:r>
          </w:p>
        </w:tc>
        <w:tc>
          <w:tcPr>
            <w:tcW w:w="8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42000份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区政府常务会议安排学习法律法规</w:t>
            </w:r>
          </w:p>
        </w:tc>
        <w:tc>
          <w:tcPr>
            <w:tcW w:w="7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≥12部</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8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开展普法培训</w:t>
            </w:r>
          </w:p>
        </w:tc>
        <w:tc>
          <w:tcPr>
            <w:tcW w:w="7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≥10次</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8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29次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组织国家工作人员旁听案件庭审</w:t>
            </w:r>
          </w:p>
        </w:tc>
        <w:tc>
          <w:tcPr>
            <w:tcW w:w="7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≥2次</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8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创作法治文化作品</w:t>
            </w:r>
          </w:p>
        </w:tc>
        <w:tc>
          <w:tcPr>
            <w:tcW w:w="7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≥1个</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8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国家工作人员在线学法考试合格率</w:t>
            </w:r>
          </w:p>
        </w:tc>
        <w:tc>
          <w:tcPr>
            <w:tcW w:w="7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≥98%</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8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99.88%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“法律明白人”培养工程村（居）覆盖率</w:t>
            </w: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8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普法宣传活动时间间隔</w:t>
            </w:r>
          </w:p>
        </w:tc>
        <w:tc>
          <w:tcPr>
            <w:tcW w:w="7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≤3个月</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8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1个月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创建“民主法治示范村”</w:t>
            </w: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≥2个</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8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创建“法治文化企业”</w:t>
            </w: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≥1个</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8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巩固提升“民主法治示范村（社区）”</w:t>
            </w: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=1个</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8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国家工作人员对普法培训满意度</w:t>
            </w: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≥80%</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8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96.19%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群众对普法宣传的满意度</w:t>
            </w: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≥80%</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8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94.73%</w:t>
            </w:r>
          </w:p>
        </w:tc>
      </w:t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tbl>
    <w:p>
      <w:pPr>
        <w:pStyle w:val="4"/>
        <w:keepNext w:val="0"/>
        <w:keepLines w:val="0"/>
        <w:widowControl w:val="0"/>
        <w:spacing w:before="0" w:after="0" w:line="590" w:lineRule="exact"/>
        <w:ind w:firstLine="640" w:firstLineChars="200"/>
        <w:rPr>
          <w:rFonts w:ascii="黑体" w:hAnsi="黑体" w:eastAsia="黑体"/>
          <w:b w:val="0"/>
          <w:sz w:val="32"/>
          <w:szCs w:val="32"/>
        </w:rPr>
      </w:pPr>
      <w:bookmarkStart w:id="212" w:name="_Toc20691"/>
      <w:bookmarkStart w:id="213" w:name="_Toc8587"/>
      <w:bookmarkStart w:id="214" w:name="_Toc13636"/>
      <w:bookmarkStart w:id="215" w:name="_Toc41306289"/>
      <w:bookmarkStart w:id="216" w:name="_Toc24205"/>
      <w:bookmarkStart w:id="217" w:name="_Toc1865"/>
      <w:bookmarkStart w:id="218" w:name="_Toc16158"/>
      <w:bookmarkStart w:id="219" w:name="_Toc17357"/>
      <w:bookmarkStart w:id="220" w:name="_Toc10089"/>
      <w:bookmarkStart w:id="221" w:name="_Toc27431"/>
      <w:bookmarkStart w:id="222" w:name="_Toc31962"/>
      <w:bookmarkStart w:id="223" w:name="_Toc27524"/>
      <w:bookmarkStart w:id="224" w:name="_Toc15702"/>
      <w:bookmarkStart w:id="225" w:name="_Toc3556"/>
      <w:bookmarkStart w:id="226" w:name="_Toc31784"/>
      <w:bookmarkStart w:id="227" w:name="_Toc4420"/>
      <w:bookmarkStart w:id="228" w:name="_Toc22862"/>
      <w:bookmarkStart w:id="229" w:name="_Toc31660"/>
      <w:bookmarkStart w:id="230" w:name="_Toc4389"/>
      <w:r>
        <w:rPr>
          <w:rFonts w:hint="eastAsia"/>
          <w:b w:val="0"/>
          <w:sz w:val="32"/>
          <w:szCs w:val="32"/>
          <w:lang w:eastAsia="zh-CN"/>
        </w:rPr>
        <w:t>三</w:t>
      </w:r>
      <w:r>
        <w:rPr>
          <w:rFonts w:hint="eastAsia" w:ascii="黑体" w:hAnsi="黑体" w:eastAsia="黑体"/>
          <w:b w:val="0"/>
          <w:sz w:val="32"/>
          <w:szCs w:val="32"/>
        </w:rPr>
        <w:t>、存在问题及</w:t>
      </w:r>
      <w:bookmarkEnd w:id="212"/>
      <w:bookmarkEnd w:id="213"/>
      <w:bookmarkEnd w:id="214"/>
      <w:bookmarkEnd w:id="215"/>
      <w:bookmarkEnd w:id="216"/>
      <w:bookmarkEnd w:id="217"/>
      <w:bookmarkEnd w:id="218"/>
      <w:bookmarkEnd w:id="219"/>
      <w:bookmarkEnd w:id="220"/>
      <w:r>
        <w:rPr>
          <w:rFonts w:hint="eastAsia" w:ascii="黑体" w:hAnsi="黑体" w:eastAsia="黑体"/>
          <w:b w:val="0"/>
          <w:sz w:val="32"/>
          <w:szCs w:val="32"/>
        </w:rPr>
        <w:t>原因分析</w:t>
      </w:r>
      <w:bookmarkEnd w:id="221"/>
      <w:bookmarkEnd w:id="222"/>
      <w:bookmarkEnd w:id="223"/>
      <w:bookmarkEnd w:id="224"/>
      <w:bookmarkEnd w:id="225"/>
      <w:bookmarkEnd w:id="226"/>
      <w:bookmarkEnd w:id="227"/>
      <w:bookmarkEnd w:id="228"/>
      <w:bookmarkEnd w:id="229"/>
      <w:bookmarkEnd w:id="230"/>
    </w:p>
    <w:p>
      <w:pPr>
        <w:keepNext w:val="0"/>
        <w:keepLines w:val="0"/>
        <w:pageBreakBefore w:val="0"/>
        <w:widowControl w:val="0"/>
        <w:kinsoku/>
        <w:wordWrap/>
        <w:overflowPunct/>
        <w:topLinePunct w:val="0"/>
        <w:autoSpaceDE/>
        <w:autoSpaceDN/>
        <w:bidi w:val="0"/>
        <w:adjustRightInd/>
        <w:snapToGrid/>
        <w:spacing w:beforeLines="0" w:line="590" w:lineRule="exact"/>
        <w:ind w:firstLine="640" w:firstLineChars="200"/>
        <w:jc w:val="both"/>
        <w:textAlignment w:val="auto"/>
        <w:outlineLvl w:val="1"/>
        <w:rPr>
          <w:rFonts w:hint="eastAsia" w:ascii="楷体_GB2312" w:hAnsi="楷体_GB2312" w:eastAsia="楷体_GB2312" w:cs="楷体_GB2312"/>
          <w:sz w:val="32"/>
          <w:szCs w:val="32"/>
          <w:lang w:val="en-US" w:eastAsia="zh-CN"/>
        </w:rPr>
      </w:pPr>
      <w:bookmarkStart w:id="231" w:name="_Toc19482"/>
      <w:bookmarkStart w:id="232" w:name="_Toc19553"/>
      <w:bookmarkStart w:id="233" w:name="_Toc11232"/>
      <w:bookmarkStart w:id="234" w:name="_Toc28344"/>
      <w:bookmarkStart w:id="235" w:name="_Toc8399"/>
      <w:bookmarkStart w:id="236" w:name="_Toc969"/>
      <w:bookmarkStart w:id="237" w:name="_Toc531300200"/>
      <w:r>
        <w:rPr>
          <w:rFonts w:hint="eastAsia" w:ascii="楷体_GB2312" w:hAnsi="楷体_GB2312" w:eastAsia="楷体_GB2312" w:cs="楷体_GB2312"/>
          <w:sz w:val="32"/>
          <w:szCs w:val="32"/>
          <w:lang w:val="zh-CN"/>
        </w:rPr>
        <w:t>（</w:t>
      </w:r>
      <w:r>
        <w:rPr>
          <w:rFonts w:hint="eastAsia" w:ascii="楷体_GB2312" w:hAnsi="楷体_GB2312" w:eastAsia="楷体_GB2312" w:cs="楷体_GB2312"/>
          <w:sz w:val="32"/>
          <w:szCs w:val="32"/>
          <w:lang w:val="en-US" w:eastAsia="zh-CN"/>
        </w:rPr>
        <w:t>一</w:t>
      </w:r>
      <w:r>
        <w:rPr>
          <w:rFonts w:hint="eastAsia" w:ascii="楷体_GB2312" w:hAnsi="楷体_GB2312" w:eastAsia="楷体_GB2312" w:cs="楷体_GB2312"/>
          <w:sz w:val="32"/>
          <w:szCs w:val="32"/>
          <w:lang w:val="zh-CN"/>
        </w:rPr>
        <w:t>）</w:t>
      </w:r>
      <w:r>
        <w:rPr>
          <w:rFonts w:hint="eastAsia" w:ascii="楷体_GB2312" w:hAnsi="楷体_GB2312" w:eastAsia="楷体_GB2312" w:cs="楷体_GB2312"/>
          <w:sz w:val="32"/>
          <w:szCs w:val="32"/>
          <w:lang w:val="en-US" w:eastAsia="zh-CN"/>
        </w:rPr>
        <w:t>政策制度方面</w:t>
      </w:r>
      <w:bookmarkEnd w:id="231"/>
      <w:bookmarkEnd w:id="232"/>
      <w:bookmarkEnd w:id="233"/>
      <w:bookmarkEnd w:id="234"/>
      <w:bookmarkEnd w:id="235"/>
      <w:bookmarkEnd w:id="236"/>
    </w:p>
    <w:p>
      <w:pPr>
        <w:widowControl w:val="0"/>
        <w:adjustRightInd w:val="0"/>
        <w:spacing w:line="590" w:lineRule="exact"/>
        <w:ind w:firstLine="664" w:firstLineChars="200"/>
        <w:jc w:val="both"/>
        <w:rPr>
          <w:rFonts w:hint="eastAsia" w:ascii="仿宋_GB2312" w:hAnsi="仿宋_GB2312" w:eastAsia="仿宋_GB2312" w:cs="仿宋_GB2312"/>
          <w:spacing w:val="6"/>
          <w:sz w:val="32"/>
          <w:szCs w:val="32"/>
          <w:lang w:val="zh-CN" w:eastAsia="zh-CN"/>
        </w:rPr>
      </w:pPr>
      <w:r>
        <w:rPr>
          <w:rFonts w:hint="eastAsia" w:ascii="仿宋_GB2312" w:hAnsi="仿宋_GB2312" w:eastAsia="仿宋_GB2312" w:cs="仿宋_GB2312"/>
          <w:bCs w:val="0"/>
          <w:spacing w:val="6"/>
          <w:kern w:val="2"/>
          <w:sz w:val="32"/>
          <w:szCs w:val="32"/>
          <w:lang w:val="zh-CN" w:eastAsia="zh-CN"/>
        </w:rPr>
        <w:t>项目预算调整及支出调整手续不完备，</w:t>
      </w:r>
      <w:r>
        <w:rPr>
          <w:rFonts w:hint="eastAsia" w:ascii="仿宋_GB2312" w:hAnsi="仿宋_GB2312" w:eastAsia="仿宋_GB2312" w:cs="仿宋_GB2312"/>
          <w:spacing w:val="6"/>
          <w:kern w:val="2"/>
          <w:sz w:val="32"/>
          <w:szCs w:val="32"/>
          <w:lang w:val="zh-CN"/>
        </w:rPr>
        <w:t>制度未有效执行</w:t>
      </w:r>
      <w:r>
        <w:rPr>
          <w:rFonts w:hint="eastAsia" w:ascii="仿宋_GB2312" w:hAnsi="仿宋_GB2312" w:eastAsia="仿宋_GB2312" w:cs="仿宋_GB2312"/>
          <w:spacing w:val="6"/>
          <w:kern w:val="2"/>
          <w:sz w:val="32"/>
          <w:szCs w:val="32"/>
          <w:lang w:val="zh-CN" w:eastAsia="zh-CN"/>
        </w:rPr>
        <w:t>。</w:t>
      </w:r>
      <w:r>
        <w:rPr>
          <w:rFonts w:hint="eastAsia" w:ascii="仿宋_GB2312" w:hAnsi="仿宋_GB2312" w:eastAsia="仿宋_GB2312" w:cs="仿宋_GB2312"/>
          <w:spacing w:val="6"/>
          <w:sz w:val="32"/>
          <w:szCs w:val="32"/>
          <w:lang w:val="zh-CN" w:eastAsia="zh-CN"/>
        </w:rPr>
        <w:t>根据《云岩区司法局预算管理制度》</w:t>
      </w:r>
      <w:r>
        <w:rPr>
          <w:rFonts w:hint="eastAsia" w:ascii="仿宋_GB2312" w:hAnsi="仿宋_GB2312" w:eastAsia="仿宋_GB2312" w:cs="仿宋_GB2312"/>
          <w:b w:val="0"/>
          <w:color w:val="auto"/>
          <w:spacing w:val="6"/>
          <w:sz w:val="32"/>
          <w:szCs w:val="32"/>
          <w:lang w:val="zh-CN"/>
        </w:rPr>
        <w:t>预算调整程序</w:t>
      </w:r>
      <w:r>
        <w:rPr>
          <w:rFonts w:hint="eastAsia" w:ascii="仿宋_GB2312" w:hAnsi="仿宋_GB2312" w:eastAsia="仿宋_GB2312" w:cs="仿宋_GB2312"/>
          <w:spacing w:val="6"/>
          <w:sz w:val="32"/>
          <w:szCs w:val="32"/>
          <w:lang w:val="zh-CN" w:eastAsia="zh-CN"/>
        </w:rPr>
        <w:t>，首先</w:t>
      </w:r>
      <w:r>
        <w:rPr>
          <w:rFonts w:hint="eastAsia" w:ascii="仿宋_GB2312" w:hAnsi="仿宋_GB2312" w:eastAsia="仿宋_GB2312" w:cs="仿宋_GB2312"/>
          <w:b w:val="0"/>
          <w:color w:val="auto"/>
          <w:spacing w:val="6"/>
          <w:sz w:val="32"/>
          <w:szCs w:val="32"/>
          <w:lang w:val="zh-CN" w:eastAsia="zh-CN"/>
        </w:rPr>
        <w:t>计财科</w:t>
      </w:r>
      <w:r>
        <w:rPr>
          <w:rFonts w:hint="eastAsia" w:ascii="仿宋_GB2312" w:hAnsi="仿宋_GB2312" w:eastAsia="仿宋_GB2312" w:cs="仿宋_GB2312"/>
          <w:b w:val="0"/>
          <w:color w:val="auto"/>
          <w:spacing w:val="6"/>
          <w:sz w:val="32"/>
          <w:szCs w:val="32"/>
          <w:lang w:val="zh-CN"/>
        </w:rPr>
        <w:t>根据区财政局发出的预算调整通知，布置预算调整工作</w:t>
      </w:r>
      <w:r>
        <w:rPr>
          <w:rFonts w:hint="eastAsia" w:ascii="仿宋_GB2312" w:hAnsi="仿宋_GB2312" w:eastAsia="仿宋_GB2312" w:cs="仿宋_GB2312"/>
          <w:b w:val="0"/>
          <w:color w:val="auto"/>
          <w:spacing w:val="6"/>
          <w:sz w:val="32"/>
          <w:szCs w:val="32"/>
          <w:lang w:val="zh-CN" w:eastAsia="zh-CN"/>
        </w:rPr>
        <w:t>，其次</w:t>
      </w:r>
      <w:r>
        <w:rPr>
          <w:rFonts w:hint="eastAsia" w:ascii="仿宋_GB2312" w:hAnsi="仿宋_GB2312" w:eastAsia="仿宋_GB2312" w:cs="仿宋_GB2312"/>
          <w:b w:val="0"/>
          <w:color w:val="auto"/>
          <w:spacing w:val="6"/>
          <w:sz w:val="32"/>
          <w:szCs w:val="32"/>
          <w:lang w:val="zh-CN"/>
        </w:rPr>
        <w:t>各科室编制预算调整方案，科室负责人、业务分管领导审核</w:t>
      </w:r>
      <w:r>
        <w:rPr>
          <w:rFonts w:hint="eastAsia" w:ascii="仿宋_GB2312" w:hAnsi="仿宋_GB2312" w:eastAsia="仿宋_GB2312" w:cs="仿宋_GB2312"/>
          <w:b w:val="0"/>
          <w:color w:val="auto"/>
          <w:spacing w:val="6"/>
          <w:sz w:val="32"/>
          <w:szCs w:val="32"/>
          <w:lang w:val="zh-CN" w:eastAsia="zh-CN"/>
        </w:rPr>
        <w:t>，然后计财科</w:t>
      </w:r>
      <w:r>
        <w:rPr>
          <w:rFonts w:hint="eastAsia" w:ascii="仿宋_GB2312" w:hAnsi="仿宋_GB2312" w:eastAsia="仿宋_GB2312" w:cs="仿宋_GB2312"/>
          <w:b w:val="0"/>
          <w:color w:val="auto"/>
          <w:spacing w:val="6"/>
          <w:sz w:val="32"/>
          <w:szCs w:val="32"/>
          <w:lang w:val="zh-CN"/>
        </w:rPr>
        <w:t>负责人在预算批复范围内提出审核意见并编制预算调整申请，财务分管领导审核</w:t>
      </w:r>
      <w:r>
        <w:rPr>
          <w:rFonts w:hint="eastAsia" w:ascii="仿宋_GB2312" w:hAnsi="仿宋_GB2312" w:eastAsia="仿宋_GB2312" w:cs="仿宋_GB2312"/>
          <w:b w:val="0"/>
          <w:color w:val="auto"/>
          <w:spacing w:val="6"/>
          <w:sz w:val="32"/>
          <w:szCs w:val="32"/>
          <w:lang w:val="zh-CN" w:eastAsia="zh-CN"/>
        </w:rPr>
        <w:t>，最后计财科</w:t>
      </w:r>
      <w:r>
        <w:rPr>
          <w:rFonts w:hint="eastAsia" w:ascii="仿宋_GB2312" w:hAnsi="仿宋_GB2312" w:eastAsia="仿宋_GB2312" w:cs="仿宋_GB2312"/>
          <w:b w:val="0"/>
          <w:color w:val="auto"/>
          <w:spacing w:val="6"/>
          <w:sz w:val="32"/>
          <w:szCs w:val="32"/>
          <w:lang w:val="zh-CN"/>
        </w:rPr>
        <w:t>将预算调整申请按管理权限上报区财政局，</w:t>
      </w:r>
      <w:r>
        <w:rPr>
          <w:rFonts w:hint="eastAsia" w:ascii="仿宋_GB2312" w:hAnsi="仿宋_GB2312" w:eastAsia="仿宋_GB2312" w:cs="仿宋_GB2312"/>
          <w:b w:val="0"/>
          <w:color w:val="auto"/>
          <w:spacing w:val="6"/>
          <w:sz w:val="32"/>
          <w:szCs w:val="32"/>
          <w:lang w:val="zh-CN" w:eastAsia="zh-CN"/>
        </w:rPr>
        <w:t>计财科</w:t>
      </w:r>
      <w:r>
        <w:rPr>
          <w:rFonts w:hint="eastAsia" w:ascii="仿宋_GB2312" w:hAnsi="仿宋_GB2312" w:eastAsia="仿宋_GB2312" w:cs="仿宋_GB2312"/>
          <w:b w:val="0"/>
          <w:color w:val="auto"/>
          <w:spacing w:val="6"/>
          <w:sz w:val="32"/>
          <w:szCs w:val="32"/>
          <w:lang w:val="zh-CN"/>
        </w:rPr>
        <w:t>接到预算调整批复通知后，向各科室通报预算调整情况。</w:t>
      </w:r>
      <w:r>
        <w:rPr>
          <w:rFonts w:hint="eastAsia" w:ascii="仿宋_GB2312" w:hAnsi="仿宋_GB2312" w:eastAsia="仿宋_GB2312" w:cs="仿宋_GB2312"/>
          <w:b w:val="0"/>
          <w:color w:val="auto"/>
          <w:spacing w:val="6"/>
          <w:sz w:val="32"/>
          <w:szCs w:val="32"/>
          <w:lang w:val="zh-CN" w:eastAsia="zh-CN"/>
        </w:rPr>
        <w:t>区司法局接到区财政局增加1.95万元项目预算后，未按照上述预算调整程序进行项目预算及支出调整。</w:t>
      </w:r>
    </w:p>
    <w:p>
      <w:pPr>
        <w:widowControl w:val="0"/>
        <w:adjustRightInd w:val="0"/>
        <w:spacing w:line="590" w:lineRule="exact"/>
        <w:ind w:firstLine="664" w:firstLineChars="200"/>
        <w:jc w:val="both"/>
        <w:rPr>
          <w:rFonts w:hint="eastAsia" w:ascii="仿宋_GB2312" w:hAnsi="仿宋_GB2312" w:eastAsia="仿宋_GB2312" w:cs="仿宋_GB2312"/>
          <w:bCs w:val="0"/>
          <w:spacing w:val="6"/>
          <w:kern w:val="2"/>
          <w:sz w:val="32"/>
          <w:szCs w:val="32"/>
          <w:highlight w:val="none"/>
          <w:lang w:val="zh-CN" w:eastAsia="zh-CN"/>
        </w:rPr>
      </w:pPr>
      <w:r>
        <w:rPr>
          <w:rFonts w:hint="eastAsia" w:ascii="仿宋_GB2312" w:hAnsi="仿宋_GB2312" w:eastAsia="仿宋_GB2312" w:cs="仿宋_GB2312"/>
          <w:bCs w:val="0"/>
          <w:spacing w:val="6"/>
          <w:kern w:val="2"/>
          <w:sz w:val="32"/>
          <w:szCs w:val="32"/>
          <w:highlight w:val="none"/>
          <w:lang w:val="zh-CN" w:eastAsia="zh-CN"/>
        </w:rPr>
        <w:t>主要原因系区司法局四季度项目经费由于未达预算执行支付条件被收回，实际开支时由财政直接重新上指标，故无法在单位端做预算调整。</w:t>
      </w:r>
    </w:p>
    <w:p>
      <w:pPr>
        <w:widowControl w:val="0"/>
        <w:adjustRightInd/>
        <w:spacing w:beforeLines="0" w:line="590" w:lineRule="exact"/>
        <w:ind w:firstLine="640" w:firstLineChars="200"/>
        <w:jc w:val="both"/>
        <w:outlineLvl w:val="1"/>
        <w:rPr>
          <w:rFonts w:hint="eastAsia" w:ascii="仿宋_GB2312" w:hAnsi="仿宋_GB2312" w:eastAsia="仿宋_GB2312" w:cs="仿宋_GB2312"/>
          <w:spacing w:val="6"/>
          <w:sz w:val="32"/>
          <w:szCs w:val="32"/>
          <w:highlight w:val="none"/>
          <w:lang w:val="zh-CN" w:eastAsia="zh-CN"/>
        </w:rPr>
      </w:pPr>
      <w:bookmarkStart w:id="238" w:name="_Toc766"/>
      <w:bookmarkStart w:id="239" w:name="_Toc17305"/>
      <w:bookmarkStart w:id="240" w:name="_Toc6895"/>
      <w:bookmarkStart w:id="241" w:name="_Toc14512"/>
      <w:r>
        <w:rPr>
          <w:rFonts w:hint="eastAsia" w:ascii="楷体_GB2312" w:hAnsi="楷体_GB2312" w:eastAsia="楷体_GB2312" w:cs="楷体_GB2312"/>
          <w:sz w:val="32"/>
          <w:szCs w:val="32"/>
          <w:lang w:val="zh-CN"/>
        </w:rPr>
        <w:t>（</w:t>
      </w: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lang w:val="zh-CN"/>
        </w:rPr>
        <w:t>）</w:t>
      </w:r>
      <w:r>
        <w:rPr>
          <w:rFonts w:hint="eastAsia" w:ascii="楷体_GB2312" w:hAnsi="楷体_GB2312" w:eastAsia="楷体_GB2312" w:cs="楷体_GB2312"/>
          <w:sz w:val="32"/>
          <w:szCs w:val="32"/>
          <w:lang w:val="en-US" w:eastAsia="zh-CN"/>
        </w:rPr>
        <w:t>资金管理方面</w:t>
      </w:r>
      <w:bookmarkEnd w:id="238"/>
      <w:bookmarkEnd w:id="239"/>
      <w:bookmarkEnd w:id="240"/>
      <w:bookmarkEnd w:id="241"/>
    </w:p>
    <w:p>
      <w:pPr>
        <w:widowControl w:val="0"/>
        <w:adjustRightInd w:val="0"/>
        <w:spacing w:line="590" w:lineRule="exact"/>
        <w:ind w:firstLine="664" w:firstLineChars="200"/>
        <w:jc w:val="both"/>
        <w:outlineLvl w:val="9"/>
        <w:rPr>
          <w:rFonts w:hint="eastAsia" w:ascii="仿宋_GB2312" w:hAnsi="仿宋_GB2312" w:eastAsia="仿宋_GB2312" w:cs="仿宋_GB2312"/>
          <w:bCs/>
          <w:spacing w:val="6"/>
          <w:sz w:val="32"/>
          <w:szCs w:val="32"/>
          <w:highlight w:val="none"/>
          <w:lang w:val="zh-CN" w:eastAsia="zh-CN"/>
        </w:rPr>
      </w:pPr>
      <w:r>
        <w:rPr>
          <w:rFonts w:hint="eastAsia" w:ascii="仿宋_GB2312" w:hAnsi="仿宋_GB2312" w:eastAsia="仿宋_GB2312" w:cs="仿宋_GB2312"/>
          <w:bCs/>
          <w:spacing w:val="6"/>
          <w:sz w:val="32"/>
          <w:szCs w:val="32"/>
          <w:highlight w:val="none"/>
          <w:lang w:val="en-US" w:eastAsia="zh-CN"/>
        </w:rPr>
        <w:t>1</w:t>
      </w:r>
      <w:r>
        <w:rPr>
          <w:rFonts w:hint="eastAsia" w:ascii="仿宋_GB2312" w:hAnsi="仿宋_GB2312" w:eastAsia="仿宋_GB2312" w:cs="仿宋_GB2312"/>
          <w:bCs/>
          <w:spacing w:val="6"/>
          <w:sz w:val="32"/>
          <w:szCs w:val="32"/>
          <w:highlight w:val="none"/>
          <w:lang w:val="zh-CN" w:eastAsia="zh-CN"/>
        </w:rPr>
        <w:t>．</w:t>
      </w:r>
      <w:r>
        <w:rPr>
          <w:rFonts w:hint="eastAsia" w:ascii="仿宋_GB2312" w:hAnsi="仿宋_GB2312" w:eastAsia="仿宋_GB2312" w:cs="仿宋_GB2312"/>
          <w:bCs w:val="0"/>
          <w:spacing w:val="6"/>
          <w:sz w:val="32"/>
          <w:szCs w:val="32"/>
          <w:highlight w:val="none"/>
          <w:lang w:val="zh-CN" w:eastAsia="zh-CN"/>
        </w:rPr>
        <w:t>资金使用不符合项目预算规定的用途</w:t>
      </w:r>
    </w:p>
    <w:p>
      <w:pPr>
        <w:widowControl w:val="0"/>
        <w:adjustRightInd/>
        <w:spacing w:line="590" w:lineRule="exact"/>
        <w:ind w:firstLine="664" w:firstLineChars="200"/>
        <w:jc w:val="both"/>
        <w:outlineLvl w:val="9"/>
        <w:rPr>
          <w:rFonts w:hint="eastAsia" w:ascii="仿宋_GB2312" w:hAnsi="仿宋_GB2312" w:eastAsia="仿宋_GB2312" w:cs="仿宋_GB2312"/>
          <w:bCs w:val="0"/>
          <w:spacing w:val="6"/>
          <w:sz w:val="32"/>
          <w:szCs w:val="32"/>
          <w:highlight w:val="none"/>
          <w:lang w:val="zh-CN" w:eastAsia="zh-CN"/>
        </w:rPr>
      </w:pPr>
      <w:r>
        <w:rPr>
          <w:rFonts w:hint="eastAsia" w:ascii="仿宋_GB2312" w:hAnsi="仿宋_GB2312" w:eastAsia="仿宋_GB2312" w:cs="仿宋_GB2312"/>
          <w:bCs w:val="0"/>
          <w:spacing w:val="6"/>
          <w:sz w:val="32"/>
          <w:szCs w:val="32"/>
          <w:highlight w:val="none"/>
          <w:lang w:val="zh-CN" w:eastAsia="zh-CN"/>
        </w:rPr>
        <w:t>资金使用不符合项目预算规定的用途。根据《贵阳市法治宣传教育第七个五年规划（2016-2020）》中规定普法宣传工作经费专款专用</w:t>
      </w:r>
      <w:r>
        <w:rPr>
          <w:rFonts w:hint="eastAsia" w:ascii="仿宋_GB2312" w:hAnsi="仿宋_GB2312" w:eastAsia="仿宋_GB2312" w:cs="仿宋_GB2312"/>
          <w:b w:val="0"/>
          <w:color w:val="auto"/>
          <w:spacing w:val="6"/>
          <w:sz w:val="32"/>
          <w:szCs w:val="32"/>
          <w:highlight w:val="none"/>
          <w:lang w:val="zh-CN" w:eastAsia="zh-CN"/>
        </w:rPr>
        <w:t>，2021年12月91#</w:t>
      </w:r>
      <w:r>
        <w:rPr>
          <w:rFonts w:hint="eastAsia" w:ascii="仿宋_GB2312" w:hAnsi="仿宋_GB2312" w:eastAsia="仿宋_GB2312" w:cs="仿宋_GB2312"/>
          <w:b w:val="0"/>
          <w:color w:val="auto"/>
          <w:spacing w:val="6"/>
          <w:sz w:val="32"/>
          <w:szCs w:val="32"/>
          <w:highlight w:val="none"/>
          <w:lang w:val="en-US" w:eastAsia="zh-CN"/>
        </w:rPr>
        <w:t>凭证</w:t>
      </w:r>
      <w:r>
        <w:rPr>
          <w:rFonts w:hint="eastAsia" w:ascii="仿宋_GB2312" w:hAnsi="仿宋_GB2312" w:eastAsia="仿宋_GB2312" w:cs="仿宋_GB2312"/>
          <w:b w:val="0"/>
          <w:color w:val="auto"/>
          <w:spacing w:val="6"/>
          <w:sz w:val="32"/>
          <w:szCs w:val="32"/>
          <w:highlight w:val="none"/>
          <w:lang w:val="zh-CN" w:eastAsia="zh-CN"/>
        </w:rPr>
        <w:t>将各科室、司法所采购办公耗材17,047.00元放入普法工作-办公费核算，</w:t>
      </w:r>
      <w:r>
        <w:rPr>
          <w:rFonts w:hint="eastAsia" w:ascii="仿宋_GB2312" w:hAnsi="仿宋_GB2312" w:eastAsia="仿宋_GB2312" w:cs="仿宋_GB2312"/>
          <w:b w:val="0"/>
          <w:bCs/>
          <w:color w:val="auto"/>
          <w:spacing w:val="6"/>
          <w:sz w:val="32"/>
          <w:szCs w:val="32"/>
          <w:highlight w:val="none"/>
          <w:lang w:val="en-US" w:eastAsia="zh-CN"/>
        </w:rPr>
        <w:t>支付购买</w:t>
      </w:r>
      <w:r>
        <w:rPr>
          <w:rFonts w:hint="eastAsia" w:ascii="仿宋_GB2312" w:hAnsi="仿宋_GB2312" w:eastAsia="仿宋_GB2312" w:cs="仿宋_GB2312"/>
          <w:b w:val="0"/>
          <w:color w:val="auto"/>
          <w:spacing w:val="6"/>
          <w:sz w:val="32"/>
          <w:szCs w:val="32"/>
          <w:highlight w:val="none"/>
          <w:lang w:val="zh-CN" w:eastAsia="zh-CN"/>
        </w:rPr>
        <w:t>各科室、司法所</w:t>
      </w:r>
      <w:r>
        <w:rPr>
          <w:rFonts w:hint="eastAsia" w:ascii="仿宋_GB2312" w:hAnsi="仿宋_GB2312" w:eastAsia="仿宋_GB2312" w:cs="仿宋_GB2312"/>
          <w:b w:val="0"/>
          <w:bCs/>
          <w:color w:val="auto"/>
          <w:spacing w:val="6"/>
          <w:sz w:val="32"/>
          <w:szCs w:val="32"/>
          <w:highlight w:val="none"/>
          <w:lang w:val="en-US" w:eastAsia="zh-CN"/>
        </w:rPr>
        <w:t>办公耗材费用属于部门基本支出范畴，不应使用</w:t>
      </w:r>
      <w:r>
        <w:rPr>
          <w:rFonts w:hint="eastAsia" w:ascii="仿宋_GB2312" w:hAnsi="仿宋_GB2312" w:eastAsia="仿宋_GB2312" w:cs="仿宋_GB2312"/>
          <w:spacing w:val="6"/>
          <w:sz w:val="32"/>
          <w:szCs w:val="32"/>
          <w:highlight w:val="none"/>
          <w:lang w:val="zh-CN"/>
        </w:rPr>
        <w:t>普法宣传工作</w:t>
      </w:r>
      <w:r>
        <w:rPr>
          <w:rFonts w:hint="eastAsia" w:ascii="仿宋_GB2312" w:hAnsi="仿宋_GB2312" w:eastAsia="仿宋_GB2312" w:cs="仿宋_GB2312"/>
          <w:b w:val="0"/>
          <w:bCs/>
          <w:color w:val="auto"/>
          <w:spacing w:val="6"/>
          <w:sz w:val="32"/>
          <w:szCs w:val="32"/>
          <w:highlight w:val="none"/>
          <w:lang w:val="en-US" w:eastAsia="zh-CN"/>
        </w:rPr>
        <w:t>项目经费进行支付核算</w:t>
      </w:r>
      <w:r>
        <w:rPr>
          <w:rFonts w:hint="eastAsia" w:ascii="Times New Roman" w:hAnsi="Times New Roman" w:eastAsia="仿宋_GB2312" w:cs="Times New Roman"/>
          <w:bCs/>
          <w:spacing w:val="6"/>
          <w:kern w:val="0"/>
          <w:sz w:val="32"/>
          <w:szCs w:val="32"/>
          <w:highlight w:val="none"/>
          <w:lang w:val="en-US" w:eastAsia="zh-CN"/>
        </w:rPr>
        <w:t>。</w:t>
      </w:r>
    </w:p>
    <w:p>
      <w:pPr>
        <w:widowControl w:val="0"/>
        <w:adjustRightInd/>
        <w:spacing w:line="590" w:lineRule="exact"/>
        <w:ind w:firstLine="664" w:firstLineChars="200"/>
        <w:jc w:val="both"/>
        <w:outlineLvl w:val="9"/>
        <w:rPr>
          <w:rFonts w:hint="eastAsia" w:ascii="仿宋_GB2312" w:hAnsi="仿宋_GB2312" w:eastAsia="仿宋_GB2312" w:cs="仿宋_GB2312"/>
          <w:bCs w:val="0"/>
          <w:spacing w:val="6"/>
          <w:sz w:val="32"/>
          <w:szCs w:val="32"/>
          <w:highlight w:val="none"/>
          <w:lang w:val="en-US" w:eastAsia="zh-CN"/>
        </w:rPr>
      </w:pPr>
      <w:r>
        <w:rPr>
          <w:rFonts w:hint="eastAsia" w:ascii="仿宋_GB2312" w:hAnsi="仿宋_GB2312" w:eastAsia="仿宋_GB2312" w:cs="仿宋_GB2312"/>
          <w:bCs w:val="0"/>
          <w:spacing w:val="6"/>
          <w:sz w:val="32"/>
          <w:szCs w:val="32"/>
          <w:highlight w:val="none"/>
          <w:lang w:val="zh-CN" w:eastAsia="zh-CN"/>
        </w:rPr>
        <w:t>主要原因系会计</w:t>
      </w:r>
      <w:r>
        <w:rPr>
          <w:rFonts w:hint="eastAsia" w:ascii="仿宋_GB2312" w:hAnsi="仿宋_GB2312" w:eastAsia="仿宋_GB2312" w:cs="仿宋_GB2312"/>
          <w:bCs w:val="0"/>
          <w:spacing w:val="6"/>
          <w:sz w:val="32"/>
          <w:szCs w:val="32"/>
          <w:highlight w:val="none"/>
          <w:lang w:val="en-US" w:eastAsia="zh-CN"/>
        </w:rPr>
        <w:t>核算过程中未将项目支出与基本支出进行严格区分。</w:t>
      </w:r>
    </w:p>
    <w:p>
      <w:pPr>
        <w:widowControl w:val="0"/>
        <w:adjustRightInd w:val="0"/>
        <w:spacing w:line="590" w:lineRule="exact"/>
        <w:ind w:firstLine="664" w:firstLineChars="200"/>
        <w:jc w:val="both"/>
        <w:outlineLvl w:val="9"/>
        <w:rPr>
          <w:rFonts w:hint="eastAsia" w:ascii="仿宋_GB2312" w:hAnsi="仿宋_GB2312" w:eastAsia="仿宋_GB2312" w:cs="仿宋_GB2312"/>
          <w:bCs/>
          <w:spacing w:val="6"/>
          <w:sz w:val="32"/>
          <w:szCs w:val="32"/>
          <w:highlight w:val="none"/>
          <w:lang w:val="zh-CN" w:eastAsia="zh-CN"/>
        </w:rPr>
      </w:pPr>
      <w:r>
        <w:rPr>
          <w:rFonts w:hint="eastAsia" w:ascii="仿宋_GB2312" w:hAnsi="仿宋_GB2312" w:eastAsia="仿宋_GB2312" w:cs="仿宋_GB2312"/>
          <w:bCs/>
          <w:spacing w:val="6"/>
          <w:sz w:val="32"/>
          <w:szCs w:val="32"/>
          <w:highlight w:val="none"/>
          <w:lang w:val="en-US" w:eastAsia="zh-CN"/>
        </w:rPr>
        <w:t>2</w:t>
      </w:r>
      <w:r>
        <w:rPr>
          <w:rFonts w:hint="eastAsia" w:ascii="仿宋_GB2312" w:hAnsi="仿宋_GB2312" w:eastAsia="仿宋_GB2312" w:cs="仿宋_GB2312"/>
          <w:bCs/>
          <w:spacing w:val="6"/>
          <w:sz w:val="32"/>
          <w:szCs w:val="32"/>
          <w:highlight w:val="none"/>
          <w:lang w:val="zh-CN" w:eastAsia="zh-CN"/>
        </w:rPr>
        <w:t>．预算编制科学性不足</w:t>
      </w:r>
    </w:p>
    <w:p>
      <w:pPr>
        <w:widowControl w:val="0"/>
        <w:adjustRightInd w:val="0"/>
        <w:spacing w:line="590" w:lineRule="exact"/>
        <w:ind w:firstLine="664" w:firstLineChars="200"/>
        <w:jc w:val="both"/>
        <w:outlineLvl w:val="9"/>
        <w:rPr>
          <w:rFonts w:hint="default" w:ascii="仿宋_GB2312" w:hAnsi="仿宋_GB2312" w:eastAsia="仿宋_GB2312" w:cs="仿宋_GB2312"/>
          <w:bCs/>
          <w:spacing w:val="6"/>
          <w:sz w:val="32"/>
          <w:szCs w:val="32"/>
          <w:highlight w:val="none"/>
          <w:lang w:val="en-US" w:eastAsia="zh-CN"/>
        </w:rPr>
      </w:pPr>
      <w:r>
        <w:rPr>
          <w:rFonts w:hint="eastAsia" w:ascii="仿宋_GB2312" w:hAnsi="仿宋_GB2312" w:eastAsia="仿宋_GB2312" w:cs="仿宋_GB2312"/>
          <w:spacing w:val="6"/>
          <w:sz w:val="32"/>
          <w:szCs w:val="32"/>
          <w:highlight w:val="none"/>
          <w:lang w:val="en-US" w:eastAsia="zh-CN"/>
        </w:rPr>
        <w:t>区</w:t>
      </w:r>
      <w:r>
        <w:rPr>
          <w:rFonts w:hint="eastAsia" w:ascii="仿宋_GB2312" w:hAnsi="仿宋_GB2312" w:eastAsia="仿宋_GB2312" w:cs="仿宋_GB2312"/>
          <w:spacing w:val="6"/>
          <w:sz w:val="32"/>
          <w:szCs w:val="32"/>
          <w:highlight w:val="none"/>
          <w:lang w:val="zh-CN"/>
        </w:rPr>
        <w:t>司法局</w:t>
      </w:r>
      <w:r>
        <w:rPr>
          <w:rFonts w:hint="eastAsia" w:ascii="仿宋_GB2312" w:hAnsi="仿宋_GB2312" w:eastAsia="仿宋_GB2312" w:cs="仿宋_GB2312"/>
          <w:color w:val="auto"/>
          <w:spacing w:val="6"/>
          <w:sz w:val="32"/>
          <w:szCs w:val="32"/>
          <w:highlight w:val="none"/>
          <w:lang w:val="zh-CN"/>
        </w:rPr>
        <w:t>未根据</w:t>
      </w:r>
      <w:r>
        <w:rPr>
          <w:rFonts w:hint="eastAsia" w:ascii="仿宋_GB2312" w:hAnsi="仿宋_GB2312" w:eastAsia="仿宋_GB2312" w:cs="仿宋_GB2312"/>
          <w:color w:val="auto"/>
          <w:spacing w:val="6"/>
          <w:sz w:val="32"/>
          <w:szCs w:val="32"/>
          <w:highlight w:val="none"/>
          <w:lang w:val="en-US" w:eastAsia="zh-CN"/>
        </w:rPr>
        <w:t>年度</w:t>
      </w:r>
      <w:r>
        <w:rPr>
          <w:rFonts w:hint="eastAsia" w:ascii="仿宋_GB2312" w:hAnsi="仿宋_GB2312" w:eastAsia="仿宋_GB2312" w:cs="仿宋_GB2312"/>
          <w:color w:val="auto"/>
          <w:spacing w:val="6"/>
          <w:sz w:val="32"/>
          <w:szCs w:val="32"/>
          <w:highlight w:val="none"/>
          <w:lang w:val="zh-CN"/>
        </w:rPr>
        <w:t>工作计划</w:t>
      </w:r>
      <w:r>
        <w:rPr>
          <w:rFonts w:hint="eastAsia" w:ascii="仿宋_GB2312" w:hAnsi="仿宋_GB2312" w:eastAsia="仿宋_GB2312" w:cs="仿宋_GB2312"/>
          <w:spacing w:val="6"/>
          <w:sz w:val="32"/>
          <w:szCs w:val="32"/>
          <w:highlight w:val="none"/>
          <w:lang w:val="zh-CN"/>
        </w:rPr>
        <w:t>开展预算资金分配工作</w:t>
      </w:r>
      <w:r>
        <w:rPr>
          <w:rFonts w:hint="eastAsia" w:ascii="仿宋_GB2312" w:hAnsi="仿宋_GB2312" w:eastAsia="仿宋_GB2312" w:cs="仿宋_GB2312"/>
          <w:bCs/>
          <w:spacing w:val="6"/>
          <w:sz w:val="32"/>
          <w:szCs w:val="32"/>
          <w:highlight w:val="none"/>
          <w:lang w:val="zh-CN" w:eastAsia="zh-CN"/>
        </w:rPr>
        <w:t>，未将项目支出预算细化，所以不能将预算资金合理分配至各个具体项目。</w:t>
      </w:r>
    </w:p>
    <w:p>
      <w:pPr>
        <w:widowControl w:val="0"/>
        <w:adjustRightInd w:val="0"/>
        <w:spacing w:line="590" w:lineRule="exact"/>
        <w:ind w:firstLine="664" w:firstLineChars="200"/>
        <w:jc w:val="both"/>
        <w:outlineLvl w:val="9"/>
        <w:rPr>
          <w:rFonts w:hint="eastAsia" w:ascii="仿宋_GB2312" w:hAnsi="仿宋_GB2312" w:eastAsia="仿宋_GB2312" w:cs="仿宋_GB2312"/>
          <w:bCs w:val="0"/>
          <w:spacing w:val="6"/>
          <w:sz w:val="32"/>
          <w:szCs w:val="32"/>
          <w:highlight w:val="none"/>
          <w:lang w:val="zh-CN" w:eastAsia="zh-CN"/>
        </w:rPr>
      </w:pPr>
      <w:r>
        <w:rPr>
          <w:rFonts w:hint="default" w:ascii="仿宋_GB2312" w:hAnsi="仿宋_GB2312" w:eastAsia="仿宋_GB2312" w:cs="仿宋_GB2312"/>
          <w:bCs/>
          <w:spacing w:val="6"/>
          <w:sz w:val="32"/>
          <w:szCs w:val="32"/>
          <w:highlight w:val="none"/>
          <w:lang w:val="en-US" w:eastAsia="zh-CN"/>
        </w:rPr>
        <w:t>主要原因</w:t>
      </w:r>
      <w:r>
        <w:rPr>
          <w:rFonts w:hint="eastAsia" w:ascii="仿宋_GB2312" w:hAnsi="仿宋_GB2312" w:eastAsia="仿宋_GB2312" w:cs="仿宋_GB2312"/>
          <w:bCs/>
          <w:spacing w:val="6"/>
          <w:sz w:val="32"/>
          <w:szCs w:val="32"/>
          <w:highlight w:val="none"/>
          <w:lang w:val="en-US" w:eastAsia="zh-CN"/>
        </w:rPr>
        <w:t>系对《中共中央 国务院关于全面实施预算绩效管理的意见》（中发〔2018〕34号）和《省财政厅关于批复2018年度省级主管部门项目支出绩效目标的通知》（黔财绩〔2018〕1号）等文件学习不够深入，政策落实力度不够，对预算绩效管理政策制度研究不够深入、全面。</w:t>
      </w:r>
    </w:p>
    <w:p>
      <w:pPr>
        <w:widowControl w:val="0"/>
        <w:adjustRightInd w:val="0"/>
        <w:spacing w:beforeLines="0" w:line="590" w:lineRule="exact"/>
        <w:ind w:firstLine="640" w:firstLineChars="200"/>
        <w:jc w:val="both"/>
        <w:outlineLvl w:val="1"/>
        <w:rPr>
          <w:rFonts w:ascii="仿宋_GB2312" w:hAnsi="仿宋_GB2312" w:eastAsia="仿宋_GB2312" w:cs="仿宋_GB2312"/>
          <w:bCs/>
          <w:spacing w:val="6"/>
          <w:sz w:val="32"/>
          <w:szCs w:val="32"/>
        </w:rPr>
      </w:pPr>
      <w:bookmarkStart w:id="242" w:name="_Toc150"/>
      <w:bookmarkStart w:id="243" w:name="_Toc12532"/>
      <w:bookmarkStart w:id="244" w:name="_Toc30135"/>
      <w:bookmarkStart w:id="245" w:name="_Toc32631"/>
      <w:bookmarkStart w:id="246" w:name="_Toc3939"/>
      <w:bookmarkStart w:id="247" w:name="_Toc19943"/>
      <w:r>
        <w:rPr>
          <w:rFonts w:hint="eastAsia" w:ascii="楷体_GB2312" w:hAnsi="楷体_GB2312" w:eastAsia="楷体_GB2312" w:cs="楷体_GB2312"/>
          <w:sz w:val="32"/>
          <w:szCs w:val="32"/>
          <w:lang w:val="en-US" w:eastAsia="zh-CN"/>
        </w:rPr>
        <w:t>（三）绩效管理</w:t>
      </w:r>
      <w:r>
        <w:rPr>
          <w:rFonts w:hint="eastAsia" w:ascii="楷体_GB2312" w:hAnsi="楷体_GB2312" w:eastAsia="楷体_GB2312" w:cs="楷体_GB2312"/>
          <w:sz w:val="32"/>
          <w:szCs w:val="32"/>
          <w:lang w:val="zh-CN" w:eastAsia="zh-CN"/>
        </w:rPr>
        <w:t>方面</w:t>
      </w:r>
      <w:bookmarkEnd w:id="242"/>
      <w:bookmarkEnd w:id="243"/>
      <w:bookmarkEnd w:id="244"/>
      <w:bookmarkEnd w:id="245"/>
      <w:bookmarkEnd w:id="246"/>
      <w:bookmarkEnd w:id="247"/>
    </w:p>
    <w:p>
      <w:pPr>
        <w:widowControl w:val="0"/>
        <w:adjustRightInd w:val="0"/>
        <w:spacing w:line="590" w:lineRule="exact"/>
        <w:ind w:firstLine="664" w:firstLineChars="200"/>
        <w:jc w:val="both"/>
        <w:outlineLvl w:val="9"/>
        <w:rPr>
          <w:rFonts w:hint="eastAsia" w:ascii="仿宋_GB2312" w:hAnsi="仿宋_GB2312" w:eastAsia="仿宋_GB2312" w:cs="仿宋_GB2312"/>
          <w:bCs/>
          <w:spacing w:val="6"/>
          <w:sz w:val="32"/>
          <w:szCs w:val="32"/>
          <w:highlight w:val="none"/>
          <w:lang w:val="zh-CN" w:eastAsia="zh-CN"/>
        </w:rPr>
      </w:pPr>
      <w:bookmarkStart w:id="248" w:name="_Toc11161"/>
      <w:bookmarkStart w:id="249" w:name="_Toc2626"/>
      <w:bookmarkStart w:id="250" w:name="_Toc18641"/>
      <w:bookmarkStart w:id="251" w:name="_Toc32484"/>
      <w:bookmarkStart w:id="252" w:name="_Toc30801"/>
      <w:bookmarkStart w:id="253" w:name="_Toc14926"/>
      <w:bookmarkStart w:id="254" w:name="_Toc1253"/>
      <w:bookmarkStart w:id="255" w:name="_Toc8981"/>
      <w:bookmarkStart w:id="256" w:name="_Toc11877"/>
      <w:bookmarkStart w:id="257" w:name="_Toc12627"/>
      <w:bookmarkStart w:id="258" w:name="_Toc41306291"/>
      <w:r>
        <w:rPr>
          <w:rFonts w:hint="eastAsia" w:ascii="仿宋_GB2312" w:hAnsi="仿宋_GB2312" w:eastAsia="仿宋_GB2312" w:cs="仿宋_GB2312"/>
          <w:bCs/>
          <w:spacing w:val="6"/>
          <w:sz w:val="32"/>
          <w:szCs w:val="32"/>
          <w:highlight w:val="none"/>
          <w:lang w:val="zh-CN" w:eastAsia="zh-CN"/>
        </w:rPr>
        <w:t>一是项目预期产出不符合正常的业绩水平，</w:t>
      </w:r>
      <w:r>
        <w:rPr>
          <w:rFonts w:hint="eastAsia" w:ascii="仿宋_GB2312" w:hAnsi="仿宋_GB2312" w:eastAsia="仿宋_GB2312" w:cs="仿宋_GB2312"/>
          <w:spacing w:val="6"/>
          <w:sz w:val="32"/>
          <w:szCs w:val="32"/>
          <w:highlight w:val="none"/>
          <w:lang w:val="zh-CN"/>
        </w:rPr>
        <w:t>如产出数量指标中开展普法宣传活动次数不少于</w:t>
      </w:r>
      <w:r>
        <w:rPr>
          <w:rFonts w:hint="eastAsia" w:ascii="仿宋_GB2312" w:hAnsi="仿宋_GB2312" w:eastAsia="仿宋_GB2312" w:cs="仿宋_GB2312"/>
          <w:spacing w:val="6"/>
          <w:sz w:val="32"/>
          <w:szCs w:val="32"/>
          <w:highlight w:val="none"/>
          <w:lang w:val="en-US" w:eastAsia="zh-CN"/>
        </w:rPr>
        <w:t>10次，根据区司法局近2年数据显示，2019年区司法局</w:t>
      </w:r>
      <w:r>
        <w:rPr>
          <w:rFonts w:hint="eastAsia" w:ascii="仿宋_GB2312" w:hAnsi="仿宋_GB2312" w:eastAsia="仿宋_GB2312" w:cs="仿宋_GB2312"/>
          <w:spacing w:val="6"/>
          <w:sz w:val="32"/>
          <w:szCs w:val="32"/>
          <w:highlight w:val="none"/>
          <w:lang w:val="zh-CN"/>
        </w:rPr>
        <w:t>开展普法宣传活动</w:t>
      </w:r>
      <w:r>
        <w:rPr>
          <w:rFonts w:hint="eastAsia" w:ascii="仿宋_GB2312" w:hAnsi="仿宋_GB2312" w:eastAsia="仿宋_GB2312" w:cs="仿宋_GB2312"/>
          <w:spacing w:val="6"/>
          <w:sz w:val="32"/>
          <w:szCs w:val="32"/>
          <w:highlight w:val="none"/>
          <w:lang w:val="en-US" w:eastAsia="zh-CN"/>
        </w:rPr>
        <w:t>200次</w:t>
      </w:r>
      <w:r>
        <w:rPr>
          <w:rFonts w:hint="eastAsia" w:ascii="仿宋_GB2312" w:hAnsi="仿宋_GB2312" w:eastAsia="仿宋_GB2312" w:cs="仿宋_GB2312"/>
          <w:spacing w:val="6"/>
          <w:sz w:val="32"/>
          <w:szCs w:val="32"/>
          <w:highlight w:val="none"/>
          <w:lang w:val="zh-CN"/>
        </w:rPr>
        <w:t>，</w:t>
      </w:r>
      <w:r>
        <w:rPr>
          <w:rFonts w:hint="eastAsia" w:ascii="仿宋_GB2312" w:hAnsi="仿宋_GB2312" w:eastAsia="仿宋_GB2312" w:cs="仿宋_GB2312"/>
          <w:spacing w:val="6"/>
          <w:sz w:val="32"/>
          <w:szCs w:val="32"/>
          <w:highlight w:val="none"/>
          <w:lang w:val="en-US" w:eastAsia="zh-CN"/>
        </w:rPr>
        <w:t>2020年区司法局</w:t>
      </w:r>
      <w:r>
        <w:rPr>
          <w:rFonts w:hint="eastAsia" w:ascii="仿宋_GB2312" w:hAnsi="仿宋_GB2312" w:eastAsia="仿宋_GB2312" w:cs="仿宋_GB2312"/>
          <w:spacing w:val="6"/>
          <w:sz w:val="32"/>
          <w:szCs w:val="32"/>
          <w:highlight w:val="none"/>
          <w:lang w:val="zh-CN"/>
        </w:rPr>
        <w:t>开展普法宣传活动</w:t>
      </w:r>
      <w:r>
        <w:rPr>
          <w:rFonts w:hint="eastAsia" w:ascii="仿宋_GB2312" w:hAnsi="仿宋_GB2312" w:eastAsia="仿宋_GB2312" w:cs="仿宋_GB2312"/>
          <w:spacing w:val="6"/>
          <w:sz w:val="32"/>
          <w:szCs w:val="32"/>
          <w:highlight w:val="none"/>
          <w:lang w:val="en-US" w:eastAsia="zh-CN"/>
        </w:rPr>
        <w:t>50次，</w:t>
      </w:r>
      <w:r>
        <w:rPr>
          <w:rFonts w:hint="eastAsia" w:ascii="仿宋_GB2312" w:hAnsi="仿宋_GB2312" w:eastAsia="仿宋_GB2312" w:cs="仿宋_GB2312"/>
          <w:spacing w:val="6"/>
          <w:sz w:val="32"/>
          <w:szCs w:val="32"/>
          <w:highlight w:val="none"/>
          <w:lang w:val="zh-CN"/>
        </w:rPr>
        <w:t>如产出数量指标中印制普法宣传资料不少于</w:t>
      </w:r>
      <w:r>
        <w:rPr>
          <w:rFonts w:hint="eastAsia" w:ascii="仿宋_GB2312" w:hAnsi="仿宋_GB2312" w:eastAsia="仿宋_GB2312" w:cs="仿宋_GB2312"/>
          <w:spacing w:val="6"/>
          <w:sz w:val="32"/>
          <w:szCs w:val="32"/>
          <w:highlight w:val="none"/>
          <w:lang w:val="en-US" w:eastAsia="zh-CN"/>
        </w:rPr>
        <w:t>10000份，根据区司法局近2年数据显示，2019年区司法局</w:t>
      </w:r>
      <w:r>
        <w:rPr>
          <w:rFonts w:hint="eastAsia" w:ascii="仿宋_GB2312" w:hAnsi="仿宋_GB2312" w:eastAsia="仿宋_GB2312" w:cs="仿宋_GB2312"/>
          <w:spacing w:val="6"/>
          <w:sz w:val="32"/>
          <w:szCs w:val="32"/>
          <w:highlight w:val="none"/>
          <w:lang w:val="zh-CN"/>
        </w:rPr>
        <w:t>印制普法宣传资料</w:t>
      </w:r>
      <w:r>
        <w:rPr>
          <w:rFonts w:hint="eastAsia" w:ascii="仿宋_GB2312" w:hAnsi="仿宋_GB2312" w:eastAsia="仿宋_GB2312" w:cs="仿宋_GB2312"/>
          <w:spacing w:val="6"/>
          <w:sz w:val="32"/>
          <w:szCs w:val="32"/>
          <w:highlight w:val="none"/>
          <w:lang w:val="en-US" w:eastAsia="zh-CN"/>
        </w:rPr>
        <w:t>60000余份</w:t>
      </w:r>
      <w:r>
        <w:rPr>
          <w:rFonts w:hint="eastAsia" w:ascii="仿宋_GB2312" w:hAnsi="仿宋_GB2312" w:eastAsia="仿宋_GB2312" w:cs="仿宋_GB2312"/>
          <w:spacing w:val="6"/>
          <w:sz w:val="32"/>
          <w:szCs w:val="32"/>
          <w:highlight w:val="none"/>
          <w:lang w:val="zh-CN"/>
        </w:rPr>
        <w:t>，</w:t>
      </w:r>
      <w:r>
        <w:rPr>
          <w:rFonts w:hint="eastAsia" w:ascii="仿宋_GB2312" w:hAnsi="仿宋_GB2312" w:eastAsia="仿宋_GB2312" w:cs="仿宋_GB2312"/>
          <w:spacing w:val="6"/>
          <w:sz w:val="32"/>
          <w:szCs w:val="32"/>
          <w:highlight w:val="none"/>
          <w:lang w:val="en-US" w:eastAsia="zh-CN"/>
        </w:rPr>
        <w:t>2019年区司法局印制普法宣传资料55000份，如</w:t>
      </w:r>
      <w:r>
        <w:rPr>
          <w:rFonts w:hint="eastAsia" w:ascii="仿宋_GB2312" w:hAnsi="仿宋_GB2312" w:eastAsia="仿宋_GB2312" w:cs="仿宋_GB2312"/>
          <w:spacing w:val="6"/>
          <w:sz w:val="32"/>
          <w:szCs w:val="32"/>
          <w:highlight w:val="none"/>
          <w:lang w:val="zh-CN"/>
        </w:rPr>
        <w:t>产出时效指标中开展普法宣传活动时间间隔小于</w:t>
      </w:r>
      <w:r>
        <w:rPr>
          <w:rFonts w:hint="eastAsia" w:ascii="仿宋_GB2312" w:hAnsi="仿宋_GB2312" w:eastAsia="仿宋_GB2312" w:cs="仿宋_GB2312"/>
          <w:spacing w:val="6"/>
          <w:sz w:val="32"/>
          <w:szCs w:val="32"/>
          <w:highlight w:val="none"/>
          <w:lang w:val="en-US" w:eastAsia="zh-CN"/>
        </w:rPr>
        <w:t>3个月，根据区司法局近2年数据显示，2019年、2020年区司法局</w:t>
      </w:r>
      <w:r>
        <w:rPr>
          <w:rFonts w:hint="eastAsia" w:ascii="仿宋_GB2312" w:hAnsi="仿宋_GB2312" w:eastAsia="仿宋_GB2312" w:cs="仿宋_GB2312"/>
          <w:spacing w:val="6"/>
          <w:sz w:val="32"/>
          <w:szCs w:val="32"/>
          <w:highlight w:val="none"/>
          <w:lang w:val="zh-CN"/>
        </w:rPr>
        <w:t>开展普法宣传活动</w:t>
      </w:r>
      <w:r>
        <w:rPr>
          <w:rFonts w:hint="eastAsia" w:ascii="仿宋_GB2312" w:hAnsi="仿宋_GB2312" w:eastAsia="仿宋_GB2312" w:cs="仿宋_GB2312"/>
          <w:spacing w:val="6"/>
          <w:sz w:val="32"/>
          <w:szCs w:val="32"/>
          <w:highlight w:val="none"/>
          <w:lang w:val="en-US" w:eastAsia="zh-CN"/>
        </w:rPr>
        <w:t>时间间隔均小于1个月</w:t>
      </w:r>
      <w:r>
        <w:rPr>
          <w:rFonts w:hint="eastAsia" w:ascii="仿宋_GB2312" w:hAnsi="仿宋_GB2312" w:eastAsia="仿宋_GB2312" w:cs="仿宋_GB2312"/>
          <w:spacing w:val="6"/>
          <w:sz w:val="32"/>
          <w:szCs w:val="32"/>
          <w:highlight w:val="none"/>
          <w:lang w:val="zh-CN"/>
        </w:rPr>
        <w:t>，项目预期产出明显低于正常的业绩水平</w:t>
      </w:r>
      <w:r>
        <w:rPr>
          <w:rFonts w:hint="eastAsia" w:ascii="仿宋_GB2312" w:hAnsi="仿宋_GB2312" w:eastAsia="仿宋_GB2312" w:cs="仿宋_GB2312"/>
          <w:bCs/>
          <w:spacing w:val="6"/>
          <w:sz w:val="32"/>
          <w:szCs w:val="32"/>
          <w:highlight w:val="none"/>
          <w:lang w:val="zh-CN" w:eastAsia="zh-CN"/>
        </w:rPr>
        <w:t>；二是未设置清晰、可衡量的指标值，如社会效益指标中“逐步提升普法率”，可持续影响指标中“稳步提升群众法律意识”，服务对象满意度中“普法群众基本满意”</w:t>
      </w:r>
      <w:r>
        <w:rPr>
          <w:rFonts w:hint="default" w:ascii="仿宋_GB2312" w:hAnsi="仿宋_GB2312" w:eastAsia="仿宋_GB2312" w:cs="仿宋_GB2312"/>
          <w:bCs/>
          <w:spacing w:val="6"/>
          <w:sz w:val="32"/>
          <w:szCs w:val="32"/>
          <w:highlight w:val="none"/>
          <w:lang w:val="en-US" w:eastAsia="zh-CN"/>
        </w:rPr>
        <w:t>。</w:t>
      </w:r>
    </w:p>
    <w:p>
      <w:pPr>
        <w:widowControl w:val="0"/>
        <w:adjustRightInd w:val="0"/>
        <w:spacing w:line="590" w:lineRule="exact"/>
        <w:ind w:firstLine="664" w:firstLineChars="200"/>
        <w:jc w:val="both"/>
        <w:outlineLvl w:val="9"/>
        <w:rPr>
          <w:rFonts w:hint="eastAsia" w:ascii="黑体" w:hAnsi="黑体" w:eastAsia="黑体" w:cs="黑体"/>
          <w:spacing w:val="6"/>
          <w:sz w:val="32"/>
          <w:szCs w:val="32"/>
          <w:lang w:val="en-US" w:eastAsia="zh-CN"/>
        </w:rPr>
      </w:pPr>
      <w:r>
        <w:rPr>
          <w:rFonts w:hint="default" w:ascii="仿宋_GB2312" w:hAnsi="仿宋_GB2312" w:eastAsia="仿宋_GB2312" w:cs="仿宋_GB2312"/>
          <w:bCs/>
          <w:spacing w:val="6"/>
          <w:sz w:val="32"/>
          <w:szCs w:val="32"/>
          <w:highlight w:val="none"/>
          <w:lang w:val="en-US" w:eastAsia="zh-CN"/>
        </w:rPr>
        <w:t>主要原因</w:t>
      </w:r>
      <w:r>
        <w:rPr>
          <w:rFonts w:hint="eastAsia" w:ascii="仿宋_GB2312" w:hAnsi="仿宋_GB2312" w:eastAsia="仿宋_GB2312" w:cs="仿宋_GB2312"/>
          <w:bCs/>
          <w:spacing w:val="6"/>
          <w:sz w:val="32"/>
          <w:szCs w:val="32"/>
          <w:highlight w:val="none"/>
          <w:lang w:val="en-US" w:eastAsia="zh-CN"/>
        </w:rPr>
        <w:t>系对《中共中央 国务院关于全面实施预算绩效管理的意见》（中发〔2018〕34号）和《省财政厅关于批复2018年度省级主管部门项目支出绩效目标的通知》（黔财绩〔2018〕1号）等文件学习不够深入，政策落实力度不够，对预算绩效管理政策制度及财政资金支出绩效指标体系研究不够深入、全面。</w:t>
      </w:r>
    </w:p>
    <w:p>
      <w:pPr>
        <w:widowControl w:val="0"/>
        <w:spacing w:beforeLines="0" w:line="590" w:lineRule="exact"/>
        <w:ind w:firstLine="664" w:firstLineChars="200"/>
        <w:jc w:val="both"/>
        <w:outlineLvl w:val="0"/>
        <w:rPr>
          <w:rFonts w:hint="eastAsia" w:ascii="黑体" w:hAnsi="黑体" w:eastAsia="黑体" w:cs="黑体"/>
          <w:spacing w:val="6"/>
          <w:sz w:val="32"/>
          <w:szCs w:val="32"/>
          <w:lang w:val="zh-CN"/>
        </w:rPr>
      </w:pPr>
      <w:bookmarkStart w:id="259" w:name="_Toc17453"/>
      <w:bookmarkStart w:id="260" w:name="_Toc16529"/>
      <w:bookmarkStart w:id="261" w:name="_Toc29093"/>
      <w:bookmarkStart w:id="262" w:name="_Toc32595"/>
      <w:bookmarkStart w:id="263" w:name="_Toc8364"/>
      <w:bookmarkStart w:id="264" w:name="_Toc11087"/>
      <w:r>
        <w:rPr>
          <w:rFonts w:hint="eastAsia" w:ascii="黑体" w:hAnsi="黑体" w:eastAsia="黑体" w:cs="黑体"/>
          <w:spacing w:val="6"/>
          <w:sz w:val="32"/>
          <w:szCs w:val="32"/>
          <w:lang w:val="en-US" w:eastAsia="zh-CN"/>
        </w:rPr>
        <w:t>四、</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r>
        <w:rPr>
          <w:rFonts w:hint="eastAsia" w:ascii="黑体" w:hAnsi="黑体" w:eastAsia="黑体" w:cs="黑体"/>
          <w:spacing w:val="6"/>
          <w:sz w:val="32"/>
          <w:szCs w:val="32"/>
          <w:lang w:val="en-US" w:eastAsia="zh-CN"/>
        </w:rPr>
        <w:t>针对问题提出的建议</w:t>
      </w:r>
      <w:bookmarkEnd w:id="264"/>
    </w:p>
    <w:p>
      <w:pPr>
        <w:widowControl w:val="0"/>
        <w:spacing w:beforeLines="0" w:line="590" w:lineRule="exact"/>
        <w:ind w:firstLine="664" w:firstLineChars="200"/>
        <w:jc w:val="both"/>
        <w:outlineLvl w:val="1"/>
        <w:rPr>
          <w:rFonts w:hint="eastAsia" w:ascii="仿宋_GB2312" w:hAnsi="仿宋_GB2312" w:eastAsia="仿宋_GB2312" w:cs="仿宋_GB2312"/>
          <w:spacing w:val="6"/>
          <w:sz w:val="32"/>
          <w:szCs w:val="32"/>
        </w:rPr>
      </w:pPr>
      <w:bookmarkStart w:id="265" w:name="_Toc13971"/>
      <w:bookmarkStart w:id="266" w:name="_Toc16221"/>
      <w:bookmarkStart w:id="267" w:name="_Toc3708"/>
      <w:bookmarkStart w:id="268" w:name="_Toc18215"/>
      <w:bookmarkStart w:id="269" w:name="_Toc30854"/>
      <w:bookmarkStart w:id="270" w:name="_Toc9581"/>
      <w:r>
        <w:rPr>
          <w:rFonts w:hint="eastAsia" w:ascii="楷体_GB2312" w:hAnsi="楷体_GB2312" w:eastAsia="楷体_GB2312" w:cs="楷体_GB2312"/>
          <w:spacing w:val="6"/>
          <w:sz w:val="32"/>
          <w:szCs w:val="32"/>
          <w:lang w:eastAsia="zh-CN"/>
        </w:rPr>
        <w:t>（</w:t>
      </w:r>
      <w:r>
        <w:rPr>
          <w:rFonts w:hint="eastAsia" w:ascii="楷体_GB2312" w:hAnsi="楷体_GB2312" w:eastAsia="楷体_GB2312" w:cs="楷体_GB2312"/>
          <w:spacing w:val="6"/>
          <w:sz w:val="32"/>
          <w:szCs w:val="32"/>
          <w:lang w:val="en-US" w:eastAsia="zh-CN"/>
        </w:rPr>
        <w:t>一</w:t>
      </w:r>
      <w:r>
        <w:rPr>
          <w:rFonts w:hint="eastAsia" w:ascii="楷体_GB2312" w:hAnsi="楷体_GB2312" w:eastAsia="楷体_GB2312" w:cs="楷体_GB2312"/>
          <w:spacing w:val="6"/>
          <w:sz w:val="32"/>
          <w:szCs w:val="32"/>
          <w:lang w:eastAsia="zh-CN"/>
        </w:rPr>
        <w:t>）</w:t>
      </w:r>
      <w:r>
        <w:rPr>
          <w:rFonts w:hint="eastAsia" w:ascii="楷体_GB2312" w:hAnsi="楷体_GB2312" w:eastAsia="楷体_GB2312" w:cs="楷体_GB2312"/>
          <w:spacing w:val="6"/>
          <w:sz w:val="32"/>
          <w:szCs w:val="32"/>
          <w:lang w:val="en-US" w:eastAsia="zh-CN"/>
        </w:rPr>
        <w:t>政策</w:t>
      </w:r>
      <w:r>
        <w:rPr>
          <w:rFonts w:hint="eastAsia" w:ascii="楷体_GB2312" w:hAnsi="楷体_GB2312" w:eastAsia="楷体_GB2312" w:cs="楷体_GB2312"/>
          <w:bCs/>
          <w:spacing w:val="6"/>
          <w:sz w:val="32"/>
          <w:szCs w:val="32"/>
        </w:rPr>
        <w:t>制度方面</w:t>
      </w:r>
      <w:bookmarkEnd w:id="265"/>
      <w:bookmarkEnd w:id="266"/>
      <w:bookmarkEnd w:id="267"/>
      <w:bookmarkEnd w:id="268"/>
      <w:bookmarkEnd w:id="269"/>
      <w:bookmarkEnd w:id="270"/>
    </w:p>
    <w:p>
      <w:pPr>
        <w:widowControl w:val="0"/>
        <w:adjustRightInd w:val="0"/>
        <w:spacing w:line="590" w:lineRule="exact"/>
        <w:ind w:firstLine="664" w:firstLineChars="200"/>
        <w:jc w:val="both"/>
        <w:outlineLvl w:val="9"/>
        <w:rPr>
          <w:rFonts w:hint="eastAsia" w:ascii="仿宋_GB2312" w:hAnsi="仿宋_GB2312" w:eastAsia="仿宋_GB2312" w:cs="仿宋_GB2312"/>
          <w:bCs/>
          <w:spacing w:val="6"/>
          <w:sz w:val="32"/>
          <w:szCs w:val="32"/>
          <w:highlight w:val="none"/>
          <w:lang w:val="en-US" w:eastAsia="zh-CN"/>
        </w:rPr>
      </w:pPr>
      <w:r>
        <w:rPr>
          <w:rFonts w:hint="eastAsia" w:ascii="仿宋_GB2312" w:hAnsi="仿宋_GB2312" w:eastAsia="仿宋_GB2312" w:cs="仿宋_GB2312"/>
          <w:bCs/>
          <w:spacing w:val="6"/>
          <w:sz w:val="32"/>
          <w:szCs w:val="32"/>
          <w:highlight w:val="none"/>
          <w:lang w:val="en-US" w:eastAsia="zh-CN"/>
        </w:rPr>
        <w:t>建议在制度执行不到位方面进一步加强人员培训和指导，督促相关工作人员认真学习已制定的财务及业务管理制度，提高制度普及率和知晓率。</w:t>
      </w:r>
    </w:p>
    <w:p>
      <w:pPr>
        <w:widowControl w:val="0"/>
        <w:adjustRightInd/>
        <w:spacing w:beforeLines="0" w:line="590" w:lineRule="exact"/>
        <w:ind w:firstLine="640" w:firstLineChars="200"/>
        <w:jc w:val="both"/>
        <w:outlineLvl w:val="1"/>
        <w:rPr>
          <w:rFonts w:hint="eastAsia" w:ascii="仿宋_GB2312" w:hAnsi="仿宋_GB2312" w:eastAsia="仿宋_GB2312" w:cs="仿宋_GB2312"/>
          <w:spacing w:val="6"/>
          <w:sz w:val="32"/>
          <w:szCs w:val="32"/>
          <w:highlight w:val="none"/>
          <w:lang w:val="zh-CN" w:eastAsia="zh-CN"/>
        </w:rPr>
      </w:pPr>
      <w:bookmarkStart w:id="271" w:name="_Toc30520"/>
      <w:bookmarkStart w:id="272" w:name="_Toc22992"/>
      <w:bookmarkStart w:id="273" w:name="_Toc12003"/>
      <w:bookmarkStart w:id="274" w:name="_Toc20522"/>
      <w:bookmarkStart w:id="275" w:name="_Toc23092"/>
      <w:bookmarkStart w:id="276" w:name="_Toc8038"/>
      <w:r>
        <w:rPr>
          <w:rFonts w:hint="eastAsia" w:ascii="楷体_GB2312" w:hAnsi="楷体_GB2312" w:eastAsia="楷体_GB2312" w:cs="楷体_GB2312"/>
          <w:sz w:val="32"/>
          <w:szCs w:val="32"/>
          <w:lang w:val="zh-CN"/>
        </w:rPr>
        <w:t>（</w:t>
      </w: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lang w:val="zh-CN"/>
        </w:rPr>
        <w:t>）</w:t>
      </w:r>
      <w:r>
        <w:rPr>
          <w:rFonts w:hint="eastAsia" w:ascii="楷体_GB2312" w:hAnsi="楷体_GB2312" w:eastAsia="楷体_GB2312" w:cs="楷体_GB2312"/>
          <w:sz w:val="32"/>
          <w:szCs w:val="32"/>
          <w:lang w:val="en-US" w:eastAsia="zh-CN"/>
        </w:rPr>
        <w:t>资金管理方面</w:t>
      </w:r>
      <w:bookmarkEnd w:id="271"/>
      <w:bookmarkEnd w:id="272"/>
      <w:bookmarkEnd w:id="273"/>
      <w:bookmarkEnd w:id="274"/>
    </w:p>
    <w:p>
      <w:pPr>
        <w:widowControl w:val="0"/>
        <w:adjustRightInd w:val="0"/>
        <w:spacing w:line="590" w:lineRule="exact"/>
        <w:ind w:firstLine="664" w:firstLineChars="200"/>
        <w:jc w:val="both"/>
        <w:outlineLvl w:val="9"/>
        <w:rPr>
          <w:rFonts w:hint="default" w:ascii="仿宋_GB2312" w:hAnsi="仿宋_GB2312" w:eastAsia="仿宋_GB2312" w:cs="仿宋_GB2312"/>
          <w:bCs/>
          <w:spacing w:val="6"/>
          <w:sz w:val="32"/>
          <w:szCs w:val="32"/>
          <w:highlight w:val="none"/>
          <w:lang w:val="en-US" w:eastAsia="zh-CN"/>
        </w:rPr>
      </w:pPr>
      <w:r>
        <w:rPr>
          <w:rFonts w:hint="eastAsia" w:ascii="仿宋_GB2312" w:hAnsi="仿宋_GB2312" w:eastAsia="仿宋_GB2312" w:cs="仿宋_GB2312"/>
          <w:bCs/>
          <w:spacing w:val="6"/>
          <w:sz w:val="32"/>
          <w:szCs w:val="32"/>
          <w:highlight w:val="none"/>
          <w:lang w:val="en-US" w:eastAsia="zh-CN"/>
        </w:rPr>
        <w:t>1</w:t>
      </w:r>
      <w:r>
        <w:rPr>
          <w:rFonts w:hint="default" w:ascii="仿宋_GB2312" w:hAnsi="仿宋_GB2312" w:eastAsia="仿宋_GB2312" w:cs="仿宋_GB2312"/>
          <w:bCs/>
          <w:spacing w:val="6"/>
          <w:sz w:val="32"/>
          <w:szCs w:val="32"/>
          <w:highlight w:val="none"/>
          <w:lang w:val="en-US" w:eastAsia="zh-CN"/>
        </w:rPr>
        <w:t>．</w:t>
      </w:r>
      <w:r>
        <w:rPr>
          <w:rFonts w:hint="eastAsia" w:ascii="仿宋_GB2312" w:hAnsi="仿宋_GB2312" w:eastAsia="仿宋_GB2312" w:cs="仿宋_GB2312"/>
          <w:bCs/>
          <w:spacing w:val="6"/>
          <w:sz w:val="32"/>
          <w:szCs w:val="32"/>
          <w:highlight w:val="none"/>
          <w:lang w:val="en-US" w:eastAsia="zh-CN"/>
        </w:rPr>
        <w:t>严格按照项目预算批复的用途使用资金</w:t>
      </w:r>
    </w:p>
    <w:p>
      <w:pPr>
        <w:widowControl w:val="0"/>
        <w:adjustRightInd w:val="0"/>
        <w:spacing w:line="590" w:lineRule="exact"/>
        <w:ind w:firstLine="664" w:firstLineChars="200"/>
        <w:jc w:val="both"/>
        <w:outlineLvl w:val="9"/>
        <w:rPr>
          <w:rFonts w:hint="eastAsia" w:ascii="仿宋_GB2312" w:hAnsi="仿宋_GB2312" w:eastAsia="仿宋_GB2312" w:cs="仿宋_GB2312"/>
          <w:bCs/>
          <w:spacing w:val="6"/>
          <w:sz w:val="32"/>
          <w:szCs w:val="32"/>
          <w:highlight w:val="none"/>
          <w:lang w:val="en-US" w:eastAsia="zh-CN"/>
        </w:rPr>
      </w:pPr>
      <w:r>
        <w:rPr>
          <w:rFonts w:hint="eastAsia" w:ascii="仿宋_GB2312" w:hAnsi="仿宋_GB2312" w:eastAsia="仿宋_GB2312" w:cs="仿宋_GB2312"/>
          <w:bCs/>
          <w:spacing w:val="6"/>
          <w:sz w:val="32"/>
          <w:szCs w:val="32"/>
          <w:highlight w:val="none"/>
          <w:lang w:val="en-US" w:eastAsia="zh-CN"/>
        </w:rPr>
        <w:t>一是建议严格按照项目预算批复的用途使用资金；二是建议财务人员严格执行财务管理制度，严格按照经济科目的支出范围、核算内容和要求对支出事项进行核算，确保财务信息真实完整。</w:t>
      </w:r>
    </w:p>
    <w:p>
      <w:pPr>
        <w:widowControl w:val="0"/>
        <w:adjustRightInd w:val="0"/>
        <w:spacing w:line="590" w:lineRule="exact"/>
        <w:ind w:firstLine="664" w:firstLineChars="200"/>
        <w:jc w:val="both"/>
        <w:outlineLvl w:val="9"/>
        <w:rPr>
          <w:rFonts w:hint="default" w:ascii="仿宋_GB2312" w:hAnsi="仿宋_GB2312" w:eastAsia="仿宋_GB2312" w:cs="仿宋_GB2312"/>
          <w:bCs/>
          <w:spacing w:val="6"/>
          <w:sz w:val="32"/>
          <w:szCs w:val="32"/>
          <w:highlight w:val="none"/>
          <w:lang w:val="en-US" w:eastAsia="zh-CN"/>
        </w:rPr>
      </w:pPr>
      <w:r>
        <w:rPr>
          <w:rFonts w:hint="default" w:ascii="仿宋_GB2312" w:hAnsi="仿宋_GB2312" w:eastAsia="仿宋_GB2312" w:cs="仿宋_GB2312"/>
          <w:bCs/>
          <w:spacing w:val="6"/>
          <w:sz w:val="32"/>
          <w:szCs w:val="32"/>
          <w:highlight w:val="none"/>
          <w:lang w:val="en-US" w:eastAsia="zh-CN"/>
        </w:rPr>
        <w:t>2．提高项目预算编制科学性</w:t>
      </w:r>
    </w:p>
    <w:p>
      <w:pPr>
        <w:widowControl w:val="0"/>
        <w:adjustRightInd w:val="0"/>
        <w:spacing w:line="590" w:lineRule="exact"/>
        <w:ind w:firstLine="664" w:firstLineChars="200"/>
        <w:jc w:val="both"/>
        <w:outlineLvl w:val="9"/>
        <w:rPr>
          <w:rFonts w:hint="eastAsia" w:ascii="仿宋_GB2312" w:hAnsi="仿宋_GB2312" w:eastAsia="仿宋_GB2312" w:cs="仿宋_GB2312"/>
          <w:bCs/>
          <w:spacing w:val="6"/>
          <w:sz w:val="32"/>
          <w:szCs w:val="32"/>
          <w:highlight w:val="none"/>
          <w:lang w:val="en-US" w:eastAsia="zh-CN"/>
        </w:rPr>
      </w:pPr>
      <w:r>
        <w:rPr>
          <w:rFonts w:hint="default" w:ascii="仿宋_GB2312" w:hAnsi="仿宋_GB2312" w:eastAsia="仿宋_GB2312" w:cs="仿宋_GB2312"/>
          <w:bCs/>
          <w:spacing w:val="6"/>
          <w:sz w:val="32"/>
          <w:szCs w:val="32"/>
          <w:highlight w:val="none"/>
          <w:lang w:val="en-US" w:eastAsia="zh-CN"/>
        </w:rPr>
        <w:t>建议区</w:t>
      </w:r>
      <w:r>
        <w:rPr>
          <w:rFonts w:hint="eastAsia" w:ascii="仿宋_GB2312" w:hAnsi="仿宋_GB2312" w:eastAsia="仿宋_GB2312" w:cs="仿宋_GB2312"/>
          <w:bCs/>
          <w:spacing w:val="6"/>
          <w:sz w:val="32"/>
          <w:szCs w:val="32"/>
          <w:highlight w:val="none"/>
          <w:lang w:val="en-US" w:eastAsia="zh-CN"/>
        </w:rPr>
        <w:t>司法</w:t>
      </w:r>
      <w:r>
        <w:rPr>
          <w:rFonts w:hint="default" w:ascii="仿宋_GB2312" w:hAnsi="仿宋_GB2312" w:eastAsia="仿宋_GB2312" w:cs="仿宋_GB2312"/>
          <w:bCs/>
          <w:spacing w:val="6"/>
          <w:sz w:val="32"/>
          <w:szCs w:val="32"/>
          <w:highlight w:val="none"/>
          <w:lang w:val="en-US" w:eastAsia="zh-CN"/>
        </w:rPr>
        <w:t>局在以后年度申报预算时，明确项目实际实施内容，并按照项目实际实施内容编制预算，明确项目预算明细，同时，加强预算编制培训工作，提高预算编制的科学性。</w:t>
      </w:r>
    </w:p>
    <w:p>
      <w:pPr>
        <w:widowControl w:val="0"/>
        <w:spacing w:line="590" w:lineRule="exact"/>
        <w:ind w:firstLine="664" w:firstLineChars="200"/>
        <w:jc w:val="both"/>
        <w:outlineLvl w:val="1"/>
        <w:rPr>
          <w:rFonts w:hint="eastAsia" w:ascii="仿宋_GB2312" w:hAnsi="仿宋_GB2312" w:eastAsia="仿宋_GB2312" w:cs="仿宋_GB2312"/>
          <w:spacing w:val="6"/>
          <w:sz w:val="32"/>
          <w:szCs w:val="32"/>
          <w:lang w:eastAsia="zh-CN"/>
        </w:rPr>
      </w:pPr>
      <w:bookmarkStart w:id="277" w:name="_Toc14879"/>
      <w:bookmarkStart w:id="278" w:name="_Toc602"/>
      <w:bookmarkStart w:id="279" w:name="_Toc29654"/>
      <w:bookmarkStart w:id="280" w:name="_Toc9467"/>
      <w:r>
        <w:rPr>
          <w:rFonts w:hint="eastAsia" w:ascii="楷体_GB2312" w:hAnsi="楷体_GB2312" w:eastAsia="楷体_GB2312" w:cs="楷体_GB2312"/>
          <w:spacing w:val="6"/>
          <w:sz w:val="32"/>
          <w:szCs w:val="32"/>
          <w:lang w:val="en-US" w:eastAsia="zh-CN"/>
        </w:rPr>
        <w:t>（三）</w:t>
      </w:r>
      <w:r>
        <w:rPr>
          <w:rFonts w:hint="eastAsia" w:ascii="楷体_GB2312" w:hAnsi="楷体_GB2312" w:eastAsia="楷体_GB2312" w:cs="楷体_GB2312"/>
          <w:spacing w:val="6"/>
          <w:sz w:val="32"/>
          <w:szCs w:val="32"/>
        </w:rPr>
        <w:t>绩效管理方面</w:t>
      </w:r>
      <w:bookmarkEnd w:id="275"/>
      <w:bookmarkEnd w:id="276"/>
      <w:bookmarkEnd w:id="277"/>
      <w:bookmarkEnd w:id="278"/>
      <w:bookmarkEnd w:id="279"/>
      <w:bookmarkEnd w:id="280"/>
    </w:p>
    <w:p>
      <w:pPr>
        <w:widowControl w:val="0"/>
        <w:adjustRightInd w:val="0"/>
        <w:spacing w:line="590" w:lineRule="exact"/>
        <w:ind w:firstLine="664" w:firstLineChars="200"/>
        <w:jc w:val="both"/>
        <w:outlineLvl w:val="9"/>
        <w:rPr>
          <w:rFonts w:hint="eastAsia" w:ascii="仿宋_GB2312" w:hAnsi="仿宋_GB2312" w:eastAsia="仿宋_GB2312" w:cs="仿宋_GB2312"/>
          <w:bCs/>
          <w:spacing w:val="6"/>
          <w:sz w:val="32"/>
          <w:szCs w:val="32"/>
          <w:highlight w:val="none"/>
          <w:lang w:val="en-US" w:eastAsia="zh-CN"/>
        </w:rPr>
      </w:pPr>
      <w:bookmarkStart w:id="281" w:name="_Toc3549"/>
      <w:bookmarkStart w:id="282" w:name="_Toc21954"/>
      <w:bookmarkStart w:id="283" w:name="_Toc16746"/>
      <w:bookmarkStart w:id="284" w:name="_Toc6701"/>
      <w:bookmarkStart w:id="285" w:name="_Toc2462"/>
      <w:bookmarkStart w:id="286" w:name="_Toc15360"/>
      <w:bookmarkStart w:id="287" w:name="_Toc11118"/>
      <w:bookmarkStart w:id="288" w:name="_Toc21085"/>
      <w:bookmarkStart w:id="289" w:name="_Toc8689"/>
      <w:bookmarkStart w:id="290" w:name="_Toc15590"/>
      <w:bookmarkStart w:id="291" w:name="_Toc26017"/>
      <w:bookmarkStart w:id="292" w:name="_Toc29135"/>
      <w:bookmarkStart w:id="293" w:name="_Toc41306292"/>
      <w:r>
        <w:rPr>
          <w:rFonts w:hint="default" w:ascii="仿宋_GB2312" w:hAnsi="仿宋_GB2312" w:eastAsia="仿宋_GB2312" w:cs="仿宋_GB2312"/>
          <w:bCs/>
          <w:spacing w:val="6"/>
          <w:sz w:val="32"/>
          <w:szCs w:val="32"/>
          <w:highlight w:val="none"/>
          <w:lang w:val="en-US" w:eastAsia="zh-CN"/>
        </w:rPr>
        <w:t>建议区</w:t>
      </w:r>
      <w:r>
        <w:rPr>
          <w:rFonts w:hint="eastAsia" w:ascii="仿宋_GB2312" w:hAnsi="仿宋_GB2312" w:eastAsia="仿宋_GB2312" w:cs="仿宋_GB2312"/>
          <w:bCs/>
          <w:spacing w:val="6"/>
          <w:sz w:val="32"/>
          <w:szCs w:val="32"/>
          <w:highlight w:val="none"/>
          <w:lang w:val="en-US" w:eastAsia="zh-CN"/>
        </w:rPr>
        <w:t>司法</w:t>
      </w:r>
      <w:r>
        <w:rPr>
          <w:rFonts w:hint="default" w:ascii="仿宋_GB2312" w:hAnsi="仿宋_GB2312" w:eastAsia="仿宋_GB2312" w:cs="仿宋_GB2312"/>
          <w:bCs/>
          <w:spacing w:val="6"/>
          <w:sz w:val="32"/>
          <w:szCs w:val="32"/>
          <w:highlight w:val="none"/>
          <w:lang w:val="en-US" w:eastAsia="zh-CN"/>
        </w:rPr>
        <w:t>局在以后年度编制绩效目标时，加强部门内部相关工作人员绩效管理培训和学习，根据项目实际情况设置项目绩效目标，一是</w:t>
      </w:r>
      <w:r>
        <w:rPr>
          <w:rFonts w:hint="eastAsia" w:ascii="仿宋_GB2312" w:hAnsi="仿宋_GB2312" w:eastAsia="仿宋_GB2312" w:cs="仿宋_GB2312"/>
          <w:bCs/>
          <w:spacing w:val="6"/>
          <w:sz w:val="32"/>
          <w:szCs w:val="32"/>
          <w:highlight w:val="none"/>
          <w:lang w:val="en-US" w:eastAsia="zh-CN"/>
        </w:rPr>
        <w:t>结合</w:t>
      </w:r>
      <w:r>
        <w:rPr>
          <w:rFonts w:hint="default" w:ascii="仿宋_GB2312" w:hAnsi="仿宋_GB2312" w:eastAsia="仿宋_GB2312" w:cs="仿宋_GB2312"/>
          <w:bCs/>
          <w:spacing w:val="6"/>
          <w:sz w:val="32"/>
          <w:szCs w:val="32"/>
          <w:highlight w:val="none"/>
          <w:lang w:val="en-US" w:eastAsia="zh-CN"/>
        </w:rPr>
        <w:t>项目</w:t>
      </w:r>
      <w:r>
        <w:rPr>
          <w:rFonts w:hint="eastAsia" w:ascii="仿宋_GB2312" w:hAnsi="仿宋_GB2312" w:eastAsia="仿宋_GB2312" w:cs="仿宋_GB2312"/>
          <w:bCs/>
          <w:spacing w:val="6"/>
          <w:sz w:val="32"/>
          <w:szCs w:val="32"/>
          <w:highlight w:val="none"/>
          <w:lang w:val="en-US" w:eastAsia="zh-CN"/>
        </w:rPr>
        <w:t>以往实施情况，设置与业绩相符的绩效指标</w:t>
      </w:r>
      <w:r>
        <w:rPr>
          <w:rFonts w:hint="default" w:ascii="仿宋_GB2312" w:hAnsi="仿宋_GB2312" w:eastAsia="仿宋_GB2312" w:cs="仿宋_GB2312"/>
          <w:bCs/>
          <w:spacing w:val="6"/>
          <w:sz w:val="32"/>
          <w:szCs w:val="32"/>
          <w:highlight w:val="none"/>
          <w:lang w:val="en-US" w:eastAsia="zh-CN"/>
        </w:rPr>
        <w:t>；二是</w:t>
      </w:r>
      <w:r>
        <w:rPr>
          <w:rFonts w:hint="eastAsia" w:ascii="仿宋_GB2312" w:hAnsi="仿宋_GB2312" w:eastAsia="仿宋_GB2312" w:cs="仿宋_GB2312"/>
          <w:bCs/>
          <w:spacing w:val="6"/>
          <w:sz w:val="32"/>
          <w:szCs w:val="32"/>
          <w:highlight w:val="none"/>
          <w:lang w:val="en-US" w:eastAsia="zh-CN"/>
        </w:rPr>
        <w:t>在编制绩效目标时，应细化产出数量，量化项目效益，将绩效目标以清晰、可衡量的形式予以体现。</w:t>
      </w:r>
    </w:p>
    <w:p>
      <w:pPr>
        <w:widowControl w:val="0"/>
        <w:spacing w:line="590" w:lineRule="exact"/>
        <w:ind w:firstLine="664" w:firstLineChars="200"/>
        <w:jc w:val="both"/>
        <w:outlineLvl w:val="0"/>
        <w:rPr>
          <w:rFonts w:ascii="黑体" w:hAnsi="黑体" w:eastAsia="黑体"/>
          <w:spacing w:val="6"/>
          <w:sz w:val="32"/>
          <w:szCs w:val="32"/>
        </w:rPr>
      </w:pPr>
      <w:bookmarkStart w:id="294" w:name="_Toc12221"/>
      <w:bookmarkStart w:id="295" w:name="_Toc3004"/>
      <w:bookmarkStart w:id="296" w:name="_Toc22334"/>
      <w:bookmarkStart w:id="297" w:name="_Toc1410"/>
      <w:bookmarkStart w:id="298" w:name="_Toc28812"/>
      <w:bookmarkStart w:id="299" w:name="_Toc23986"/>
      <w:r>
        <w:rPr>
          <w:rFonts w:hint="eastAsia" w:ascii="黑体" w:hAnsi="黑体" w:eastAsia="黑体"/>
          <w:spacing w:val="6"/>
          <w:sz w:val="32"/>
          <w:szCs w:val="32"/>
          <w:lang w:val="en-US" w:eastAsia="zh-CN"/>
        </w:rPr>
        <w:t>五</w:t>
      </w:r>
      <w:r>
        <w:rPr>
          <w:rFonts w:hint="eastAsia" w:ascii="黑体" w:hAnsi="黑体" w:eastAsia="黑体"/>
          <w:spacing w:val="6"/>
          <w:sz w:val="32"/>
          <w:szCs w:val="32"/>
        </w:rPr>
        <w:t>、绩效评价结果应用建议</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pPr>
        <w:widowControl w:val="0"/>
        <w:spacing w:line="590" w:lineRule="exact"/>
        <w:ind w:firstLine="577" w:firstLineChars="275"/>
        <w:jc w:val="both"/>
        <w:outlineLvl w:val="1"/>
        <w:rPr>
          <w:rFonts w:ascii="Times New Roman" w:hAnsi="Times New Roman" w:eastAsia="楷体_GB2312" w:cs="Times New Roman"/>
          <w:spacing w:val="6"/>
          <w:sz w:val="32"/>
          <w:szCs w:val="32"/>
          <w:lang w:val="zh-CN"/>
        </w:rPr>
      </w:pPr>
      <w:bookmarkStart w:id="300" w:name="_Toc7795"/>
      <w:bookmarkStart w:id="301" w:name="_Toc9129"/>
      <w:bookmarkStart w:id="302" w:name="_Toc22512"/>
      <w:bookmarkStart w:id="303" w:name="_Toc16664"/>
      <w:bookmarkStart w:id="304" w:name="_Toc32273"/>
      <w:bookmarkStart w:id="305" w:name="_Toc830"/>
      <w:bookmarkStart w:id="306" w:name="_Toc18208"/>
      <w:bookmarkStart w:id="307" w:name="_Toc26381"/>
      <w:bookmarkStart w:id="308" w:name="_Toc27040"/>
      <w:bookmarkStart w:id="309" w:name="_Toc25393"/>
      <w:bookmarkStart w:id="310" w:name="_Toc16542"/>
      <w:bookmarkStart w:id="311" w:name="_Toc26169"/>
      <w:bookmarkStart w:id="312" w:name="_Toc31593"/>
      <w:bookmarkStart w:id="313" w:name="_Toc10694"/>
      <w:bookmarkStart w:id="314" w:name="_Toc7921"/>
      <w:bookmarkStart w:id="315" w:name="_Toc17488"/>
      <w:bookmarkStart w:id="316" w:name="_Toc17769"/>
      <w:r>
        <w:fldChar w:fldCharType="begin"/>
      </w:r>
      <w:r>
        <w:instrText xml:space="preserve"> HYPERLINK \l "_Toc434746187" </w:instrText>
      </w:r>
      <w:r>
        <w:fldChar w:fldCharType="separate"/>
      </w:r>
      <w:bookmarkStart w:id="317" w:name="_Toc41306293"/>
      <w:bookmarkStart w:id="318" w:name="_Toc531300193"/>
      <w:r>
        <w:rPr>
          <w:rFonts w:hint="eastAsia" w:ascii="Times New Roman" w:hAnsi="Times New Roman" w:eastAsia="楷体_GB2312" w:cs="Times New Roman"/>
          <w:spacing w:val="6"/>
          <w:sz w:val="32"/>
          <w:szCs w:val="32"/>
          <w:lang w:val="zh-CN"/>
        </w:rPr>
        <w:t>（一）对发现的问题及时整改</w:t>
      </w:r>
      <w:bookmarkEnd w:id="317"/>
      <w:bookmarkEnd w:id="318"/>
      <w:r>
        <w:rPr>
          <w:rFonts w:hint="eastAsia" w:ascii="Times New Roman" w:hAnsi="Times New Roman" w:eastAsia="楷体_GB2312" w:cs="Times New Roman"/>
          <w:spacing w:val="6"/>
          <w:sz w:val="32"/>
          <w:szCs w:val="32"/>
          <w:lang w:val="zh-CN"/>
        </w:rPr>
        <w:fldChar w:fldCharType="end"/>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pPr>
        <w:widowControl w:val="0"/>
        <w:spacing w:line="590" w:lineRule="exact"/>
        <w:ind w:firstLine="664" w:firstLineChars="200"/>
        <w:jc w:val="both"/>
        <w:rPr>
          <w:rFonts w:hint="eastAsia" w:ascii="Times New Roman" w:hAnsi="Times New Roman" w:eastAsia="仿宋_GB2312" w:cs="Times New Roman"/>
          <w:spacing w:val="6"/>
          <w:sz w:val="32"/>
          <w:szCs w:val="32"/>
        </w:rPr>
      </w:pPr>
      <w:r>
        <w:rPr>
          <w:rFonts w:hint="eastAsia" w:ascii="Times New Roman" w:hAnsi="Times New Roman" w:eastAsia="仿宋_GB2312" w:cs="Times New Roman"/>
          <w:spacing w:val="6"/>
          <w:sz w:val="32"/>
          <w:szCs w:val="32"/>
        </w:rPr>
        <w:t>针对本次</w:t>
      </w:r>
      <w:r>
        <w:rPr>
          <w:rFonts w:hint="eastAsia" w:ascii="Times New Roman" w:hAnsi="Times New Roman" w:eastAsia="仿宋_GB2312" w:cs="Times New Roman"/>
          <w:spacing w:val="6"/>
          <w:sz w:val="32"/>
          <w:szCs w:val="32"/>
          <w:lang w:eastAsia="zh-CN"/>
        </w:rPr>
        <w:t>绩效评价</w:t>
      </w:r>
      <w:r>
        <w:rPr>
          <w:rFonts w:hint="eastAsia" w:ascii="Times New Roman" w:hAnsi="Times New Roman" w:eastAsia="仿宋_GB2312" w:cs="Times New Roman"/>
          <w:spacing w:val="6"/>
          <w:sz w:val="32"/>
          <w:szCs w:val="32"/>
        </w:rPr>
        <w:t>中发现的问题，建议</w:t>
      </w:r>
      <w:r>
        <w:rPr>
          <w:rFonts w:hint="default" w:ascii="Times New Roman" w:hAnsi="Times New Roman" w:eastAsia="仿宋_GB2312" w:cs="Times New Roman"/>
          <w:b w:val="0"/>
          <w:bCs w:val="0"/>
          <w:spacing w:val="6"/>
          <w:sz w:val="32"/>
          <w:szCs w:val="32"/>
        </w:rPr>
        <w:t>区</w:t>
      </w:r>
      <w:r>
        <w:rPr>
          <w:rFonts w:hint="eastAsia" w:ascii="Times New Roman" w:hAnsi="Times New Roman" w:eastAsia="仿宋_GB2312" w:cs="Times New Roman"/>
          <w:b w:val="0"/>
          <w:bCs w:val="0"/>
          <w:spacing w:val="6"/>
          <w:sz w:val="32"/>
          <w:szCs w:val="32"/>
          <w:lang w:eastAsia="zh-CN"/>
        </w:rPr>
        <w:t>司法</w:t>
      </w:r>
      <w:r>
        <w:rPr>
          <w:rFonts w:hint="default" w:ascii="Times New Roman" w:hAnsi="Times New Roman" w:eastAsia="仿宋_GB2312" w:cs="Times New Roman"/>
          <w:b w:val="0"/>
          <w:bCs w:val="0"/>
          <w:spacing w:val="6"/>
          <w:sz w:val="32"/>
          <w:szCs w:val="32"/>
        </w:rPr>
        <w:t>局</w:t>
      </w:r>
      <w:r>
        <w:rPr>
          <w:rFonts w:hint="eastAsia" w:ascii="Times New Roman" w:hAnsi="Times New Roman" w:eastAsia="仿宋_GB2312" w:cs="Times New Roman"/>
          <w:spacing w:val="6"/>
          <w:sz w:val="32"/>
          <w:szCs w:val="32"/>
        </w:rPr>
        <w:t>对存在的问题及时进行整改，并将整改情况书面上报相关部门。</w:t>
      </w:r>
    </w:p>
    <w:p>
      <w:pPr>
        <w:widowControl w:val="0"/>
        <w:spacing w:line="590" w:lineRule="exact"/>
        <w:ind w:firstLine="577" w:firstLineChars="275"/>
        <w:jc w:val="both"/>
        <w:outlineLvl w:val="1"/>
        <w:rPr>
          <w:rFonts w:ascii="Times New Roman" w:hAnsi="Times New Roman" w:eastAsia="楷体_GB2312" w:cs="Times New Roman"/>
          <w:spacing w:val="6"/>
          <w:sz w:val="32"/>
          <w:szCs w:val="32"/>
          <w:lang w:val="zh-CN"/>
        </w:rPr>
      </w:pPr>
      <w:bookmarkStart w:id="319" w:name="_Toc8003"/>
      <w:bookmarkStart w:id="320" w:name="_Toc25099"/>
      <w:bookmarkStart w:id="321" w:name="_Toc8626"/>
      <w:bookmarkStart w:id="322" w:name="_Toc22879"/>
      <w:bookmarkStart w:id="323" w:name="_Toc11904"/>
      <w:bookmarkStart w:id="324" w:name="_Toc20068"/>
      <w:bookmarkStart w:id="325" w:name="_Toc8312"/>
      <w:bookmarkStart w:id="326" w:name="_Toc22016"/>
      <w:bookmarkStart w:id="327" w:name="_Toc2975"/>
      <w:bookmarkStart w:id="328" w:name="_Toc25877"/>
      <w:bookmarkStart w:id="329" w:name="_Toc24672"/>
      <w:bookmarkStart w:id="330" w:name="_Toc5225"/>
      <w:bookmarkStart w:id="331" w:name="_Toc3617"/>
      <w:bookmarkStart w:id="332" w:name="_Toc2301"/>
      <w:bookmarkStart w:id="333" w:name="_Toc27155"/>
      <w:bookmarkStart w:id="334" w:name="_Toc22196"/>
      <w:bookmarkStart w:id="335" w:name="_Toc8134"/>
      <w:bookmarkStart w:id="336" w:name="_Toc25602"/>
      <w:r>
        <w:fldChar w:fldCharType="begin"/>
      </w:r>
      <w:r>
        <w:instrText xml:space="preserve"> HYPERLINK \l "_Toc434746187" </w:instrText>
      </w:r>
      <w:r>
        <w:fldChar w:fldCharType="separate"/>
      </w:r>
      <w:bookmarkStart w:id="337" w:name="_Toc41306294"/>
      <w:bookmarkStart w:id="338" w:name="_Toc531300194"/>
      <w:r>
        <w:rPr>
          <w:rFonts w:hint="eastAsia" w:ascii="Times New Roman" w:hAnsi="Times New Roman" w:eastAsia="楷体_GB2312" w:cs="Times New Roman"/>
          <w:spacing w:val="6"/>
          <w:sz w:val="32"/>
          <w:szCs w:val="32"/>
          <w:lang w:val="zh-CN"/>
        </w:rPr>
        <w:t>（二）以后年度预算安排建议</w:t>
      </w:r>
      <w:bookmarkEnd w:id="337"/>
      <w:bookmarkEnd w:id="338"/>
      <w:r>
        <w:rPr>
          <w:rFonts w:hint="eastAsia" w:ascii="Times New Roman" w:hAnsi="Times New Roman" w:eastAsia="楷体_GB2312" w:cs="Times New Roman"/>
          <w:spacing w:val="6"/>
          <w:sz w:val="32"/>
          <w:szCs w:val="32"/>
          <w:lang w:val="zh-CN"/>
        </w:rPr>
        <w:fldChar w:fldCharType="end"/>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pPr>
        <w:widowControl w:val="0"/>
        <w:spacing w:line="590" w:lineRule="exact"/>
        <w:ind w:firstLine="664" w:firstLineChars="200"/>
        <w:jc w:val="both"/>
        <w:rPr>
          <w:rFonts w:hint="eastAsia" w:ascii="仿宋_GB2312" w:hAnsi="仿宋_GB2312" w:eastAsia="仿宋_GB2312" w:cs="仿宋_GB2312"/>
          <w:spacing w:val="6"/>
          <w:sz w:val="32"/>
          <w:szCs w:val="32"/>
          <w:lang w:eastAsia="zh-CN"/>
        </w:rPr>
      </w:pPr>
      <w:r>
        <w:rPr>
          <w:rFonts w:hint="eastAsia" w:ascii="Times New Roman" w:hAnsi="Times New Roman" w:eastAsia="仿宋_GB2312" w:cs="Times New Roman"/>
          <w:spacing w:val="6"/>
          <w:sz w:val="32"/>
          <w:szCs w:val="32"/>
          <w:lang w:eastAsia="zh-CN"/>
        </w:rPr>
        <w:t>通过开展普法宣传教育工作，有效提高了普法宣传教育工作知晓率、参与率、满意率，</w:t>
      </w:r>
      <w:r>
        <w:rPr>
          <w:rFonts w:hint="eastAsia" w:ascii="仿宋_GB2312" w:hAnsi="仿宋_GB2312" w:eastAsia="仿宋_GB2312" w:cs="仿宋_GB2312"/>
          <w:color w:val="auto"/>
          <w:kern w:val="2"/>
          <w:sz w:val="32"/>
          <w:szCs w:val="32"/>
          <w:lang w:val="en-US" w:eastAsia="zh-CN" w:bidi="ar-SA"/>
        </w:rPr>
        <w:t>有效提升了全区领导干部及国家工作人员的法治素养，让法治深入人心，让群众知法、懂法、守法，从而构建法治社会。</w:t>
      </w:r>
    </w:p>
    <w:p>
      <w:pPr>
        <w:widowControl w:val="0"/>
        <w:spacing w:line="590" w:lineRule="exact"/>
        <w:ind w:firstLine="664" w:firstLineChars="200"/>
        <w:jc w:val="both"/>
        <w:rPr>
          <w:rFonts w:hint="eastAsia" w:ascii="仿宋_GB2312" w:hAnsi="仿宋_GB2312" w:eastAsia="仿宋_GB2312" w:cs="仿宋_GB2312"/>
          <w:spacing w:val="6"/>
          <w:sz w:val="32"/>
          <w:szCs w:val="32"/>
          <w:lang w:eastAsia="zh-CN"/>
        </w:rPr>
      </w:pPr>
      <w:r>
        <w:rPr>
          <w:rFonts w:hint="eastAsia" w:ascii="仿宋_GB2312" w:hAnsi="仿宋_GB2312" w:eastAsia="仿宋_GB2312" w:cs="仿宋_GB2312"/>
          <w:spacing w:val="6"/>
          <w:sz w:val="32"/>
          <w:szCs w:val="32"/>
          <w:lang w:val="en-US" w:eastAsia="zh-CN"/>
        </w:rPr>
        <w:t>1</w:t>
      </w:r>
      <w:r>
        <w:rPr>
          <w:rFonts w:hint="default" w:ascii="仿宋_GB2312" w:hAnsi="仿宋_GB2312" w:eastAsia="仿宋_GB2312" w:cs="仿宋_GB2312"/>
          <w:bCs/>
          <w:spacing w:val="6"/>
          <w:sz w:val="32"/>
          <w:szCs w:val="32"/>
          <w:highlight w:val="none"/>
          <w:lang w:val="en-US" w:eastAsia="zh-CN"/>
        </w:rPr>
        <w:t>．</w:t>
      </w:r>
      <w:r>
        <w:rPr>
          <w:rFonts w:hint="eastAsia" w:ascii="仿宋_GB2312" w:hAnsi="仿宋_GB2312" w:eastAsia="仿宋_GB2312" w:cs="仿宋_GB2312"/>
          <w:spacing w:val="6"/>
          <w:sz w:val="32"/>
          <w:szCs w:val="32"/>
          <w:lang w:eastAsia="zh-CN"/>
        </w:rPr>
        <w:t>建议继续支持普法宣传工作经费项目。</w:t>
      </w:r>
      <w:r>
        <w:rPr>
          <w:rFonts w:hint="eastAsia" w:ascii="仿宋_GB2312" w:hAnsi="仿宋_GB2312" w:eastAsia="仿宋_GB2312" w:cs="仿宋_GB2312"/>
          <w:spacing w:val="6"/>
          <w:sz w:val="32"/>
          <w:szCs w:val="32"/>
        </w:rPr>
        <w:t>全民普法是全面依法治国的长期基础性工作。</w:t>
      </w:r>
      <w:r>
        <w:rPr>
          <w:rFonts w:hint="eastAsia" w:ascii="仿宋_GB2312" w:hAnsi="仿宋_GB2312" w:eastAsia="仿宋_GB2312" w:cs="仿宋_GB2312"/>
          <w:spacing w:val="6"/>
          <w:sz w:val="32"/>
          <w:szCs w:val="32"/>
          <w:lang w:eastAsia="zh-CN"/>
        </w:rPr>
        <w:t>对提高辖区居民懂法、学法、守法的积极性，形成良好的法治氛围，普法宣传教育工作效果显著。</w:t>
      </w:r>
    </w:p>
    <w:p>
      <w:pPr>
        <w:widowControl w:val="0"/>
        <w:spacing w:line="590" w:lineRule="exact"/>
        <w:ind w:firstLine="664" w:firstLineChars="200"/>
        <w:jc w:val="both"/>
        <w:outlineLvl w:val="9"/>
        <w:rPr>
          <w:rFonts w:hint="eastAsia" w:ascii="Times New Roman" w:hAnsi="Times New Roman" w:eastAsia="仿宋_GB2312" w:cs="Times New Roman"/>
          <w:spacing w:val="6"/>
          <w:sz w:val="32"/>
          <w:szCs w:val="32"/>
        </w:rPr>
      </w:pPr>
      <w:bookmarkStart w:id="339" w:name="_Toc13461"/>
      <w:bookmarkStart w:id="340" w:name="_Toc32250"/>
      <w:bookmarkStart w:id="341" w:name="_Toc20085"/>
      <w:bookmarkStart w:id="342" w:name="_Toc12311"/>
      <w:bookmarkStart w:id="343" w:name="_Toc548"/>
      <w:bookmarkStart w:id="344" w:name="_Toc31702"/>
      <w:bookmarkStart w:id="345" w:name="_Toc32066"/>
      <w:bookmarkStart w:id="346" w:name="_Toc11627"/>
      <w:bookmarkStart w:id="347" w:name="_Toc20621"/>
      <w:bookmarkStart w:id="348" w:name="_Toc1721"/>
      <w:bookmarkStart w:id="349" w:name="_Toc7046"/>
      <w:bookmarkStart w:id="350" w:name="_Toc24868"/>
      <w:r>
        <w:rPr>
          <w:rFonts w:hint="eastAsia" w:ascii="仿宋_GB2312" w:hAnsi="仿宋_GB2312" w:eastAsia="仿宋_GB2312" w:cs="仿宋_GB2312"/>
          <w:spacing w:val="6"/>
          <w:sz w:val="32"/>
          <w:szCs w:val="32"/>
          <w:lang w:val="en-US" w:eastAsia="zh-CN"/>
        </w:rPr>
        <w:t>2</w:t>
      </w:r>
      <w:r>
        <w:rPr>
          <w:rFonts w:hint="eastAsia" w:ascii="仿宋_GB2312" w:hAnsi="仿宋_GB2312" w:eastAsia="仿宋_GB2312" w:cs="仿宋_GB2312"/>
          <w:bCs w:val="0"/>
          <w:spacing w:val="6"/>
          <w:sz w:val="32"/>
          <w:szCs w:val="32"/>
          <w:highlight w:val="none"/>
          <w:lang w:val="en-US" w:eastAsia="zh-CN"/>
        </w:rPr>
        <w:t>．</w:t>
      </w:r>
      <w:r>
        <w:rPr>
          <w:rFonts w:hint="eastAsia" w:ascii="仿宋_GB2312" w:hAnsi="仿宋_GB2312" w:eastAsia="仿宋_GB2312" w:cs="仿宋_GB2312"/>
          <w:spacing w:val="6"/>
          <w:sz w:val="32"/>
          <w:szCs w:val="32"/>
        </w:rPr>
        <w:t>建议适当加大项目资金预算规模。</w:t>
      </w:r>
      <w:r>
        <w:rPr>
          <w:rFonts w:hint="eastAsia" w:ascii="仿宋_GB2312" w:hAnsi="仿宋_GB2312" w:eastAsia="仿宋_GB2312" w:cs="仿宋_GB2312"/>
          <w:spacing w:val="6"/>
          <w:sz w:val="32"/>
          <w:szCs w:val="32"/>
          <w:lang w:eastAsia="zh-CN"/>
        </w:rPr>
        <w:t>根据《关于印发</w:t>
      </w:r>
      <w:r>
        <w:rPr>
          <w:rFonts w:hint="eastAsia" w:ascii="仿宋_GB2312" w:hAnsi="仿宋_GB2312" w:eastAsia="仿宋_GB2312" w:cs="仿宋_GB2312"/>
          <w:spacing w:val="6"/>
          <w:sz w:val="32"/>
          <w:szCs w:val="32"/>
          <w:lang w:val="en-US" w:eastAsia="zh-CN"/>
        </w:rPr>
        <w:t>〈</w:t>
      </w:r>
      <w:r>
        <w:rPr>
          <w:rFonts w:hint="eastAsia" w:ascii="仿宋_GB2312" w:hAnsi="仿宋_GB2312" w:eastAsia="仿宋_GB2312" w:cs="仿宋_GB2312"/>
          <w:spacing w:val="6"/>
          <w:sz w:val="32"/>
          <w:szCs w:val="32"/>
          <w:lang w:eastAsia="zh-CN"/>
        </w:rPr>
        <w:t>贵阳贵安司法行政系统“八五”普法规划（</w:t>
      </w:r>
      <w:r>
        <w:rPr>
          <w:rFonts w:hint="eastAsia" w:ascii="仿宋_GB2312" w:hAnsi="仿宋_GB2312" w:eastAsia="仿宋_GB2312" w:cs="仿宋_GB2312"/>
          <w:spacing w:val="6"/>
          <w:sz w:val="32"/>
          <w:szCs w:val="32"/>
          <w:lang w:val="en-US" w:eastAsia="zh-CN"/>
        </w:rPr>
        <w:t>2021-2025年</w:t>
      </w:r>
      <w:r>
        <w:rPr>
          <w:rFonts w:hint="eastAsia" w:ascii="仿宋_GB2312" w:hAnsi="仿宋_GB2312" w:eastAsia="仿宋_GB2312" w:cs="仿宋_GB2312"/>
          <w:spacing w:val="6"/>
          <w:sz w:val="32"/>
          <w:szCs w:val="32"/>
          <w:lang w:eastAsia="zh-CN"/>
        </w:rPr>
        <w:t>）的通知〉》等文件要求，</w:t>
      </w:r>
      <w:r>
        <w:rPr>
          <w:rFonts w:hint="eastAsia" w:ascii="仿宋_GB2312" w:hAnsi="仿宋_GB2312" w:eastAsia="仿宋_GB2312" w:cs="仿宋_GB2312"/>
          <w:spacing w:val="6"/>
          <w:sz w:val="32"/>
          <w:szCs w:val="32"/>
          <w:lang w:val="en-US" w:eastAsia="zh-CN"/>
        </w:rPr>
        <w:t>以后年度将加大各项普法宣传教育工作规模，进一步健全完善贵阳贵安司法行政系统宣传教育机制，推进社会治理的法治水平，普法工作的针对性、时效性显著提高。</w:t>
      </w:r>
      <w:bookmarkEnd w:id="339"/>
    </w:p>
    <w:p>
      <w:pPr>
        <w:widowControl w:val="0"/>
        <w:spacing w:line="590" w:lineRule="exact"/>
        <w:ind w:firstLine="577" w:firstLineChars="275"/>
        <w:jc w:val="both"/>
        <w:outlineLvl w:val="1"/>
        <w:rPr>
          <w:rFonts w:ascii="仿宋_GB2312" w:hAnsi="仿宋" w:eastAsia="楷体_GB2312" w:cs="Times New Roman"/>
          <w:spacing w:val="6"/>
          <w:sz w:val="32"/>
          <w:szCs w:val="32"/>
          <w:lang w:val="zh-CN"/>
        </w:rPr>
      </w:pPr>
      <w:bookmarkStart w:id="351" w:name="_Toc7965"/>
      <w:bookmarkStart w:id="352" w:name="_Toc7187"/>
      <w:bookmarkStart w:id="353" w:name="_Toc1008"/>
      <w:bookmarkStart w:id="354" w:name="_Toc4018"/>
      <w:bookmarkStart w:id="355" w:name="_Toc21950"/>
      <w:bookmarkStart w:id="356" w:name="_Toc27800"/>
      <w:r>
        <w:fldChar w:fldCharType="begin"/>
      </w:r>
      <w:r>
        <w:instrText xml:space="preserve"> HYPERLINK \l "_Toc434746187" </w:instrText>
      </w:r>
      <w:r>
        <w:fldChar w:fldCharType="separate"/>
      </w:r>
      <w:bookmarkStart w:id="357" w:name="_Toc41306295"/>
      <w:bookmarkStart w:id="358" w:name="_Toc531300195"/>
      <w:r>
        <w:rPr>
          <w:rFonts w:hint="eastAsia" w:ascii="仿宋_GB2312" w:hAnsi="仿宋" w:eastAsia="楷体_GB2312" w:cs="Times New Roman"/>
          <w:spacing w:val="6"/>
          <w:sz w:val="32"/>
          <w:szCs w:val="32"/>
          <w:lang w:val="zh-CN"/>
        </w:rPr>
        <w:t>（三）评价结果公开</w:t>
      </w:r>
      <w:bookmarkEnd w:id="357"/>
      <w:bookmarkEnd w:id="358"/>
      <w:r>
        <w:rPr>
          <w:rFonts w:hint="eastAsia" w:ascii="仿宋_GB2312" w:hAnsi="仿宋" w:eastAsia="楷体_GB2312" w:cs="Times New Roman"/>
          <w:spacing w:val="6"/>
          <w:sz w:val="32"/>
          <w:szCs w:val="32"/>
          <w:lang w:val="zh-CN"/>
        </w:rPr>
        <w:fldChar w:fldCharType="end"/>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bookmarkEnd w:id="237"/>
    <w:p>
      <w:pPr>
        <w:widowControl w:val="0"/>
        <w:spacing w:line="590" w:lineRule="exact"/>
        <w:ind w:firstLine="640" w:firstLineChars="200"/>
        <w:jc w:val="both"/>
        <w:outlineLvl w:val="9"/>
        <w:rPr>
          <w:rFonts w:hint="eastAsia" w:ascii="Times New Roman" w:hAnsi="Times New Roman" w:eastAsia="黑体" w:cs="Times New Roman"/>
          <w:spacing w:val="6"/>
          <w:sz w:val="32"/>
          <w:szCs w:val="32"/>
        </w:rPr>
      </w:pPr>
      <w:r>
        <w:rPr>
          <w:rFonts w:hint="eastAsia" w:ascii="仿宋_GB2312" w:hAnsi="仿宋_GB2312" w:eastAsia="仿宋_GB2312" w:cs="仿宋_GB2312"/>
          <w:sz w:val="32"/>
          <w:szCs w:val="32"/>
        </w:rPr>
        <w:t>建议按照中共中央 国务院《关于全面实施预算绩效管理的意见》（中发〔2018〕34号）和《中共贵州省委 贵州省人民政府关于全面实施预算绩效管理的实施意见》（黔党发〔2019〕29号）等文件规定，大力推进绩效信息公开透明，回应社会关切，自觉接受人大和社会各界监督。</w:t>
      </w:r>
      <w:bookmarkStart w:id="359" w:name="_Toc1249"/>
      <w:bookmarkStart w:id="360" w:name="_Toc5275"/>
      <w:bookmarkStart w:id="361" w:name="_Toc30675"/>
      <w:bookmarkStart w:id="362" w:name="_Toc17876"/>
      <w:bookmarkStart w:id="363" w:name="_Toc41306296"/>
    </w:p>
    <w:p>
      <w:pPr>
        <w:widowControl w:val="0"/>
        <w:spacing w:line="590" w:lineRule="exact"/>
        <w:ind w:firstLine="664" w:firstLineChars="200"/>
        <w:jc w:val="both"/>
        <w:outlineLvl w:val="0"/>
        <w:rPr>
          <w:rFonts w:hint="eastAsia" w:ascii="Times New Roman" w:hAnsi="Times New Roman" w:eastAsia="黑体" w:cs="Times New Roman"/>
          <w:spacing w:val="6"/>
          <w:sz w:val="32"/>
          <w:szCs w:val="32"/>
        </w:rPr>
      </w:pPr>
      <w:bookmarkStart w:id="364" w:name="_Toc717"/>
      <w:bookmarkStart w:id="365" w:name="_Toc17205"/>
      <w:bookmarkStart w:id="366" w:name="_Toc6448"/>
      <w:bookmarkStart w:id="367" w:name="_Toc23389"/>
      <w:bookmarkStart w:id="368" w:name="_Toc9685"/>
      <w:bookmarkStart w:id="369" w:name="_Toc22906"/>
      <w:bookmarkStart w:id="370" w:name="_Toc24756"/>
      <w:bookmarkStart w:id="371" w:name="_Toc2942"/>
      <w:bookmarkStart w:id="372" w:name="_Toc330"/>
      <w:bookmarkStart w:id="373" w:name="_Toc14198"/>
      <w:bookmarkStart w:id="374" w:name="_Toc12824"/>
      <w:bookmarkStart w:id="375" w:name="_Toc8333"/>
      <w:bookmarkStart w:id="376" w:name="_Toc32736"/>
    </w:p>
    <w:bookmarkEnd w:id="210"/>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pPr>
        <w:rPr>
          <w:rFonts w:hint="default" w:ascii="Times New Roman" w:hAnsi="Times New Roman" w:eastAsia="仿宋_GB2312" w:cs="Times New Roman"/>
          <w:szCs w:val="21"/>
        </w:rPr>
      </w:pPr>
    </w:p>
    <w:sectPr>
      <w:footerReference r:id="rId3" w:type="default"/>
      <w:footerReference r:id="rId4" w:type="even"/>
      <w:pgSz w:w="11906" w:h="16838"/>
      <w:pgMar w:top="1985" w:right="1474" w:bottom="1871" w:left="1474" w:header="851" w:footer="1474"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5040" w:firstLineChars="1800"/>
      <w:rPr>
        <w:rStyle w:val="22"/>
        <w:rFonts w:ascii="仿宋" w:hAnsi="仿宋" w:eastAsia="仿宋"/>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t xml:space="preserve">— </w:t>
                          </w:r>
                          <w:r>
                            <w:fldChar w:fldCharType="begin"/>
                          </w:r>
                          <w:r>
                            <w:instrText xml:space="preserve"> PAGE  \* MERGEFORMAT </w:instrText>
                          </w:r>
                          <w:r>
                            <w:fldChar w:fldCharType="separate"/>
                          </w:r>
                          <w:r>
                            <w:t>3</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13"/>
                    </w:pPr>
                    <w:r>
                      <w:t xml:space="preserve">— </w:t>
                    </w:r>
                    <w:r>
                      <w:fldChar w:fldCharType="begin"/>
                    </w:r>
                    <w:r>
                      <w:instrText xml:space="preserve"> PAGE  \* MERGEFORMAT </w:instrText>
                    </w:r>
                    <w:r>
                      <w:fldChar w:fldCharType="separate"/>
                    </w:r>
                    <w:r>
                      <w:t>3</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rFonts w:ascii="仿宋" w:hAnsi="仿宋" w:eastAsia="仿宋"/>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t xml:space="preserve">— </w:t>
                          </w:r>
                          <w:r>
                            <w:fldChar w:fldCharType="begin"/>
                          </w:r>
                          <w:r>
                            <w:instrText xml:space="preserve"> PAGE  \* MERGEFORMAT </w:instrText>
                          </w:r>
                          <w:r>
                            <w:fldChar w:fldCharType="separate"/>
                          </w:r>
                          <w:r>
                            <w:t>4</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o7Kn4UAgAAFQQAAA4AAABkcnMvZTJvRG9jLnhtbK1Ty47TMBTdI/EP&#10;lvc0aUe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CjsqfhQCAAAVBAAADgAAAAAAAAAB&#10;ACAAAAAfAQAAZHJzL2Uyb0RvYy54bWxQSwUGAAAAAAYABgBZAQAApQUAAAAA&#10;">
              <v:fill on="f" focussize="0,0"/>
              <v:stroke on="f" weight="0.5pt"/>
              <v:imagedata o:title=""/>
              <o:lock v:ext="edit" aspectratio="f"/>
              <v:textbox inset="0mm,0mm,0mm,0mm" style="mso-fit-shape-to-text:t;">
                <w:txbxContent>
                  <w:p>
                    <w:pPr>
                      <w:pStyle w:val="13"/>
                    </w:pPr>
                    <w:r>
                      <w:t xml:space="preserve">— </w:t>
                    </w:r>
                    <w:r>
                      <w:fldChar w:fldCharType="begin"/>
                    </w:r>
                    <w:r>
                      <w:instrText xml:space="preserve"> PAGE  \* MERGEFORMAT </w:instrText>
                    </w:r>
                    <w:r>
                      <w:fldChar w:fldCharType="separate"/>
                    </w:r>
                    <w:r>
                      <w:t>4</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lNmVhNmRiYTg4NTMwYzVjZmQ3MjYyMzA5YjUyNjgifQ=="/>
  </w:docVars>
  <w:rsids>
    <w:rsidRoot w:val="00172A27"/>
    <w:rsid w:val="0000037D"/>
    <w:rsid w:val="0000072F"/>
    <w:rsid w:val="0000082F"/>
    <w:rsid w:val="00001555"/>
    <w:rsid w:val="00001A18"/>
    <w:rsid w:val="00001A5B"/>
    <w:rsid w:val="00002476"/>
    <w:rsid w:val="00002BCD"/>
    <w:rsid w:val="00002EEA"/>
    <w:rsid w:val="00003932"/>
    <w:rsid w:val="00003A74"/>
    <w:rsid w:val="00004107"/>
    <w:rsid w:val="00005223"/>
    <w:rsid w:val="00006E8C"/>
    <w:rsid w:val="000070C9"/>
    <w:rsid w:val="0001066A"/>
    <w:rsid w:val="00012128"/>
    <w:rsid w:val="000135F1"/>
    <w:rsid w:val="000149DF"/>
    <w:rsid w:val="00015283"/>
    <w:rsid w:val="000157DE"/>
    <w:rsid w:val="00016EBC"/>
    <w:rsid w:val="000171A8"/>
    <w:rsid w:val="000176B4"/>
    <w:rsid w:val="000178D7"/>
    <w:rsid w:val="00017A66"/>
    <w:rsid w:val="00017C13"/>
    <w:rsid w:val="00017FA4"/>
    <w:rsid w:val="0002170E"/>
    <w:rsid w:val="00022276"/>
    <w:rsid w:val="0002262B"/>
    <w:rsid w:val="00022670"/>
    <w:rsid w:val="00022679"/>
    <w:rsid w:val="000227F3"/>
    <w:rsid w:val="00023740"/>
    <w:rsid w:val="00023C57"/>
    <w:rsid w:val="00023F85"/>
    <w:rsid w:val="00024263"/>
    <w:rsid w:val="00024294"/>
    <w:rsid w:val="0002587B"/>
    <w:rsid w:val="00026439"/>
    <w:rsid w:val="0002678E"/>
    <w:rsid w:val="000270DB"/>
    <w:rsid w:val="00027EBC"/>
    <w:rsid w:val="0003000D"/>
    <w:rsid w:val="000303D4"/>
    <w:rsid w:val="00030D3E"/>
    <w:rsid w:val="0003158B"/>
    <w:rsid w:val="0003169C"/>
    <w:rsid w:val="00031881"/>
    <w:rsid w:val="00031B1C"/>
    <w:rsid w:val="000325BF"/>
    <w:rsid w:val="00032DC9"/>
    <w:rsid w:val="00032F7E"/>
    <w:rsid w:val="000338E8"/>
    <w:rsid w:val="00035259"/>
    <w:rsid w:val="00035CCC"/>
    <w:rsid w:val="00035E15"/>
    <w:rsid w:val="00036B90"/>
    <w:rsid w:val="000375CE"/>
    <w:rsid w:val="00037645"/>
    <w:rsid w:val="00037977"/>
    <w:rsid w:val="00037B1C"/>
    <w:rsid w:val="00037CD6"/>
    <w:rsid w:val="00037F2A"/>
    <w:rsid w:val="00040298"/>
    <w:rsid w:val="00041258"/>
    <w:rsid w:val="00042047"/>
    <w:rsid w:val="00042240"/>
    <w:rsid w:val="000422ED"/>
    <w:rsid w:val="000428AB"/>
    <w:rsid w:val="00042BF2"/>
    <w:rsid w:val="00042D0C"/>
    <w:rsid w:val="00042F98"/>
    <w:rsid w:val="00043067"/>
    <w:rsid w:val="000433F2"/>
    <w:rsid w:val="000436D8"/>
    <w:rsid w:val="00043E83"/>
    <w:rsid w:val="00044485"/>
    <w:rsid w:val="00045A95"/>
    <w:rsid w:val="00050678"/>
    <w:rsid w:val="000506D2"/>
    <w:rsid w:val="00050B2A"/>
    <w:rsid w:val="00050F66"/>
    <w:rsid w:val="0005135B"/>
    <w:rsid w:val="00051521"/>
    <w:rsid w:val="00051FF7"/>
    <w:rsid w:val="000525F7"/>
    <w:rsid w:val="0005280B"/>
    <w:rsid w:val="0005301C"/>
    <w:rsid w:val="0005362F"/>
    <w:rsid w:val="00054668"/>
    <w:rsid w:val="000547F0"/>
    <w:rsid w:val="00055029"/>
    <w:rsid w:val="000552A4"/>
    <w:rsid w:val="0005533E"/>
    <w:rsid w:val="00055AC1"/>
    <w:rsid w:val="00055E93"/>
    <w:rsid w:val="00056401"/>
    <w:rsid w:val="00056485"/>
    <w:rsid w:val="000568D1"/>
    <w:rsid w:val="00056DF2"/>
    <w:rsid w:val="000572C4"/>
    <w:rsid w:val="000579E6"/>
    <w:rsid w:val="000602F1"/>
    <w:rsid w:val="00060317"/>
    <w:rsid w:val="0006085C"/>
    <w:rsid w:val="00060B2C"/>
    <w:rsid w:val="0006141E"/>
    <w:rsid w:val="00061CBB"/>
    <w:rsid w:val="00062079"/>
    <w:rsid w:val="000620B6"/>
    <w:rsid w:val="000635A2"/>
    <w:rsid w:val="000639B6"/>
    <w:rsid w:val="000641D9"/>
    <w:rsid w:val="0006435A"/>
    <w:rsid w:val="0006509A"/>
    <w:rsid w:val="000659D2"/>
    <w:rsid w:val="00065AF8"/>
    <w:rsid w:val="0006656D"/>
    <w:rsid w:val="0006720E"/>
    <w:rsid w:val="00067354"/>
    <w:rsid w:val="00067607"/>
    <w:rsid w:val="000676E7"/>
    <w:rsid w:val="00067D07"/>
    <w:rsid w:val="00067D4C"/>
    <w:rsid w:val="0007032B"/>
    <w:rsid w:val="00070520"/>
    <w:rsid w:val="000708C3"/>
    <w:rsid w:val="0007169A"/>
    <w:rsid w:val="00071888"/>
    <w:rsid w:val="000724BE"/>
    <w:rsid w:val="00072ABB"/>
    <w:rsid w:val="000733F6"/>
    <w:rsid w:val="00073A7C"/>
    <w:rsid w:val="000741F3"/>
    <w:rsid w:val="00074B16"/>
    <w:rsid w:val="00075C2F"/>
    <w:rsid w:val="00075CE5"/>
    <w:rsid w:val="00076506"/>
    <w:rsid w:val="0007772D"/>
    <w:rsid w:val="000818C7"/>
    <w:rsid w:val="0008197F"/>
    <w:rsid w:val="00082512"/>
    <w:rsid w:val="000829E0"/>
    <w:rsid w:val="00082B99"/>
    <w:rsid w:val="00082DDE"/>
    <w:rsid w:val="00084E15"/>
    <w:rsid w:val="00085DAF"/>
    <w:rsid w:val="00085EA5"/>
    <w:rsid w:val="0008629B"/>
    <w:rsid w:val="000867BC"/>
    <w:rsid w:val="00086F23"/>
    <w:rsid w:val="000907DC"/>
    <w:rsid w:val="00090A0E"/>
    <w:rsid w:val="00091295"/>
    <w:rsid w:val="000915AC"/>
    <w:rsid w:val="000919B9"/>
    <w:rsid w:val="0009210F"/>
    <w:rsid w:val="00092398"/>
    <w:rsid w:val="00092D8E"/>
    <w:rsid w:val="0009358B"/>
    <w:rsid w:val="00094343"/>
    <w:rsid w:val="0009492A"/>
    <w:rsid w:val="00094B51"/>
    <w:rsid w:val="000950AD"/>
    <w:rsid w:val="000953A5"/>
    <w:rsid w:val="000955CC"/>
    <w:rsid w:val="00095A91"/>
    <w:rsid w:val="00095FC3"/>
    <w:rsid w:val="000964A6"/>
    <w:rsid w:val="0009695D"/>
    <w:rsid w:val="00097DCB"/>
    <w:rsid w:val="000A0626"/>
    <w:rsid w:val="000A08ED"/>
    <w:rsid w:val="000A0AA1"/>
    <w:rsid w:val="000A1D1C"/>
    <w:rsid w:val="000A2748"/>
    <w:rsid w:val="000A2793"/>
    <w:rsid w:val="000A3B90"/>
    <w:rsid w:val="000A5611"/>
    <w:rsid w:val="000A59CC"/>
    <w:rsid w:val="000A5AD0"/>
    <w:rsid w:val="000A5BA7"/>
    <w:rsid w:val="000A6A45"/>
    <w:rsid w:val="000B00E6"/>
    <w:rsid w:val="000B04B7"/>
    <w:rsid w:val="000B14E3"/>
    <w:rsid w:val="000B1818"/>
    <w:rsid w:val="000B2240"/>
    <w:rsid w:val="000B3C39"/>
    <w:rsid w:val="000B3D75"/>
    <w:rsid w:val="000B4197"/>
    <w:rsid w:val="000B4521"/>
    <w:rsid w:val="000B4611"/>
    <w:rsid w:val="000B4870"/>
    <w:rsid w:val="000B48DF"/>
    <w:rsid w:val="000B6E67"/>
    <w:rsid w:val="000B712A"/>
    <w:rsid w:val="000B7B6E"/>
    <w:rsid w:val="000C044C"/>
    <w:rsid w:val="000C16B3"/>
    <w:rsid w:val="000C188A"/>
    <w:rsid w:val="000C18B5"/>
    <w:rsid w:val="000C2941"/>
    <w:rsid w:val="000C3015"/>
    <w:rsid w:val="000C3C78"/>
    <w:rsid w:val="000C3D93"/>
    <w:rsid w:val="000C3DA1"/>
    <w:rsid w:val="000C3F70"/>
    <w:rsid w:val="000C4836"/>
    <w:rsid w:val="000C4BC9"/>
    <w:rsid w:val="000C57A3"/>
    <w:rsid w:val="000C5C5E"/>
    <w:rsid w:val="000C60D9"/>
    <w:rsid w:val="000C6A1F"/>
    <w:rsid w:val="000C6E40"/>
    <w:rsid w:val="000C7194"/>
    <w:rsid w:val="000C72F3"/>
    <w:rsid w:val="000D0366"/>
    <w:rsid w:val="000D19A5"/>
    <w:rsid w:val="000D1B8A"/>
    <w:rsid w:val="000D1C3B"/>
    <w:rsid w:val="000D22A3"/>
    <w:rsid w:val="000D26F4"/>
    <w:rsid w:val="000D35AA"/>
    <w:rsid w:val="000D3ACE"/>
    <w:rsid w:val="000D3F24"/>
    <w:rsid w:val="000D426F"/>
    <w:rsid w:val="000D4D0F"/>
    <w:rsid w:val="000D4D5A"/>
    <w:rsid w:val="000D5575"/>
    <w:rsid w:val="000D5B6F"/>
    <w:rsid w:val="000D67F0"/>
    <w:rsid w:val="000D6818"/>
    <w:rsid w:val="000D752A"/>
    <w:rsid w:val="000D7BC2"/>
    <w:rsid w:val="000E0065"/>
    <w:rsid w:val="000E06F4"/>
    <w:rsid w:val="000E0821"/>
    <w:rsid w:val="000E08C4"/>
    <w:rsid w:val="000E1BE2"/>
    <w:rsid w:val="000E2083"/>
    <w:rsid w:val="000E2BF1"/>
    <w:rsid w:val="000E3373"/>
    <w:rsid w:val="000E346C"/>
    <w:rsid w:val="000E3519"/>
    <w:rsid w:val="000E4447"/>
    <w:rsid w:val="000E446F"/>
    <w:rsid w:val="000E480B"/>
    <w:rsid w:val="000E48B0"/>
    <w:rsid w:val="000E4F46"/>
    <w:rsid w:val="000E5EDE"/>
    <w:rsid w:val="000E646A"/>
    <w:rsid w:val="000E7821"/>
    <w:rsid w:val="000E7891"/>
    <w:rsid w:val="000F095F"/>
    <w:rsid w:val="000F0E55"/>
    <w:rsid w:val="000F153C"/>
    <w:rsid w:val="000F21C6"/>
    <w:rsid w:val="000F2EA4"/>
    <w:rsid w:val="000F4AF4"/>
    <w:rsid w:val="000F4D81"/>
    <w:rsid w:val="000F5889"/>
    <w:rsid w:val="000F5EDB"/>
    <w:rsid w:val="000F66D7"/>
    <w:rsid w:val="000F6AD4"/>
    <w:rsid w:val="000F723D"/>
    <w:rsid w:val="000F78B7"/>
    <w:rsid w:val="000F79B7"/>
    <w:rsid w:val="000F7DBC"/>
    <w:rsid w:val="0010025D"/>
    <w:rsid w:val="001002B0"/>
    <w:rsid w:val="00100766"/>
    <w:rsid w:val="0010076C"/>
    <w:rsid w:val="00100FAF"/>
    <w:rsid w:val="001010DB"/>
    <w:rsid w:val="0010233B"/>
    <w:rsid w:val="00103648"/>
    <w:rsid w:val="001040FC"/>
    <w:rsid w:val="001051A1"/>
    <w:rsid w:val="001058F7"/>
    <w:rsid w:val="00106765"/>
    <w:rsid w:val="00106B23"/>
    <w:rsid w:val="0010724D"/>
    <w:rsid w:val="001100AF"/>
    <w:rsid w:val="001104C1"/>
    <w:rsid w:val="0011063F"/>
    <w:rsid w:val="001115A1"/>
    <w:rsid w:val="00112693"/>
    <w:rsid w:val="00113395"/>
    <w:rsid w:val="001139A3"/>
    <w:rsid w:val="00114198"/>
    <w:rsid w:val="00115911"/>
    <w:rsid w:val="001164E8"/>
    <w:rsid w:val="0011779F"/>
    <w:rsid w:val="00117815"/>
    <w:rsid w:val="00117B38"/>
    <w:rsid w:val="00120337"/>
    <w:rsid w:val="00120E09"/>
    <w:rsid w:val="0012157D"/>
    <w:rsid w:val="0012429E"/>
    <w:rsid w:val="00124A15"/>
    <w:rsid w:val="00124B85"/>
    <w:rsid w:val="00124D54"/>
    <w:rsid w:val="00125133"/>
    <w:rsid w:val="00125997"/>
    <w:rsid w:val="00125ACA"/>
    <w:rsid w:val="0012668F"/>
    <w:rsid w:val="001271BC"/>
    <w:rsid w:val="001273F9"/>
    <w:rsid w:val="001274EB"/>
    <w:rsid w:val="00127CB4"/>
    <w:rsid w:val="0013002F"/>
    <w:rsid w:val="00130B87"/>
    <w:rsid w:val="00131901"/>
    <w:rsid w:val="0013268A"/>
    <w:rsid w:val="00132899"/>
    <w:rsid w:val="00132995"/>
    <w:rsid w:val="0013530A"/>
    <w:rsid w:val="00135830"/>
    <w:rsid w:val="00135C8F"/>
    <w:rsid w:val="00136842"/>
    <w:rsid w:val="00137074"/>
    <w:rsid w:val="00137B0D"/>
    <w:rsid w:val="00137DD6"/>
    <w:rsid w:val="00140A67"/>
    <w:rsid w:val="00140B8A"/>
    <w:rsid w:val="00141235"/>
    <w:rsid w:val="00143708"/>
    <w:rsid w:val="00144C61"/>
    <w:rsid w:val="00145C83"/>
    <w:rsid w:val="00145F7A"/>
    <w:rsid w:val="00146F86"/>
    <w:rsid w:val="00147321"/>
    <w:rsid w:val="001502EA"/>
    <w:rsid w:val="00150614"/>
    <w:rsid w:val="001511AB"/>
    <w:rsid w:val="001513E1"/>
    <w:rsid w:val="00151574"/>
    <w:rsid w:val="001517B1"/>
    <w:rsid w:val="00151A01"/>
    <w:rsid w:val="001523E7"/>
    <w:rsid w:val="00152A45"/>
    <w:rsid w:val="00152D16"/>
    <w:rsid w:val="00152D8B"/>
    <w:rsid w:val="00154EEB"/>
    <w:rsid w:val="001553E8"/>
    <w:rsid w:val="00155F93"/>
    <w:rsid w:val="00156468"/>
    <w:rsid w:val="00157352"/>
    <w:rsid w:val="00157B53"/>
    <w:rsid w:val="00160D9A"/>
    <w:rsid w:val="00161110"/>
    <w:rsid w:val="00161C69"/>
    <w:rsid w:val="001623B1"/>
    <w:rsid w:val="0016267F"/>
    <w:rsid w:val="00162727"/>
    <w:rsid w:val="00162B0E"/>
    <w:rsid w:val="00162FAD"/>
    <w:rsid w:val="00163C1F"/>
    <w:rsid w:val="001641A9"/>
    <w:rsid w:val="001653F3"/>
    <w:rsid w:val="00166429"/>
    <w:rsid w:val="0016683D"/>
    <w:rsid w:val="00166F1D"/>
    <w:rsid w:val="00167287"/>
    <w:rsid w:val="00167402"/>
    <w:rsid w:val="00167410"/>
    <w:rsid w:val="00167D7E"/>
    <w:rsid w:val="00167E0D"/>
    <w:rsid w:val="00170060"/>
    <w:rsid w:val="0017009E"/>
    <w:rsid w:val="00170F73"/>
    <w:rsid w:val="001718A1"/>
    <w:rsid w:val="00171D24"/>
    <w:rsid w:val="00171EE3"/>
    <w:rsid w:val="001725F8"/>
    <w:rsid w:val="0017261A"/>
    <w:rsid w:val="00172643"/>
    <w:rsid w:val="00172A27"/>
    <w:rsid w:val="001731DD"/>
    <w:rsid w:val="00173A7C"/>
    <w:rsid w:val="00173F8D"/>
    <w:rsid w:val="00174836"/>
    <w:rsid w:val="0017497A"/>
    <w:rsid w:val="001758CD"/>
    <w:rsid w:val="00176226"/>
    <w:rsid w:val="0017728A"/>
    <w:rsid w:val="00177E14"/>
    <w:rsid w:val="00180944"/>
    <w:rsid w:val="00180963"/>
    <w:rsid w:val="0018099E"/>
    <w:rsid w:val="00180F99"/>
    <w:rsid w:val="0018126F"/>
    <w:rsid w:val="001812EB"/>
    <w:rsid w:val="00181CB6"/>
    <w:rsid w:val="0018241F"/>
    <w:rsid w:val="00182514"/>
    <w:rsid w:val="001844A5"/>
    <w:rsid w:val="0018489F"/>
    <w:rsid w:val="00184AAD"/>
    <w:rsid w:val="00185230"/>
    <w:rsid w:val="001853DC"/>
    <w:rsid w:val="00185421"/>
    <w:rsid w:val="0018568C"/>
    <w:rsid w:val="00185C7B"/>
    <w:rsid w:val="00186F5F"/>
    <w:rsid w:val="001871D4"/>
    <w:rsid w:val="00187450"/>
    <w:rsid w:val="00187F4E"/>
    <w:rsid w:val="0019025B"/>
    <w:rsid w:val="001904FF"/>
    <w:rsid w:val="00190AD1"/>
    <w:rsid w:val="00191B31"/>
    <w:rsid w:val="00193470"/>
    <w:rsid w:val="001935AC"/>
    <w:rsid w:val="001939BB"/>
    <w:rsid w:val="00194608"/>
    <w:rsid w:val="00194CA2"/>
    <w:rsid w:val="00194F47"/>
    <w:rsid w:val="00195163"/>
    <w:rsid w:val="00195532"/>
    <w:rsid w:val="0019590E"/>
    <w:rsid w:val="00195C6B"/>
    <w:rsid w:val="001961DE"/>
    <w:rsid w:val="001963EA"/>
    <w:rsid w:val="00196C48"/>
    <w:rsid w:val="00197DCE"/>
    <w:rsid w:val="001A1906"/>
    <w:rsid w:val="001A2674"/>
    <w:rsid w:val="001A3F1F"/>
    <w:rsid w:val="001A4EC9"/>
    <w:rsid w:val="001A513B"/>
    <w:rsid w:val="001A5D33"/>
    <w:rsid w:val="001A6117"/>
    <w:rsid w:val="001A6891"/>
    <w:rsid w:val="001A6E49"/>
    <w:rsid w:val="001A74D2"/>
    <w:rsid w:val="001A78A4"/>
    <w:rsid w:val="001A794D"/>
    <w:rsid w:val="001B0618"/>
    <w:rsid w:val="001B07B3"/>
    <w:rsid w:val="001B0BB5"/>
    <w:rsid w:val="001B1785"/>
    <w:rsid w:val="001B1AEB"/>
    <w:rsid w:val="001B30AB"/>
    <w:rsid w:val="001B3A21"/>
    <w:rsid w:val="001B4458"/>
    <w:rsid w:val="001B47FB"/>
    <w:rsid w:val="001B49A5"/>
    <w:rsid w:val="001B4A43"/>
    <w:rsid w:val="001B4EC5"/>
    <w:rsid w:val="001B5BBE"/>
    <w:rsid w:val="001B6EBE"/>
    <w:rsid w:val="001B773A"/>
    <w:rsid w:val="001B7A37"/>
    <w:rsid w:val="001B7A58"/>
    <w:rsid w:val="001B7DD3"/>
    <w:rsid w:val="001B7F66"/>
    <w:rsid w:val="001C0607"/>
    <w:rsid w:val="001C06A9"/>
    <w:rsid w:val="001C0DC8"/>
    <w:rsid w:val="001C104B"/>
    <w:rsid w:val="001C1286"/>
    <w:rsid w:val="001C20E6"/>
    <w:rsid w:val="001C2CFF"/>
    <w:rsid w:val="001C2EE3"/>
    <w:rsid w:val="001C332A"/>
    <w:rsid w:val="001C34BB"/>
    <w:rsid w:val="001C5AE6"/>
    <w:rsid w:val="001C5F00"/>
    <w:rsid w:val="001C766C"/>
    <w:rsid w:val="001C7CD7"/>
    <w:rsid w:val="001C7F50"/>
    <w:rsid w:val="001D033B"/>
    <w:rsid w:val="001D0396"/>
    <w:rsid w:val="001D10CC"/>
    <w:rsid w:val="001D1287"/>
    <w:rsid w:val="001D16AD"/>
    <w:rsid w:val="001D234E"/>
    <w:rsid w:val="001D288B"/>
    <w:rsid w:val="001D2907"/>
    <w:rsid w:val="001D2B6B"/>
    <w:rsid w:val="001D30D7"/>
    <w:rsid w:val="001D35DC"/>
    <w:rsid w:val="001D4104"/>
    <w:rsid w:val="001D43C1"/>
    <w:rsid w:val="001D4626"/>
    <w:rsid w:val="001D5D81"/>
    <w:rsid w:val="001D6210"/>
    <w:rsid w:val="001D64B8"/>
    <w:rsid w:val="001D6595"/>
    <w:rsid w:val="001D6A91"/>
    <w:rsid w:val="001D6CD5"/>
    <w:rsid w:val="001D6EC1"/>
    <w:rsid w:val="001D710A"/>
    <w:rsid w:val="001E041F"/>
    <w:rsid w:val="001E080D"/>
    <w:rsid w:val="001E09F1"/>
    <w:rsid w:val="001E0C46"/>
    <w:rsid w:val="001E0F38"/>
    <w:rsid w:val="001E1863"/>
    <w:rsid w:val="001E1E07"/>
    <w:rsid w:val="001E362A"/>
    <w:rsid w:val="001E3872"/>
    <w:rsid w:val="001E3BFB"/>
    <w:rsid w:val="001E4094"/>
    <w:rsid w:val="001E43B4"/>
    <w:rsid w:val="001E4958"/>
    <w:rsid w:val="001E49E9"/>
    <w:rsid w:val="001E5233"/>
    <w:rsid w:val="001E567C"/>
    <w:rsid w:val="001E5817"/>
    <w:rsid w:val="001E6874"/>
    <w:rsid w:val="001F16FD"/>
    <w:rsid w:val="001F1B04"/>
    <w:rsid w:val="001F29BA"/>
    <w:rsid w:val="001F3A67"/>
    <w:rsid w:val="001F472E"/>
    <w:rsid w:val="001F4927"/>
    <w:rsid w:val="001F4D06"/>
    <w:rsid w:val="001F6098"/>
    <w:rsid w:val="001F6BE9"/>
    <w:rsid w:val="001F7089"/>
    <w:rsid w:val="002002EA"/>
    <w:rsid w:val="00200930"/>
    <w:rsid w:val="00201037"/>
    <w:rsid w:val="002029C7"/>
    <w:rsid w:val="0020397E"/>
    <w:rsid w:val="0020413D"/>
    <w:rsid w:val="002041E3"/>
    <w:rsid w:val="00204484"/>
    <w:rsid w:val="002045B8"/>
    <w:rsid w:val="00204A19"/>
    <w:rsid w:val="002061AD"/>
    <w:rsid w:val="00206BAB"/>
    <w:rsid w:val="00206BAF"/>
    <w:rsid w:val="0020753C"/>
    <w:rsid w:val="00210274"/>
    <w:rsid w:val="002102EF"/>
    <w:rsid w:val="00211448"/>
    <w:rsid w:val="00211A63"/>
    <w:rsid w:val="00211E5C"/>
    <w:rsid w:val="002139F4"/>
    <w:rsid w:val="00213A6D"/>
    <w:rsid w:val="00214937"/>
    <w:rsid w:val="00215394"/>
    <w:rsid w:val="00215CF1"/>
    <w:rsid w:val="002161A4"/>
    <w:rsid w:val="002175BB"/>
    <w:rsid w:val="002178A8"/>
    <w:rsid w:val="00217AEA"/>
    <w:rsid w:val="00220C6B"/>
    <w:rsid w:val="002232BA"/>
    <w:rsid w:val="00224552"/>
    <w:rsid w:val="00224F3F"/>
    <w:rsid w:val="00225932"/>
    <w:rsid w:val="002261A8"/>
    <w:rsid w:val="00226C0F"/>
    <w:rsid w:val="00226EA6"/>
    <w:rsid w:val="002271F1"/>
    <w:rsid w:val="00227365"/>
    <w:rsid w:val="00227724"/>
    <w:rsid w:val="00227E04"/>
    <w:rsid w:val="00227E2C"/>
    <w:rsid w:val="00230CC7"/>
    <w:rsid w:val="002313DB"/>
    <w:rsid w:val="00231D7F"/>
    <w:rsid w:val="0023221D"/>
    <w:rsid w:val="0023227E"/>
    <w:rsid w:val="0023331B"/>
    <w:rsid w:val="002337EC"/>
    <w:rsid w:val="002338AD"/>
    <w:rsid w:val="0023396D"/>
    <w:rsid w:val="00233C15"/>
    <w:rsid w:val="00233EFF"/>
    <w:rsid w:val="0023424C"/>
    <w:rsid w:val="00234F6E"/>
    <w:rsid w:val="00235A07"/>
    <w:rsid w:val="00235CD0"/>
    <w:rsid w:val="00235D7E"/>
    <w:rsid w:val="0023696C"/>
    <w:rsid w:val="00237BD9"/>
    <w:rsid w:val="002407D1"/>
    <w:rsid w:val="00240C78"/>
    <w:rsid w:val="00240F46"/>
    <w:rsid w:val="0024161B"/>
    <w:rsid w:val="0024192D"/>
    <w:rsid w:val="00242098"/>
    <w:rsid w:val="002425B7"/>
    <w:rsid w:val="002434D8"/>
    <w:rsid w:val="00243AF3"/>
    <w:rsid w:val="002441BB"/>
    <w:rsid w:val="00245168"/>
    <w:rsid w:val="0024530A"/>
    <w:rsid w:val="002453B7"/>
    <w:rsid w:val="00246D9E"/>
    <w:rsid w:val="00247056"/>
    <w:rsid w:val="002470B6"/>
    <w:rsid w:val="00247616"/>
    <w:rsid w:val="002478EB"/>
    <w:rsid w:val="00247969"/>
    <w:rsid w:val="00247A8A"/>
    <w:rsid w:val="002509D5"/>
    <w:rsid w:val="00250EB8"/>
    <w:rsid w:val="002523CD"/>
    <w:rsid w:val="00252621"/>
    <w:rsid w:val="00253224"/>
    <w:rsid w:val="00253A4E"/>
    <w:rsid w:val="00253DF3"/>
    <w:rsid w:val="00253EF1"/>
    <w:rsid w:val="002544A7"/>
    <w:rsid w:val="00254887"/>
    <w:rsid w:val="00254EAD"/>
    <w:rsid w:val="00254FD9"/>
    <w:rsid w:val="002550DB"/>
    <w:rsid w:val="0025533A"/>
    <w:rsid w:val="00256234"/>
    <w:rsid w:val="0025641B"/>
    <w:rsid w:val="002566F0"/>
    <w:rsid w:val="00256F76"/>
    <w:rsid w:val="00257121"/>
    <w:rsid w:val="00257880"/>
    <w:rsid w:val="00260090"/>
    <w:rsid w:val="002619E1"/>
    <w:rsid w:val="00261B24"/>
    <w:rsid w:val="002627F5"/>
    <w:rsid w:val="00263CB2"/>
    <w:rsid w:val="00264679"/>
    <w:rsid w:val="00264832"/>
    <w:rsid w:val="00265007"/>
    <w:rsid w:val="0026564E"/>
    <w:rsid w:val="00265989"/>
    <w:rsid w:val="00265D1F"/>
    <w:rsid w:val="00267047"/>
    <w:rsid w:val="002676C0"/>
    <w:rsid w:val="00267FDC"/>
    <w:rsid w:val="002702B7"/>
    <w:rsid w:val="00270A75"/>
    <w:rsid w:val="00270AE3"/>
    <w:rsid w:val="00271142"/>
    <w:rsid w:val="00271461"/>
    <w:rsid w:val="002714A4"/>
    <w:rsid w:val="00272698"/>
    <w:rsid w:val="002727CF"/>
    <w:rsid w:val="00272964"/>
    <w:rsid w:val="00272D68"/>
    <w:rsid w:val="00272F2C"/>
    <w:rsid w:val="00273600"/>
    <w:rsid w:val="00273AC2"/>
    <w:rsid w:val="00273E9C"/>
    <w:rsid w:val="0027401C"/>
    <w:rsid w:val="002745F3"/>
    <w:rsid w:val="0027464B"/>
    <w:rsid w:val="002753A4"/>
    <w:rsid w:val="00275976"/>
    <w:rsid w:val="00275C90"/>
    <w:rsid w:val="002764B3"/>
    <w:rsid w:val="00276A28"/>
    <w:rsid w:val="00276BF3"/>
    <w:rsid w:val="00277246"/>
    <w:rsid w:val="00277369"/>
    <w:rsid w:val="00277FEA"/>
    <w:rsid w:val="00280A6F"/>
    <w:rsid w:val="002812A7"/>
    <w:rsid w:val="00283022"/>
    <w:rsid w:val="002832E3"/>
    <w:rsid w:val="00284336"/>
    <w:rsid w:val="00284510"/>
    <w:rsid w:val="00285190"/>
    <w:rsid w:val="002854C5"/>
    <w:rsid w:val="00285ADC"/>
    <w:rsid w:val="00286368"/>
    <w:rsid w:val="00286398"/>
    <w:rsid w:val="00286C98"/>
    <w:rsid w:val="00286EAD"/>
    <w:rsid w:val="00287668"/>
    <w:rsid w:val="002900F9"/>
    <w:rsid w:val="00290702"/>
    <w:rsid w:val="00290932"/>
    <w:rsid w:val="0029093F"/>
    <w:rsid w:val="0029094E"/>
    <w:rsid w:val="00290BBD"/>
    <w:rsid w:val="00290CBC"/>
    <w:rsid w:val="002920D2"/>
    <w:rsid w:val="002929D2"/>
    <w:rsid w:val="002931AE"/>
    <w:rsid w:val="00293610"/>
    <w:rsid w:val="002942C3"/>
    <w:rsid w:val="00294B9B"/>
    <w:rsid w:val="00294B9F"/>
    <w:rsid w:val="002950F9"/>
    <w:rsid w:val="00295374"/>
    <w:rsid w:val="002954B6"/>
    <w:rsid w:val="00296A2F"/>
    <w:rsid w:val="00296A72"/>
    <w:rsid w:val="00296AE7"/>
    <w:rsid w:val="002A0533"/>
    <w:rsid w:val="002A09F8"/>
    <w:rsid w:val="002A1D17"/>
    <w:rsid w:val="002A22BF"/>
    <w:rsid w:val="002A39EB"/>
    <w:rsid w:val="002A3AB5"/>
    <w:rsid w:val="002A3C9A"/>
    <w:rsid w:val="002A3E13"/>
    <w:rsid w:val="002A4A95"/>
    <w:rsid w:val="002A67D2"/>
    <w:rsid w:val="002B0D5D"/>
    <w:rsid w:val="002B142C"/>
    <w:rsid w:val="002B19D5"/>
    <w:rsid w:val="002B2AD6"/>
    <w:rsid w:val="002B2EBA"/>
    <w:rsid w:val="002B34DF"/>
    <w:rsid w:val="002B387F"/>
    <w:rsid w:val="002B3B24"/>
    <w:rsid w:val="002B3D7C"/>
    <w:rsid w:val="002B53AC"/>
    <w:rsid w:val="002B5C98"/>
    <w:rsid w:val="002B617B"/>
    <w:rsid w:val="002B6658"/>
    <w:rsid w:val="002B6B5A"/>
    <w:rsid w:val="002B7255"/>
    <w:rsid w:val="002B72A2"/>
    <w:rsid w:val="002C0D01"/>
    <w:rsid w:val="002C0EA8"/>
    <w:rsid w:val="002C21E2"/>
    <w:rsid w:val="002C2F47"/>
    <w:rsid w:val="002C3ABB"/>
    <w:rsid w:val="002C4399"/>
    <w:rsid w:val="002C4E20"/>
    <w:rsid w:val="002C4E95"/>
    <w:rsid w:val="002C4F75"/>
    <w:rsid w:val="002C4FB1"/>
    <w:rsid w:val="002C51E1"/>
    <w:rsid w:val="002C6909"/>
    <w:rsid w:val="002C6BF4"/>
    <w:rsid w:val="002C6CA2"/>
    <w:rsid w:val="002C7EC8"/>
    <w:rsid w:val="002C7F36"/>
    <w:rsid w:val="002C7F49"/>
    <w:rsid w:val="002D06D2"/>
    <w:rsid w:val="002D11B1"/>
    <w:rsid w:val="002D131E"/>
    <w:rsid w:val="002D13EF"/>
    <w:rsid w:val="002D161C"/>
    <w:rsid w:val="002D1756"/>
    <w:rsid w:val="002D1C71"/>
    <w:rsid w:val="002D1C80"/>
    <w:rsid w:val="002D22A8"/>
    <w:rsid w:val="002D28FA"/>
    <w:rsid w:val="002D31DB"/>
    <w:rsid w:val="002D3772"/>
    <w:rsid w:val="002D42F5"/>
    <w:rsid w:val="002D4403"/>
    <w:rsid w:val="002D6914"/>
    <w:rsid w:val="002D6B72"/>
    <w:rsid w:val="002D6BC0"/>
    <w:rsid w:val="002D75AC"/>
    <w:rsid w:val="002E03E8"/>
    <w:rsid w:val="002E0424"/>
    <w:rsid w:val="002E0978"/>
    <w:rsid w:val="002E29A1"/>
    <w:rsid w:val="002E2D0E"/>
    <w:rsid w:val="002E307D"/>
    <w:rsid w:val="002E3194"/>
    <w:rsid w:val="002E3D0A"/>
    <w:rsid w:val="002E4444"/>
    <w:rsid w:val="002E452B"/>
    <w:rsid w:val="002E4942"/>
    <w:rsid w:val="002E5351"/>
    <w:rsid w:val="002E5B83"/>
    <w:rsid w:val="002E5EB5"/>
    <w:rsid w:val="002E689A"/>
    <w:rsid w:val="002E6A3E"/>
    <w:rsid w:val="002E6C52"/>
    <w:rsid w:val="002E73AC"/>
    <w:rsid w:val="002E73E0"/>
    <w:rsid w:val="002E7B49"/>
    <w:rsid w:val="002F0A59"/>
    <w:rsid w:val="002F1CA7"/>
    <w:rsid w:val="002F1E6B"/>
    <w:rsid w:val="002F315B"/>
    <w:rsid w:val="002F3A3D"/>
    <w:rsid w:val="002F4B56"/>
    <w:rsid w:val="002F5B14"/>
    <w:rsid w:val="002F5D21"/>
    <w:rsid w:val="002F656A"/>
    <w:rsid w:val="002F72E1"/>
    <w:rsid w:val="002F7B4D"/>
    <w:rsid w:val="00300115"/>
    <w:rsid w:val="003005A0"/>
    <w:rsid w:val="003013D5"/>
    <w:rsid w:val="003018FB"/>
    <w:rsid w:val="00302064"/>
    <w:rsid w:val="003020EB"/>
    <w:rsid w:val="00302493"/>
    <w:rsid w:val="00302A5F"/>
    <w:rsid w:val="0030360F"/>
    <w:rsid w:val="00303C3B"/>
    <w:rsid w:val="0030431A"/>
    <w:rsid w:val="0030463A"/>
    <w:rsid w:val="00304B43"/>
    <w:rsid w:val="00304E5D"/>
    <w:rsid w:val="00305B0D"/>
    <w:rsid w:val="003068E2"/>
    <w:rsid w:val="00306B31"/>
    <w:rsid w:val="00307018"/>
    <w:rsid w:val="0030705B"/>
    <w:rsid w:val="00307460"/>
    <w:rsid w:val="00307905"/>
    <w:rsid w:val="003102CA"/>
    <w:rsid w:val="003103A5"/>
    <w:rsid w:val="00310438"/>
    <w:rsid w:val="00310CA6"/>
    <w:rsid w:val="00311000"/>
    <w:rsid w:val="0031117F"/>
    <w:rsid w:val="003114D6"/>
    <w:rsid w:val="003118DD"/>
    <w:rsid w:val="00311EDE"/>
    <w:rsid w:val="003135B5"/>
    <w:rsid w:val="00313C87"/>
    <w:rsid w:val="00313CA1"/>
    <w:rsid w:val="00314FD6"/>
    <w:rsid w:val="00315B1F"/>
    <w:rsid w:val="00315CEA"/>
    <w:rsid w:val="003162A8"/>
    <w:rsid w:val="00317963"/>
    <w:rsid w:val="00317D75"/>
    <w:rsid w:val="00317E4F"/>
    <w:rsid w:val="00317FBE"/>
    <w:rsid w:val="0032069D"/>
    <w:rsid w:val="00320F92"/>
    <w:rsid w:val="00322A4B"/>
    <w:rsid w:val="00322ABA"/>
    <w:rsid w:val="00322D5A"/>
    <w:rsid w:val="00322E3B"/>
    <w:rsid w:val="00323FFA"/>
    <w:rsid w:val="003247A4"/>
    <w:rsid w:val="0032494F"/>
    <w:rsid w:val="00324BE3"/>
    <w:rsid w:val="003256F2"/>
    <w:rsid w:val="00325D48"/>
    <w:rsid w:val="00326908"/>
    <w:rsid w:val="00326992"/>
    <w:rsid w:val="0032724E"/>
    <w:rsid w:val="003300A5"/>
    <w:rsid w:val="00330F43"/>
    <w:rsid w:val="00331314"/>
    <w:rsid w:val="00331C60"/>
    <w:rsid w:val="0033216E"/>
    <w:rsid w:val="00332B41"/>
    <w:rsid w:val="00332B59"/>
    <w:rsid w:val="00332C9D"/>
    <w:rsid w:val="00332E93"/>
    <w:rsid w:val="00334CE4"/>
    <w:rsid w:val="003352DB"/>
    <w:rsid w:val="0033583D"/>
    <w:rsid w:val="00335993"/>
    <w:rsid w:val="00336052"/>
    <w:rsid w:val="0033651E"/>
    <w:rsid w:val="003366D8"/>
    <w:rsid w:val="003374EF"/>
    <w:rsid w:val="00337AF7"/>
    <w:rsid w:val="00337C7C"/>
    <w:rsid w:val="0034119C"/>
    <w:rsid w:val="00341238"/>
    <w:rsid w:val="0034269E"/>
    <w:rsid w:val="00342884"/>
    <w:rsid w:val="003430BA"/>
    <w:rsid w:val="003433F5"/>
    <w:rsid w:val="00343FD4"/>
    <w:rsid w:val="00344AD4"/>
    <w:rsid w:val="00344ECB"/>
    <w:rsid w:val="00346ED9"/>
    <w:rsid w:val="0034706E"/>
    <w:rsid w:val="00347767"/>
    <w:rsid w:val="003477A8"/>
    <w:rsid w:val="003479EA"/>
    <w:rsid w:val="00350696"/>
    <w:rsid w:val="00350D8A"/>
    <w:rsid w:val="003515DC"/>
    <w:rsid w:val="00351BDA"/>
    <w:rsid w:val="003522C7"/>
    <w:rsid w:val="0035250F"/>
    <w:rsid w:val="0035330F"/>
    <w:rsid w:val="0035378E"/>
    <w:rsid w:val="00353BC0"/>
    <w:rsid w:val="00354166"/>
    <w:rsid w:val="003554F3"/>
    <w:rsid w:val="00355625"/>
    <w:rsid w:val="00355905"/>
    <w:rsid w:val="00356E45"/>
    <w:rsid w:val="003570D3"/>
    <w:rsid w:val="003576D3"/>
    <w:rsid w:val="00357CF4"/>
    <w:rsid w:val="00360A42"/>
    <w:rsid w:val="00360DFC"/>
    <w:rsid w:val="00360E16"/>
    <w:rsid w:val="00360F67"/>
    <w:rsid w:val="003613FB"/>
    <w:rsid w:val="00362531"/>
    <w:rsid w:val="003625AD"/>
    <w:rsid w:val="00362A57"/>
    <w:rsid w:val="003632B6"/>
    <w:rsid w:val="003637B5"/>
    <w:rsid w:val="0036417D"/>
    <w:rsid w:val="00364238"/>
    <w:rsid w:val="003644AC"/>
    <w:rsid w:val="003645B1"/>
    <w:rsid w:val="00364A78"/>
    <w:rsid w:val="00364CC2"/>
    <w:rsid w:val="00365A5D"/>
    <w:rsid w:val="0036634E"/>
    <w:rsid w:val="003677E8"/>
    <w:rsid w:val="003679A7"/>
    <w:rsid w:val="00370761"/>
    <w:rsid w:val="0037147A"/>
    <w:rsid w:val="003715C5"/>
    <w:rsid w:val="003723FB"/>
    <w:rsid w:val="00372ADB"/>
    <w:rsid w:val="003730FD"/>
    <w:rsid w:val="00373D60"/>
    <w:rsid w:val="003744D5"/>
    <w:rsid w:val="00375192"/>
    <w:rsid w:val="003751A5"/>
    <w:rsid w:val="003754E2"/>
    <w:rsid w:val="00375ABC"/>
    <w:rsid w:val="00376AE7"/>
    <w:rsid w:val="00376B3D"/>
    <w:rsid w:val="00377DA7"/>
    <w:rsid w:val="00380554"/>
    <w:rsid w:val="0038058C"/>
    <w:rsid w:val="0038129D"/>
    <w:rsid w:val="00381368"/>
    <w:rsid w:val="00382480"/>
    <w:rsid w:val="00382DB1"/>
    <w:rsid w:val="00382EC6"/>
    <w:rsid w:val="00383836"/>
    <w:rsid w:val="0038427C"/>
    <w:rsid w:val="00384325"/>
    <w:rsid w:val="003849B5"/>
    <w:rsid w:val="0038523C"/>
    <w:rsid w:val="00385457"/>
    <w:rsid w:val="00386056"/>
    <w:rsid w:val="0038704B"/>
    <w:rsid w:val="00387819"/>
    <w:rsid w:val="0038790D"/>
    <w:rsid w:val="00387DF3"/>
    <w:rsid w:val="003901AD"/>
    <w:rsid w:val="0039099F"/>
    <w:rsid w:val="00390A86"/>
    <w:rsid w:val="00390F9E"/>
    <w:rsid w:val="00391369"/>
    <w:rsid w:val="00391BD5"/>
    <w:rsid w:val="00391D0A"/>
    <w:rsid w:val="00391FE8"/>
    <w:rsid w:val="00392143"/>
    <w:rsid w:val="00392810"/>
    <w:rsid w:val="00393407"/>
    <w:rsid w:val="0039356D"/>
    <w:rsid w:val="00393A05"/>
    <w:rsid w:val="003942D8"/>
    <w:rsid w:val="003952DA"/>
    <w:rsid w:val="00395417"/>
    <w:rsid w:val="003957F7"/>
    <w:rsid w:val="003957FB"/>
    <w:rsid w:val="00397320"/>
    <w:rsid w:val="00397552"/>
    <w:rsid w:val="00397735"/>
    <w:rsid w:val="003A0193"/>
    <w:rsid w:val="003A0AB3"/>
    <w:rsid w:val="003A1570"/>
    <w:rsid w:val="003A16D2"/>
    <w:rsid w:val="003A20F8"/>
    <w:rsid w:val="003A2331"/>
    <w:rsid w:val="003A2F74"/>
    <w:rsid w:val="003A3763"/>
    <w:rsid w:val="003A3836"/>
    <w:rsid w:val="003A40CF"/>
    <w:rsid w:val="003A43CD"/>
    <w:rsid w:val="003A503C"/>
    <w:rsid w:val="003A5214"/>
    <w:rsid w:val="003A58C8"/>
    <w:rsid w:val="003A5B39"/>
    <w:rsid w:val="003A6242"/>
    <w:rsid w:val="003A6B11"/>
    <w:rsid w:val="003A6DA9"/>
    <w:rsid w:val="003A76C3"/>
    <w:rsid w:val="003B0AEB"/>
    <w:rsid w:val="003B15A4"/>
    <w:rsid w:val="003B19CC"/>
    <w:rsid w:val="003B1CDE"/>
    <w:rsid w:val="003B1EF8"/>
    <w:rsid w:val="003B240C"/>
    <w:rsid w:val="003B2B51"/>
    <w:rsid w:val="003B2E3C"/>
    <w:rsid w:val="003B3D80"/>
    <w:rsid w:val="003B523A"/>
    <w:rsid w:val="003B57F1"/>
    <w:rsid w:val="003B6981"/>
    <w:rsid w:val="003B7CA1"/>
    <w:rsid w:val="003C0336"/>
    <w:rsid w:val="003C0382"/>
    <w:rsid w:val="003C0539"/>
    <w:rsid w:val="003C0FFF"/>
    <w:rsid w:val="003C1FA5"/>
    <w:rsid w:val="003C2A47"/>
    <w:rsid w:val="003C2F8A"/>
    <w:rsid w:val="003C3CA5"/>
    <w:rsid w:val="003C4FF2"/>
    <w:rsid w:val="003C5AF6"/>
    <w:rsid w:val="003C616E"/>
    <w:rsid w:val="003C7A62"/>
    <w:rsid w:val="003D0C7E"/>
    <w:rsid w:val="003D1300"/>
    <w:rsid w:val="003D1866"/>
    <w:rsid w:val="003D2BCC"/>
    <w:rsid w:val="003D2E7F"/>
    <w:rsid w:val="003D306F"/>
    <w:rsid w:val="003D387A"/>
    <w:rsid w:val="003D38B3"/>
    <w:rsid w:val="003D41CC"/>
    <w:rsid w:val="003D41D9"/>
    <w:rsid w:val="003D471D"/>
    <w:rsid w:val="003D5C3F"/>
    <w:rsid w:val="003D5F70"/>
    <w:rsid w:val="003D6360"/>
    <w:rsid w:val="003D7512"/>
    <w:rsid w:val="003D7880"/>
    <w:rsid w:val="003E047A"/>
    <w:rsid w:val="003E089E"/>
    <w:rsid w:val="003E1013"/>
    <w:rsid w:val="003E1240"/>
    <w:rsid w:val="003E1949"/>
    <w:rsid w:val="003E201B"/>
    <w:rsid w:val="003E2423"/>
    <w:rsid w:val="003E24A4"/>
    <w:rsid w:val="003E26A4"/>
    <w:rsid w:val="003E3812"/>
    <w:rsid w:val="003E45AB"/>
    <w:rsid w:val="003E49B3"/>
    <w:rsid w:val="003E5757"/>
    <w:rsid w:val="003E588A"/>
    <w:rsid w:val="003E58EF"/>
    <w:rsid w:val="003E65BA"/>
    <w:rsid w:val="003E722A"/>
    <w:rsid w:val="003F0AC7"/>
    <w:rsid w:val="003F0E03"/>
    <w:rsid w:val="003F0E42"/>
    <w:rsid w:val="003F11CF"/>
    <w:rsid w:val="003F1640"/>
    <w:rsid w:val="003F2267"/>
    <w:rsid w:val="003F2280"/>
    <w:rsid w:val="003F36D0"/>
    <w:rsid w:val="003F3713"/>
    <w:rsid w:val="003F3CD1"/>
    <w:rsid w:val="003F471A"/>
    <w:rsid w:val="003F4FC4"/>
    <w:rsid w:val="003F5018"/>
    <w:rsid w:val="003F604C"/>
    <w:rsid w:val="00400653"/>
    <w:rsid w:val="0040069A"/>
    <w:rsid w:val="0040079A"/>
    <w:rsid w:val="004010F6"/>
    <w:rsid w:val="00401404"/>
    <w:rsid w:val="0040220F"/>
    <w:rsid w:val="004027D3"/>
    <w:rsid w:val="00403595"/>
    <w:rsid w:val="004037FF"/>
    <w:rsid w:val="00404149"/>
    <w:rsid w:val="00404500"/>
    <w:rsid w:val="00404592"/>
    <w:rsid w:val="00405238"/>
    <w:rsid w:val="004055FE"/>
    <w:rsid w:val="00405B0F"/>
    <w:rsid w:val="00406678"/>
    <w:rsid w:val="004076C5"/>
    <w:rsid w:val="004079DE"/>
    <w:rsid w:val="00410B01"/>
    <w:rsid w:val="00411DEB"/>
    <w:rsid w:val="00411EFF"/>
    <w:rsid w:val="004121A0"/>
    <w:rsid w:val="0041243D"/>
    <w:rsid w:val="00412834"/>
    <w:rsid w:val="004141D8"/>
    <w:rsid w:val="00414B59"/>
    <w:rsid w:val="00415265"/>
    <w:rsid w:val="00415D32"/>
    <w:rsid w:val="00416351"/>
    <w:rsid w:val="004164B9"/>
    <w:rsid w:val="00416D09"/>
    <w:rsid w:val="00417196"/>
    <w:rsid w:val="004176F8"/>
    <w:rsid w:val="00417902"/>
    <w:rsid w:val="00420886"/>
    <w:rsid w:val="00420988"/>
    <w:rsid w:val="00420BBF"/>
    <w:rsid w:val="00421185"/>
    <w:rsid w:val="00421314"/>
    <w:rsid w:val="00421576"/>
    <w:rsid w:val="00422147"/>
    <w:rsid w:val="00422411"/>
    <w:rsid w:val="00422770"/>
    <w:rsid w:val="00422884"/>
    <w:rsid w:val="00422BD2"/>
    <w:rsid w:val="00422C2B"/>
    <w:rsid w:val="00423C72"/>
    <w:rsid w:val="00424F31"/>
    <w:rsid w:val="004258B8"/>
    <w:rsid w:val="00426697"/>
    <w:rsid w:val="00426BB7"/>
    <w:rsid w:val="00430259"/>
    <w:rsid w:val="0043111B"/>
    <w:rsid w:val="0043190D"/>
    <w:rsid w:val="00432A56"/>
    <w:rsid w:val="00432F57"/>
    <w:rsid w:val="00434589"/>
    <w:rsid w:val="00435C64"/>
    <w:rsid w:val="0043619A"/>
    <w:rsid w:val="00436486"/>
    <w:rsid w:val="00436909"/>
    <w:rsid w:val="004414B3"/>
    <w:rsid w:val="00441523"/>
    <w:rsid w:val="00441958"/>
    <w:rsid w:val="0044295A"/>
    <w:rsid w:val="00442E81"/>
    <w:rsid w:val="004431D8"/>
    <w:rsid w:val="00443AC5"/>
    <w:rsid w:val="00443CB8"/>
    <w:rsid w:val="00443DF3"/>
    <w:rsid w:val="00443E5E"/>
    <w:rsid w:val="00443E78"/>
    <w:rsid w:val="00443F47"/>
    <w:rsid w:val="00444014"/>
    <w:rsid w:val="0044498D"/>
    <w:rsid w:val="00445207"/>
    <w:rsid w:val="00445BE8"/>
    <w:rsid w:val="00445F32"/>
    <w:rsid w:val="0044657C"/>
    <w:rsid w:val="00446688"/>
    <w:rsid w:val="00446CDA"/>
    <w:rsid w:val="004472D7"/>
    <w:rsid w:val="00447805"/>
    <w:rsid w:val="00450B24"/>
    <w:rsid w:val="00451492"/>
    <w:rsid w:val="004521DD"/>
    <w:rsid w:val="0045243A"/>
    <w:rsid w:val="00452B01"/>
    <w:rsid w:val="0045322E"/>
    <w:rsid w:val="00454325"/>
    <w:rsid w:val="00455444"/>
    <w:rsid w:val="004555A0"/>
    <w:rsid w:val="00455743"/>
    <w:rsid w:val="00455ACB"/>
    <w:rsid w:val="00457291"/>
    <w:rsid w:val="004579D0"/>
    <w:rsid w:val="00457DAE"/>
    <w:rsid w:val="00460451"/>
    <w:rsid w:val="00460DFE"/>
    <w:rsid w:val="00462689"/>
    <w:rsid w:val="00462E06"/>
    <w:rsid w:val="004630D1"/>
    <w:rsid w:val="00463BAD"/>
    <w:rsid w:val="00464018"/>
    <w:rsid w:val="00464112"/>
    <w:rsid w:val="00464C60"/>
    <w:rsid w:val="00465F85"/>
    <w:rsid w:val="00466CF6"/>
    <w:rsid w:val="00467E08"/>
    <w:rsid w:val="00467EF0"/>
    <w:rsid w:val="00467F52"/>
    <w:rsid w:val="0047085F"/>
    <w:rsid w:val="00470D66"/>
    <w:rsid w:val="00470FA8"/>
    <w:rsid w:val="00472800"/>
    <w:rsid w:val="00472884"/>
    <w:rsid w:val="004729D7"/>
    <w:rsid w:val="00472E7C"/>
    <w:rsid w:val="00473A69"/>
    <w:rsid w:val="0047450D"/>
    <w:rsid w:val="004750D9"/>
    <w:rsid w:val="00475264"/>
    <w:rsid w:val="00475B0E"/>
    <w:rsid w:val="00475D5D"/>
    <w:rsid w:val="00476E67"/>
    <w:rsid w:val="004774BC"/>
    <w:rsid w:val="00477844"/>
    <w:rsid w:val="004778C3"/>
    <w:rsid w:val="00477C72"/>
    <w:rsid w:val="00480476"/>
    <w:rsid w:val="004811BC"/>
    <w:rsid w:val="004813F1"/>
    <w:rsid w:val="00481E78"/>
    <w:rsid w:val="00482522"/>
    <w:rsid w:val="00483AE9"/>
    <w:rsid w:val="00484783"/>
    <w:rsid w:val="00484A20"/>
    <w:rsid w:val="004850B4"/>
    <w:rsid w:val="004850F5"/>
    <w:rsid w:val="00485FEF"/>
    <w:rsid w:val="004869FE"/>
    <w:rsid w:val="00486AF8"/>
    <w:rsid w:val="004873D8"/>
    <w:rsid w:val="00487838"/>
    <w:rsid w:val="00490060"/>
    <w:rsid w:val="00490563"/>
    <w:rsid w:val="004915C6"/>
    <w:rsid w:val="00491C09"/>
    <w:rsid w:val="004924B9"/>
    <w:rsid w:val="00492C52"/>
    <w:rsid w:val="00493200"/>
    <w:rsid w:val="00493268"/>
    <w:rsid w:val="004934DF"/>
    <w:rsid w:val="0049356B"/>
    <w:rsid w:val="00493745"/>
    <w:rsid w:val="00494021"/>
    <w:rsid w:val="004942DB"/>
    <w:rsid w:val="00494E82"/>
    <w:rsid w:val="00495751"/>
    <w:rsid w:val="00495AAA"/>
    <w:rsid w:val="00495E8B"/>
    <w:rsid w:val="00496D3C"/>
    <w:rsid w:val="004975AF"/>
    <w:rsid w:val="0049796C"/>
    <w:rsid w:val="004A009E"/>
    <w:rsid w:val="004A11DA"/>
    <w:rsid w:val="004A1F19"/>
    <w:rsid w:val="004A3E18"/>
    <w:rsid w:val="004A4100"/>
    <w:rsid w:val="004A415B"/>
    <w:rsid w:val="004A45AB"/>
    <w:rsid w:val="004A4CBD"/>
    <w:rsid w:val="004A57F5"/>
    <w:rsid w:val="004A5F0F"/>
    <w:rsid w:val="004A7176"/>
    <w:rsid w:val="004A742B"/>
    <w:rsid w:val="004A7538"/>
    <w:rsid w:val="004B08B6"/>
    <w:rsid w:val="004B194F"/>
    <w:rsid w:val="004B1EE4"/>
    <w:rsid w:val="004B3131"/>
    <w:rsid w:val="004B316E"/>
    <w:rsid w:val="004B343D"/>
    <w:rsid w:val="004B3A70"/>
    <w:rsid w:val="004B3DBD"/>
    <w:rsid w:val="004B41E7"/>
    <w:rsid w:val="004B4BD3"/>
    <w:rsid w:val="004B5182"/>
    <w:rsid w:val="004B51ED"/>
    <w:rsid w:val="004B52AC"/>
    <w:rsid w:val="004B6477"/>
    <w:rsid w:val="004B6638"/>
    <w:rsid w:val="004B6EB3"/>
    <w:rsid w:val="004B6F7D"/>
    <w:rsid w:val="004B79CE"/>
    <w:rsid w:val="004B7E1A"/>
    <w:rsid w:val="004C0160"/>
    <w:rsid w:val="004C03E2"/>
    <w:rsid w:val="004C158A"/>
    <w:rsid w:val="004C1F2B"/>
    <w:rsid w:val="004C263E"/>
    <w:rsid w:val="004C4477"/>
    <w:rsid w:val="004C4DA7"/>
    <w:rsid w:val="004C4F3A"/>
    <w:rsid w:val="004C54F8"/>
    <w:rsid w:val="004C58E9"/>
    <w:rsid w:val="004C5D51"/>
    <w:rsid w:val="004C5F7B"/>
    <w:rsid w:val="004C687B"/>
    <w:rsid w:val="004C68B4"/>
    <w:rsid w:val="004C6A76"/>
    <w:rsid w:val="004C7B65"/>
    <w:rsid w:val="004D0552"/>
    <w:rsid w:val="004D06F1"/>
    <w:rsid w:val="004D0798"/>
    <w:rsid w:val="004D1489"/>
    <w:rsid w:val="004D18B5"/>
    <w:rsid w:val="004D1D11"/>
    <w:rsid w:val="004D2324"/>
    <w:rsid w:val="004D277A"/>
    <w:rsid w:val="004D372B"/>
    <w:rsid w:val="004D3D6B"/>
    <w:rsid w:val="004D4516"/>
    <w:rsid w:val="004D46D1"/>
    <w:rsid w:val="004D4B8B"/>
    <w:rsid w:val="004D50C5"/>
    <w:rsid w:val="004D54BC"/>
    <w:rsid w:val="004D6373"/>
    <w:rsid w:val="004D6C7C"/>
    <w:rsid w:val="004D797E"/>
    <w:rsid w:val="004E01E5"/>
    <w:rsid w:val="004E095D"/>
    <w:rsid w:val="004E10A2"/>
    <w:rsid w:val="004E10EF"/>
    <w:rsid w:val="004E218D"/>
    <w:rsid w:val="004E26E9"/>
    <w:rsid w:val="004E2C9A"/>
    <w:rsid w:val="004E5195"/>
    <w:rsid w:val="004E5A69"/>
    <w:rsid w:val="004E637A"/>
    <w:rsid w:val="004E63D8"/>
    <w:rsid w:val="004E66F2"/>
    <w:rsid w:val="004E7272"/>
    <w:rsid w:val="004F012C"/>
    <w:rsid w:val="004F0C48"/>
    <w:rsid w:val="004F122B"/>
    <w:rsid w:val="004F183C"/>
    <w:rsid w:val="004F1D58"/>
    <w:rsid w:val="004F2DFA"/>
    <w:rsid w:val="004F309C"/>
    <w:rsid w:val="004F329C"/>
    <w:rsid w:val="004F381B"/>
    <w:rsid w:val="004F3BC7"/>
    <w:rsid w:val="004F3F7E"/>
    <w:rsid w:val="004F41AA"/>
    <w:rsid w:val="004F46FA"/>
    <w:rsid w:val="004F4B52"/>
    <w:rsid w:val="004F51D5"/>
    <w:rsid w:val="004F533D"/>
    <w:rsid w:val="004F53A2"/>
    <w:rsid w:val="004F5879"/>
    <w:rsid w:val="004F58D7"/>
    <w:rsid w:val="004F6ACD"/>
    <w:rsid w:val="004F7829"/>
    <w:rsid w:val="004F7BFE"/>
    <w:rsid w:val="0050028F"/>
    <w:rsid w:val="00500653"/>
    <w:rsid w:val="00501B83"/>
    <w:rsid w:val="005029E5"/>
    <w:rsid w:val="00503184"/>
    <w:rsid w:val="00503631"/>
    <w:rsid w:val="005039F5"/>
    <w:rsid w:val="00503D06"/>
    <w:rsid w:val="005048A9"/>
    <w:rsid w:val="00504CD9"/>
    <w:rsid w:val="00505AB5"/>
    <w:rsid w:val="00506311"/>
    <w:rsid w:val="005068F8"/>
    <w:rsid w:val="00506FB0"/>
    <w:rsid w:val="0050705E"/>
    <w:rsid w:val="005102CD"/>
    <w:rsid w:val="005102D7"/>
    <w:rsid w:val="0051056F"/>
    <w:rsid w:val="00510AE3"/>
    <w:rsid w:val="00510F35"/>
    <w:rsid w:val="00510F7A"/>
    <w:rsid w:val="0051249D"/>
    <w:rsid w:val="005126C7"/>
    <w:rsid w:val="0051343F"/>
    <w:rsid w:val="005140FE"/>
    <w:rsid w:val="00515201"/>
    <w:rsid w:val="005153F7"/>
    <w:rsid w:val="0051632D"/>
    <w:rsid w:val="00516F69"/>
    <w:rsid w:val="0051780B"/>
    <w:rsid w:val="00517DAF"/>
    <w:rsid w:val="0052071F"/>
    <w:rsid w:val="00520E24"/>
    <w:rsid w:val="00521026"/>
    <w:rsid w:val="00521119"/>
    <w:rsid w:val="005224CC"/>
    <w:rsid w:val="00522A86"/>
    <w:rsid w:val="00523165"/>
    <w:rsid w:val="00523289"/>
    <w:rsid w:val="00523C9E"/>
    <w:rsid w:val="005240D5"/>
    <w:rsid w:val="00524D59"/>
    <w:rsid w:val="00526078"/>
    <w:rsid w:val="00526C8E"/>
    <w:rsid w:val="00526ED0"/>
    <w:rsid w:val="00527511"/>
    <w:rsid w:val="005311F1"/>
    <w:rsid w:val="005314CB"/>
    <w:rsid w:val="005317D3"/>
    <w:rsid w:val="00532146"/>
    <w:rsid w:val="0053269F"/>
    <w:rsid w:val="00533480"/>
    <w:rsid w:val="0053349F"/>
    <w:rsid w:val="005335C3"/>
    <w:rsid w:val="00534C37"/>
    <w:rsid w:val="005351F9"/>
    <w:rsid w:val="005361A8"/>
    <w:rsid w:val="0053661A"/>
    <w:rsid w:val="00536C3B"/>
    <w:rsid w:val="00536F1D"/>
    <w:rsid w:val="0053792D"/>
    <w:rsid w:val="0054019C"/>
    <w:rsid w:val="005406BB"/>
    <w:rsid w:val="00540D09"/>
    <w:rsid w:val="00541F9B"/>
    <w:rsid w:val="00542059"/>
    <w:rsid w:val="005421C8"/>
    <w:rsid w:val="005422B7"/>
    <w:rsid w:val="005426CE"/>
    <w:rsid w:val="0054299E"/>
    <w:rsid w:val="00542C7A"/>
    <w:rsid w:val="00543262"/>
    <w:rsid w:val="00543450"/>
    <w:rsid w:val="005444A9"/>
    <w:rsid w:val="0054453F"/>
    <w:rsid w:val="00544DA7"/>
    <w:rsid w:val="00544F1E"/>
    <w:rsid w:val="0054689B"/>
    <w:rsid w:val="00546A66"/>
    <w:rsid w:val="005470C9"/>
    <w:rsid w:val="0055101E"/>
    <w:rsid w:val="005513F3"/>
    <w:rsid w:val="00551ACE"/>
    <w:rsid w:val="00552C97"/>
    <w:rsid w:val="00553753"/>
    <w:rsid w:val="00553A01"/>
    <w:rsid w:val="00554822"/>
    <w:rsid w:val="00555192"/>
    <w:rsid w:val="00555810"/>
    <w:rsid w:val="005560F1"/>
    <w:rsid w:val="0055638C"/>
    <w:rsid w:val="00557E31"/>
    <w:rsid w:val="00560355"/>
    <w:rsid w:val="00560483"/>
    <w:rsid w:val="00560EAB"/>
    <w:rsid w:val="0056131C"/>
    <w:rsid w:val="005618F9"/>
    <w:rsid w:val="00561E75"/>
    <w:rsid w:val="0056206C"/>
    <w:rsid w:val="005634DD"/>
    <w:rsid w:val="00563645"/>
    <w:rsid w:val="00563F2E"/>
    <w:rsid w:val="005643EB"/>
    <w:rsid w:val="00565340"/>
    <w:rsid w:val="0056560B"/>
    <w:rsid w:val="00565637"/>
    <w:rsid w:val="0056573B"/>
    <w:rsid w:val="00565A95"/>
    <w:rsid w:val="00567318"/>
    <w:rsid w:val="00567F4A"/>
    <w:rsid w:val="00570C87"/>
    <w:rsid w:val="00573465"/>
    <w:rsid w:val="00573619"/>
    <w:rsid w:val="00573710"/>
    <w:rsid w:val="00573B52"/>
    <w:rsid w:val="00573E0A"/>
    <w:rsid w:val="00573E21"/>
    <w:rsid w:val="00573F0D"/>
    <w:rsid w:val="00574265"/>
    <w:rsid w:val="00575211"/>
    <w:rsid w:val="00575784"/>
    <w:rsid w:val="00575BF1"/>
    <w:rsid w:val="0057634A"/>
    <w:rsid w:val="005771B8"/>
    <w:rsid w:val="0057721C"/>
    <w:rsid w:val="005778E9"/>
    <w:rsid w:val="005779CB"/>
    <w:rsid w:val="005809FD"/>
    <w:rsid w:val="00580C46"/>
    <w:rsid w:val="005815EB"/>
    <w:rsid w:val="00581A42"/>
    <w:rsid w:val="00581A90"/>
    <w:rsid w:val="00582EE7"/>
    <w:rsid w:val="00583A81"/>
    <w:rsid w:val="00585378"/>
    <w:rsid w:val="0058543C"/>
    <w:rsid w:val="00585476"/>
    <w:rsid w:val="005863B8"/>
    <w:rsid w:val="005871CB"/>
    <w:rsid w:val="00587CAD"/>
    <w:rsid w:val="00587E7E"/>
    <w:rsid w:val="005906D6"/>
    <w:rsid w:val="005914E5"/>
    <w:rsid w:val="005916C3"/>
    <w:rsid w:val="0059218C"/>
    <w:rsid w:val="005929E2"/>
    <w:rsid w:val="00592ABC"/>
    <w:rsid w:val="00592E74"/>
    <w:rsid w:val="00593241"/>
    <w:rsid w:val="00593260"/>
    <w:rsid w:val="00594781"/>
    <w:rsid w:val="00595A9C"/>
    <w:rsid w:val="00596133"/>
    <w:rsid w:val="0059650B"/>
    <w:rsid w:val="00596B13"/>
    <w:rsid w:val="00596BB5"/>
    <w:rsid w:val="00597485"/>
    <w:rsid w:val="005A0B32"/>
    <w:rsid w:val="005A11C0"/>
    <w:rsid w:val="005A3019"/>
    <w:rsid w:val="005A3040"/>
    <w:rsid w:val="005A30DD"/>
    <w:rsid w:val="005A3140"/>
    <w:rsid w:val="005A3E4B"/>
    <w:rsid w:val="005A530F"/>
    <w:rsid w:val="005A5444"/>
    <w:rsid w:val="005A74BC"/>
    <w:rsid w:val="005A74F1"/>
    <w:rsid w:val="005A786D"/>
    <w:rsid w:val="005A7E84"/>
    <w:rsid w:val="005B0204"/>
    <w:rsid w:val="005B0A11"/>
    <w:rsid w:val="005B1530"/>
    <w:rsid w:val="005B18A6"/>
    <w:rsid w:val="005B28E2"/>
    <w:rsid w:val="005B2EAF"/>
    <w:rsid w:val="005B2EBC"/>
    <w:rsid w:val="005B3433"/>
    <w:rsid w:val="005B379D"/>
    <w:rsid w:val="005B4412"/>
    <w:rsid w:val="005B4A9A"/>
    <w:rsid w:val="005B5D79"/>
    <w:rsid w:val="005B71DC"/>
    <w:rsid w:val="005B7263"/>
    <w:rsid w:val="005B754B"/>
    <w:rsid w:val="005B77A8"/>
    <w:rsid w:val="005B7CDB"/>
    <w:rsid w:val="005C04E3"/>
    <w:rsid w:val="005C0779"/>
    <w:rsid w:val="005C11F3"/>
    <w:rsid w:val="005C18AA"/>
    <w:rsid w:val="005C2773"/>
    <w:rsid w:val="005C2C1F"/>
    <w:rsid w:val="005C2F6A"/>
    <w:rsid w:val="005C569C"/>
    <w:rsid w:val="005C5FE4"/>
    <w:rsid w:val="005C71C5"/>
    <w:rsid w:val="005C7AF4"/>
    <w:rsid w:val="005D0A1B"/>
    <w:rsid w:val="005D0DA0"/>
    <w:rsid w:val="005D223B"/>
    <w:rsid w:val="005D25FA"/>
    <w:rsid w:val="005D2BF7"/>
    <w:rsid w:val="005D308B"/>
    <w:rsid w:val="005D3339"/>
    <w:rsid w:val="005D3536"/>
    <w:rsid w:val="005D3CEB"/>
    <w:rsid w:val="005D41A5"/>
    <w:rsid w:val="005D5A9D"/>
    <w:rsid w:val="005D5D71"/>
    <w:rsid w:val="005D6CE2"/>
    <w:rsid w:val="005E071D"/>
    <w:rsid w:val="005E11CD"/>
    <w:rsid w:val="005E32EE"/>
    <w:rsid w:val="005E4112"/>
    <w:rsid w:val="005E4725"/>
    <w:rsid w:val="005E4BC1"/>
    <w:rsid w:val="005E4BC4"/>
    <w:rsid w:val="005E5EC3"/>
    <w:rsid w:val="005E6553"/>
    <w:rsid w:val="005E74A3"/>
    <w:rsid w:val="005F00FE"/>
    <w:rsid w:val="005F04F6"/>
    <w:rsid w:val="005F0613"/>
    <w:rsid w:val="005F0B9F"/>
    <w:rsid w:val="005F39F8"/>
    <w:rsid w:val="005F5070"/>
    <w:rsid w:val="005F5429"/>
    <w:rsid w:val="005F55CD"/>
    <w:rsid w:val="005F5F42"/>
    <w:rsid w:val="005F69E8"/>
    <w:rsid w:val="006002DF"/>
    <w:rsid w:val="00600E71"/>
    <w:rsid w:val="00601FAC"/>
    <w:rsid w:val="006021ED"/>
    <w:rsid w:val="006024EC"/>
    <w:rsid w:val="00602CFC"/>
    <w:rsid w:val="00602D21"/>
    <w:rsid w:val="00603AB1"/>
    <w:rsid w:val="00603E62"/>
    <w:rsid w:val="00604B87"/>
    <w:rsid w:val="00605089"/>
    <w:rsid w:val="0060550C"/>
    <w:rsid w:val="006063B9"/>
    <w:rsid w:val="006065A9"/>
    <w:rsid w:val="00607702"/>
    <w:rsid w:val="006079CD"/>
    <w:rsid w:val="00607B41"/>
    <w:rsid w:val="00611113"/>
    <w:rsid w:val="0061230F"/>
    <w:rsid w:val="006127B4"/>
    <w:rsid w:val="00612857"/>
    <w:rsid w:val="00612B75"/>
    <w:rsid w:val="00612CEC"/>
    <w:rsid w:val="0061310C"/>
    <w:rsid w:val="00613879"/>
    <w:rsid w:val="006138E5"/>
    <w:rsid w:val="0061422C"/>
    <w:rsid w:val="00614844"/>
    <w:rsid w:val="00615856"/>
    <w:rsid w:val="006159AC"/>
    <w:rsid w:val="00615C7C"/>
    <w:rsid w:val="00615C89"/>
    <w:rsid w:val="00616356"/>
    <w:rsid w:val="00616860"/>
    <w:rsid w:val="00616BCA"/>
    <w:rsid w:val="00616F58"/>
    <w:rsid w:val="0062039E"/>
    <w:rsid w:val="00620CCF"/>
    <w:rsid w:val="0062149C"/>
    <w:rsid w:val="006216C3"/>
    <w:rsid w:val="00622004"/>
    <w:rsid w:val="00623B3E"/>
    <w:rsid w:val="0062422F"/>
    <w:rsid w:val="00625001"/>
    <w:rsid w:val="00625653"/>
    <w:rsid w:val="00626046"/>
    <w:rsid w:val="00626088"/>
    <w:rsid w:val="00626263"/>
    <w:rsid w:val="00626524"/>
    <w:rsid w:val="006303C7"/>
    <w:rsid w:val="00630EF4"/>
    <w:rsid w:val="00631067"/>
    <w:rsid w:val="00631BB5"/>
    <w:rsid w:val="00631CFC"/>
    <w:rsid w:val="00631DB5"/>
    <w:rsid w:val="00632D2A"/>
    <w:rsid w:val="00632D36"/>
    <w:rsid w:val="00633E03"/>
    <w:rsid w:val="006340DA"/>
    <w:rsid w:val="006343B3"/>
    <w:rsid w:val="00634535"/>
    <w:rsid w:val="00634AE7"/>
    <w:rsid w:val="0063543C"/>
    <w:rsid w:val="00635612"/>
    <w:rsid w:val="00636363"/>
    <w:rsid w:val="00636E71"/>
    <w:rsid w:val="006373A4"/>
    <w:rsid w:val="00637C1C"/>
    <w:rsid w:val="00637E2E"/>
    <w:rsid w:val="00640421"/>
    <w:rsid w:val="00640648"/>
    <w:rsid w:val="0064295C"/>
    <w:rsid w:val="006435EB"/>
    <w:rsid w:val="00643B82"/>
    <w:rsid w:val="00643EFA"/>
    <w:rsid w:val="00644056"/>
    <w:rsid w:val="00644CD7"/>
    <w:rsid w:val="00644D97"/>
    <w:rsid w:val="00646612"/>
    <w:rsid w:val="00646FBA"/>
    <w:rsid w:val="00647B3A"/>
    <w:rsid w:val="00650691"/>
    <w:rsid w:val="006506A1"/>
    <w:rsid w:val="00651FB8"/>
    <w:rsid w:val="00652152"/>
    <w:rsid w:val="00652884"/>
    <w:rsid w:val="006530EA"/>
    <w:rsid w:val="00655089"/>
    <w:rsid w:val="0065548C"/>
    <w:rsid w:val="0065582B"/>
    <w:rsid w:val="00655843"/>
    <w:rsid w:val="00655B4E"/>
    <w:rsid w:val="0066013F"/>
    <w:rsid w:val="00660183"/>
    <w:rsid w:val="00660392"/>
    <w:rsid w:val="00660647"/>
    <w:rsid w:val="00660A23"/>
    <w:rsid w:val="00661E96"/>
    <w:rsid w:val="00662136"/>
    <w:rsid w:val="006636A1"/>
    <w:rsid w:val="00663C1D"/>
    <w:rsid w:val="00663FE7"/>
    <w:rsid w:val="006650DD"/>
    <w:rsid w:val="00666470"/>
    <w:rsid w:val="00667BFC"/>
    <w:rsid w:val="0067066D"/>
    <w:rsid w:val="00672602"/>
    <w:rsid w:val="00672657"/>
    <w:rsid w:val="0067296B"/>
    <w:rsid w:val="006734FA"/>
    <w:rsid w:val="0067394F"/>
    <w:rsid w:val="00673F96"/>
    <w:rsid w:val="0067403F"/>
    <w:rsid w:val="0067438E"/>
    <w:rsid w:val="0067565C"/>
    <w:rsid w:val="006756F0"/>
    <w:rsid w:val="00675730"/>
    <w:rsid w:val="00675841"/>
    <w:rsid w:val="00675A73"/>
    <w:rsid w:val="00676256"/>
    <w:rsid w:val="006762A3"/>
    <w:rsid w:val="00676FA0"/>
    <w:rsid w:val="00676FF4"/>
    <w:rsid w:val="0067707E"/>
    <w:rsid w:val="006771FE"/>
    <w:rsid w:val="00677455"/>
    <w:rsid w:val="006800DD"/>
    <w:rsid w:val="00680821"/>
    <w:rsid w:val="006816CC"/>
    <w:rsid w:val="00681A3F"/>
    <w:rsid w:val="0068230B"/>
    <w:rsid w:val="00682BAD"/>
    <w:rsid w:val="00683B09"/>
    <w:rsid w:val="00684368"/>
    <w:rsid w:val="00684998"/>
    <w:rsid w:val="00685FE0"/>
    <w:rsid w:val="006863EA"/>
    <w:rsid w:val="00686A7D"/>
    <w:rsid w:val="00686EF9"/>
    <w:rsid w:val="006874AE"/>
    <w:rsid w:val="00687C4B"/>
    <w:rsid w:val="00687D35"/>
    <w:rsid w:val="00690740"/>
    <w:rsid w:val="00690E2E"/>
    <w:rsid w:val="006917D3"/>
    <w:rsid w:val="00691CF7"/>
    <w:rsid w:val="00691D29"/>
    <w:rsid w:val="006922EB"/>
    <w:rsid w:val="00692CA8"/>
    <w:rsid w:val="00692E17"/>
    <w:rsid w:val="0069335D"/>
    <w:rsid w:val="0069388F"/>
    <w:rsid w:val="00693D69"/>
    <w:rsid w:val="00694611"/>
    <w:rsid w:val="00694D79"/>
    <w:rsid w:val="0069543B"/>
    <w:rsid w:val="00696264"/>
    <w:rsid w:val="0069650E"/>
    <w:rsid w:val="0069660D"/>
    <w:rsid w:val="00696960"/>
    <w:rsid w:val="00696996"/>
    <w:rsid w:val="00697CB3"/>
    <w:rsid w:val="006A00B0"/>
    <w:rsid w:val="006A00E2"/>
    <w:rsid w:val="006A05A0"/>
    <w:rsid w:val="006A0EBC"/>
    <w:rsid w:val="006A18CE"/>
    <w:rsid w:val="006A22B2"/>
    <w:rsid w:val="006A234D"/>
    <w:rsid w:val="006A280F"/>
    <w:rsid w:val="006A2D88"/>
    <w:rsid w:val="006A2E56"/>
    <w:rsid w:val="006A38E7"/>
    <w:rsid w:val="006A3DE4"/>
    <w:rsid w:val="006A42E7"/>
    <w:rsid w:val="006A43BB"/>
    <w:rsid w:val="006A5FEA"/>
    <w:rsid w:val="006A6628"/>
    <w:rsid w:val="006A7388"/>
    <w:rsid w:val="006A77E4"/>
    <w:rsid w:val="006A7DDF"/>
    <w:rsid w:val="006B0061"/>
    <w:rsid w:val="006B022E"/>
    <w:rsid w:val="006B08F7"/>
    <w:rsid w:val="006B1605"/>
    <w:rsid w:val="006B207A"/>
    <w:rsid w:val="006B2526"/>
    <w:rsid w:val="006B2B77"/>
    <w:rsid w:val="006B44FF"/>
    <w:rsid w:val="006B458C"/>
    <w:rsid w:val="006B45C0"/>
    <w:rsid w:val="006B484E"/>
    <w:rsid w:val="006B4E84"/>
    <w:rsid w:val="006B576E"/>
    <w:rsid w:val="006B5F57"/>
    <w:rsid w:val="006B614B"/>
    <w:rsid w:val="006B7A83"/>
    <w:rsid w:val="006B7B1E"/>
    <w:rsid w:val="006B7D3F"/>
    <w:rsid w:val="006C04C2"/>
    <w:rsid w:val="006C0F62"/>
    <w:rsid w:val="006C14B4"/>
    <w:rsid w:val="006C1C61"/>
    <w:rsid w:val="006C2194"/>
    <w:rsid w:val="006C37E7"/>
    <w:rsid w:val="006C39D0"/>
    <w:rsid w:val="006C46E0"/>
    <w:rsid w:val="006C4A9D"/>
    <w:rsid w:val="006C4FFA"/>
    <w:rsid w:val="006C5576"/>
    <w:rsid w:val="006C6922"/>
    <w:rsid w:val="006C6CB1"/>
    <w:rsid w:val="006C70A2"/>
    <w:rsid w:val="006C77BD"/>
    <w:rsid w:val="006C7FC4"/>
    <w:rsid w:val="006D071B"/>
    <w:rsid w:val="006D0803"/>
    <w:rsid w:val="006D0BBE"/>
    <w:rsid w:val="006D146E"/>
    <w:rsid w:val="006D1DAD"/>
    <w:rsid w:val="006D21DA"/>
    <w:rsid w:val="006D3057"/>
    <w:rsid w:val="006D669E"/>
    <w:rsid w:val="006D67D3"/>
    <w:rsid w:val="006D6C52"/>
    <w:rsid w:val="006D71C9"/>
    <w:rsid w:val="006E0064"/>
    <w:rsid w:val="006E0335"/>
    <w:rsid w:val="006E05F8"/>
    <w:rsid w:val="006E0657"/>
    <w:rsid w:val="006E065E"/>
    <w:rsid w:val="006E0694"/>
    <w:rsid w:val="006E0B2D"/>
    <w:rsid w:val="006E18E8"/>
    <w:rsid w:val="006E224C"/>
    <w:rsid w:val="006E267F"/>
    <w:rsid w:val="006E26AD"/>
    <w:rsid w:val="006E32DB"/>
    <w:rsid w:val="006E3EFF"/>
    <w:rsid w:val="006E48FF"/>
    <w:rsid w:val="006E499D"/>
    <w:rsid w:val="006E5DB0"/>
    <w:rsid w:val="006E6391"/>
    <w:rsid w:val="006E66D2"/>
    <w:rsid w:val="006E6DCE"/>
    <w:rsid w:val="006E7BA0"/>
    <w:rsid w:val="006E7CDD"/>
    <w:rsid w:val="006F03FD"/>
    <w:rsid w:val="006F05EC"/>
    <w:rsid w:val="006F32CD"/>
    <w:rsid w:val="006F406E"/>
    <w:rsid w:val="006F4132"/>
    <w:rsid w:val="006F494B"/>
    <w:rsid w:val="006F50F6"/>
    <w:rsid w:val="006F5634"/>
    <w:rsid w:val="006F58BE"/>
    <w:rsid w:val="006F5B7D"/>
    <w:rsid w:val="006F6016"/>
    <w:rsid w:val="006F6E3E"/>
    <w:rsid w:val="006F72FA"/>
    <w:rsid w:val="006F7745"/>
    <w:rsid w:val="006F7B7B"/>
    <w:rsid w:val="00700EF4"/>
    <w:rsid w:val="0070142E"/>
    <w:rsid w:val="00701475"/>
    <w:rsid w:val="00701AF0"/>
    <w:rsid w:val="00702570"/>
    <w:rsid w:val="00702A2E"/>
    <w:rsid w:val="00702F35"/>
    <w:rsid w:val="00703654"/>
    <w:rsid w:val="00703889"/>
    <w:rsid w:val="00703CB0"/>
    <w:rsid w:val="00703CCF"/>
    <w:rsid w:val="0070439B"/>
    <w:rsid w:val="00704AF3"/>
    <w:rsid w:val="00705958"/>
    <w:rsid w:val="00705A19"/>
    <w:rsid w:val="00706000"/>
    <w:rsid w:val="00706381"/>
    <w:rsid w:val="0070679A"/>
    <w:rsid w:val="00707B62"/>
    <w:rsid w:val="00707E48"/>
    <w:rsid w:val="00710DCB"/>
    <w:rsid w:val="007120EB"/>
    <w:rsid w:val="00712291"/>
    <w:rsid w:val="00712681"/>
    <w:rsid w:val="007126F0"/>
    <w:rsid w:val="007127F3"/>
    <w:rsid w:val="00712C31"/>
    <w:rsid w:val="00712EEC"/>
    <w:rsid w:val="007138C7"/>
    <w:rsid w:val="00714BDE"/>
    <w:rsid w:val="00714DE0"/>
    <w:rsid w:val="00714F30"/>
    <w:rsid w:val="007153A0"/>
    <w:rsid w:val="00715659"/>
    <w:rsid w:val="0071602A"/>
    <w:rsid w:val="00716945"/>
    <w:rsid w:val="00717302"/>
    <w:rsid w:val="00717A8F"/>
    <w:rsid w:val="00717F96"/>
    <w:rsid w:val="00720698"/>
    <w:rsid w:val="00720A5A"/>
    <w:rsid w:val="00720CD3"/>
    <w:rsid w:val="0072175B"/>
    <w:rsid w:val="00722D1B"/>
    <w:rsid w:val="0072344E"/>
    <w:rsid w:val="00723C56"/>
    <w:rsid w:val="00723F13"/>
    <w:rsid w:val="00725485"/>
    <w:rsid w:val="00725801"/>
    <w:rsid w:val="007265A7"/>
    <w:rsid w:val="00726A28"/>
    <w:rsid w:val="0073009A"/>
    <w:rsid w:val="007309F7"/>
    <w:rsid w:val="00730AFB"/>
    <w:rsid w:val="007312A2"/>
    <w:rsid w:val="00731894"/>
    <w:rsid w:val="00731954"/>
    <w:rsid w:val="00731A7F"/>
    <w:rsid w:val="007337A0"/>
    <w:rsid w:val="007348D8"/>
    <w:rsid w:val="00735060"/>
    <w:rsid w:val="00735F82"/>
    <w:rsid w:val="00736C6C"/>
    <w:rsid w:val="00736E8A"/>
    <w:rsid w:val="00737205"/>
    <w:rsid w:val="0073728F"/>
    <w:rsid w:val="00737E8A"/>
    <w:rsid w:val="00740EB2"/>
    <w:rsid w:val="00741878"/>
    <w:rsid w:val="00741D60"/>
    <w:rsid w:val="007420D5"/>
    <w:rsid w:val="00742B26"/>
    <w:rsid w:val="0074439A"/>
    <w:rsid w:val="00744409"/>
    <w:rsid w:val="007446AE"/>
    <w:rsid w:val="00744A15"/>
    <w:rsid w:val="00745ABE"/>
    <w:rsid w:val="00745D16"/>
    <w:rsid w:val="0074721B"/>
    <w:rsid w:val="0074788B"/>
    <w:rsid w:val="00750456"/>
    <w:rsid w:val="00750586"/>
    <w:rsid w:val="007516B2"/>
    <w:rsid w:val="007518A1"/>
    <w:rsid w:val="00751CF2"/>
    <w:rsid w:val="007520B0"/>
    <w:rsid w:val="00752512"/>
    <w:rsid w:val="00753423"/>
    <w:rsid w:val="00753661"/>
    <w:rsid w:val="00753B35"/>
    <w:rsid w:val="00753E1A"/>
    <w:rsid w:val="0075404F"/>
    <w:rsid w:val="0075438E"/>
    <w:rsid w:val="00754C34"/>
    <w:rsid w:val="00754D9B"/>
    <w:rsid w:val="007550B5"/>
    <w:rsid w:val="007556A7"/>
    <w:rsid w:val="0075667C"/>
    <w:rsid w:val="007566BE"/>
    <w:rsid w:val="00756A41"/>
    <w:rsid w:val="00756C62"/>
    <w:rsid w:val="007570F6"/>
    <w:rsid w:val="007572AD"/>
    <w:rsid w:val="0075741D"/>
    <w:rsid w:val="0075742E"/>
    <w:rsid w:val="007574DC"/>
    <w:rsid w:val="0075775B"/>
    <w:rsid w:val="00760E8E"/>
    <w:rsid w:val="00761270"/>
    <w:rsid w:val="0076192F"/>
    <w:rsid w:val="00762054"/>
    <w:rsid w:val="0076234B"/>
    <w:rsid w:val="00763097"/>
    <w:rsid w:val="00763131"/>
    <w:rsid w:val="00763D72"/>
    <w:rsid w:val="00764694"/>
    <w:rsid w:val="00764DDA"/>
    <w:rsid w:val="007651A7"/>
    <w:rsid w:val="007654C4"/>
    <w:rsid w:val="00765E85"/>
    <w:rsid w:val="00766B32"/>
    <w:rsid w:val="0076737F"/>
    <w:rsid w:val="00770552"/>
    <w:rsid w:val="00770BD6"/>
    <w:rsid w:val="00771967"/>
    <w:rsid w:val="00771CCF"/>
    <w:rsid w:val="007728EC"/>
    <w:rsid w:val="00773296"/>
    <w:rsid w:val="0077437F"/>
    <w:rsid w:val="007760B6"/>
    <w:rsid w:val="007760D5"/>
    <w:rsid w:val="007763C8"/>
    <w:rsid w:val="00777076"/>
    <w:rsid w:val="00777937"/>
    <w:rsid w:val="00777DCF"/>
    <w:rsid w:val="00777E33"/>
    <w:rsid w:val="007802E7"/>
    <w:rsid w:val="00780E44"/>
    <w:rsid w:val="00781827"/>
    <w:rsid w:val="00781F08"/>
    <w:rsid w:val="007821AD"/>
    <w:rsid w:val="007827B8"/>
    <w:rsid w:val="0078343F"/>
    <w:rsid w:val="007837A5"/>
    <w:rsid w:val="00783C0F"/>
    <w:rsid w:val="0078416C"/>
    <w:rsid w:val="0078426C"/>
    <w:rsid w:val="00785311"/>
    <w:rsid w:val="00785576"/>
    <w:rsid w:val="007856C9"/>
    <w:rsid w:val="00785B89"/>
    <w:rsid w:val="00785BEA"/>
    <w:rsid w:val="007865F3"/>
    <w:rsid w:val="007867E6"/>
    <w:rsid w:val="00786B7C"/>
    <w:rsid w:val="0078759B"/>
    <w:rsid w:val="00787D11"/>
    <w:rsid w:val="007915E4"/>
    <w:rsid w:val="00791620"/>
    <w:rsid w:val="00791D09"/>
    <w:rsid w:val="00791DC2"/>
    <w:rsid w:val="0079299A"/>
    <w:rsid w:val="0079375D"/>
    <w:rsid w:val="0079467F"/>
    <w:rsid w:val="00794BAD"/>
    <w:rsid w:val="00795C93"/>
    <w:rsid w:val="00795E54"/>
    <w:rsid w:val="0079678D"/>
    <w:rsid w:val="0079688A"/>
    <w:rsid w:val="00797203"/>
    <w:rsid w:val="007A03B7"/>
    <w:rsid w:val="007A07B4"/>
    <w:rsid w:val="007A0D53"/>
    <w:rsid w:val="007A0DC2"/>
    <w:rsid w:val="007A1B48"/>
    <w:rsid w:val="007A1EB9"/>
    <w:rsid w:val="007A2004"/>
    <w:rsid w:val="007A2237"/>
    <w:rsid w:val="007A2826"/>
    <w:rsid w:val="007A2F83"/>
    <w:rsid w:val="007A3088"/>
    <w:rsid w:val="007A423B"/>
    <w:rsid w:val="007A5208"/>
    <w:rsid w:val="007A5576"/>
    <w:rsid w:val="007A5994"/>
    <w:rsid w:val="007A5A53"/>
    <w:rsid w:val="007A61B3"/>
    <w:rsid w:val="007A6284"/>
    <w:rsid w:val="007A72EB"/>
    <w:rsid w:val="007A77B6"/>
    <w:rsid w:val="007A77E9"/>
    <w:rsid w:val="007B050E"/>
    <w:rsid w:val="007B0C27"/>
    <w:rsid w:val="007B137D"/>
    <w:rsid w:val="007B1775"/>
    <w:rsid w:val="007B1AC8"/>
    <w:rsid w:val="007B1EE1"/>
    <w:rsid w:val="007B21BC"/>
    <w:rsid w:val="007B2768"/>
    <w:rsid w:val="007B2E08"/>
    <w:rsid w:val="007B3171"/>
    <w:rsid w:val="007B32F7"/>
    <w:rsid w:val="007B374D"/>
    <w:rsid w:val="007B3EBB"/>
    <w:rsid w:val="007B404A"/>
    <w:rsid w:val="007B4B56"/>
    <w:rsid w:val="007B5BAA"/>
    <w:rsid w:val="007B6005"/>
    <w:rsid w:val="007B6966"/>
    <w:rsid w:val="007C01A9"/>
    <w:rsid w:val="007C0F24"/>
    <w:rsid w:val="007C16E6"/>
    <w:rsid w:val="007C1AD2"/>
    <w:rsid w:val="007C1FEB"/>
    <w:rsid w:val="007C22ED"/>
    <w:rsid w:val="007C2380"/>
    <w:rsid w:val="007C2496"/>
    <w:rsid w:val="007C2BAB"/>
    <w:rsid w:val="007C35C2"/>
    <w:rsid w:val="007C3664"/>
    <w:rsid w:val="007C4372"/>
    <w:rsid w:val="007C43A6"/>
    <w:rsid w:val="007C4467"/>
    <w:rsid w:val="007C4507"/>
    <w:rsid w:val="007C52B6"/>
    <w:rsid w:val="007C6401"/>
    <w:rsid w:val="007C6A65"/>
    <w:rsid w:val="007C6DA5"/>
    <w:rsid w:val="007C7E42"/>
    <w:rsid w:val="007D01DC"/>
    <w:rsid w:val="007D0F81"/>
    <w:rsid w:val="007D100C"/>
    <w:rsid w:val="007D121F"/>
    <w:rsid w:val="007D1668"/>
    <w:rsid w:val="007D1D6A"/>
    <w:rsid w:val="007D1F77"/>
    <w:rsid w:val="007D2E34"/>
    <w:rsid w:val="007D2F1F"/>
    <w:rsid w:val="007D33B5"/>
    <w:rsid w:val="007D47D6"/>
    <w:rsid w:val="007D50DE"/>
    <w:rsid w:val="007D53EA"/>
    <w:rsid w:val="007D5946"/>
    <w:rsid w:val="007D6468"/>
    <w:rsid w:val="007D785D"/>
    <w:rsid w:val="007E0EFD"/>
    <w:rsid w:val="007E14C3"/>
    <w:rsid w:val="007E14CC"/>
    <w:rsid w:val="007E20CB"/>
    <w:rsid w:val="007E25F3"/>
    <w:rsid w:val="007E2616"/>
    <w:rsid w:val="007E2A6F"/>
    <w:rsid w:val="007E2B85"/>
    <w:rsid w:val="007E327A"/>
    <w:rsid w:val="007E35B0"/>
    <w:rsid w:val="007E3DCD"/>
    <w:rsid w:val="007E44F5"/>
    <w:rsid w:val="007E50A7"/>
    <w:rsid w:val="007E5232"/>
    <w:rsid w:val="007E5495"/>
    <w:rsid w:val="007E5BDE"/>
    <w:rsid w:val="007E7169"/>
    <w:rsid w:val="007F00E5"/>
    <w:rsid w:val="007F01D5"/>
    <w:rsid w:val="007F0B81"/>
    <w:rsid w:val="007F16C7"/>
    <w:rsid w:val="007F1B44"/>
    <w:rsid w:val="007F2A44"/>
    <w:rsid w:val="007F3DCA"/>
    <w:rsid w:val="007F4057"/>
    <w:rsid w:val="007F4444"/>
    <w:rsid w:val="007F4D36"/>
    <w:rsid w:val="007F5057"/>
    <w:rsid w:val="007F524C"/>
    <w:rsid w:val="007F57EF"/>
    <w:rsid w:val="007F664E"/>
    <w:rsid w:val="007F777A"/>
    <w:rsid w:val="007F7976"/>
    <w:rsid w:val="00800028"/>
    <w:rsid w:val="008008A1"/>
    <w:rsid w:val="008011E9"/>
    <w:rsid w:val="00801FC6"/>
    <w:rsid w:val="00802373"/>
    <w:rsid w:val="00802B94"/>
    <w:rsid w:val="00802E55"/>
    <w:rsid w:val="0080450A"/>
    <w:rsid w:val="00804B63"/>
    <w:rsid w:val="0080535A"/>
    <w:rsid w:val="00805A41"/>
    <w:rsid w:val="00805BA3"/>
    <w:rsid w:val="00806887"/>
    <w:rsid w:val="00807220"/>
    <w:rsid w:val="00807C1C"/>
    <w:rsid w:val="008116D2"/>
    <w:rsid w:val="00811792"/>
    <w:rsid w:val="008117BE"/>
    <w:rsid w:val="008118E8"/>
    <w:rsid w:val="00811C93"/>
    <w:rsid w:val="00812406"/>
    <w:rsid w:val="00812979"/>
    <w:rsid w:val="00812FB9"/>
    <w:rsid w:val="008138F2"/>
    <w:rsid w:val="00814A79"/>
    <w:rsid w:val="0081585E"/>
    <w:rsid w:val="00815D6B"/>
    <w:rsid w:val="008166C2"/>
    <w:rsid w:val="008172FB"/>
    <w:rsid w:val="00817971"/>
    <w:rsid w:val="00820195"/>
    <w:rsid w:val="00820584"/>
    <w:rsid w:val="0082170D"/>
    <w:rsid w:val="00822374"/>
    <w:rsid w:val="00822679"/>
    <w:rsid w:val="00823253"/>
    <w:rsid w:val="008232C3"/>
    <w:rsid w:val="00823967"/>
    <w:rsid w:val="00823BF9"/>
    <w:rsid w:val="0082414C"/>
    <w:rsid w:val="00824700"/>
    <w:rsid w:val="008247FF"/>
    <w:rsid w:val="00824FF4"/>
    <w:rsid w:val="00826238"/>
    <w:rsid w:val="00827096"/>
    <w:rsid w:val="00827BF0"/>
    <w:rsid w:val="00827C6E"/>
    <w:rsid w:val="008302D9"/>
    <w:rsid w:val="00830D8E"/>
    <w:rsid w:val="00830EDA"/>
    <w:rsid w:val="00830F4D"/>
    <w:rsid w:val="008312CB"/>
    <w:rsid w:val="00832C41"/>
    <w:rsid w:val="0083393C"/>
    <w:rsid w:val="00833AED"/>
    <w:rsid w:val="00834408"/>
    <w:rsid w:val="0083473F"/>
    <w:rsid w:val="00834B6C"/>
    <w:rsid w:val="008356D5"/>
    <w:rsid w:val="008361C4"/>
    <w:rsid w:val="00836588"/>
    <w:rsid w:val="0083661A"/>
    <w:rsid w:val="0083689D"/>
    <w:rsid w:val="00836F25"/>
    <w:rsid w:val="00837525"/>
    <w:rsid w:val="00837EE1"/>
    <w:rsid w:val="00840868"/>
    <w:rsid w:val="00841545"/>
    <w:rsid w:val="00842BB1"/>
    <w:rsid w:val="008431D3"/>
    <w:rsid w:val="00843C1A"/>
    <w:rsid w:val="00843CDD"/>
    <w:rsid w:val="00843F5A"/>
    <w:rsid w:val="008448A4"/>
    <w:rsid w:val="00845311"/>
    <w:rsid w:val="00846F3A"/>
    <w:rsid w:val="00847110"/>
    <w:rsid w:val="0084764E"/>
    <w:rsid w:val="00847775"/>
    <w:rsid w:val="0085020E"/>
    <w:rsid w:val="00850331"/>
    <w:rsid w:val="008504B9"/>
    <w:rsid w:val="00851570"/>
    <w:rsid w:val="0085210B"/>
    <w:rsid w:val="00852189"/>
    <w:rsid w:val="00853598"/>
    <w:rsid w:val="00853B0C"/>
    <w:rsid w:val="00853DC0"/>
    <w:rsid w:val="00853FE1"/>
    <w:rsid w:val="00854087"/>
    <w:rsid w:val="00854537"/>
    <w:rsid w:val="00854B1A"/>
    <w:rsid w:val="00854FAD"/>
    <w:rsid w:val="00855296"/>
    <w:rsid w:val="0085575E"/>
    <w:rsid w:val="0085584E"/>
    <w:rsid w:val="00856F28"/>
    <w:rsid w:val="00860CAD"/>
    <w:rsid w:val="008610EE"/>
    <w:rsid w:val="00861167"/>
    <w:rsid w:val="008615BA"/>
    <w:rsid w:val="008617BC"/>
    <w:rsid w:val="00861C0B"/>
    <w:rsid w:val="00862B06"/>
    <w:rsid w:val="00862D19"/>
    <w:rsid w:val="008631C1"/>
    <w:rsid w:val="00863C21"/>
    <w:rsid w:val="0086465F"/>
    <w:rsid w:val="008647D1"/>
    <w:rsid w:val="008647DF"/>
    <w:rsid w:val="00865553"/>
    <w:rsid w:val="00865577"/>
    <w:rsid w:val="00866395"/>
    <w:rsid w:val="0087061B"/>
    <w:rsid w:val="0087091E"/>
    <w:rsid w:val="00870DE2"/>
    <w:rsid w:val="0087101D"/>
    <w:rsid w:val="00872E30"/>
    <w:rsid w:val="00873105"/>
    <w:rsid w:val="008734D7"/>
    <w:rsid w:val="0087361F"/>
    <w:rsid w:val="00873786"/>
    <w:rsid w:val="0087486B"/>
    <w:rsid w:val="00875239"/>
    <w:rsid w:val="008753FE"/>
    <w:rsid w:val="00875B9C"/>
    <w:rsid w:val="00875BAE"/>
    <w:rsid w:val="00876097"/>
    <w:rsid w:val="008762AE"/>
    <w:rsid w:val="0087652D"/>
    <w:rsid w:val="008767B7"/>
    <w:rsid w:val="00876853"/>
    <w:rsid w:val="00876912"/>
    <w:rsid w:val="00876AE3"/>
    <w:rsid w:val="00876B0E"/>
    <w:rsid w:val="0087719D"/>
    <w:rsid w:val="008776A6"/>
    <w:rsid w:val="00877A60"/>
    <w:rsid w:val="008802B6"/>
    <w:rsid w:val="008811C1"/>
    <w:rsid w:val="00881AD0"/>
    <w:rsid w:val="0088333C"/>
    <w:rsid w:val="008838ED"/>
    <w:rsid w:val="00883E6F"/>
    <w:rsid w:val="00884282"/>
    <w:rsid w:val="00884F30"/>
    <w:rsid w:val="00886044"/>
    <w:rsid w:val="008862BD"/>
    <w:rsid w:val="0088647F"/>
    <w:rsid w:val="0088652F"/>
    <w:rsid w:val="008868AB"/>
    <w:rsid w:val="00890F6C"/>
    <w:rsid w:val="0089134B"/>
    <w:rsid w:val="008915A4"/>
    <w:rsid w:val="00891781"/>
    <w:rsid w:val="00891889"/>
    <w:rsid w:val="008925DB"/>
    <w:rsid w:val="008926DD"/>
    <w:rsid w:val="00892987"/>
    <w:rsid w:val="00893B74"/>
    <w:rsid w:val="00894A29"/>
    <w:rsid w:val="00894CF5"/>
    <w:rsid w:val="00897752"/>
    <w:rsid w:val="00897B67"/>
    <w:rsid w:val="00897C4F"/>
    <w:rsid w:val="00897CFB"/>
    <w:rsid w:val="008A003A"/>
    <w:rsid w:val="008A05CF"/>
    <w:rsid w:val="008A0C9E"/>
    <w:rsid w:val="008A18B1"/>
    <w:rsid w:val="008A18F5"/>
    <w:rsid w:val="008A249D"/>
    <w:rsid w:val="008A2A26"/>
    <w:rsid w:val="008A2BCC"/>
    <w:rsid w:val="008A2F54"/>
    <w:rsid w:val="008A3054"/>
    <w:rsid w:val="008A3585"/>
    <w:rsid w:val="008A3BB1"/>
    <w:rsid w:val="008A4255"/>
    <w:rsid w:val="008A46C8"/>
    <w:rsid w:val="008A4EE7"/>
    <w:rsid w:val="008A56D5"/>
    <w:rsid w:val="008B0D6A"/>
    <w:rsid w:val="008B1515"/>
    <w:rsid w:val="008B1AB0"/>
    <w:rsid w:val="008B1C88"/>
    <w:rsid w:val="008B1DE7"/>
    <w:rsid w:val="008B21B8"/>
    <w:rsid w:val="008B2B17"/>
    <w:rsid w:val="008B2C9A"/>
    <w:rsid w:val="008B356F"/>
    <w:rsid w:val="008B36D3"/>
    <w:rsid w:val="008B38AF"/>
    <w:rsid w:val="008B38E1"/>
    <w:rsid w:val="008B3CDB"/>
    <w:rsid w:val="008B3F75"/>
    <w:rsid w:val="008B43CF"/>
    <w:rsid w:val="008B445F"/>
    <w:rsid w:val="008B4CD5"/>
    <w:rsid w:val="008B4F52"/>
    <w:rsid w:val="008B6103"/>
    <w:rsid w:val="008B615C"/>
    <w:rsid w:val="008B642A"/>
    <w:rsid w:val="008C089C"/>
    <w:rsid w:val="008C097C"/>
    <w:rsid w:val="008C0A4B"/>
    <w:rsid w:val="008C0AD0"/>
    <w:rsid w:val="008C0C6D"/>
    <w:rsid w:val="008C0FDC"/>
    <w:rsid w:val="008C1624"/>
    <w:rsid w:val="008C1C7E"/>
    <w:rsid w:val="008C209F"/>
    <w:rsid w:val="008C3506"/>
    <w:rsid w:val="008C3705"/>
    <w:rsid w:val="008C42E8"/>
    <w:rsid w:val="008C4F84"/>
    <w:rsid w:val="008C6E06"/>
    <w:rsid w:val="008C726A"/>
    <w:rsid w:val="008C7466"/>
    <w:rsid w:val="008C764C"/>
    <w:rsid w:val="008D0F16"/>
    <w:rsid w:val="008D1D2C"/>
    <w:rsid w:val="008D1D4B"/>
    <w:rsid w:val="008D2003"/>
    <w:rsid w:val="008D229B"/>
    <w:rsid w:val="008D22EF"/>
    <w:rsid w:val="008D2D41"/>
    <w:rsid w:val="008D2F2D"/>
    <w:rsid w:val="008D33DC"/>
    <w:rsid w:val="008D355D"/>
    <w:rsid w:val="008D3938"/>
    <w:rsid w:val="008D40AE"/>
    <w:rsid w:val="008D420B"/>
    <w:rsid w:val="008D4E4C"/>
    <w:rsid w:val="008D5B10"/>
    <w:rsid w:val="008D64F5"/>
    <w:rsid w:val="008D7072"/>
    <w:rsid w:val="008D7B80"/>
    <w:rsid w:val="008E0110"/>
    <w:rsid w:val="008E0445"/>
    <w:rsid w:val="008E095C"/>
    <w:rsid w:val="008E09BB"/>
    <w:rsid w:val="008E0E6C"/>
    <w:rsid w:val="008E2191"/>
    <w:rsid w:val="008E2F2B"/>
    <w:rsid w:val="008E35F6"/>
    <w:rsid w:val="008E3BF7"/>
    <w:rsid w:val="008E41DB"/>
    <w:rsid w:val="008E46FD"/>
    <w:rsid w:val="008E4C9A"/>
    <w:rsid w:val="008E5A45"/>
    <w:rsid w:val="008E6D66"/>
    <w:rsid w:val="008E73BE"/>
    <w:rsid w:val="008E7C4F"/>
    <w:rsid w:val="008E7F8B"/>
    <w:rsid w:val="008F097C"/>
    <w:rsid w:val="008F0BA3"/>
    <w:rsid w:val="008F1301"/>
    <w:rsid w:val="008F173A"/>
    <w:rsid w:val="008F1951"/>
    <w:rsid w:val="008F19EC"/>
    <w:rsid w:val="008F26BD"/>
    <w:rsid w:val="008F39DF"/>
    <w:rsid w:val="008F4023"/>
    <w:rsid w:val="008F48FE"/>
    <w:rsid w:val="008F5562"/>
    <w:rsid w:val="008F58F4"/>
    <w:rsid w:val="008F61AE"/>
    <w:rsid w:val="008F63A6"/>
    <w:rsid w:val="008F6559"/>
    <w:rsid w:val="008F6644"/>
    <w:rsid w:val="008F6EF6"/>
    <w:rsid w:val="008F724B"/>
    <w:rsid w:val="00900BB5"/>
    <w:rsid w:val="0090174F"/>
    <w:rsid w:val="00901BB7"/>
    <w:rsid w:val="00902092"/>
    <w:rsid w:val="0090210B"/>
    <w:rsid w:val="0090226E"/>
    <w:rsid w:val="00902C6F"/>
    <w:rsid w:val="00902CFE"/>
    <w:rsid w:val="00903041"/>
    <w:rsid w:val="00903186"/>
    <w:rsid w:val="0090389D"/>
    <w:rsid w:val="009045FD"/>
    <w:rsid w:val="0090482A"/>
    <w:rsid w:val="0090482F"/>
    <w:rsid w:val="00904837"/>
    <w:rsid w:val="0090627B"/>
    <w:rsid w:val="00906944"/>
    <w:rsid w:val="00907209"/>
    <w:rsid w:val="00907650"/>
    <w:rsid w:val="00907BF1"/>
    <w:rsid w:val="00910BCC"/>
    <w:rsid w:val="009117E9"/>
    <w:rsid w:val="00911D9A"/>
    <w:rsid w:val="00911F90"/>
    <w:rsid w:val="009120EF"/>
    <w:rsid w:val="0091214D"/>
    <w:rsid w:val="00912531"/>
    <w:rsid w:val="00912946"/>
    <w:rsid w:val="00913D98"/>
    <w:rsid w:val="009144B7"/>
    <w:rsid w:val="00914C8C"/>
    <w:rsid w:val="00915536"/>
    <w:rsid w:val="009158B1"/>
    <w:rsid w:val="00915C21"/>
    <w:rsid w:val="00915F06"/>
    <w:rsid w:val="00916B33"/>
    <w:rsid w:val="00916E7B"/>
    <w:rsid w:val="009172C9"/>
    <w:rsid w:val="00917653"/>
    <w:rsid w:val="00917B3F"/>
    <w:rsid w:val="00917C23"/>
    <w:rsid w:val="009201C2"/>
    <w:rsid w:val="00920268"/>
    <w:rsid w:val="00920B0A"/>
    <w:rsid w:val="009234D3"/>
    <w:rsid w:val="009235A7"/>
    <w:rsid w:val="00923A35"/>
    <w:rsid w:val="00923B1D"/>
    <w:rsid w:val="00923D48"/>
    <w:rsid w:val="00924653"/>
    <w:rsid w:val="00925119"/>
    <w:rsid w:val="00925365"/>
    <w:rsid w:val="009257EF"/>
    <w:rsid w:val="0092599B"/>
    <w:rsid w:val="00926932"/>
    <w:rsid w:val="00926A02"/>
    <w:rsid w:val="009272C8"/>
    <w:rsid w:val="009279EB"/>
    <w:rsid w:val="009300E0"/>
    <w:rsid w:val="00931E1D"/>
    <w:rsid w:val="009322B3"/>
    <w:rsid w:val="009326B5"/>
    <w:rsid w:val="00932E60"/>
    <w:rsid w:val="009332B4"/>
    <w:rsid w:val="0093343D"/>
    <w:rsid w:val="00934773"/>
    <w:rsid w:val="009354EA"/>
    <w:rsid w:val="0093660E"/>
    <w:rsid w:val="00936D10"/>
    <w:rsid w:val="0093731A"/>
    <w:rsid w:val="00937703"/>
    <w:rsid w:val="00937CC3"/>
    <w:rsid w:val="009401E4"/>
    <w:rsid w:val="0094033A"/>
    <w:rsid w:val="0094042E"/>
    <w:rsid w:val="00940A4B"/>
    <w:rsid w:val="00940CF6"/>
    <w:rsid w:val="00941124"/>
    <w:rsid w:val="00941F5D"/>
    <w:rsid w:val="00942603"/>
    <w:rsid w:val="0094313F"/>
    <w:rsid w:val="00943F47"/>
    <w:rsid w:val="009442C0"/>
    <w:rsid w:val="0094456B"/>
    <w:rsid w:val="0094500C"/>
    <w:rsid w:val="00945340"/>
    <w:rsid w:val="00945D6B"/>
    <w:rsid w:val="00945E3B"/>
    <w:rsid w:val="00946444"/>
    <w:rsid w:val="00951C10"/>
    <w:rsid w:val="00951E45"/>
    <w:rsid w:val="00952423"/>
    <w:rsid w:val="00952775"/>
    <w:rsid w:val="00952A4F"/>
    <w:rsid w:val="00953397"/>
    <w:rsid w:val="00953955"/>
    <w:rsid w:val="00954063"/>
    <w:rsid w:val="00954110"/>
    <w:rsid w:val="0095435E"/>
    <w:rsid w:val="00954873"/>
    <w:rsid w:val="00954B4D"/>
    <w:rsid w:val="00954D17"/>
    <w:rsid w:val="00955DF0"/>
    <w:rsid w:val="0095688E"/>
    <w:rsid w:val="00956DCE"/>
    <w:rsid w:val="00957669"/>
    <w:rsid w:val="009577E9"/>
    <w:rsid w:val="00957967"/>
    <w:rsid w:val="00957F6A"/>
    <w:rsid w:val="00960111"/>
    <w:rsid w:val="009601A9"/>
    <w:rsid w:val="00960BCC"/>
    <w:rsid w:val="00961072"/>
    <w:rsid w:val="00961D75"/>
    <w:rsid w:val="00963F06"/>
    <w:rsid w:val="00965D75"/>
    <w:rsid w:val="0096606A"/>
    <w:rsid w:val="00966120"/>
    <w:rsid w:val="009661BC"/>
    <w:rsid w:val="00966BDD"/>
    <w:rsid w:val="00967AFC"/>
    <w:rsid w:val="00967FC3"/>
    <w:rsid w:val="009701B1"/>
    <w:rsid w:val="0097030A"/>
    <w:rsid w:val="00970A15"/>
    <w:rsid w:val="00970EA4"/>
    <w:rsid w:val="0097212A"/>
    <w:rsid w:val="0097240F"/>
    <w:rsid w:val="0097415C"/>
    <w:rsid w:val="009750BF"/>
    <w:rsid w:val="0097515B"/>
    <w:rsid w:val="009759D7"/>
    <w:rsid w:val="00975AD9"/>
    <w:rsid w:val="00975E37"/>
    <w:rsid w:val="00976604"/>
    <w:rsid w:val="00977E6B"/>
    <w:rsid w:val="009819A0"/>
    <w:rsid w:val="00983B4D"/>
    <w:rsid w:val="00984140"/>
    <w:rsid w:val="00984CFA"/>
    <w:rsid w:val="00984D04"/>
    <w:rsid w:val="00984EBF"/>
    <w:rsid w:val="009854C1"/>
    <w:rsid w:val="0098571B"/>
    <w:rsid w:val="009863FF"/>
    <w:rsid w:val="0098704E"/>
    <w:rsid w:val="009905CB"/>
    <w:rsid w:val="0099124A"/>
    <w:rsid w:val="009921B9"/>
    <w:rsid w:val="0099316B"/>
    <w:rsid w:val="009939A2"/>
    <w:rsid w:val="00993F1B"/>
    <w:rsid w:val="00993FF0"/>
    <w:rsid w:val="009940E9"/>
    <w:rsid w:val="00995010"/>
    <w:rsid w:val="00995B50"/>
    <w:rsid w:val="00995E78"/>
    <w:rsid w:val="0099647A"/>
    <w:rsid w:val="00996764"/>
    <w:rsid w:val="00997191"/>
    <w:rsid w:val="009974FD"/>
    <w:rsid w:val="00997BE8"/>
    <w:rsid w:val="009A06D8"/>
    <w:rsid w:val="009A07D7"/>
    <w:rsid w:val="009A11A4"/>
    <w:rsid w:val="009A2A98"/>
    <w:rsid w:val="009A2C5D"/>
    <w:rsid w:val="009A3622"/>
    <w:rsid w:val="009A3856"/>
    <w:rsid w:val="009A4C8A"/>
    <w:rsid w:val="009A5203"/>
    <w:rsid w:val="009A5B1B"/>
    <w:rsid w:val="009A6F74"/>
    <w:rsid w:val="009B04F8"/>
    <w:rsid w:val="009B1365"/>
    <w:rsid w:val="009B1738"/>
    <w:rsid w:val="009B1C1C"/>
    <w:rsid w:val="009B2EF2"/>
    <w:rsid w:val="009B3514"/>
    <w:rsid w:val="009B4A1D"/>
    <w:rsid w:val="009B551E"/>
    <w:rsid w:val="009B6C11"/>
    <w:rsid w:val="009B72C0"/>
    <w:rsid w:val="009B75F6"/>
    <w:rsid w:val="009B7B74"/>
    <w:rsid w:val="009B7F66"/>
    <w:rsid w:val="009C0AF1"/>
    <w:rsid w:val="009C0E21"/>
    <w:rsid w:val="009C1298"/>
    <w:rsid w:val="009C1BC4"/>
    <w:rsid w:val="009C1E6E"/>
    <w:rsid w:val="009C296A"/>
    <w:rsid w:val="009C34BA"/>
    <w:rsid w:val="009C47BD"/>
    <w:rsid w:val="009C50DF"/>
    <w:rsid w:val="009C52F4"/>
    <w:rsid w:val="009C549E"/>
    <w:rsid w:val="009C5FC8"/>
    <w:rsid w:val="009C674C"/>
    <w:rsid w:val="009C6BB6"/>
    <w:rsid w:val="009C6FE8"/>
    <w:rsid w:val="009C78A4"/>
    <w:rsid w:val="009D08EF"/>
    <w:rsid w:val="009D0C89"/>
    <w:rsid w:val="009D202D"/>
    <w:rsid w:val="009D219A"/>
    <w:rsid w:val="009D3400"/>
    <w:rsid w:val="009D3549"/>
    <w:rsid w:val="009D36CE"/>
    <w:rsid w:val="009D44DB"/>
    <w:rsid w:val="009D4541"/>
    <w:rsid w:val="009D4D76"/>
    <w:rsid w:val="009D546D"/>
    <w:rsid w:val="009D58B1"/>
    <w:rsid w:val="009D6854"/>
    <w:rsid w:val="009D6BE0"/>
    <w:rsid w:val="009D752F"/>
    <w:rsid w:val="009D7604"/>
    <w:rsid w:val="009D79D8"/>
    <w:rsid w:val="009E0A3A"/>
    <w:rsid w:val="009E0B3E"/>
    <w:rsid w:val="009E10C4"/>
    <w:rsid w:val="009E120E"/>
    <w:rsid w:val="009E2226"/>
    <w:rsid w:val="009E2387"/>
    <w:rsid w:val="009E2A34"/>
    <w:rsid w:val="009E2AE1"/>
    <w:rsid w:val="009E3470"/>
    <w:rsid w:val="009E401D"/>
    <w:rsid w:val="009E64DC"/>
    <w:rsid w:val="009E68F3"/>
    <w:rsid w:val="009E7549"/>
    <w:rsid w:val="009E7C4D"/>
    <w:rsid w:val="009E7EF3"/>
    <w:rsid w:val="009F05C4"/>
    <w:rsid w:val="009F061D"/>
    <w:rsid w:val="009F1365"/>
    <w:rsid w:val="009F1435"/>
    <w:rsid w:val="009F2D36"/>
    <w:rsid w:val="009F3C2D"/>
    <w:rsid w:val="009F3F93"/>
    <w:rsid w:val="009F422D"/>
    <w:rsid w:val="009F468E"/>
    <w:rsid w:val="009F4929"/>
    <w:rsid w:val="009F4C70"/>
    <w:rsid w:val="009F584B"/>
    <w:rsid w:val="009F662C"/>
    <w:rsid w:val="009F69B6"/>
    <w:rsid w:val="009F6D4E"/>
    <w:rsid w:val="009F72F7"/>
    <w:rsid w:val="009F751E"/>
    <w:rsid w:val="009F7533"/>
    <w:rsid w:val="009F7A79"/>
    <w:rsid w:val="00A00627"/>
    <w:rsid w:val="00A0077C"/>
    <w:rsid w:val="00A0156C"/>
    <w:rsid w:val="00A01812"/>
    <w:rsid w:val="00A018E8"/>
    <w:rsid w:val="00A01CFD"/>
    <w:rsid w:val="00A01FB4"/>
    <w:rsid w:val="00A02840"/>
    <w:rsid w:val="00A03AD2"/>
    <w:rsid w:val="00A04665"/>
    <w:rsid w:val="00A04D9F"/>
    <w:rsid w:val="00A05774"/>
    <w:rsid w:val="00A05DF8"/>
    <w:rsid w:val="00A07FAF"/>
    <w:rsid w:val="00A1064E"/>
    <w:rsid w:val="00A11059"/>
    <w:rsid w:val="00A112E6"/>
    <w:rsid w:val="00A12576"/>
    <w:rsid w:val="00A13196"/>
    <w:rsid w:val="00A13CED"/>
    <w:rsid w:val="00A13E21"/>
    <w:rsid w:val="00A14508"/>
    <w:rsid w:val="00A14D73"/>
    <w:rsid w:val="00A15553"/>
    <w:rsid w:val="00A15706"/>
    <w:rsid w:val="00A15721"/>
    <w:rsid w:val="00A1580C"/>
    <w:rsid w:val="00A15E42"/>
    <w:rsid w:val="00A16ACF"/>
    <w:rsid w:val="00A20088"/>
    <w:rsid w:val="00A20434"/>
    <w:rsid w:val="00A20ED4"/>
    <w:rsid w:val="00A21292"/>
    <w:rsid w:val="00A2169E"/>
    <w:rsid w:val="00A21C74"/>
    <w:rsid w:val="00A2261C"/>
    <w:rsid w:val="00A22EE5"/>
    <w:rsid w:val="00A232FE"/>
    <w:rsid w:val="00A233E3"/>
    <w:rsid w:val="00A238B4"/>
    <w:rsid w:val="00A24E99"/>
    <w:rsid w:val="00A25988"/>
    <w:rsid w:val="00A26171"/>
    <w:rsid w:val="00A264C4"/>
    <w:rsid w:val="00A26E5D"/>
    <w:rsid w:val="00A3025B"/>
    <w:rsid w:val="00A30E21"/>
    <w:rsid w:val="00A31444"/>
    <w:rsid w:val="00A31D8F"/>
    <w:rsid w:val="00A32317"/>
    <w:rsid w:val="00A32318"/>
    <w:rsid w:val="00A3481F"/>
    <w:rsid w:val="00A34A74"/>
    <w:rsid w:val="00A3551D"/>
    <w:rsid w:val="00A359AA"/>
    <w:rsid w:val="00A37B9B"/>
    <w:rsid w:val="00A37CF9"/>
    <w:rsid w:val="00A40197"/>
    <w:rsid w:val="00A402AC"/>
    <w:rsid w:val="00A4051F"/>
    <w:rsid w:val="00A409E7"/>
    <w:rsid w:val="00A4101F"/>
    <w:rsid w:val="00A41F5B"/>
    <w:rsid w:val="00A420DB"/>
    <w:rsid w:val="00A42633"/>
    <w:rsid w:val="00A42758"/>
    <w:rsid w:val="00A42835"/>
    <w:rsid w:val="00A4356B"/>
    <w:rsid w:val="00A43711"/>
    <w:rsid w:val="00A44275"/>
    <w:rsid w:val="00A445BE"/>
    <w:rsid w:val="00A44679"/>
    <w:rsid w:val="00A45094"/>
    <w:rsid w:val="00A45107"/>
    <w:rsid w:val="00A4522B"/>
    <w:rsid w:val="00A45609"/>
    <w:rsid w:val="00A462C3"/>
    <w:rsid w:val="00A475FF"/>
    <w:rsid w:val="00A47797"/>
    <w:rsid w:val="00A477F0"/>
    <w:rsid w:val="00A47B95"/>
    <w:rsid w:val="00A47D71"/>
    <w:rsid w:val="00A50349"/>
    <w:rsid w:val="00A505D6"/>
    <w:rsid w:val="00A50D0E"/>
    <w:rsid w:val="00A51C9F"/>
    <w:rsid w:val="00A5229A"/>
    <w:rsid w:val="00A5265A"/>
    <w:rsid w:val="00A535D7"/>
    <w:rsid w:val="00A53726"/>
    <w:rsid w:val="00A53D18"/>
    <w:rsid w:val="00A5522D"/>
    <w:rsid w:val="00A554EC"/>
    <w:rsid w:val="00A554FD"/>
    <w:rsid w:val="00A55D04"/>
    <w:rsid w:val="00A55F21"/>
    <w:rsid w:val="00A56B61"/>
    <w:rsid w:val="00A56BE0"/>
    <w:rsid w:val="00A57419"/>
    <w:rsid w:val="00A576E1"/>
    <w:rsid w:val="00A57FF8"/>
    <w:rsid w:val="00A605AD"/>
    <w:rsid w:val="00A609FA"/>
    <w:rsid w:val="00A60F7C"/>
    <w:rsid w:val="00A616D8"/>
    <w:rsid w:val="00A6181C"/>
    <w:rsid w:val="00A61860"/>
    <w:rsid w:val="00A618DB"/>
    <w:rsid w:val="00A61AAF"/>
    <w:rsid w:val="00A61EAF"/>
    <w:rsid w:val="00A61EB2"/>
    <w:rsid w:val="00A62104"/>
    <w:rsid w:val="00A62302"/>
    <w:rsid w:val="00A623CC"/>
    <w:rsid w:val="00A634E1"/>
    <w:rsid w:val="00A63A7C"/>
    <w:rsid w:val="00A64DA8"/>
    <w:rsid w:val="00A65424"/>
    <w:rsid w:val="00A65835"/>
    <w:rsid w:val="00A65E91"/>
    <w:rsid w:val="00A65FA5"/>
    <w:rsid w:val="00A669AB"/>
    <w:rsid w:val="00A67A3C"/>
    <w:rsid w:val="00A70270"/>
    <w:rsid w:val="00A703C2"/>
    <w:rsid w:val="00A70466"/>
    <w:rsid w:val="00A704A4"/>
    <w:rsid w:val="00A70894"/>
    <w:rsid w:val="00A70972"/>
    <w:rsid w:val="00A71831"/>
    <w:rsid w:val="00A71933"/>
    <w:rsid w:val="00A71C0B"/>
    <w:rsid w:val="00A71DDE"/>
    <w:rsid w:val="00A72936"/>
    <w:rsid w:val="00A72DD4"/>
    <w:rsid w:val="00A73D60"/>
    <w:rsid w:val="00A73E93"/>
    <w:rsid w:val="00A746D9"/>
    <w:rsid w:val="00A74A97"/>
    <w:rsid w:val="00A7516D"/>
    <w:rsid w:val="00A75453"/>
    <w:rsid w:val="00A757B7"/>
    <w:rsid w:val="00A75D64"/>
    <w:rsid w:val="00A75E51"/>
    <w:rsid w:val="00A76587"/>
    <w:rsid w:val="00A769D6"/>
    <w:rsid w:val="00A77659"/>
    <w:rsid w:val="00A804C5"/>
    <w:rsid w:val="00A80C7C"/>
    <w:rsid w:val="00A810B2"/>
    <w:rsid w:val="00A82134"/>
    <w:rsid w:val="00A82A12"/>
    <w:rsid w:val="00A82A5D"/>
    <w:rsid w:val="00A831C7"/>
    <w:rsid w:val="00A83904"/>
    <w:rsid w:val="00A84022"/>
    <w:rsid w:val="00A840F8"/>
    <w:rsid w:val="00A84136"/>
    <w:rsid w:val="00A84142"/>
    <w:rsid w:val="00A8481F"/>
    <w:rsid w:val="00A84A62"/>
    <w:rsid w:val="00A84EF0"/>
    <w:rsid w:val="00A84F15"/>
    <w:rsid w:val="00A85AF2"/>
    <w:rsid w:val="00A86A65"/>
    <w:rsid w:val="00A87309"/>
    <w:rsid w:val="00A87462"/>
    <w:rsid w:val="00A878C9"/>
    <w:rsid w:val="00A87E96"/>
    <w:rsid w:val="00A903AD"/>
    <w:rsid w:val="00A903DE"/>
    <w:rsid w:val="00A933B3"/>
    <w:rsid w:val="00A9350C"/>
    <w:rsid w:val="00A93C58"/>
    <w:rsid w:val="00A94006"/>
    <w:rsid w:val="00A94B7D"/>
    <w:rsid w:val="00A94C82"/>
    <w:rsid w:val="00A94FBE"/>
    <w:rsid w:val="00A96771"/>
    <w:rsid w:val="00A96F1E"/>
    <w:rsid w:val="00A973C8"/>
    <w:rsid w:val="00AA0AB0"/>
    <w:rsid w:val="00AA0E88"/>
    <w:rsid w:val="00AA112F"/>
    <w:rsid w:val="00AA1262"/>
    <w:rsid w:val="00AA2436"/>
    <w:rsid w:val="00AA2940"/>
    <w:rsid w:val="00AA3001"/>
    <w:rsid w:val="00AA33E4"/>
    <w:rsid w:val="00AA421E"/>
    <w:rsid w:val="00AA4304"/>
    <w:rsid w:val="00AA4697"/>
    <w:rsid w:val="00AA5B74"/>
    <w:rsid w:val="00AA6000"/>
    <w:rsid w:val="00AA63BC"/>
    <w:rsid w:val="00AA7AFC"/>
    <w:rsid w:val="00AB02A9"/>
    <w:rsid w:val="00AB0B9A"/>
    <w:rsid w:val="00AB1694"/>
    <w:rsid w:val="00AB1788"/>
    <w:rsid w:val="00AB1FB8"/>
    <w:rsid w:val="00AB20CF"/>
    <w:rsid w:val="00AB2EAA"/>
    <w:rsid w:val="00AB3E8D"/>
    <w:rsid w:val="00AB40CB"/>
    <w:rsid w:val="00AB4311"/>
    <w:rsid w:val="00AB4590"/>
    <w:rsid w:val="00AB56F3"/>
    <w:rsid w:val="00AB5925"/>
    <w:rsid w:val="00AB5F61"/>
    <w:rsid w:val="00AB63C2"/>
    <w:rsid w:val="00AB6A8B"/>
    <w:rsid w:val="00AB6B65"/>
    <w:rsid w:val="00AB7F8E"/>
    <w:rsid w:val="00AC07FC"/>
    <w:rsid w:val="00AC0EBA"/>
    <w:rsid w:val="00AC176A"/>
    <w:rsid w:val="00AC1BA2"/>
    <w:rsid w:val="00AC3263"/>
    <w:rsid w:val="00AC3A63"/>
    <w:rsid w:val="00AC416F"/>
    <w:rsid w:val="00AC44F5"/>
    <w:rsid w:val="00AC4F7B"/>
    <w:rsid w:val="00AC5423"/>
    <w:rsid w:val="00AC557D"/>
    <w:rsid w:val="00AC59B5"/>
    <w:rsid w:val="00AC5B10"/>
    <w:rsid w:val="00AC601F"/>
    <w:rsid w:val="00AC6788"/>
    <w:rsid w:val="00AC6802"/>
    <w:rsid w:val="00AC6C32"/>
    <w:rsid w:val="00AC73B8"/>
    <w:rsid w:val="00AC7ECE"/>
    <w:rsid w:val="00AD07BF"/>
    <w:rsid w:val="00AD0EED"/>
    <w:rsid w:val="00AD0F0B"/>
    <w:rsid w:val="00AD11E0"/>
    <w:rsid w:val="00AD1302"/>
    <w:rsid w:val="00AD2102"/>
    <w:rsid w:val="00AD364F"/>
    <w:rsid w:val="00AD36D8"/>
    <w:rsid w:val="00AD399D"/>
    <w:rsid w:val="00AD3AC3"/>
    <w:rsid w:val="00AD3DFF"/>
    <w:rsid w:val="00AD4815"/>
    <w:rsid w:val="00AD4C0B"/>
    <w:rsid w:val="00AD50CE"/>
    <w:rsid w:val="00AD60E9"/>
    <w:rsid w:val="00AD6BE5"/>
    <w:rsid w:val="00AD7211"/>
    <w:rsid w:val="00AD7AB9"/>
    <w:rsid w:val="00AD7FCD"/>
    <w:rsid w:val="00AE09DC"/>
    <w:rsid w:val="00AE0D5E"/>
    <w:rsid w:val="00AE14CF"/>
    <w:rsid w:val="00AE1FF2"/>
    <w:rsid w:val="00AE2182"/>
    <w:rsid w:val="00AE2DE1"/>
    <w:rsid w:val="00AE318A"/>
    <w:rsid w:val="00AE36CC"/>
    <w:rsid w:val="00AE3B0B"/>
    <w:rsid w:val="00AE3D5B"/>
    <w:rsid w:val="00AE3FE9"/>
    <w:rsid w:val="00AE4217"/>
    <w:rsid w:val="00AE4CE3"/>
    <w:rsid w:val="00AE4EE0"/>
    <w:rsid w:val="00AE4F66"/>
    <w:rsid w:val="00AE5115"/>
    <w:rsid w:val="00AE5288"/>
    <w:rsid w:val="00AE5347"/>
    <w:rsid w:val="00AE62D1"/>
    <w:rsid w:val="00AE69BA"/>
    <w:rsid w:val="00AE6FE3"/>
    <w:rsid w:val="00AE758C"/>
    <w:rsid w:val="00AE762E"/>
    <w:rsid w:val="00AE7A45"/>
    <w:rsid w:val="00AE7C5D"/>
    <w:rsid w:val="00AF0356"/>
    <w:rsid w:val="00AF0A7F"/>
    <w:rsid w:val="00AF10A5"/>
    <w:rsid w:val="00AF14DB"/>
    <w:rsid w:val="00AF1F95"/>
    <w:rsid w:val="00AF22EE"/>
    <w:rsid w:val="00AF2789"/>
    <w:rsid w:val="00AF2C31"/>
    <w:rsid w:val="00AF312E"/>
    <w:rsid w:val="00AF3757"/>
    <w:rsid w:val="00AF3B7F"/>
    <w:rsid w:val="00AF4021"/>
    <w:rsid w:val="00AF44C7"/>
    <w:rsid w:val="00AF4F5D"/>
    <w:rsid w:val="00AF5188"/>
    <w:rsid w:val="00AF5FB3"/>
    <w:rsid w:val="00AF6796"/>
    <w:rsid w:val="00AF6E8A"/>
    <w:rsid w:val="00AF76FF"/>
    <w:rsid w:val="00AF7B40"/>
    <w:rsid w:val="00AF7E79"/>
    <w:rsid w:val="00B00987"/>
    <w:rsid w:val="00B011AE"/>
    <w:rsid w:val="00B01366"/>
    <w:rsid w:val="00B01636"/>
    <w:rsid w:val="00B02127"/>
    <w:rsid w:val="00B0270E"/>
    <w:rsid w:val="00B0273B"/>
    <w:rsid w:val="00B02EB6"/>
    <w:rsid w:val="00B033D3"/>
    <w:rsid w:val="00B04A9F"/>
    <w:rsid w:val="00B04FB0"/>
    <w:rsid w:val="00B05C7F"/>
    <w:rsid w:val="00B05F9D"/>
    <w:rsid w:val="00B06E6F"/>
    <w:rsid w:val="00B074F0"/>
    <w:rsid w:val="00B07D33"/>
    <w:rsid w:val="00B101BF"/>
    <w:rsid w:val="00B10D71"/>
    <w:rsid w:val="00B1202B"/>
    <w:rsid w:val="00B12920"/>
    <w:rsid w:val="00B133E9"/>
    <w:rsid w:val="00B13613"/>
    <w:rsid w:val="00B14675"/>
    <w:rsid w:val="00B14C6D"/>
    <w:rsid w:val="00B158BC"/>
    <w:rsid w:val="00B15C52"/>
    <w:rsid w:val="00B15CC9"/>
    <w:rsid w:val="00B15F13"/>
    <w:rsid w:val="00B16ACE"/>
    <w:rsid w:val="00B17251"/>
    <w:rsid w:val="00B17563"/>
    <w:rsid w:val="00B1787D"/>
    <w:rsid w:val="00B17DCA"/>
    <w:rsid w:val="00B20279"/>
    <w:rsid w:val="00B21550"/>
    <w:rsid w:val="00B2177E"/>
    <w:rsid w:val="00B21A74"/>
    <w:rsid w:val="00B222F0"/>
    <w:rsid w:val="00B22400"/>
    <w:rsid w:val="00B22CC6"/>
    <w:rsid w:val="00B2313C"/>
    <w:rsid w:val="00B23738"/>
    <w:rsid w:val="00B238A6"/>
    <w:rsid w:val="00B23AA5"/>
    <w:rsid w:val="00B24465"/>
    <w:rsid w:val="00B24540"/>
    <w:rsid w:val="00B24C95"/>
    <w:rsid w:val="00B24F3A"/>
    <w:rsid w:val="00B2511D"/>
    <w:rsid w:val="00B263B5"/>
    <w:rsid w:val="00B26409"/>
    <w:rsid w:val="00B26C40"/>
    <w:rsid w:val="00B27B29"/>
    <w:rsid w:val="00B27C1C"/>
    <w:rsid w:val="00B30178"/>
    <w:rsid w:val="00B30B3A"/>
    <w:rsid w:val="00B31088"/>
    <w:rsid w:val="00B3183C"/>
    <w:rsid w:val="00B31E56"/>
    <w:rsid w:val="00B32A99"/>
    <w:rsid w:val="00B3414E"/>
    <w:rsid w:val="00B343AF"/>
    <w:rsid w:val="00B34BAA"/>
    <w:rsid w:val="00B34F12"/>
    <w:rsid w:val="00B3512D"/>
    <w:rsid w:val="00B35EC3"/>
    <w:rsid w:val="00B35F23"/>
    <w:rsid w:val="00B368F3"/>
    <w:rsid w:val="00B370F4"/>
    <w:rsid w:val="00B37431"/>
    <w:rsid w:val="00B37930"/>
    <w:rsid w:val="00B41560"/>
    <w:rsid w:val="00B43A0E"/>
    <w:rsid w:val="00B43A90"/>
    <w:rsid w:val="00B43F38"/>
    <w:rsid w:val="00B445DC"/>
    <w:rsid w:val="00B451ED"/>
    <w:rsid w:val="00B461EB"/>
    <w:rsid w:val="00B469B1"/>
    <w:rsid w:val="00B46AAA"/>
    <w:rsid w:val="00B47A0B"/>
    <w:rsid w:val="00B47D9E"/>
    <w:rsid w:val="00B47FDC"/>
    <w:rsid w:val="00B50E20"/>
    <w:rsid w:val="00B515CE"/>
    <w:rsid w:val="00B52535"/>
    <w:rsid w:val="00B53BBA"/>
    <w:rsid w:val="00B53E0A"/>
    <w:rsid w:val="00B53E76"/>
    <w:rsid w:val="00B54000"/>
    <w:rsid w:val="00B5501E"/>
    <w:rsid w:val="00B55467"/>
    <w:rsid w:val="00B55EFC"/>
    <w:rsid w:val="00B569E2"/>
    <w:rsid w:val="00B575F3"/>
    <w:rsid w:val="00B57C70"/>
    <w:rsid w:val="00B60297"/>
    <w:rsid w:val="00B60E69"/>
    <w:rsid w:val="00B62AF4"/>
    <w:rsid w:val="00B63301"/>
    <w:rsid w:val="00B64014"/>
    <w:rsid w:val="00B64256"/>
    <w:rsid w:val="00B6442A"/>
    <w:rsid w:val="00B64973"/>
    <w:rsid w:val="00B66328"/>
    <w:rsid w:val="00B66B4E"/>
    <w:rsid w:val="00B66FD3"/>
    <w:rsid w:val="00B67271"/>
    <w:rsid w:val="00B67402"/>
    <w:rsid w:val="00B67DD9"/>
    <w:rsid w:val="00B70010"/>
    <w:rsid w:val="00B700D3"/>
    <w:rsid w:val="00B72120"/>
    <w:rsid w:val="00B73695"/>
    <w:rsid w:val="00B73918"/>
    <w:rsid w:val="00B73DE9"/>
    <w:rsid w:val="00B73F39"/>
    <w:rsid w:val="00B7401C"/>
    <w:rsid w:val="00B74EF3"/>
    <w:rsid w:val="00B74F2C"/>
    <w:rsid w:val="00B758F0"/>
    <w:rsid w:val="00B75DEC"/>
    <w:rsid w:val="00B76E77"/>
    <w:rsid w:val="00B77200"/>
    <w:rsid w:val="00B7724A"/>
    <w:rsid w:val="00B77CE2"/>
    <w:rsid w:val="00B80E09"/>
    <w:rsid w:val="00B80E9F"/>
    <w:rsid w:val="00B81791"/>
    <w:rsid w:val="00B81B57"/>
    <w:rsid w:val="00B81CC7"/>
    <w:rsid w:val="00B82033"/>
    <w:rsid w:val="00B8220A"/>
    <w:rsid w:val="00B824DF"/>
    <w:rsid w:val="00B8390D"/>
    <w:rsid w:val="00B83EF0"/>
    <w:rsid w:val="00B83FC8"/>
    <w:rsid w:val="00B8464D"/>
    <w:rsid w:val="00B84B8C"/>
    <w:rsid w:val="00B84D7E"/>
    <w:rsid w:val="00B865EE"/>
    <w:rsid w:val="00B87226"/>
    <w:rsid w:val="00B8770F"/>
    <w:rsid w:val="00B87969"/>
    <w:rsid w:val="00B90756"/>
    <w:rsid w:val="00B90984"/>
    <w:rsid w:val="00B90A70"/>
    <w:rsid w:val="00B90DC6"/>
    <w:rsid w:val="00B9104D"/>
    <w:rsid w:val="00B91AFD"/>
    <w:rsid w:val="00B92D82"/>
    <w:rsid w:val="00B93E2C"/>
    <w:rsid w:val="00B94537"/>
    <w:rsid w:val="00B946A6"/>
    <w:rsid w:val="00B94DC9"/>
    <w:rsid w:val="00B9545C"/>
    <w:rsid w:val="00B95775"/>
    <w:rsid w:val="00B96D3B"/>
    <w:rsid w:val="00B97054"/>
    <w:rsid w:val="00B97E6F"/>
    <w:rsid w:val="00BA0CD6"/>
    <w:rsid w:val="00BA0D35"/>
    <w:rsid w:val="00BA15C9"/>
    <w:rsid w:val="00BA189E"/>
    <w:rsid w:val="00BA2F76"/>
    <w:rsid w:val="00BA481B"/>
    <w:rsid w:val="00BA5E00"/>
    <w:rsid w:val="00BA6C89"/>
    <w:rsid w:val="00BA6DC2"/>
    <w:rsid w:val="00BB0098"/>
    <w:rsid w:val="00BB042C"/>
    <w:rsid w:val="00BB0D73"/>
    <w:rsid w:val="00BB0F0F"/>
    <w:rsid w:val="00BB100B"/>
    <w:rsid w:val="00BB13AB"/>
    <w:rsid w:val="00BB2A31"/>
    <w:rsid w:val="00BB3194"/>
    <w:rsid w:val="00BB3196"/>
    <w:rsid w:val="00BB3516"/>
    <w:rsid w:val="00BB39EC"/>
    <w:rsid w:val="00BB42DE"/>
    <w:rsid w:val="00BB46E0"/>
    <w:rsid w:val="00BB4936"/>
    <w:rsid w:val="00BB5E39"/>
    <w:rsid w:val="00BB6049"/>
    <w:rsid w:val="00BB6628"/>
    <w:rsid w:val="00BB697D"/>
    <w:rsid w:val="00BB6995"/>
    <w:rsid w:val="00BB6BD3"/>
    <w:rsid w:val="00BB7062"/>
    <w:rsid w:val="00BB76BB"/>
    <w:rsid w:val="00BB7D83"/>
    <w:rsid w:val="00BC0479"/>
    <w:rsid w:val="00BC099A"/>
    <w:rsid w:val="00BC09DD"/>
    <w:rsid w:val="00BC0E3D"/>
    <w:rsid w:val="00BC1393"/>
    <w:rsid w:val="00BC13D1"/>
    <w:rsid w:val="00BC1E90"/>
    <w:rsid w:val="00BC2FF1"/>
    <w:rsid w:val="00BC3A89"/>
    <w:rsid w:val="00BC3CE2"/>
    <w:rsid w:val="00BC4A56"/>
    <w:rsid w:val="00BC5F85"/>
    <w:rsid w:val="00BC649E"/>
    <w:rsid w:val="00BC6E30"/>
    <w:rsid w:val="00BC72EB"/>
    <w:rsid w:val="00BC7FE7"/>
    <w:rsid w:val="00BD0C60"/>
    <w:rsid w:val="00BD0D86"/>
    <w:rsid w:val="00BD254E"/>
    <w:rsid w:val="00BD2776"/>
    <w:rsid w:val="00BD27DE"/>
    <w:rsid w:val="00BD2B53"/>
    <w:rsid w:val="00BD3569"/>
    <w:rsid w:val="00BD378D"/>
    <w:rsid w:val="00BD3844"/>
    <w:rsid w:val="00BD3B3A"/>
    <w:rsid w:val="00BD3FC7"/>
    <w:rsid w:val="00BD4647"/>
    <w:rsid w:val="00BD5228"/>
    <w:rsid w:val="00BD539D"/>
    <w:rsid w:val="00BD6B7A"/>
    <w:rsid w:val="00BD76F1"/>
    <w:rsid w:val="00BD7ADE"/>
    <w:rsid w:val="00BE05F9"/>
    <w:rsid w:val="00BE1C83"/>
    <w:rsid w:val="00BE1DFB"/>
    <w:rsid w:val="00BE2393"/>
    <w:rsid w:val="00BE2686"/>
    <w:rsid w:val="00BE2D31"/>
    <w:rsid w:val="00BE3159"/>
    <w:rsid w:val="00BE3842"/>
    <w:rsid w:val="00BE49AD"/>
    <w:rsid w:val="00BE4AA1"/>
    <w:rsid w:val="00BE4ABD"/>
    <w:rsid w:val="00BE5505"/>
    <w:rsid w:val="00BE7BCB"/>
    <w:rsid w:val="00BE7C10"/>
    <w:rsid w:val="00BE7C68"/>
    <w:rsid w:val="00BE7D88"/>
    <w:rsid w:val="00BF028A"/>
    <w:rsid w:val="00BF064F"/>
    <w:rsid w:val="00BF17D3"/>
    <w:rsid w:val="00BF1D01"/>
    <w:rsid w:val="00BF2BCE"/>
    <w:rsid w:val="00BF318A"/>
    <w:rsid w:val="00BF37F6"/>
    <w:rsid w:val="00BF4DA3"/>
    <w:rsid w:val="00BF5BD3"/>
    <w:rsid w:val="00BF5D4D"/>
    <w:rsid w:val="00BF5E5E"/>
    <w:rsid w:val="00BF6877"/>
    <w:rsid w:val="00BF6909"/>
    <w:rsid w:val="00BF6A9E"/>
    <w:rsid w:val="00BF7E49"/>
    <w:rsid w:val="00C011FC"/>
    <w:rsid w:val="00C01A2D"/>
    <w:rsid w:val="00C021AD"/>
    <w:rsid w:val="00C02274"/>
    <w:rsid w:val="00C023B2"/>
    <w:rsid w:val="00C03539"/>
    <w:rsid w:val="00C03A73"/>
    <w:rsid w:val="00C04236"/>
    <w:rsid w:val="00C04B32"/>
    <w:rsid w:val="00C05026"/>
    <w:rsid w:val="00C0535F"/>
    <w:rsid w:val="00C05A25"/>
    <w:rsid w:val="00C06699"/>
    <w:rsid w:val="00C06841"/>
    <w:rsid w:val="00C0794A"/>
    <w:rsid w:val="00C07FFE"/>
    <w:rsid w:val="00C10E50"/>
    <w:rsid w:val="00C11624"/>
    <w:rsid w:val="00C118AC"/>
    <w:rsid w:val="00C12371"/>
    <w:rsid w:val="00C131A1"/>
    <w:rsid w:val="00C13753"/>
    <w:rsid w:val="00C137E6"/>
    <w:rsid w:val="00C13EC6"/>
    <w:rsid w:val="00C14166"/>
    <w:rsid w:val="00C14C29"/>
    <w:rsid w:val="00C15207"/>
    <w:rsid w:val="00C15BF7"/>
    <w:rsid w:val="00C15C60"/>
    <w:rsid w:val="00C20810"/>
    <w:rsid w:val="00C22057"/>
    <w:rsid w:val="00C2227F"/>
    <w:rsid w:val="00C2240D"/>
    <w:rsid w:val="00C22B93"/>
    <w:rsid w:val="00C24914"/>
    <w:rsid w:val="00C24E00"/>
    <w:rsid w:val="00C261E1"/>
    <w:rsid w:val="00C26836"/>
    <w:rsid w:val="00C273E8"/>
    <w:rsid w:val="00C27AC1"/>
    <w:rsid w:val="00C27CE6"/>
    <w:rsid w:val="00C3143B"/>
    <w:rsid w:val="00C32825"/>
    <w:rsid w:val="00C32924"/>
    <w:rsid w:val="00C32ADA"/>
    <w:rsid w:val="00C3368A"/>
    <w:rsid w:val="00C33758"/>
    <w:rsid w:val="00C3384C"/>
    <w:rsid w:val="00C33BFA"/>
    <w:rsid w:val="00C33C96"/>
    <w:rsid w:val="00C33F2C"/>
    <w:rsid w:val="00C340CA"/>
    <w:rsid w:val="00C34D55"/>
    <w:rsid w:val="00C34F06"/>
    <w:rsid w:val="00C368DF"/>
    <w:rsid w:val="00C36D05"/>
    <w:rsid w:val="00C37538"/>
    <w:rsid w:val="00C40C97"/>
    <w:rsid w:val="00C40E73"/>
    <w:rsid w:val="00C41BA8"/>
    <w:rsid w:val="00C41C0A"/>
    <w:rsid w:val="00C420CE"/>
    <w:rsid w:val="00C4290B"/>
    <w:rsid w:val="00C43099"/>
    <w:rsid w:val="00C4351E"/>
    <w:rsid w:val="00C4366C"/>
    <w:rsid w:val="00C43D52"/>
    <w:rsid w:val="00C43DD6"/>
    <w:rsid w:val="00C44011"/>
    <w:rsid w:val="00C4415C"/>
    <w:rsid w:val="00C443D3"/>
    <w:rsid w:val="00C44B38"/>
    <w:rsid w:val="00C44F5D"/>
    <w:rsid w:val="00C451B8"/>
    <w:rsid w:val="00C45475"/>
    <w:rsid w:val="00C465F0"/>
    <w:rsid w:val="00C46659"/>
    <w:rsid w:val="00C46DDA"/>
    <w:rsid w:val="00C508FA"/>
    <w:rsid w:val="00C51568"/>
    <w:rsid w:val="00C51573"/>
    <w:rsid w:val="00C51D70"/>
    <w:rsid w:val="00C52F0C"/>
    <w:rsid w:val="00C53355"/>
    <w:rsid w:val="00C5358D"/>
    <w:rsid w:val="00C54954"/>
    <w:rsid w:val="00C54CE8"/>
    <w:rsid w:val="00C55404"/>
    <w:rsid w:val="00C5545F"/>
    <w:rsid w:val="00C5732F"/>
    <w:rsid w:val="00C573A6"/>
    <w:rsid w:val="00C57EC3"/>
    <w:rsid w:val="00C60172"/>
    <w:rsid w:val="00C60CEA"/>
    <w:rsid w:val="00C622B2"/>
    <w:rsid w:val="00C624D2"/>
    <w:rsid w:val="00C634A8"/>
    <w:rsid w:val="00C636BA"/>
    <w:rsid w:val="00C64AA7"/>
    <w:rsid w:val="00C6596B"/>
    <w:rsid w:val="00C66CA3"/>
    <w:rsid w:val="00C70024"/>
    <w:rsid w:val="00C701F5"/>
    <w:rsid w:val="00C703B8"/>
    <w:rsid w:val="00C70D20"/>
    <w:rsid w:val="00C70EE5"/>
    <w:rsid w:val="00C71457"/>
    <w:rsid w:val="00C727C3"/>
    <w:rsid w:val="00C72827"/>
    <w:rsid w:val="00C72EAB"/>
    <w:rsid w:val="00C74A79"/>
    <w:rsid w:val="00C74AFD"/>
    <w:rsid w:val="00C75FCA"/>
    <w:rsid w:val="00C76D46"/>
    <w:rsid w:val="00C76D8D"/>
    <w:rsid w:val="00C8093A"/>
    <w:rsid w:val="00C81CCA"/>
    <w:rsid w:val="00C81F43"/>
    <w:rsid w:val="00C82C62"/>
    <w:rsid w:val="00C82ED8"/>
    <w:rsid w:val="00C83F45"/>
    <w:rsid w:val="00C84F43"/>
    <w:rsid w:val="00C84F8D"/>
    <w:rsid w:val="00C85120"/>
    <w:rsid w:val="00C85F25"/>
    <w:rsid w:val="00C85F70"/>
    <w:rsid w:val="00C86DFE"/>
    <w:rsid w:val="00C87156"/>
    <w:rsid w:val="00C8782D"/>
    <w:rsid w:val="00C91561"/>
    <w:rsid w:val="00C91EAF"/>
    <w:rsid w:val="00C92424"/>
    <w:rsid w:val="00C92724"/>
    <w:rsid w:val="00C93540"/>
    <w:rsid w:val="00C93B69"/>
    <w:rsid w:val="00C93D52"/>
    <w:rsid w:val="00C95354"/>
    <w:rsid w:val="00C95EA2"/>
    <w:rsid w:val="00C96D9A"/>
    <w:rsid w:val="00C973B0"/>
    <w:rsid w:val="00CA03BA"/>
    <w:rsid w:val="00CA056A"/>
    <w:rsid w:val="00CA0A8B"/>
    <w:rsid w:val="00CA1110"/>
    <w:rsid w:val="00CA1D43"/>
    <w:rsid w:val="00CA1DFD"/>
    <w:rsid w:val="00CA2654"/>
    <w:rsid w:val="00CA2BC5"/>
    <w:rsid w:val="00CA2BE8"/>
    <w:rsid w:val="00CA3582"/>
    <w:rsid w:val="00CA36C7"/>
    <w:rsid w:val="00CA3772"/>
    <w:rsid w:val="00CA3919"/>
    <w:rsid w:val="00CA39C8"/>
    <w:rsid w:val="00CA3C3F"/>
    <w:rsid w:val="00CA40BC"/>
    <w:rsid w:val="00CA42A0"/>
    <w:rsid w:val="00CA4781"/>
    <w:rsid w:val="00CA4C0E"/>
    <w:rsid w:val="00CA4E08"/>
    <w:rsid w:val="00CA577C"/>
    <w:rsid w:val="00CA5B83"/>
    <w:rsid w:val="00CA5D31"/>
    <w:rsid w:val="00CA6439"/>
    <w:rsid w:val="00CA68DE"/>
    <w:rsid w:val="00CA7B23"/>
    <w:rsid w:val="00CA7D77"/>
    <w:rsid w:val="00CB04D7"/>
    <w:rsid w:val="00CB05DA"/>
    <w:rsid w:val="00CB0876"/>
    <w:rsid w:val="00CB17AF"/>
    <w:rsid w:val="00CB1BD6"/>
    <w:rsid w:val="00CB4FBB"/>
    <w:rsid w:val="00CB64F5"/>
    <w:rsid w:val="00CB6A9F"/>
    <w:rsid w:val="00CB7107"/>
    <w:rsid w:val="00CB7697"/>
    <w:rsid w:val="00CB794E"/>
    <w:rsid w:val="00CC05A6"/>
    <w:rsid w:val="00CC099A"/>
    <w:rsid w:val="00CC1332"/>
    <w:rsid w:val="00CC150E"/>
    <w:rsid w:val="00CC2AB3"/>
    <w:rsid w:val="00CC2F9E"/>
    <w:rsid w:val="00CC2FB9"/>
    <w:rsid w:val="00CC34B0"/>
    <w:rsid w:val="00CC36D1"/>
    <w:rsid w:val="00CC3E6E"/>
    <w:rsid w:val="00CC3E90"/>
    <w:rsid w:val="00CC41D6"/>
    <w:rsid w:val="00CC45AB"/>
    <w:rsid w:val="00CC4983"/>
    <w:rsid w:val="00CC4B9E"/>
    <w:rsid w:val="00CC5762"/>
    <w:rsid w:val="00CC5ACB"/>
    <w:rsid w:val="00CC5EB2"/>
    <w:rsid w:val="00CC5F56"/>
    <w:rsid w:val="00CC67B8"/>
    <w:rsid w:val="00CC6DBF"/>
    <w:rsid w:val="00CC6FB8"/>
    <w:rsid w:val="00CC7E21"/>
    <w:rsid w:val="00CD03FF"/>
    <w:rsid w:val="00CD094D"/>
    <w:rsid w:val="00CD0E1E"/>
    <w:rsid w:val="00CD0F25"/>
    <w:rsid w:val="00CD1DAE"/>
    <w:rsid w:val="00CD2952"/>
    <w:rsid w:val="00CD3090"/>
    <w:rsid w:val="00CD31B0"/>
    <w:rsid w:val="00CD3E01"/>
    <w:rsid w:val="00CD43AC"/>
    <w:rsid w:val="00CD4DCA"/>
    <w:rsid w:val="00CD5C4F"/>
    <w:rsid w:val="00CD5D28"/>
    <w:rsid w:val="00CE1C40"/>
    <w:rsid w:val="00CE2540"/>
    <w:rsid w:val="00CE4D51"/>
    <w:rsid w:val="00CE50AE"/>
    <w:rsid w:val="00CE58A2"/>
    <w:rsid w:val="00CE5DED"/>
    <w:rsid w:val="00CE74FE"/>
    <w:rsid w:val="00CE7DD6"/>
    <w:rsid w:val="00CF1073"/>
    <w:rsid w:val="00CF1FD7"/>
    <w:rsid w:val="00CF2012"/>
    <w:rsid w:val="00CF2F1A"/>
    <w:rsid w:val="00CF2FB9"/>
    <w:rsid w:val="00CF385D"/>
    <w:rsid w:val="00CF643D"/>
    <w:rsid w:val="00CF66B3"/>
    <w:rsid w:val="00CF7498"/>
    <w:rsid w:val="00CF74EB"/>
    <w:rsid w:val="00CF7EB7"/>
    <w:rsid w:val="00D000BF"/>
    <w:rsid w:val="00D0116E"/>
    <w:rsid w:val="00D016F3"/>
    <w:rsid w:val="00D03791"/>
    <w:rsid w:val="00D03F75"/>
    <w:rsid w:val="00D04171"/>
    <w:rsid w:val="00D04219"/>
    <w:rsid w:val="00D04907"/>
    <w:rsid w:val="00D04AC0"/>
    <w:rsid w:val="00D051B0"/>
    <w:rsid w:val="00D0579D"/>
    <w:rsid w:val="00D063EE"/>
    <w:rsid w:val="00D067A4"/>
    <w:rsid w:val="00D06FA5"/>
    <w:rsid w:val="00D073A2"/>
    <w:rsid w:val="00D079A0"/>
    <w:rsid w:val="00D07EC1"/>
    <w:rsid w:val="00D07F61"/>
    <w:rsid w:val="00D12C49"/>
    <w:rsid w:val="00D14190"/>
    <w:rsid w:val="00D141A9"/>
    <w:rsid w:val="00D1440B"/>
    <w:rsid w:val="00D14B14"/>
    <w:rsid w:val="00D14BC0"/>
    <w:rsid w:val="00D151F2"/>
    <w:rsid w:val="00D153DB"/>
    <w:rsid w:val="00D15B1F"/>
    <w:rsid w:val="00D16443"/>
    <w:rsid w:val="00D179EE"/>
    <w:rsid w:val="00D17CE0"/>
    <w:rsid w:val="00D20B93"/>
    <w:rsid w:val="00D21268"/>
    <w:rsid w:val="00D213D9"/>
    <w:rsid w:val="00D21477"/>
    <w:rsid w:val="00D21FE4"/>
    <w:rsid w:val="00D220D2"/>
    <w:rsid w:val="00D22AE7"/>
    <w:rsid w:val="00D22FFA"/>
    <w:rsid w:val="00D23336"/>
    <w:rsid w:val="00D23DD6"/>
    <w:rsid w:val="00D23F58"/>
    <w:rsid w:val="00D25F21"/>
    <w:rsid w:val="00D276DC"/>
    <w:rsid w:val="00D3045F"/>
    <w:rsid w:val="00D30EC1"/>
    <w:rsid w:val="00D3175E"/>
    <w:rsid w:val="00D318AC"/>
    <w:rsid w:val="00D31A78"/>
    <w:rsid w:val="00D31C79"/>
    <w:rsid w:val="00D32CC4"/>
    <w:rsid w:val="00D32D6A"/>
    <w:rsid w:val="00D33A9E"/>
    <w:rsid w:val="00D345D2"/>
    <w:rsid w:val="00D34613"/>
    <w:rsid w:val="00D346D3"/>
    <w:rsid w:val="00D35017"/>
    <w:rsid w:val="00D355A3"/>
    <w:rsid w:val="00D36684"/>
    <w:rsid w:val="00D36DDE"/>
    <w:rsid w:val="00D3748E"/>
    <w:rsid w:val="00D37DBE"/>
    <w:rsid w:val="00D403E4"/>
    <w:rsid w:val="00D40410"/>
    <w:rsid w:val="00D41F86"/>
    <w:rsid w:val="00D422F2"/>
    <w:rsid w:val="00D42A70"/>
    <w:rsid w:val="00D43CFC"/>
    <w:rsid w:val="00D44B38"/>
    <w:rsid w:val="00D44D6E"/>
    <w:rsid w:val="00D44DDF"/>
    <w:rsid w:val="00D455BA"/>
    <w:rsid w:val="00D45729"/>
    <w:rsid w:val="00D46386"/>
    <w:rsid w:val="00D46963"/>
    <w:rsid w:val="00D46C15"/>
    <w:rsid w:val="00D4785F"/>
    <w:rsid w:val="00D479DE"/>
    <w:rsid w:val="00D50B70"/>
    <w:rsid w:val="00D522AE"/>
    <w:rsid w:val="00D52A97"/>
    <w:rsid w:val="00D52D15"/>
    <w:rsid w:val="00D52D79"/>
    <w:rsid w:val="00D53246"/>
    <w:rsid w:val="00D53655"/>
    <w:rsid w:val="00D5376D"/>
    <w:rsid w:val="00D539C8"/>
    <w:rsid w:val="00D53BD7"/>
    <w:rsid w:val="00D54BB6"/>
    <w:rsid w:val="00D54BCD"/>
    <w:rsid w:val="00D54E29"/>
    <w:rsid w:val="00D5596B"/>
    <w:rsid w:val="00D55C81"/>
    <w:rsid w:val="00D56492"/>
    <w:rsid w:val="00D57C76"/>
    <w:rsid w:val="00D616B1"/>
    <w:rsid w:val="00D61FFA"/>
    <w:rsid w:val="00D621BC"/>
    <w:rsid w:val="00D623CB"/>
    <w:rsid w:val="00D62500"/>
    <w:rsid w:val="00D62786"/>
    <w:rsid w:val="00D62F1F"/>
    <w:rsid w:val="00D63AE3"/>
    <w:rsid w:val="00D63E31"/>
    <w:rsid w:val="00D640ED"/>
    <w:rsid w:val="00D648A9"/>
    <w:rsid w:val="00D64A7F"/>
    <w:rsid w:val="00D6564A"/>
    <w:rsid w:val="00D65A6B"/>
    <w:rsid w:val="00D66031"/>
    <w:rsid w:val="00D661C5"/>
    <w:rsid w:val="00D66279"/>
    <w:rsid w:val="00D6647C"/>
    <w:rsid w:val="00D6691F"/>
    <w:rsid w:val="00D67FE2"/>
    <w:rsid w:val="00D70375"/>
    <w:rsid w:val="00D70377"/>
    <w:rsid w:val="00D705ED"/>
    <w:rsid w:val="00D70992"/>
    <w:rsid w:val="00D70FC3"/>
    <w:rsid w:val="00D71379"/>
    <w:rsid w:val="00D71DBF"/>
    <w:rsid w:val="00D720D2"/>
    <w:rsid w:val="00D7231E"/>
    <w:rsid w:val="00D724EA"/>
    <w:rsid w:val="00D72800"/>
    <w:rsid w:val="00D73251"/>
    <w:rsid w:val="00D74294"/>
    <w:rsid w:val="00D75C68"/>
    <w:rsid w:val="00D75C97"/>
    <w:rsid w:val="00D75EFF"/>
    <w:rsid w:val="00D76E15"/>
    <w:rsid w:val="00D77AED"/>
    <w:rsid w:val="00D77CCC"/>
    <w:rsid w:val="00D802A0"/>
    <w:rsid w:val="00D802AE"/>
    <w:rsid w:val="00D807F6"/>
    <w:rsid w:val="00D80C9D"/>
    <w:rsid w:val="00D815BB"/>
    <w:rsid w:val="00D81EBA"/>
    <w:rsid w:val="00D81F35"/>
    <w:rsid w:val="00D826C4"/>
    <w:rsid w:val="00D82B4E"/>
    <w:rsid w:val="00D831E5"/>
    <w:rsid w:val="00D837D2"/>
    <w:rsid w:val="00D837F1"/>
    <w:rsid w:val="00D83E63"/>
    <w:rsid w:val="00D84952"/>
    <w:rsid w:val="00D84F39"/>
    <w:rsid w:val="00D856DA"/>
    <w:rsid w:val="00D8656E"/>
    <w:rsid w:val="00D87CFA"/>
    <w:rsid w:val="00D90162"/>
    <w:rsid w:val="00D90483"/>
    <w:rsid w:val="00D9073C"/>
    <w:rsid w:val="00D91A5E"/>
    <w:rsid w:val="00D9295F"/>
    <w:rsid w:val="00D9388E"/>
    <w:rsid w:val="00D93EAD"/>
    <w:rsid w:val="00D9408A"/>
    <w:rsid w:val="00D95786"/>
    <w:rsid w:val="00D95B56"/>
    <w:rsid w:val="00D95D4E"/>
    <w:rsid w:val="00D97953"/>
    <w:rsid w:val="00D97F56"/>
    <w:rsid w:val="00DA025B"/>
    <w:rsid w:val="00DA0638"/>
    <w:rsid w:val="00DA073E"/>
    <w:rsid w:val="00DA0F80"/>
    <w:rsid w:val="00DA18C6"/>
    <w:rsid w:val="00DA1C78"/>
    <w:rsid w:val="00DA27DA"/>
    <w:rsid w:val="00DA28D6"/>
    <w:rsid w:val="00DA2BCE"/>
    <w:rsid w:val="00DA3534"/>
    <w:rsid w:val="00DA4565"/>
    <w:rsid w:val="00DA4DB3"/>
    <w:rsid w:val="00DA5D8C"/>
    <w:rsid w:val="00DA783A"/>
    <w:rsid w:val="00DA7E5A"/>
    <w:rsid w:val="00DA7E69"/>
    <w:rsid w:val="00DA7E76"/>
    <w:rsid w:val="00DA7FC8"/>
    <w:rsid w:val="00DB0515"/>
    <w:rsid w:val="00DB0591"/>
    <w:rsid w:val="00DB1899"/>
    <w:rsid w:val="00DB2FE0"/>
    <w:rsid w:val="00DB3678"/>
    <w:rsid w:val="00DB3B0B"/>
    <w:rsid w:val="00DB441A"/>
    <w:rsid w:val="00DB4922"/>
    <w:rsid w:val="00DB4991"/>
    <w:rsid w:val="00DB4CA4"/>
    <w:rsid w:val="00DB5772"/>
    <w:rsid w:val="00DB5CD2"/>
    <w:rsid w:val="00DB68A1"/>
    <w:rsid w:val="00DB75E2"/>
    <w:rsid w:val="00DC198E"/>
    <w:rsid w:val="00DC1DDD"/>
    <w:rsid w:val="00DC2C25"/>
    <w:rsid w:val="00DC2DFC"/>
    <w:rsid w:val="00DC3796"/>
    <w:rsid w:val="00DC3B69"/>
    <w:rsid w:val="00DC4127"/>
    <w:rsid w:val="00DC42F7"/>
    <w:rsid w:val="00DC556B"/>
    <w:rsid w:val="00DC5D1F"/>
    <w:rsid w:val="00DC65B9"/>
    <w:rsid w:val="00DC67C4"/>
    <w:rsid w:val="00DC6AFA"/>
    <w:rsid w:val="00DC6BBC"/>
    <w:rsid w:val="00DC6BF5"/>
    <w:rsid w:val="00DC706B"/>
    <w:rsid w:val="00DC7255"/>
    <w:rsid w:val="00DC72CF"/>
    <w:rsid w:val="00DC7BAF"/>
    <w:rsid w:val="00DC7F3C"/>
    <w:rsid w:val="00DD1231"/>
    <w:rsid w:val="00DD1409"/>
    <w:rsid w:val="00DD1414"/>
    <w:rsid w:val="00DD1E29"/>
    <w:rsid w:val="00DD29BE"/>
    <w:rsid w:val="00DD2A8A"/>
    <w:rsid w:val="00DD38F0"/>
    <w:rsid w:val="00DD396E"/>
    <w:rsid w:val="00DD3BD4"/>
    <w:rsid w:val="00DD446A"/>
    <w:rsid w:val="00DD5C88"/>
    <w:rsid w:val="00DD71D4"/>
    <w:rsid w:val="00DD7834"/>
    <w:rsid w:val="00DD786C"/>
    <w:rsid w:val="00DE0087"/>
    <w:rsid w:val="00DE017D"/>
    <w:rsid w:val="00DE0D25"/>
    <w:rsid w:val="00DE1B76"/>
    <w:rsid w:val="00DE2A5F"/>
    <w:rsid w:val="00DE3615"/>
    <w:rsid w:val="00DE3DB3"/>
    <w:rsid w:val="00DE411C"/>
    <w:rsid w:val="00DE4152"/>
    <w:rsid w:val="00DE427C"/>
    <w:rsid w:val="00DE48CF"/>
    <w:rsid w:val="00DE537F"/>
    <w:rsid w:val="00DE5520"/>
    <w:rsid w:val="00DE562F"/>
    <w:rsid w:val="00DE614E"/>
    <w:rsid w:val="00DE679D"/>
    <w:rsid w:val="00DE68E5"/>
    <w:rsid w:val="00DE6EDC"/>
    <w:rsid w:val="00DE71C4"/>
    <w:rsid w:val="00DE725E"/>
    <w:rsid w:val="00DE7902"/>
    <w:rsid w:val="00DE7D93"/>
    <w:rsid w:val="00DF088A"/>
    <w:rsid w:val="00DF102A"/>
    <w:rsid w:val="00DF19F9"/>
    <w:rsid w:val="00DF2CDE"/>
    <w:rsid w:val="00DF37AA"/>
    <w:rsid w:val="00DF4242"/>
    <w:rsid w:val="00DF4BA8"/>
    <w:rsid w:val="00DF4D47"/>
    <w:rsid w:val="00DF4FB2"/>
    <w:rsid w:val="00DF526C"/>
    <w:rsid w:val="00DF535E"/>
    <w:rsid w:val="00DF561B"/>
    <w:rsid w:val="00DF5FF6"/>
    <w:rsid w:val="00DF6004"/>
    <w:rsid w:val="00DF63E8"/>
    <w:rsid w:val="00DF6ED9"/>
    <w:rsid w:val="00DF76AA"/>
    <w:rsid w:val="00E005BF"/>
    <w:rsid w:val="00E00C68"/>
    <w:rsid w:val="00E01178"/>
    <w:rsid w:val="00E01FA9"/>
    <w:rsid w:val="00E02122"/>
    <w:rsid w:val="00E02FC9"/>
    <w:rsid w:val="00E03949"/>
    <w:rsid w:val="00E0460C"/>
    <w:rsid w:val="00E047AD"/>
    <w:rsid w:val="00E049E9"/>
    <w:rsid w:val="00E049EE"/>
    <w:rsid w:val="00E05802"/>
    <w:rsid w:val="00E05AFD"/>
    <w:rsid w:val="00E062B5"/>
    <w:rsid w:val="00E065B5"/>
    <w:rsid w:val="00E06B34"/>
    <w:rsid w:val="00E07881"/>
    <w:rsid w:val="00E07A9E"/>
    <w:rsid w:val="00E07AF8"/>
    <w:rsid w:val="00E07FC2"/>
    <w:rsid w:val="00E1042B"/>
    <w:rsid w:val="00E116A0"/>
    <w:rsid w:val="00E116ED"/>
    <w:rsid w:val="00E1260A"/>
    <w:rsid w:val="00E137C5"/>
    <w:rsid w:val="00E1482A"/>
    <w:rsid w:val="00E159E0"/>
    <w:rsid w:val="00E16212"/>
    <w:rsid w:val="00E16D95"/>
    <w:rsid w:val="00E1709C"/>
    <w:rsid w:val="00E17882"/>
    <w:rsid w:val="00E17D93"/>
    <w:rsid w:val="00E20009"/>
    <w:rsid w:val="00E20179"/>
    <w:rsid w:val="00E20E48"/>
    <w:rsid w:val="00E21245"/>
    <w:rsid w:val="00E21807"/>
    <w:rsid w:val="00E22273"/>
    <w:rsid w:val="00E22296"/>
    <w:rsid w:val="00E22861"/>
    <w:rsid w:val="00E230D4"/>
    <w:rsid w:val="00E24354"/>
    <w:rsid w:val="00E24DDD"/>
    <w:rsid w:val="00E24FD2"/>
    <w:rsid w:val="00E26D91"/>
    <w:rsid w:val="00E2744B"/>
    <w:rsid w:val="00E30664"/>
    <w:rsid w:val="00E30695"/>
    <w:rsid w:val="00E30BE3"/>
    <w:rsid w:val="00E315C1"/>
    <w:rsid w:val="00E31A16"/>
    <w:rsid w:val="00E31F14"/>
    <w:rsid w:val="00E3227C"/>
    <w:rsid w:val="00E327EF"/>
    <w:rsid w:val="00E329DF"/>
    <w:rsid w:val="00E32CDB"/>
    <w:rsid w:val="00E33389"/>
    <w:rsid w:val="00E33718"/>
    <w:rsid w:val="00E33D20"/>
    <w:rsid w:val="00E341D6"/>
    <w:rsid w:val="00E34A71"/>
    <w:rsid w:val="00E35530"/>
    <w:rsid w:val="00E35987"/>
    <w:rsid w:val="00E35C87"/>
    <w:rsid w:val="00E3618C"/>
    <w:rsid w:val="00E367DD"/>
    <w:rsid w:val="00E367E4"/>
    <w:rsid w:val="00E36C73"/>
    <w:rsid w:val="00E40703"/>
    <w:rsid w:val="00E4108F"/>
    <w:rsid w:val="00E416D2"/>
    <w:rsid w:val="00E418D9"/>
    <w:rsid w:val="00E422A5"/>
    <w:rsid w:val="00E42F28"/>
    <w:rsid w:val="00E431D2"/>
    <w:rsid w:val="00E434F7"/>
    <w:rsid w:val="00E4381E"/>
    <w:rsid w:val="00E44115"/>
    <w:rsid w:val="00E453CB"/>
    <w:rsid w:val="00E45A68"/>
    <w:rsid w:val="00E45B6B"/>
    <w:rsid w:val="00E464EC"/>
    <w:rsid w:val="00E46EEF"/>
    <w:rsid w:val="00E47143"/>
    <w:rsid w:val="00E47246"/>
    <w:rsid w:val="00E50162"/>
    <w:rsid w:val="00E509D5"/>
    <w:rsid w:val="00E51FD1"/>
    <w:rsid w:val="00E52379"/>
    <w:rsid w:val="00E52AE8"/>
    <w:rsid w:val="00E52BEE"/>
    <w:rsid w:val="00E52FB1"/>
    <w:rsid w:val="00E53308"/>
    <w:rsid w:val="00E5362C"/>
    <w:rsid w:val="00E5467C"/>
    <w:rsid w:val="00E555BB"/>
    <w:rsid w:val="00E55DAA"/>
    <w:rsid w:val="00E56620"/>
    <w:rsid w:val="00E5682A"/>
    <w:rsid w:val="00E569BD"/>
    <w:rsid w:val="00E56D08"/>
    <w:rsid w:val="00E57483"/>
    <w:rsid w:val="00E57C92"/>
    <w:rsid w:val="00E6021A"/>
    <w:rsid w:val="00E603D9"/>
    <w:rsid w:val="00E60BFC"/>
    <w:rsid w:val="00E6109B"/>
    <w:rsid w:val="00E61951"/>
    <w:rsid w:val="00E6206D"/>
    <w:rsid w:val="00E623DB"/>
    <w:rsid w:val="00E6284A"/>
    <w:rsid w:val="00E62B2C"/>
    <w:rsid w:val="00E62FE5"/>
    <w:rsid w:val="00E63687"/>
    <w:rsid w:val="00E63963"/>
    <w:rsid w:val="00E63E8D"/>
    <w:rsid w:val="00E63FAE"/>
    <w:rsid w:val="00E64F3C"/>
    <w:rsid w:val="00E64F99"/>
    <w:rsid w:val="00E65728"/>
    <w:rsid w:val="00E6640E"/>
    <w:rsid w:val="00E66709"/>
    <w:rsid w:val="00E66F02"/>
    <w:rsid w:val="00E674C4"/>
    <w:rsid w:val="00E67DA0"/>
    <w:rsid w:val="00E70AA1"/>
    <w:rsid w:val="00E71241"/>
    <w:rsid w:val="00E71341"/>
    <w:rsid w:val="00E71947"/>
    <w:rsid w:val="00E7416D"/>
    <w:rsid w:val="00E748B7"/>
    <w:rsid w:val="00E74E3E"/>
    <w:rsid w:val="00E750B8"/>
    <w:rsid w:val="00E750C1"/>
    <w:rsid w:val="00E75FA5"/>
    <w:rsid w:val="00E76A9F"/>
    <w:rsid w:val="00E76CE3"/>
    <w:rsid w:val="00E76DA0"/>
    <w:rsid w:val="00E77377"/>
    <w:rsid w:val="00E77CB5"/>
    <w:rsid w:val="00E80E7E"/>
    <w:rsid w:val="00E81073"/>
    <w:rsid w:val="00E8147D"/>
    <w:rsid w:val="00E81F33"/>
    <w:rsid w:val="00E822E1"/>
    <w:rsid w:val="00E83032"/>
    <w:rsid w:val="00E8346D"/>
    <w:rsid w:val="00E83955"/>
    <w:rsid w:val="00E83F2E"/>
    <w:rsid w:val="00E84023"/>
    <w:rsid w:val="00E856D2"/>
    <w:rsid w:val="00E85884"/>
    <w:rsid w:val="00E85C35"/>
    <w:rsid w:val="00E86166"/>
    <w:rsid w:val="00E861B4"/>
    <w:rsid w:val="00E86705"/>
    <w:rsid w:val="00E86B0F"/>
    <w:rsid w:val="00E86D83"/>
    <w:rsid w:val="00E872DD"/>
    <w:rsid w:val="00E90161"/>
    <w:rsid w:val="00E901CF"/>
    <w:rsid w:val="00E90C92"/>
    <w:rsid w:val="00E912E6"/>
    <w:rsid w:val="00E91424"/>
    <w:rsid w:val="00E9159D"/>
    <w:rsid w:val="00E916A7"/>
    <w:rsid w:val="00E92653"/>
    <w:rsid w:val="00E93502"/>
    <w:rsid w:val="00E942F3"/>
    <w:rsid w:val="00E94DDD"/>
    <w:rsid w:val="00E94EC6"/>
    <w:rsid w:val="00E96279"/>
    <w:rsid w:val="00E97401"/>
    <w:rsid w:val="00E9744E"/>
    <w:rsid w:val="00E974DD"/>
    <w:rsid w:val="00E9775A"/>
    <w:rsid w:val="00E9793C"/>
    <w:rsid w:val="00E979F4"/>
    <w:rsid w:val="00EA0B85"/>
    <w:rsid w:val="00EA2690"/>
    <w:rsid w:val="00EA2939"/>
    <w:rsid w:val="00EA2D33"/>
    <w:rsid w:val="00EA346E"/>
    <w:rsid w:val="00EA35DB"/>
    <w:rsid w:val="00EA3ADA"/>
    <w:rsid w:val="00EA4CC2"/>
    <w:rsid w:val="00EA592A"/>
    <w:rsid w:val="00EA6F4A"/>
    <w:rsid w:val="00EA7368"/>
    <w:rsid w:val="00EB0637"/>
    <w:rsid w:val="00EB08FB"/>
    <w:rsid w:val="00EB13AE"/>
    <w:rsid w:val="00EB1FDD"/>
    <w:rsid w:val="00EB2A56"/>
    <w:rsid w:val="00EB2CC8"/>
    <w:rsid w:val="00EB2F1D"/>
    <w:rsid w:val="00EB31DF"/>
    <w:rsid w:val="00EB33E5"/>
    <w:rsid w:val="00EB3584"/>
    <w:rsid w:val="00EB39E8"/>
    <w:rsid w:val="00EB3ADA"/>
    <w:rsid w:val="00EB3BC0"/>
    <w:rsid w:val="00EB3DD0"/>
    <w:rsid w:val="00EB44DB"/>
    <w:rsid w:val="00EB464C"/>
    <w:rsid w:val="00EB5585"/>
    <w:rsid w:val="00EB5B87"/>
    <w:rsid w:val="00EB6965"/>
    <w:rsid w:val="00EB78B3"/>
    <w:rsid w:val="00EB79FF"/>
    <w:rsid w:val="00EB7CF4"/>
    <w:rsid w:val="00EC0344"/>
    <w:rsid w:val="00EC0A22"/>
    <w:rsid w:val="00EC1649"/>
    <w:rsid w:val="00EC1EBA"/>
    <w:rsid w:val="00EC22E2"/>
    <w:rsid w:val="00EC2B45"/>
    <w:rsid w:val="00EC3097"/>
    <w:rsid w:val="00EC3B8B"/>
    <w:rsid w:val="00EC401E"/>
    <w:rsid w:val="00EC45EA"/>
    <w:rsid w:val="00EC4B03"/>
    <w:rsid w:val="00EC4CD4"/>
    <w:rsid w:val="00EC53B0"/>
    <w:rsid w:val="00EC5528"/>
    <w:rsid w:val="00EC68BF"/>
    <w:rsid w:val="00EC68EF"/>
    <w:rsid w:val="00EC6C8D"/>
    <w:rsid w:val="00EC6FE5"/>
    <w:rsid w:val="00EC7010"/>
    <w:rsid w:val="00EC740D"/>
    <w:rsid w:val="00EC7769"/>
    <w:rsid w:val="00EC77F7"/>
    <w:rsid w:val="00EC78F8"/>
    <w:rsid w:val="00ED0504"/>
    <w:rsid w:val="00ED0ED0"/>
    <w:rsid w:val="00ED1803"/>
    <w:rsid w:val="00ED1A3B"/>
    <w:rsid w:val="00ED1DD2"/>
    <w:rsid w:val="00ED1FDC"/>
    <w:rsid w:val="00ED21F0"/>
    <w:rsid w:val="00ED26C8"/>
    <w:rsid w:val="00ED2878"/>
    <w:rsid w:val="00ED4053"/>
    <w:rsid w:val="00ED46C1"/>
    <w:rsid w:val="00ED49DF"/>
    <w:rsid w:val="00ED4D58"/>
    <w:rsid w:val="00ED6D23"/>
    <w:rsid w:val="00ED730A"/>
    <w:rsid w:val="00ED73C1"/>
    <w:rsid w:val="00ED7449"/>
    <w:rsid w:val="00ED745E"/>
    <w:rsid w:val="00ED79F4"/>
    <w:rsid w:val="00ED7DC7"/>
    <w:rsid w:val="00EE1443"/>
    <w:rsid w:val="00EE1DE9"/>
    <w:rsid w:val="00EE2615"/>
    <w:rsid w:val="00EE479B"/>
    <w:rsid w:val="00EE57AE"/>
    <w:rsid w:val="00EE5B5A"/>
    <w:rsid w:val="00EE6F32"/>
    <w:rsid w:val="00EE75C2"/>
    <w:rsid w:val="00EE7B6D"/>
    <w:rsid w:val="00EE7E05"/>
    <w:rsid w:val="00EF03CD"/>
    <w:rsid w:val="00EF0B01"/>
    <w:rsid w:val="00EF16F9"/>
    <w:rsid w:val="00EF1F9D"/>
    <w:rsid w:val="00EF28BB"/>
    <w:rsid w:val="00EF33EE"/>
    <w:rsid w:val="00EF3C12"/>
    <w:rsid w:val="00EF4C3A"/>
    <w:rsid w:val="00EF4DD7"/>
    <w:rsid w:val="00EF573F"/>
    <w:rsid w:val="00EF5DD8"/>
    <w:rsid w:val="00EF6E88"/>
    <w:rsid w:val="00EF7032"/>
    <w:rsid w:val="00F008C4"/>
    <w:rsid w:val="00F009BC"/>
    <w:rsid w:val="00F01143"/>
    <w:rsid w:val="00F01466"/>
    <w:rsid w:val="00F01777"/>
    <w:rsid w:val="00F01CF2"/>
    <w:rsid w:val="00F01F17"/>
    <w:rsid w:val="00F02B1B"/>
    <w:rsid w:val="00F02E60"/>
    <w:rsid w:val="00F032A3"/>
    <w:rsid w:val="00F0424E"/>
    <w:rsid w:val="00F04AF5"/>
    <w:rsid w:val="00F04C6F"/>
    <w:rsid w:val="00F06A1E"/>
    <w:rsid w:val="00F076C7"/>
    <w:rsid w:val="00F07869"/>
    <w:rsid w:val="00F07AA1"/>
    <w:rsid w:val="00F07BFF"/>
    <w:rsid w:val="00F07E63"/>
    <w:rsid w:val="00F1013C"/>
    <w:rsid w:val="00F1044B"/>
    <w:rsid w:val="00F10E78"/>
    <w:rsid w:val="00F11BA6"/>
    <w:rsid w:val="00F124E2"/>
    <w:rsid w:val="00F12B24"/>
    <w:rsid w:val="00F12E77"/>
    <w:rsid w:val="00F13084"/>
    <w:rsid w:val="00F13659"/>
    <w:rsid w:val="00F14556"/>
    <w:rsid w:val="00F15507"/>
    <w:rsid w:val="00F15952"/>
    <w:rsid w:val="00F15EE6"/>
    <w:rsid w:val="00F163C8"/>
    <w:rsid w:val="00F163CD"/>
    <w:rsid w:val="00F165ED"/>
    <w:rsid w:val="00F16CD5"/>
    <w:rsid w:val="00F17EC4"/>
    <w:rsid w:val="00F20C6B"/>
    <w:rsid w:val="00F21467"/>
    <w:rsid w:val="00F21826"/>
    <w:rsid w:val="00F22DC7"/>
    <w:rsid w:val="00F23095"/>
    <w:rsid w:val="00F245FC"/>
    <w:rsid w:val="00F24E93"/>
    <w:rsid w:val="00F2504B"/>
    <w:rsid w:val="00F25D64"/>
    <w:rsid w:val="00F2615A"/>
    <w:rsid w:val="00F26FD9"/>
    <w:rsid w:val="00F271ED"/>
    <w:rsid w:val="00F276DA"/>
    <w:rsid w:val="00F27914"/>
    <w:rsid w:val="00F27C01"/>
    <w:rsid w:val="00F30820"/>
    <w:rsid w:val="00F30A82"/>
    <w:rsid w:val="00F30ED8"/>
    <w:rsid w:val="00F30FE7"/>
    <w:rsid w:val="00F314FD"/>
    <w:rsid w:val="00F3204C"/>
    <w:rsid w:val="00F32176"/>
    <w:rsid w:val="00F34619"/>
    <w:rsid w:val="00F35406"/>
    <w:rsid w:val="00F361BB"/>
    <w:rsid w:val="00F36ADB"/>
    <w:rsid w:val="00F36D9A"/>
    <w:rsid w:val="00F37C04"/>
    <w:rsid w:val="00F40114"/>
    <w:rsid w:val="00F4081D"/>
    <w:rsid w:val="00F41D0A"/>
    <w:rsid w:val="00F42746"/>
    <w:rsid w:val="00F42A3F"/>
    <w:rsid w:val="00F430C7"/>
    <w:rsid w:val="00F442D3"/>
    <w:rsid w:val="00F44905"/>
    <w:rsid w:val="00F44E99"/>
    <w:rsid w:val="00F450BC"/>
    <w:rsid w:val="00F45133"/>
    <w:rsid w:val="00F452FD"/>
    <w:rsid w:val="00F45AB2"/>
    <w:rsid w:val="00F45B34"/>
    <w:rsid w:val="00F461AB"/>
    <w:rsid w:val="00F463E8"/>
    <w:rsid w:val="00F46D56"/>
    <w:rsid w:val="00F47732"/>
    <w:rsid w:val="00F47BDC"/>
    <w:rsid w:val="00F50B41"/>
    <w:rsid w:val="00F51878"/>
    <w:rsid w:val="00F52F26"/>
    <w:rsid w:val="00F54041"/>
    <w:rsid w:val="00F54080"/>
    <w:rsid w:val="00F548D8"/>
    <w:rsid w:val="00F553FC"/>
    <w:rsid w:val="00F55858"/>
    <w:rsid w:val="00F55BA3"/>
    <w:rsid w:val="00F55DE0"/>
    <w:rsid w:val="00F55F44"/>
    <w:rsid w:val="00F5600A"/>
    <w:rsid w:val="00F570A9"/>
    <w:rsid w:val="00F5719E"/>
    <w:rsid w:val="00F57324"/>
    <w:rsid w:val="00F60126"/>
    <w:rsid w:val="00F60601"/>
    <w:rsid w:val="00F606EB"/>
    <w:rsid w:val="00F60985"/>
    <w:rsid w:val="00F60B6A"/>
    <w:rsid w:val="00F60C44"/>
    <w:rsid w:val="00F60EA2"/>
    <w:rsid w:val="00F61222"/>
    <w:rsid w:val="00F637C1"/>
    <w:rsid w:val="00F63BF8"/>
    <w:rsid w:val="00F64CF4"/>
    <w:rsid w:val="00F650BD"/>
    <w:rsid w:val="00F65243"/>
    <w:rsid w:val="00F6543D"/>
    <w:rsid w:val="00F65893"/>
    <w:rsid w:val="00F65906"/>
    <w:rsid w:val="00F65ED2"/>
    <w:rsid w:val="00F67645"/>
    <w:rsid w:val="00F679DD"/>
    <w:rsid w:val="00F7089F"/>
    <w:rsid w:val="00F70ECF"/>
    <w:rsid w:val="00F7156D"/>
    <w:rsid w:val="00F71DAD"/>
    <w:rsid w:val="00F71DC7"/>
    <w:rsid w:val="00F72A4F"/>
    <w:rsid w:val="00F72DAC"/>
    <w:rsid w:val="00F739CF"/>
    <w:rsid w:val="00F73BE9"/>
    <w:rsid w:val="00F73C5A"/>
    <w:rsid w:val="00F73ED1"/>
    <w:rsid w:val="00F743D8"/>
    <w:rsid w:val="00F7470F"/>
    <w:rsid w:val="00F7480B"/>
    <w:rsid w:val="00F75FAB"/>
    <w:rsid w:val="00F766B9"/>
    <w:rsid w:val="00F7716A"/>
    <w:rsid w:val="00F804C0"/>
    <w:rsid w:val="00F80709"/>
    <w:rsid w:val="00F80A9F"/>
    <w:rsid w:val="00F80D3A"/>
    <w:rsid w:val="00F81083"/>
    <w:rsid w:val="00F81845"/>
    <w:rsid w:val="00F83C89"/>
    <w:rsid w:val="00F842CA"/>
    <w:rsid w:val="00F84381"/>
    <w:rsid w:val="00F84837"/>
    <w:rsid w:val="00F84D5F"/>
    <w:rsid w:val="00F8501E"/>
    <w:rsid w:val="00F856BD"/>
    <w:rsid w:val="00F8623B"/>
    <w:rsid w:val="00F86557"/>
    <w:rsid w:val="00F867DC"/>
    <w:rsid w:val="00F8756E"/>
    <w:rsid w:val="00F906D4"/>
    <w:rsid w:val="00F9108E"/>
    <w:rsid w:val="00F91C11"/>
    <w:rsid w:val="00F923F2"/>
    <w:rsid w:val="00F93057"/>
    <w:rsid w:val="00F93323"/>
    <w:rsid w:val="00F93EBF"/>
    <w:rsid w:val="00F94D13"/>
    <w:rsid w:val="00F95A47"/>
    <w:rsid w:val="00F95DB1"/>
    <w:rsid w:val="00F97825"/>
    <w:rsid w:val="00F978C2"/>
    <w:rsid w:val="00FA25C0"/>
    <w:rsid w:val="00FA2847"/>
    <w:rsid w:val="00FA2D9E"/>
    <w:rsid w:val="00FA3379"/>
    <w:rsid w:val="00FA33B5"/>
    <w:rsid w:val="00FA3455"/>
    <w:rsid w:val="00FA380E"/>
    <w:rsid w:val="00FA433D"/>
    <w:rsid w:val="00FA4AA4"/>
    <w:rsid w:val="00FA4B4C"/>
    <w:rsid w:val="00FA55A7"/>
    <w:rsid w:val="00FA5D2D"/>
    <w:rsid w:val="00FA6A22"/>
    <w:rsid w:val="00FB0272"/>
    <w:rsid w:val="00FB0565"/>
    <w:rsid w:val="00FB064B"/>
    <w:rsid w:val="00FB06CA"/>
    <w:rsid w:val="00FB1A49"/>
    <w:rsid w:val="00FB1CA7"/>
    <w:rsid w:val="00FB339A"/>
    <w:rsid w:val="00FB4202"/>
    <w:rsid w:val="00FB4373"/>
    <w:rsid w:val="00FB4A2D"/>
    <w:rsid w:val="00FB4AB2"/>
    <w:rsid w:val="00FB61C0"/>
    <w:rsid w:val="00FB6CA7"/>
    <w:rsid w:val="00FC0FB3"/>
    <w:rsid w:val="00FC1775"/>
    <w:rsid w:val="00FC2057"/>
    <w:rsid w:val="00FC247F"/>
    <w:rsid w:val="00FC2504"/>
    <w:rsid w:val="00FC286C"/>
    <w:rsid w:val="00FC4362"/>
    <w:rsid w:val="00FC46A5"/>
    <w:rsid w:val="00FC4706"/>
    <w:rsid w:val="00FC488A"/>
    <w:rsid w:val="00FC4B4C"/>
    <w:rsid w:val="00FC4E5B"/>
    <w:rsid w:val="00FC531A"/>
    <w:rsid w:val="00FC6DCC"/>
    <w:rsid w:val="00FC6E3F"/>
    <w:rsid w:val="00FC70E2"/>
    <w:rsid w:val="00FD001A"/>
    <w:rsid w:val="00FD01EC"/>
    <w:rsid w:val="00FD0CAD"/>
    <w:rsid w:val="00FD1262"/>
    <w:rsid w:val="00FD1EE1"/>
    <w:rsid w:val="00FD2F90"/>
    <w:rsid w:val="00FD48A4"/>
    <w:rsid w:val="00FD4CC8"/>
    <w:rsid w:val="00FD5054"/>
    <w:rsid w:val="00FD5262"/>
    <w:rsid w:val="00FD59C5"/>
    <w:rsid w:val="00FD5B58"/>
    <w:rsid w:val="00FD5EC8"/>
    <w:rsid w:val="00FD5F91"/>
    <w:rsid w:val="00FD6B9E"/>
    <w:rsid w:val="00FD7B25"/>
    <w:rsid w:val="00FD7F6F"/>
    <w:rsid w:val="00FD7F9F"/>
    <w:rsid w:val="00FE0316"/>
    <w:rsid w:val="00FE09D4"/>
    <w:rsid w:val="00FE14E7"/>
    <w:rsid w:val="00FE1914"/>
    <w:rsid w:val="00FE19CB"/>
    <w:rsid w:val="00FE2AFD"/>
    <w:rsid w:val="00FE3048"/>
    <w:rsid w:val="00FE3577"/>
    <w:rsid w:val="00FE427D"/>
    <w:rsid w:val="00FE61A3"/>
    <w:rsid w:val="00FE6C89"/>
    <w:rsid w:val="00FE7412"/>
    <w:rsid w:val="00FE752E"/>
    <w:rsid w:val="00FE7781"/>
    <w:rsid w:val="00FE783E"/>
    <w:rsid w:val="00FF0410"/>
    <w:rsid w:val="00FF0C61"/>
    <w:rsid w:val="00FF1528"/>
    <w:rsid w:val="00FF1D4F"/>
    <w:rsid w:val="00FF2076"/>
    <w:rsid w:val="00FF239E"/>
    <w:rsid w:val="00FF2CA1"/>
    <w:rsid w:val="00FF3136"/>
    <w:rsid w:val="00FF37F7"/>
    <w:rsid w:val="00FF4C43"/>
    <w:rsid w:val="00FF540A"/>
    <w:rsid w:val="00FF7C18"/>
    <w:rsid w:val="01054EE7"/>
    <w:rsid w:val="01453751"/>
    <w:rsid w:val="01710C42"/>
    <w:rsid w:val="017F126E"/>
    <w:rsid w:val="018C6040"/>
    <w:rsid w:val="01967E71"/>
    <w:rsid w:val="01BF645F"/>
    <w:rsid w:val="01D0720E"/>
    <w:rsid w:val="01E925F2"/>
    <w:rsid w:val="01EE77BF"/>
    <w:rsid w:val="021F72B2"/>
    <w:rsid w:val="02232815"/>
    <w:rsid w:val="02366DA0"/>
    <w:rsid w:val="024971C1"/>
    <w:rsid w:val="024D5B94"/>
    <w:rsid w:val="026412FF"/>
    <w:rsid w:val="026818CF"/>
    <w:rsid w:val="026E0318"/>
    <w:rsid w:val="02A52145"/>
    <w:rsid w:val="02D26E72"/>
    <w:rsid w:val="02F41103"/>
    <w:rsid w:val="02F53E74"/>
    <w:rsid w:val="02FB7869"/>
    <w:rsid w:val="03315E11"/>
    <w:rsid w:val="03BC007F"/>
    <w:rsid w:val="03EB3FC7"/>
    <w:rsid w:val="040717CA"/>
    <w:rsid w:val="040E5C29"/>
    <w:rsid w:val="041600AC"/>
    <w:rsid w:val="043D69E1"/>
    <w:rsid w:val="044A7004"/>
    <w:rsid w:val="04671583"/>
    <w:rsid w:val="046A2703"/>
    <w:rsid w:val="04DB522D"/>
    <w:rsid w:val="050836B4"/>
    <w:rsid w:val="0510144C"/>
    <w:rsid w:val="052F698C"/>
    <w:rsid w:val="053805F8"/>
    <w:rsid w:val="05571533"/>
    <w:rsid w:val="055D4CB6"/>
    <w:rsid w:val="05A07FB5"/>
    <w:rsid w:val="05B70155"/>
    <w:rsid w:val="05CA4673"/>
    <w:rsid w:val="05D00854"/>
    <w:rsid w:val="05E86706"/>
    <w:rsid w:val="05EB3E85"/>
    <w:rsid w:val="05F626C2"/>
    <w:rsid w:val="06440003"/>
    <w:rsid w:val="06EE0FAD"/>
    <w:rsid w:val="06F4622C"/>
    <w:rsid w:val="07037896"/>
    <w:rsid w:val="071C1AB9"/>
    <w:rsid w:val="072A35FB"/>
    <w:rsid w:val="07673691"/>
    <w:rsid w:val="07675D60"/>
    <w:rsid w:val="079A234F"/>
    <w:rsid w:val="07A85211"/>
    <w:rsid w:val="07BD350D"/>
    <w:rsid w:val="07BE76F9"/>
    <w:rsid w:val="07ED67BF"/>
    <w:rsid w:val="07FB5842"/>
    <w:rsid w:val="0810522F"/>
    <w:rsid w:val="08251C3E"/>
    <w:rsid w:val="086B433E"/>
    <w:rsid w:val="087C3235"/>
    <w:rsid w:val="089524A2"/>
    <w:rsid w:val="08A44134"/>
    <w:rsid w:val="08C32FB7"/>
    <w:rsid w:val="08C80360"/>
    <w:rsid w:val="094C130B"/>
    <w:rsid w:val="096303B1"/>
    <w:rsid w:val="096E6557"/>
    <w:rsid w:val="097612D8"/>
    <w:rsid w:val="09776B1A"/>
    <w:rsid w:val="09870B6B"/>
    <w:rsid w:val="098F549E"/>
    <w:rsid w:val="09D6522B"/>
    <w:rsid w:val="0A2E55C3"/>
    <w:rsid w:val="0A38598E"/>
    <w:rsid w:val="0A4F305E"/>
    <w:rsid w:val="0AAC140A"/>
    <w:rsid w:val="0ADC74B5"/>
    <w:rsid w:val="0AEB5D03"/>
    <w:rsid w:val="0AFF6A33"/>
    <w:rsid w:val="0B0A632C"/>
    <w:rsid w:val="0B1933FA"/>
    <w:rsid w:val="0B3A110D"/>
    <w:rsid w:val="0B64529C"/>
    <w:rsid w:val="0B762C6A"/>
    <w:rsid w:val="0B942AEA"/>
    <w:rsid w:val="0B9841B0"/>
    <w:rsid w:val="0B9F443A"/>
    <w:rsid w:val="0BAB2AC2"/>
    <w:rsid w:val="0BBF193C"/>
    <w:rsid w:val="0BFD257C"/>
    <w:rsid w:val="0BFE018D"/>
    <w:rsid w:val="0C2A396B"/>
    <w:rsid w:val="0C2D7D84"/>
    <w:rsid w:val="0C345149"/>
    <w:rsid w:val="0C6D10C4"/>
    <w:rsid w:val="0C6E7CC4"/>
    <w:rsid w:val="0C8573BB"/>
    <w:rsid w:val="0C870841"/>
    <w:rsid w:val="0C8804C9"/>
    <w:rsid w:val="0CC27BBA"/>
    <w:rsid w:val="0CD4772C"/>
    <w:rsid w:val="0CFC307E"/>
    <w:rsid w:val="0D174F42"/>
    <w:rsid w:val="0D8F691E"/>
    <w:rsid w:val="0DAC0FC0"/>
    <w:rsid w:val="0DBD6E33"/>
    <w:rsid w:val="0DC95DFB"/>
    <w:rsid w:val="0DCA67D5"/>
    <w:rsid w:val="0DE23BDC"/>
    <w:rsid w:val="0DEC2FD8"/>
    <w:rsid w:val="0DFC7201"/>
    <w:rsid w:val="0E5701F3"/>
    <w:rsid w:val="0E597024"/>
    <w:rsid w:val="0E5F1975"/>
    <w:rsid w:val="0E7712A1"/>
    <w:rsid w:val="0E9244A6"/>
    <w:rsid w:val="0F0C791F"/>
    <w:rsid w:val="0F591BF7"/>
    <w:rsid w:val="0F860A96"/>
    <w:rsid w:val="0FCA5173"/>
    <w:rsid w:val="0FCA7061"/>
    <w:rsid w:val="0FDC0328"/>
    <w:rsid w:val="0FF40D67"/>
    <w:rsid w:val="102B630D"/>
    <w:rsid w:val="105D2F0D"/>
    <w:rsid w:val="10610C1D"/>
    <w:rsid w:val="10674688"/>
    <w:rsid w:val="10955F12"/>
    <w:rsid w:val="10B15F44"/>
    <w:rsid w:val="10B80B26"/>
    <w:rsid w:val="10C831A7"/>
    <w:rsid w:val="10CB33F3"/>
    <w:rsid w:val="10CC44AD"/>
    <w:rsid w:val="111609D1"/>
    <w:rsid w:val="11374D2A"/>
    <w:rsid w:val="116A372A"/>
    <w:rsid w:val="118A2781"/>
    <w:rsid w:val="11AF7CB9"/>
    <w:rsid w:val="11CE6D9D"/>
    <w:rsid w:val="11E025C1"/>
    <w:rsid w:val="11F272DE"/>
    <w:rsid w:val="120664A5"/>
    <w:rsid w:val="1226602C"/>
    <w:rsid w:val="123D0E8B"/>
    <w:rsid w:val="123D5DA2"/>
    <w:rsid w:val="123E0B14"/>
    <w:rsid w:val="1261343A"/>
    <w:rsid w:val="12766890"/>
    <w:rsid w:val="128F38DC"/>
    <w:rsid w:val="12A31AFE"/>
    <w:rsid w:val="12CB2316"/>
    <w:rsid w:val="13054260"/>
    <w:rsid w:val="130C2A5B"/>
    <w:rsid w:val="13367C35"/>
    <w:rsid w:val="133A5DF2"/>
    <w:rsid w:val="134F6889"/>
    <w:rsid w:val="13566E1F"/>
    <w:rsid w:val="13727B81"/>
    <w:rsid w:val="138520A3"/>
    <w:rsid w:val="138A39C5"/>
    <w:rsid w:val="138E7456"/>
    <w:rsid w:val="13B804D9"/>
    <w:rsid w:val="1401311A"/>
    <w:rsid w:val="14204765"/>
    <w:rsid w:val="14302C19"/>
    <w:rsid w:val="1466570D"/>
    <w:rsid w:val="148A218C"/>
    <w:rsid w:val="148D1992"/>
    <w:rsid w:val="149543C8"/>
    <w:rsid w:val="14AF7C3F"/>
    <w:rsid w:val="14ED252C"/>
    <w:rsid w:val="14FC505E"/>
    <w:rsid w:val="14FF709F"/>
    <w:rsid w:val="15593C77"/>
    <w:rsid w:val="15776601"/>
    <w:rsid w:val="15782840"/>
    <w:rsid w:val="158A46FA"/>
    <w:rsid w:val="15A05276"/>
    <w:rsid w:val="15A10AA3"/>
    <w:rsid w:val="15A613ED"/>
    <w:rsid w:val="15B03EEA"/>
    <w:rsid w:val="15D54C31"/>
    <w:rsid w:val="15E52FAF"/>
    <w:rsid w:val="1604750E"/>
    <w:rsid w:val="1616746A"/>
    <w:rsid w:val="162168E1"/>
    <w:rsid w:val="16232E7E"/>
    <w:rsid w:val="162A06D0"/>
    <w:rsid w:val="165E3157"/>
    <w:rsid w:val="167E01C7"/>
    <w:rsid w:val="16B2239E"/>
    <w:rsid w:val="16D74074"/>
    <w:rsid w:val="16F44210"/>
    <w:rsid w:val="17051E8C"/>
    <w:rsid w:val="17213F37"/>
    <w:rsid w:val="174A3117"/>
    <w:rsid w:val="175156BB"/>
    <w:rsid w:val="177535F3"/>
    <w:rsid w:val="1784088D"/>
    <w:rsid w:val="17876CD8"/>
    <w:rsid w:val="17991F6C"/>
    <w:rsid w:val="17AB3003"/>
    <w:rsid w:val="17AD21DF"/>
    <w:rsid w:val="17DA5E62"/>
    <w:rsid w:val="18073366"/>
    <w:rsid w:val="18091368"/>
    <w:rsid w:val="181B5321"/>
    <w:rsid w:val="18296387"/>
    <w:rsid w:val="187A3F69"/>
    <w:rsid w:val="189F0600"/>
    <w:rsid w:val="18AB48E3"/>
    <w:rsid w:val="18F6567A"/>
    <w:rsid w:val="191B4248"/>
    <w:rsid w:val="19290BBF"/>
    <w:rsid w:val="19343A40"/>
    <w:rsid w:val="196D7F1B"/>
    <w:rsid w:val="1979726C"/>
    <w:rsid w:val="19A90B8D"/>
    <w:rsid w:val="19AB6351"/>
    <w:rsid w:val="19C37425"/>
    <w:rsid w:val="19DB0028"/>
    <w:rsid w:val="19DE5125"/>
    <w:rsid w:val="19F44735"/>
    <w:rsid w:val="19F9675D"/>
    <w:rsid w:val="1A176F1F"/>
    <w:rsid w:val="1A3112FC"/>
    <w:rsid w:val="1A3268EA"/>
    <w:rsid w:val="1A3D7353"/>
    <w:rsid w:val="1A4B3691"/>
    <w:rsid w:val="1A582845"/>
    <w:rsid w:val="1A5A434F"/>
    <w:rsid w:val="1A78107D"/>
    <w:rsid w:val="1AAD3841"/>
    <w:rsid w:val="1AB729F0"/>
    <w:rsid w:val="1AD350C2"/>
    <w:rsid w:val="1AFC6CAA"/>
    <w:rsid w:val="1B003A3A"/>
    <w:rsid w:val="1B1C0FCD"/>
    <w:rsid w:val="1B1F290F"/>
    <w:rsid w:val="1B352E36"/>
    <w:rsid w:val="1B3E6055"/>
    <w:rsid w:val="1B62011E"/>
    <w:rsid w:val="1B82212A"/>
    <w:rsid w:val="1B8E3D13"/>
    <w:rsid w:val="1BC44BC3"/>
    <w:rsid w:val="1BDC6CBF"/>
    <w:rsid w:val="1C1A2140"/>
    <w:rsid w:val="1C346708"/>
    <w:rsid w:val="1C5546C9"/>
    <w:rsid w:val="1C5B3D52"/>
    <w:rsid w:val="1C65417E"/>
    <w:rsid w:val="1C715F47"/>
    <w:rsid w:val="1C8E2171"/>
    <w:rsid w:val="1CCB7B47"/>
    <w:rsid w:val="1CCF56FE"/>
    <w:rsid w:val="1CF9370A"/>
    <w:rsid w:val="1D1D282B"/>
    <w:rsid w:val="1D203231"/>
    <w:rsid w:val="1D216739"/>
    <w:rsid w:val="1D4F7665"/>
    <w:rsid w:val="1D5C4CAA"/>
    <w:rsid w:val="1D8553CF"/>
    <w:rsid w:val="1D937E42"/>
    <w:rsid w:val="1DC60FD4"/>
    <w:rsid w:val="1DE019AC"/>
    <w:rsid w:val="1DEE7632"/>
    <w:rsid w:val="1E193D15"/>
    <w:rsid w:val="1E3D0A3F"/>
    <w:rsid w:val="1E48161D"/>
    <w:rsid w:val="1E5D0DA8"/>
    <w:rsid w:val="1E6C0D71"/>
    <w:rsid w:val="1E7C4C85"/>
    <w:rsid w:val="1EF42A3F"/>
    <w:rsid w:val="1F017683"/>
    <w:rsid w:val="1F323B00"/>
    <w:rsid w:val="1F3A7109"/>
    <w:rsid w:val="1F4E720F"/>
    <w:rsid w:val="1F722094"/>
    <w:rsid w:val="1FA91432"/>
    <w:rsid w:val="1FCE3404"/>
    <w:rsid w:val="1FD27F61"/>
    <w:rsid w:val="1FE024EA"/>
    <w:rsid w:val="1FF446FA"/>
    <w:rsid w:val="202B7515"/>
    <w:rsid w:val="20476854"/>
    <w:rsid w:val="204A0D08"/>
    <w:rsid w:val="20796E60"/>
    <w:rsid w:val="207E3C6E"/>
    <w:rsid w:val="20850F2A"/>
    <w:rsid w:val="20AA0E15"/>
    <w:rsid w:val="20AC2ED5"/>
    <w:rsid w:val="20D55460"/>
    <w:rsid w:val="212B3875"/>
    <w:rsid w:val="21384777"/>
    <w:rsid w:val="213900B3"/>
    <w:rsid w:val="21402683"/>
    <w:rsid w:val="214E3C8D"/>
    <w:rsid w:val="21564609"/>
    <w:rsid w:val="2172075E"/>
    <w:rsid w:val="21894E00"/>
    <w:rsid w:val="218F26EC"/>
    <w:rsid w:val="21970268"/>
    <w:rsid w:val="21B67E14"/>
    <w:rsid w:val="21DE511C"/>
    <w:rsid w:val="21F2725D"/>
    <w:rsid w:val="21F4671D"/>
    <w:rsid w:val="21F7407A"/>
    <w:rsid w:val="21FA0F0C"/>
    <w:rsid w:val="22443F52"/>
    <w:rsid w:val="22800F5B"/>
    <w:rsid w:val="22A6148F"/>
    <w:rsid w:val="22B068DF"/>
    <w:rsid w:val="22C11AA0"/>
    <w:rsid w:val="22C62F3A"/>
    <w:rsid w:val="22F912D1"/>
    <w:rsid w:val="2324394A"/>
    <w:rsid w:val="2328248D"/>
    <w:rsid w:val="2333099E"/>
    <w:rsid w:val="234647AA"/>
    <w:rsid w:val="23573815"/>
    <w:rsid w:val="235C5A2D"/>
    <w:rsid w:val="2367752F"/>
    <w:rsid w:val="23753B32"/>
    <w:rsid w:val="2380657F"/>
    <w:rsid w:val="238621A3"/>
    <w:rsid w:val="23AD3F39"/>
    <w:rsid w:val="23D5432C"/>
    <w:rsid w:val="23F1591B"/>
    <w:rsid w:val="24051C87"/>
    <w:rsid w:val="24354C4F"/>
    <w:rsid w:val="24470B4A"/>
    <w:rsid w:val="24832ECC"/>
    <w:rsid w:val="248C46D2"/>
    <w:rsid w:val="249B02B0"/>
    <w:rsid w:val="24BE4DD8"/>
    <w:rsid w:val="24DB4E93"/>
    <w:rsid w:val="2509275D"/>
    <w:rsid w:val="250D0121"/>
    <w:rsid w:val="250D22FE"/>
    <w:rsid w:val="25172298"/>
    <w:rsid w:val="251972DF"/>
    <w:rsid w:val="25286633"/>
    <w:rsid w:val="253B4C73"/>
    <w:rsid w:val="254F2A32"/>
    <w:rsid w:val="25672E21"/>
    <w:rsid w:val="256D11CB"/>
    <w:rsid w:val="2572129F"/>
    <w:rsid w:val="25922005"/>
    <w:rsid w:val="25A84F81"/>
    <w:rsid w:val="26017463"/>
    <w:rsid w:val="2620569F"/>
    <w:rsid w:val="26264CA5"/>
    <w:rsid w:val="26367B9D"/>
    <w:rsid w:val="263A13A7"/>
    <w:rsid w:val="264579D4"/>
    <w:rsid w:val="26570D9B"/>
    <w:rsid w:val="265B4A98"/>
    <w:rsid w:val="26680B82"/>
    <w:rsid w:val="267F7F34"/>
    <w:rsid w:val="26C458D9"/>
    <w:rsid w:val="26C6266E"/>
    <w:rsid w:val="26F96584"/>
    <w:rsid w:val="26FA043B"/>
    <w:rsid w:val="270239BC"/>
    <w:rsid w:val="27270BA0"/>
    <w:rsid w:val="27292897"/>
    <w:rsid w:val="272A512B"/>
    <w:rsid w:val="273057C2"/>
    <w:rsid w:val="2736007B"/>
    <w:rsid w:val="27364029"/>
    <w:rsid w:val="273937B9"/>
    <w:rsid w:val="27485B61"/>
    <w:rsid w:val="274B08D6"/>
    <w:rsid w:val="27572352"/>
    <w:rsid w:val="27A63803"/>
    <w:rsid w:val="27AA66DF"/>
    <w:rsid w:val="27DE54C8"/>
    <w:rsid w:val="27DF5F83"/>
    <w:rsid w:val="28065029"/>
    <w:rsid w:val="28181A49"/>
    <w:rsid w:val="2881192B"/>
    <w:rsid w:val="28A571BF"/>
    <w:rsid w:val="28BA0544"/>
    <w:rsid w:val="28C825D9"/>
    <w:rsid w:val="28CA538C"/>
    <w:rsid w:val="28CB2378"/>
    <w:rsid w:val="28CC1CA9"/>
    <w:rsid w:val="28CF33C4"/>
    <w:rsid w:val="292213A3"/>
    <w:rsid w:val="29244BC3"/>
    <w:rsid w:val="294444A6"/>
    <w:rsid w:val="29502024"/>
    <w:rsid w:val="29626D9C"/>
    <w:rsid w:val="2983444B"/>
    <w:rsid w:val="29AE4DCD"/>
    <w:rsid w:val="29CD7446"/>
    <w:rsid w:val="2A0C4A85"/>
    <w:rsid w:val="2A182384"/>
    <w:rsid w:val="2A471C5B"/>
    <w:rsid w:val="2A47667E"/>
    <w:rsid w:val="2A7D17D9"/>
    <w:rsid w:val="2A997F46"/>
    <w:rsid w:val="2AA720BD"/>
    <w:rsid w:val="2AB23553"/>
    <w:rsid w:val="2AC6544B"/>
    <w:rsid w:val="2AFB2465"/>
    <w:rsid w:val="2B0C5681"/>
    <w:rsid w:val="2B2379C3"/>
    <w:rsid w:val="2B396DA2"/>
    <w:rsid w:val="2B6215F2"/>
    <w:rsid w:val="2BB875F8"/>
    <w:rsid w:val="2BCA7BD5"/>
    <w:rsid w:val="2BEE6654"/>
    <w:rsid w:val="2BF06118"/>
    <w:rsid w:val="2C082643"/>
    <w:rsid w:val="2C09361F"/>
    <w:rsid w:val="2C0B09FB"/>
    <w:rsid w:val="2C5F50E7"/>
    <w:rsid w:val="2C80640C"/>
    <w:rsid w:val="2CAF1E35"/>
    <w:rsid w:val="2CB044A6"/>
    <w:rsid w:val="2CD3475D"/>
    <w:rsid w:val="2CF471CC"/>
    <w:rsid w:val="2D180989"/>
    <w:rsid w:val="2D2B1BF1"/>
    <w:rsid w:val="2D300C2A"/>
    <w:rsid w:val="2D9F4C9A"/>
    <w:rsid w:val="2DB77BDA"/>
    <w:rsid w:val="2DBB19C8"/>
    <w:rsid w:val="2E2A3C72"/>
    <w:rsid w:val="2E756EE4"/>
    <w:rsid w:val="2E7A6780"/>
    <w:rsid w:val="2E903AA6"/>
    <w:rsid w:val="2E990EE5"/>
    <w:rsid w:val="2EA74AB7"/>
    <w:rsid w:val="2EEA3EEB"/>
    <w:rsid w:val="2EFE3990"/>
    <w:rsid w:val="2F3474BC"/>
    <w:rsid w:val="2F376972"/>
    <w:rsid w:val="2F5510E8"/>
    <w:rsid w:val="2F915184"/>
    <w:rsid w:val="2FDB35FD"/>
    <w:rsid w:val="2FDB65AB"/>
    <w:rsid w:val="303655A9"/>
    <w:rsid w:val="30416A11"/>
    <w:rsid w:val="30513795"/>
    <w:rsid w:val="3053208E"/>
    <w:rsid w:val="308356D8"/>
    <w:rsid w:val="3095782D"/>
    <w:rsid w:val="30CD7D78"/>
    <w:rsid w:val="30EB1091"/>
    <w:rsid w:val="30FA2B83"/>
    <w:rsid w:val="31132AF6"/>
    <w:rsid w:val="31435308"/>
    <w:rsid w:val="31490108"/>
    <w:rsid w:val="316E7B6E"/>
    <w:rsid w:val="31777A59"/>
    <w:rsid w:val="31812D76"/>
    <w:rsid w:val="31B43FAE"/>
    <w:rsid w:val="32073DFD"/>
    <w:rsid w:val="321930CB"/>
    <w:rsid w:val="3239017C"/>
    <w:rsid w:val="32566F80"/>
    <w:rsid w:val="326233D5"/>
    <w:rsid w:val="326B0EC2"/>
    <w:rsid w:val="326C44C8"/>
    <w:rsid w:val="32BA614A"/>
    <w:rsid w:val="32D1566D"/>
    <w:rsid w:val="32E5345D"/>
    <w:rsid w:val="32EA3EBA"/>
    <w:rsid w:val="330274F1"/>
    <w:rsid w:val="33142F7A"/>
    <w:rsid w:val="334F62FB"/>
    <w:rsid w:val="337335DF"/>
    <w:rsid w:val="337749FD"/>
    <w:rsid w:val="339D73B6"/>
    <w:rsid w:val="33AE4D73"/>
    <w:rsid w:val="33C91820"/>
    <w:rsid w:val="33D86AEF"/>
    <w:rsid w:val="33EC19CF"/>
    <w:rsid w:val="33FB1B8D"/>
    <w:rsid w:val="33FB32EE"/>
    <w:rsid w:val="33FF598D"/>
    <w:rsid w:val="34621545"/>
    <w:rsid w:val="3471574C"/>
    <w:rsid w:val="348B0BD6"/>
    <w:rsid w:val="34AA0C12"/>
    <w:rsid w:val="34B2110A"/>
    <w:rsid w:val="34BB131C"/>
    <w:rsid w:val="34C22379"/>
    <w:rsid w:val="34C50876"/>
    <w:rsid w:val="35234FE0"/>
    <w:rsid w:val="353C6C05"/>
    <w:rsid w:val="355B21DB"/>
    <w:rsid w:val="355E734D"/>
    <w:rsid w:val="35A013B7"/>
    <w:rsid w:val="35C72AF8"/>
    <w:rsid w:val="35D02BB2"/>
    <w:rsid w:val="35E51E53"/>
    <w:rsid w:val="35F6A475"/>
    <w:rsid w:val="364524C4"/>
    <w:rsid w:val="365D549E"/>
    <w:rsid w:val="366521B7"/>
    <w:rsid w:val="36757D1C"/>
    <w:rsid w:val="36826112"/>
    <w:rsid w:val="36A070EC"/>
    <w:rsid w:val="36B42A54"/>
    <w:rsid w:val="36D143C2"/>
    <w:rsid w:val="36F44BA5"/>
    <w:rsid w:val="370C25EC"/>
    <w:rsid w:val="375D5EFF"/>
    <w:rsid w:val="3769177D"/>
    <w:rsid w:val="378C0C0A"/>
    <w:rsid w:val="379530C6"/>
    <w:rsid w:val="37995C56"/>
    <w:rsid w:val="37A02467"/>
    <w:rsid w:val="37AA2A2B"/>
    <w:rsid w:val="37E976EC"/>
    <w:rsid w:val="380D4B9D"/>
    <w:rsid w:val="38121C1A"/>
    <w:rsid w:val="381A0DF2"/>
    <w:rsid w:val="381D0A3E"/>
    <w:rsid w:val="388C1269"/>
    <w:rsid w:val="38986075"/>
    <w:rsid w:val="38A428D6"/>
    <w:rsid w:val="38AA65E7"/>
    <w:rsid w:val="38B00B27"/>
    <w:rsid w:val="38B4055C"/>
    <w:rsid w:val="38C45D4D"/>
    <w:rsid w:val="38EF702B"/>
    <w:rsid w:val="38FA1B06"/>
    <w:rsid w:val="390846BD"/>
    <w:rsid w:val="394542C6"/>
    <w:rsid w:val="394C2D4E"/>
    <w:rsid w:val="3983203B"/>
    <w:rsid w:val="39A63FD7"/>
    <w:rsid w:val="39BF5F6B"/>
    <w:rsid w:val="39C15FF9"/>
    <w:rsid w:val="39F51765"/>
    <w:rsid w:val="39FF6276"/>
    <w:rsid w:val="3A8B0BD2"/>
    <w:rsid w:val="3AB43A4E"/>
    <w:rsid w:val="3AB914E9"/>
    <w:rsid w:val="3ABE2873"/>
    <w:rsid w:val="3AEB3CFC"/>
    <w:rsid w:val="3B30679B"/>
    <w:rsid w:val="3B7A345D"/>
    <w:rsid w:val="3B9F7C34"/>
    <w:rsid w:val="3BDF562E"/>
    <w:rsid w:val="3BE21CC8"/>
    <w:rsid w:val="3C18525E"/>
    <w:rsid w:val="3C332BE8"/>
    <w:rsid w:val="3C495BA9"/>
    <w:rsid w:val="3C601413"/>
    <w:rsid w:val="3C846DAF"/>
    <w:rsid w:val="3C8A2EAE"/>
    <w:rsid w:val="3CB96983"/>
    <w:rsid w:val="3D1F2F22"/>
    <w:rsid w:val="3D1F799D"/>
    <w:rsid w:val="3D271999"/>
    <w:rsid w:val="3D607867"/>
    <w:rsid w:val="3D7777D0"/>
    <w:rsid w:val="3D811E42"/>
    <w:rsid w:val="3D837D98"/>
    <w:rsid w:val="3D922A13"/>
    <w:rsid w:val="3D9E02C2"/>
    <w:rsid w:val="3DC106F4"/>
    <w:rsid w:val="3E2B3F62"/>
    <w:rsid w:val="3E396A25"/>
    <w:rsid w:val="3E3C0FE6"/>
    <w:rsid w:val="3E4D46A5"/>
    <w:rsid w:val="3E52118C"/>
    <w:rsid w:val="3E91345E"/>
    <w:rsid w:val="3ECC2AD7"/>
    <w:rsid w:val="3EDE5E36"/>
    <w:rsid w:val="3EF43A44"/>
    <w:rsid w:val="3F361EF8"/>
    <w:rsid w:val="3F4C7A99"/>
    <w:rsid w:val="3F5E0CFB"/>
    <w:rsid w:val="3F6820E8"/>
    <w:rsid w:val="3F785E92"/>
    <w:rsid w:val="3F9000D1"/>
    <w:rsid w:val="3FA31F73"/>
    <w:rsid w:val="3FAB6D8E"/>
    <w:rsid w:val="3FB32FC5"/>
    <w:rsid w:val="3FDF0148"/>
    <w:rsid w:val="3FE63E16"/>
    <w:rsid w:val="40252866"/>
    <w:rsid w:val="402F04A0"/>
    <w:rsid w:val="408840AB"/>
    <w:rsid w:val="409509DC"/>
    <w:rsid w:val="409E77BA"/>
    <w:rsid w:val="40A57984"/>
    <w:rsid w:val="40BE6BF1"/>
    <w:rsid w:val="415E2689"/>
    <w:rsid w:val="41643F29"/>
    <w:rsid w:val="41823BD3"/>
    <w:rsid w:val="419E1033"/>
    <w:rsid w:val="41D852BC"/>
    <w:rsid w:val="41ED7AF0"/>
    <w:rsid w:val="41F13BCE"/>
    <w:rsid w:val="41FB072E"/>
    <w:rsid w:val="420348D1"/>
    <w:rsid w:val="42097B6B"/>
    <w:rsid w:val="422D76F8"/>
    <w:rsid w:val="42394329"/>
    <w:rsid w:val="42436F15"/>
    <w:rsid w:val="424400E8"/>
    <w:rsid w:val="42BD7C58"/>
    <w:rsid w:val="42C306F7"/>
    <w:rsid w:val="42C813D6"/>
    <w:rsid w:val="42D00689"/>
    <w:rsid w:val="42E62E31"/>
    <w:rsid w:val="42FB44D6"/>
    <w:rsid w:val="42FC0E4A"/>
    <w:rsid w:val="42FE5507"/>
    <w:rsid w:val="432943E8"/>
    <w:rsid w:val="43373249"/>
    <w:rsid w:val="436B7E50"/>
    <w:rsid w:val="43954197"/>
    <w:rsid w:val="43B82D74"/>
    <w:rsid w:val="43CE2A24"/>
    <w:rsid w:val="43D60DB0"/>
    <w:rsid w:val="43DB6720"/>
    <w:rsid w:val="43E76BE2"/>
    <w:rsid w:val="440627D9"/>
    <w:rsid w:val="44092AA1"/>
    <w:rsid w:val="440C3942"/>
    <w:rsid w:val="44135B78"/>
    <w:rsid w:val="442B0775"/>
    <w:rsid w:val="44406369"/>
    <w:rsid w:val="44556E66"/>
    <w:rsid w:val="448122BC"/>
    <w:rsid w:val="44B03FEF"/>
    <w:rsid w:val="44B10046"/>
    <w:rsid w:val="44DF2AE7"/>
    <w:rsid w:val="44E93244"/>
    <w:rsid w:val="4504546D"/>
    <w:rsid w:val="4515746D"/>
    <w:rsid w:val="4528670D"/>
    <w:rsid w:val="452A5D48"/>
    <w:rsid w:val="455276EB"/>
    <w:rsid w:val="45C32D56"/>
    <w:rsid w:val="45CC78C7"/>
    <w:rsid w:val="45FE7AE7"/>
    <w:rsid w:val="463020CF"/>
    <w:rsid w:val="46373BE9"/>
    <w:rsid w:val="46524D89"/>
    <w:rsid w:val="468A544C"/>
    <w:rsid w:val="468B1BCE"/>
    <w:rsid w:val="46AC19EA"/>
    <w:rsid w:val="46AD6653"/>
    <w:rsid w:val="46B74165"/>
    <w:rsid w:val="46CA4FFB"/>
    <w:rsid w:val="46DD6398"/>
    <w:rsid w:val="471B661C"/>
    <w:rsid w:val="472752D8"/>
    <w:rsid w:val="47541B92"/>
    <w:rsid w:val="47900390"/>
    <w:rsid w:val="47A348CC"/>
    <w:rsid w:val="47A651C2"/>
    <w:rsid w:val="47B82C9D"/>
    <w:rsid w:val="47F037D9"/>
    <w:rsid w:val="48384B20"/>
    <w:rsid w:val="483940A5"/>
    <w:rsid w:val="489719B6"/>
    <w:rsid w:val="489E512A"/>
    <w:rsid w:val="48A57EC2"/>
    <w:rsid w:val="48BA25C3"/>
    <w:rsid w:val="48D56883"/>
    <w:rsid w:val="493F2F15"/>
    <w:rsid w:val="49532D21"/>
    <w:rsid w:val="49657F06"/>
    <w:rsid w:val="49764533"/>
    <w:rsid w:val="49925A51"/>
    <w:rsid w:val="49AB61D0"/>
    <w:rsid w:val="49C41488"/>
    <w:rsid w:val="49FF3F32"/>
    <w:rsid w:val="4A017DCC"/>
    <w:rsid w:val="4A0A565D"/>
    <w:rsid w:val="4A0B01F8"/>
    <w:rsid w:val="4A363203"/>
    <w:rsid w:val="4A363DB5"/>
    <w:rsid w:val="4A623E11"/>
    <w:rsid w:val="4A726792"/>
    <w:rsid w:val="4A7623AC"/>
    <w:rsid w:val="4A766CEB"/>
    <w:rsid w:val="4AA91E37"/>
    <w:rsid w:val="4AC55B2D"/>
    <w:rsid w:val="4B080189"/>
    <w:rsid w:val="4B0F5187"/>
    <w:rsid w:val="4B0F7A7D"/>
    <w:rsid w:val="4B1E68F4"/>
    <w:rsid w:val="4B212B07"/>
    <w:rsid w:val="4B3B2FAC"/>
    <w:rsid w:val="4B5B1DE9"/>
    <w:rsid w:val="4B8B10CA"/>
    <w:rsid w:val="4BA029BD"/>
    <w:rsid w:val="4BAA5015"/>
    <w:rsid w:val="4BB14D2D"/>
    <w:rsid w:val="4BB330D0"/>
    <w:rsid w:val="4BBD259D"/>
    <w:rsid w:val="4BE33A37"/>
    <w:rsid w:val="4BF04B51"/>
    <w:rsid w:val="4C3E2A39"/>
    <w:rsid w:val="4C4E3980"/>
    <w:rsid w:val="4C65207D"/>
    <w:rsid w:val="4C672411"/>
    <w:rsid w:val="4CC004FA"/>
    <w:rsid w:val="4CD27102"/>
    <w:rsid w:val="4CDB41B8"/>
    <w:rsid w:val="4CDD5E4B"/>
    <w:rsid w:val="4CDE0D61"/>
    <w:rsid w:val="4D0A770A"/>
    <w:rsid w:val="4D156FC5"/>
    <w:rsid w:val="4D6D77F9"/>
    <w:rsid w:val="4DA6502A"/>
    <w:rsid w:val="4DA76A63"/>
    <w:rsid w:val="4DC40A29"/>
    <w:rsid w:val="4E0A344B"/>
    <w:rsid w:val="4E147448"/>
    <w:rsid w:val="4E683053"/>
    <w:rsid w:val="4E6A36F3"/>
    <w:rsid w:val="4E93737E"/>
    <w:rsid w:val="4EA12770"/>
    <w:rsid w:val="4EC046F5"/>
    <w:rsid w:val="4EC93D5C"/>
    <w:rsid w:val="4ECA12B4"/>
    <w:rsid w:val="4EF0641F"/>
    <w:rsid w:val="4EF53B2A"/>
    <w:rsid w:val="4F0F4C4F"/>
    <w:rsid w:val="4F315A8C"/>
    <w:rsid w:val="4F490370"/>
    <w:rsid w:val="4F544D29"/>
    <w:rsid w:val="4F5B7C85"/>
    <w:rsid w:val="4F635298"/>
    <w:rsid w:val="4F9454BF"/>
    <w:rsid w:val="4F9C52B7"/>
    <w:rsid w:val="4FBA411E"/>
    <w:rsid w:val="4FC96B8B"/>
    <w:rsid w:val="4FDA6C8F"/>
    <w:rsid w:val="4FF74967"/>
    <w:rsid w:val="4FFF7151"/>
    <w:rsid w:val="50160650"/>
    <w:rsid w:val="50253FD1"/>
    <w:rsid w:val="502C1819"/>
    <w:rsid w:val="502E1606"/>
    <w:rsid w:val="503E4B73"/>
    <w:rsid w:val="503F546A"/>
    <w:rsid w:val="505A5C1E"/>
    <w:rsid w:val="50813B06"/>
    <w:rsid w:val="508654A4"/>
    <w:rsid w:val="509C25F0"/>
    <w:rsid w:val="50B271A1"/>
    <w:rsid w:val="50C81174"/>
    <w:rsid w:val="51167BAE"/>
    <w:rsid w:val="511C5162"/>
    <w:rsid w:val="513F29B7"/>
    <w:rsid w:val="514A7869"/>
    <w:rsid w:val="517023EE"/>
    <w:rsid w:val="51813D34"/>
    <w:rsid w:val="519A1758"/>
    <w:rsid w:val="51AF1B37"/>
    <w:rsid w:val="51C51E76"/>
    <w:rsid w:val="51CC39AC"/>
    <w:rsid w:val="51E51128"/>
    <w:rsid w:val="522937E0"/>
    <w:rsid w:val="522C3F9D"/>
    <w:rsid w:val="5238713E"/>
    <w:rsid w:val="52D34235"/>
    <w:rsid w:val="53273FB6"/>
    <w:rsid w:val="534B1A77"/>
    <w:rsid w:val="534B7672"/>
    <w:rsid w:val="536C1090"/>
    <w:rsid w:val="53737C03"/>
    <w:rsid w:val="539A6D7C"/>
    <w:rsid w:val="539E5D3D"/>
    <w:rsid w:val="53EF5A68"/>
    <w:rsid w:val="540079CA"/>
    <w:rsid w:val="54027532"/>
    <w:rsid w:val="540C4F60"/>
    <w:rsid w:val="5419059C"/>
    <w:rsid w:val="54263A70"/>
    <w:rsid w:val="54501B0D"/>
    <w:rsid w:val="545F479A"/>
    <w:rsid w:val="546D5136"/>
    <w:rsid w:val="54777114"/>
    <w:rsid w:val="54872B15"/>
    <w:rsid w:val="54915A97"/>
    <w:rsid w:val="549D6A7C"/>
    <w:rsid w:val="54C74AA6"/>
    <w:rsid w:val="54CE47AF"/>
    <w:rsid w:val="54D359CD"/>
    <w:rsid w:val="54F27669"/>
    <w:rsid w:val="553A5D2A"/>
    <w:rsid w:val="557425CC"/>
    <w:rsid w:val="5587746A"/>
    <w:rsid w:val="55B04437"/>
    <w:rsid w:val="55F01018"/>
    <w:rsid w:val="563665FD"/>
    <w:rsid w:val="56784506"/>
    <w:rsid w:val="56A936AC"/>
    <w:rsid w:val="56BA1C1B"/>
    <w:rsid w:val="56C83A42"/>
    <w:rsid w:val="56FA6D9E"/>
    <w:rsid w:val="57623859"/>
    <w:rsid w:val="5767274F"/>
    <w:rsid w:val="578910C6"/>
    <w:rsid w:val="579E3DE8"/>
    <w:rsid w:val="57A17216"/>
    <w:rsid w:val="57CD043B"/>
    <w:rsid w:val="57D216E2"/>
    <w:rsid w:val="57D24171"/>
    <w:rsid w:val="57D60097"/>
    <w:rsid w:val="57D66949"/>
    <w:rsid w:val="57DC6A48"/>
    <w:rsid w:val="57E46157"/>
    <w:rsid w:val="58156F93"/>
    <w:rsid w:val="5827352B"/>
    <w:rsid w:val="585F2BA2"/>
    <w:rsid w:val="586056D5"/>
    <w:rsid w:val="587D6570"/>
    <w:rsid w:val="58826D4F"/>
    <w:rsid w:val="589128D7"/>
    <w:rsid w:val="58A65CBC"/>
    <w:rsid w:val="58B75BC6"/>
    <w:rsid w:val="58D5598B"/>
    <w:rsid w:val="58DA3893"/>
    <w:rsid w:val="58DF0B09"/>
    <w:rsid w:val="58FE149E"/>
    <w:rsid w:val="58FF682C"/>
    <w:rsid w:val="59074942"/>
    <w:rsid w:val="590B5F2B"/>
    <w:rsid w:val="591344BC"/>
    <w:rsid w:val="59362B30"/>
    <w:rsid w:val="593E2DF9"/>
    <w:rsid w:val="59467371"/>
    <w:rsid w:val="596E4C51"/>
    <w:rsid w:val="599B3797"/>
    <w:rsid w:val="59A71B88"/>
    <w:rsid w:val="59AE04C2"/>
    <w:rsid w:val="59AE4E80"/>
    <w:rsid w:val="59B82FCF"/>
    <w:rsid w:val="59E86C16"/>
    <w:rsid w:val="59ED2DB1"/>
    <w:rsid w:val="59F8019B"/>
    <w:rsid w:val="5A0278DF"/>
    <w:rsid w:val="5A190E8E"/>
    <w:rsid w:val="5A23356B"/>
    <w:rsid w:val="5A487E05"/>
    <w:rsid w:val="5A53173B"/>
    <w:rsid w:val="5A943606"/>
    <w:rsid w:val="5AAA653F"/>
    <w:rsid w:val="5AB90D1D"/>
    <w:rsid w:val="5ACE62ED"/>
    <w:rsid w:val="5B1E17B1"/>
    <w:rsid w:val="5B2A40D0"/>
    <w:rsid w:val="5B307ABF"/>
    <w:rsid w:val="5B627C79"/>
    <w:rsid w:val="5B651940"/>
    <w:rsid w:val="5B7752B2"/>
    <w:rsid w:val="5B7E082A"/>
    <w:rsid w:val="5B9D3C91"/>
    <w:rsid w:val="5C284E5F"/>
    <w:rsid w:val="5C3C237D"/>
    <w:rsid w:val="5C513549"/>
    <w:rsid w:val="5C6E6E89"/>
    <w:rsid w:val="5C705231"/>
    <w:rsid w:val="5CA55B5B"/>
    <w:rsid w:val="5CAA1701"/>
    <w:rsid w:val="5CC92078"/>
    <w:rsid w:val="5CD50D73"/>
    <w:rsid w:val="5CEC60C7"/>
    <w:rsid w:val="5CF33B63"/>
    <w:rsid w:val="5D323CF7"/>
    <w:rsid w:val="5D5A3682"/>
    <w:rsid w:val="5D647EB1"/>
    <w:rsid w:val="5D9756B6"/>
    <w:rsid w:val="5D9D20E1"/>
    <w:rsid w:val="5DAB6C09"/>
    <w:rsid w:val="5DB47DAE"/>
    <w:rsid w:val="5DD62B9F"/>
    <w:rsid w:val="5DF529F6"/>
    <w:rsid w:val="5DFA4DF5"/>
    <w:rsid w:val="5DFD04B0"/>
    <w:rsid w:val="5E335CEB"/>
    <w:rsid w:val="5E495643"/>
    <w:rsid w:val="5E5B734D"/>
    <w:rsid w:val="5E88771E"/>
    <w:rsid w:val="5EE50805"/>
    <w:rsid w:val="5EF23D62"/>
    <w:rsid w:val="5F542679"/>
    <w:rsid w:val="5F683DAD"/>
    <w:rsid w:val="5F6906CA"/>
    <w:rsid w:val="5F721E93"/>
    <w:rsid w:val="5F7B0384"/>
    <w:rsid w:val="5FBD661B"/>
    <w:rsid w:val="5FC82634"/>
    <w:rsid w:val="5FCE4DAE"/>
    <w:rsid w:val="600E5982"/>
    <w:rsid w:val="60187C5D"/>
    <w:rsid w:val="60192A4F"/>
    <w:rsid w:val="60196D73"/>
    <w:rsid w:val="602559E8"/>
    <w:rsid w:val="605F5644"/>
    <w:rsid w:val="607A7BA9"/>
    <w:rsid w:val="60952901"/>
    <w:rsid w:val="60A769D5"/>
    <w:rsid w:val="60AA1B42"/>
    <w:rsid w:val="60BA6E11"/>
    <w:rsid w:val="60CE5CE0"/>
    <w:rsid w:val="610D1DA7"/>
    <w:rsid w:val="610E08BB"/>
    <w:rsid w:val="610F2538"/>
    <w:rsid w:val="611A26C4"/>
    <w:rsid w:val="61236265"/>
    <w:rsid w:val="61424A9B"/>
    <w:rsid w:val="61487C66"/>
    <w:rsid w:val="615D2ABF"/>
    <w:rsid w:val="616E2687"/>
    <w:rsid w:val="61892938"/>
    <w:rsid w:val="61956448"/>
    <w:rsid w:val="61AD6848"/>
    <w:rsid w:val="61B22E46"/>
    <w:rsid w:val="61CD3E9E"/>
    <w:rsid w:val="61CE3444"/>
    <w:rsid w:val="61EB6F89"/>
    <w:rsid w:val="61F914DB"/>
    <w:rsid w:val="61FB1170"/>
    <w:rsid w:val="62340F33"/>
    <w:rsid w:val="62385B9D"/>
    <w:rsid w:val="62402CDD"/>
    <w:rsid w:val="624D7F7B"/>
    <w:rsid w:val="628E5793"/>
    <w:rsid w:val="62A24636"/>
    <w:rsid w:val="62AB50D5"/>
    <w:rsid w:val="62AB618D"/>
    <w:rsid w:val="62E10125"/>
    <w:rsid w:val="62E369AA"/>
    <w:rsid w:val="62E927C6"/>
    <w:rsid w:val="630A568F"/>
    <w:rsid w:val="63152ED4"/>
    <w:rsid w:val="631D691C"/>
    <w:rsid w:val="632A078C"/>
    <w:rsid w:val="63777206"/>
    <w:rsid w:val="637A2200"/>
    <w:rsid w:val="638915AD"/>
    <w:rsid w:val="63B10689"/>
    <w:rsid w:val="63B774D5"/>
    <w:rsid w:val="63FA115E"/>
    <w:rsid w:val="640A1FA5"/>
    <w:rsid w:val="64771B6A"/>
    <w:rsid w:val="648E755D"/>
    <w:rsid w:val="64CE3708"/>
    <w:rsid w:val="64DB4C47"/>
    <w:rsid w:val="64DE04C9"/>
    <w:rsid w:val="64EE150A"/>
    <w:rsid w:val="64FC6714"/>
    <w:rsid w:val="65005F10"/>
    <w:rsid w:val="65076735"/>
    <w:rsid w:val="65096DD2"/>
    <w:rsid w:val="65415492"/>
    <w:rsid w:val="65736522"/>
    <w:rsid w:val="65AB2B63"/>
    <w:rsid w:val="65BD4108"/>
    <w:rsid w:val="65C411ED"/>
    <w:rsid w:val="65CA13E4"/>
    <w:rsid w:val="65CB583A"/>
    <w:rsid w:val="65D02A4F"/>
    <w:rsid w:val="65EE47FE"/>
    <w:rsid w:val="65F46315"/>
    <w:rsid w:val="660233C9"/>
    <w:rsid w:val="662D29B4"/>
    <w:rsid w:val="663A5F3D"/>
    <w:rsid w:val="666E275C"/>
    <w:rsid w:val="669F0ADA"/>
    <w:rsid w:val="66AB017E"/>
    <w:rsid w:val="67053766"/>
    <w:rsid w:val="6746409B"/>
    <w:rsid w:val="675D5863"/>
    <w:rsid w:val="67643C12"/>
    <w:rsid w:val="67900263"/>
    <w:rsid w:val="679E3210"/>
    <w:rsid w:val="67B71080"/>
    <w:rsid w:val="67EA3A94"/>
    <w:rsid w:val="67FB2AE9"/>
    <w:rsid w:val="680A7FD6"/>
    <w:rsid w:val="68312EAF"/>
    <w:rsid w:val="683507BE"/>
    <w:rsid w:val="68451127"/>
    <w:rsid w:val="684C12C1"/>
    <w:rsid w:val="685F0CD2"/>
    <w:rsid w:val="68692E91"/>
    <w:rsid w:val="68692F69"/>
    <w:rsid w:val="689F5BD1"/>
    <w:rsid w:val="68AC3D57"/>
    <w:rsid w:val="68B63CD3"/>
    <w:rsid w:val="68CF7C43"/>
    <w:rsid w:val="68DF0EAB"/>
    <w:rsid w:val="69016A08"/>
    <w:rsid w:val="69D866C6"/>
    <w:rsid w:val="69F861E6"/>
    <w:rsid w:val="6A21309F"/>
    <w:rsid w:val="6A3D338C"/>
    <w:rsid w:val="6A454B85"/>
    <w:rsid w:val="6A482AAF"/>
    <w:rsid w:val="6A941E18"/>
    <w:rsid w:val="6A9D0F41"/>
    <w:rsid w:val="6AA113ED"/>
    <w:rsid w:val="6ACB3B1B"/>
    <w:rsid w:val="6AD42C9D"/>
    <w:rsid w:val="6AD76461"/>
    <w:rsid w:val="6AED1E34"/>
    <w:rsid w:val="6B0E62E1"/>
    <w:rsid w:val="6B2166BD"/>
    <w:rsid w:val="6B41702A"/>
    <w:rsid w:val="6B4E5A26"/>
    <w:rsid w:val="6B54748C"/>
    <w:rsid w:val="6B57179B"/>
    <w:rsid w:val="6B5C3188"/>
    <w:rsid w:val="6B617384"/>
    <w:rsid w:val="6B7B3DBF"/>
    <w:rsid w:val="6B882545"/>
    <w:rsid w:val="6BBA42EA"/>
    <w:rsid w:val="6BBE2563"/>
    <w:rsid w:val="6BF504BB"/>
    <w:rsid w:val="6BFC4560"/>
    <w:rsid w:val="6C023ED5"/>
    <w:rsid w:val="6C1437AA"/>
    <w:rsid w:val="6C851D38"/>
    <w:rsid w:val="6C8978CF"/>
    <w:rsid w:val="6C9169FC"/>
    <w:rsid w:val="6CCA3F84"/>
    <w:rsid w:val="6CE35E9B"/>
    <w:rsid w:val="6CF82CD9"/>
    <w:rsid w:val="6D6502CE"/>
    <w:rsid w:val="6D9240B6"/>
    <w:rsid w:val="6DB419BD"/>
    <w:rsid w:val="6E0E1ECC"/>
    <w:rsid w:val="6E2957FB"/>
    <w:rsid w:val="6E6D51F2"/>
    <w:rsid w:val="6E7F2C6B"/>
    <w:rsid w:val="6EA2541F"/>
    <w:rsid w:val="6EAE3E73"/>
    <w:rsid w:val="6EC25185"/>
    <w:rsid w:val="6ED00439"/>
    <w:rsid w:val="6EF62EC0"/>
    <w:rsid w:val="6EFC5550"/>
    <w:rsid w:val="6F0D2199"/>
    <w:rsid w:val="6F0F7DCB"/>
    <w:rsid w:val="6F284C65"/>
    <w:rsid w:val="6F2F2F24"/>
    <w:rsid w:val="6F312DD8"/>
    <w:rsid w:val="6F421919"/>
    <w:rsid w:val="6F735E73"/>
    <w:rsid w:val="6F8D13C7"/>
    <w:rsid w:val="6FC3526C"/>
    <w:rsid w:val="6FC72A57"/>
    <w:rsid w:val="6FE20A31"/>
    <w:rsid w:val="6FE87B87"/>
    <w:rsid w:val="6FF7297A"/>
    <w:rsid w:val="6FFE1AE2"/>
    <w:rsid w:val="700F12CD"/>
    <w:rsid w:val="701428CE"/>
    <w:rsid w:val="702B61B3"/>
    <w:rsid w:val="70327E1E"/>
    <w:rsid w:val="704F7779"/>
    <w:rsid w:val="708F4923"/>
    <w:rsid w:val="70B25961"/>
    <w:rsid w:val="70B75B8D"/>
    <w:rsid w:val="70BF6591"/>
    <w:rsid w:val="711A18D2"/>
    <w:rsid w:val="712966A9"/>
    <w:rsid w:val="714D6817"/>
    <w:rsid w:val="71524046"/>
    <w:rsid w:val="71533ADD"/>
    <w:rsid w:val="717D1E65"/>
    <w:rsid w:val="71A66CC4"/>
    <w:rsid w:val="71AB2456"/>
    <w:rsid w:val="720555E9"/>
    <w:rsid w:val="72193393"/>
    <w:rsid w:val="72331CBD"/>
    <w:rsid w:val="724701E1"/>
    <w:rsid w:val="725255EA"/>
    <w:rsid w:val="72BF19FC"/>
    <w:rsid w:val="72D9434B"/>
    <w:rsid w:val="72F82052"/>
    <w:rsid w:val="730C26C5"/>
    <w:rsid w:val="733266A8"/>
    <w:rsid w:val="73495B13"/>
    <w:rsid w:val="735815B6"/>
    <w:rsid w:val="738A7EAD"/>
    <w:rsid w:val="739D7139"/>
    <w:rsid w:val="73D52A30"/>
    <w:rsid w:val="73DD0E3C"/>
    <w:rsid w:val="74236B2B"/>
    <w:rsid w:val="74455D52"/>
    <w:rsid w:val="74531D63"/>
    <w:rsid w:val="747760CD"/>
    <w:rsid w:val="748F7B9E"/>
    <w:rsid w:val="74A84EFE"/>
    <w:rsid w:val="750A62DD"/>
    <w:rsid w:val="75277DE4"/>
    <w:rsid w:val="75322466"/>
    <w:rsid w:val="7564418B"/>
    <w:rsid w:val="757440DB"/>
    <w:rsid w:val="757A05DB"/>
    <w:rsid w:val="75816E28"/>
    <w:rsid w:val="759A5286"/>
    <w:rsid w:val="75ED33C8"/>
    <w:rsid w:val="76004CA4"/>
    <w:rsid w:val="76425EE2"/>
    <w:rsid w:val="7653072E"/>
    <w:rsid w:val="766E623E"/>
    <w:rsid w:val="76822B21"/>
    <w:rsid w:val="768C5471"/>
    <w:rsid w:val="769D58AC"/>
    <w:rsid w:val="76AA4B74"/>
    <w:rsid w:val="76B37A26"/>
    <w:rsid w:val="76B66965"/>
    <w:rsid w:val="76CA5D5C"/>
    <w:rsid w:val="77074F83"/>
    <w:rsid w:val="771B4819"/>
    <w:rsid w:val="77220BD7"/>
    <w:rsid w:val="77414AC2"/>
    <w:rsid w:val="7748610F"/>
    <w:rsid w:val="775A38CC"/>
    <w:rsid w:val="776F67CD"/>
    <w:rsid w:val="77722FE6"/>
    <w:rsid w:val="777D2FED"/>
    <w:rsid w:val="7782689D"/>
    <w:rsid w:val="77976DFF"/>
    <w:rsid w:val="77A05771"/>
    <w:rsid w:val="77C21737"/>
    <w:rsid w:val="77E13603"/>
    <w:rsid w:val="77E77201"/>
    <w:rsid w:val="78116B04"/>
    <w:rsid w:val="78315D73"/>
    <w:rsid w:val="78336A8F"/>
    <w:rsid w:val="78355045"/>
    <w:rsid w:val="783D3E40"/>
    <w:rsid w:val="78716670"/>
    <w:rsid w:val="78965C28"/>
    <w:rsid w:val="78D953FA"/>
    <w:rsid w:val="78F37672"/>
    <w:rsid w:val="79345A3C"/>
    <w:rsid w:val="79372DC5"/>
    <w:rsid w:val="79374D5A"/>
    <w:rsid w:val="793A2AF8"/>
    <w:rsid w:val="793B28A6"/>
    <w:rsid w:val="796E5F2A"/>
    <w:rsid w:val="7974588C"/>
    <w:rsid w:val="79933EDD"/>
    <w:rsid w:val="799776C8"/>
    <w:rsid w:val="79A53549"/>
    <w:rsid w:val="79AB350C"/>
    <w:rsid w:val="79E403F0"/>
    <w:rsid w:val="79EB5BE8"/>
    <w:rsid w:val="79F227D0"/>
    <w:rsid w:val="79FC6EBF"/>
    <w:rsid w:val="7A065A32"/>
    <w:rsid w:val="7A481500"/>
    <w:rsid w:val="7A587B79"/>
    <w:rsid w:val="7A99482C"/>
    <w:rsid w:val="7ACC2E74"/>
    <w:rsid w:val="7ACC428D"/>
    <w:rsid w:val="7AF5295B"/>
    <w:rsid w:val="7B1607CA"/>
    <w:rsid w:val="7B3E05B4"/>
    <w:rsid w:val="7B6056F6"/>
    <w:rsid w:val="7B6E6A55"/>
    <w:rsid w:val="7B7415CD"/>
    <w:rsid w:val="7B7E586C"/>
    <w:rsid w:val="7B8B0C38"/>
    <w:rsid w:val="7B9850A6"/>
    <w:rsid w:val="7BE032DA"/>
    <w:rsid w:val="7BF049EB"/>
    <w:rsid w:val="7C146461"/>
    <w:rsid w:val="7C221215"/>
    <w:rsid w:val="7C377446"/>
    <w:rsid w:val="7C5A6DFB"/>
    <w:rsid w:val="7C6E35CD"/>
    <w:rsid w:val="7CA00D26"/>
    <w:rsid w:val="7CB623F6"/>
    <w:rsid w:val="7CC30BB4"/>
    <w:rsid w:val="7CD12BEF"/>
    <w:rsid w:val="7CD9506D"/>
    <w:rsid w:val="7D016D5F"/>
    <w:rsid w:val="7D076221"/>
    <w:rsid w:val="7D144EB5"/>
    <w:rsid w:val="7D6D2AF7"/>
    <w:rsid w:val="7D713FBB"/>
    <w:rsid w:val="7D8A60E2"/>
    <w:rsid w:val="7E0A5B14"/>
    <w:rsid w:val="7E121FB6"/>
    <w:rsid w:val="7E2205D3"/>
    <w:rsid w:val="7E385C8F"/>
    <w:rsid w:val="7E3C6F26"/>
    <w:rsid w:val="7E4951DD"/>
    <w:rsid w:val="7E5B31B8"/>
    <w:rsid w:val="7E6A484C"/>
    <w:rsid w:val="7E8C1878"/>
    <w:rsid w:val="7E9D6F63"/>
    <w:rsid w:val="7EEB718E"/>
    <w:rsid w:val="7EFF380E"/>
    <w:rsid w:val="7F053BD5"/>
    <w:rsid w:val="7F47353B"/>
    <w:rsid w:val="7F555E1A"/>
    <w:rsid w:val="7F680ECA"/>
    <w:rsid w:val="7FAA326A"/>
    <w:rsid w:val="7FB76A3C"/>
    <w:rsid w:val="7FBF449C"/>
    <w:rsid w:val="7FD103CF"/>
    <w:rsid w:val="7FD6732C"/>
    <w:rsid w:val="7FE42AA2"/>
    <w:rsid w:val="7FEE41AB"/>
    <w:rsid w:val="7FFB67C7"/>
    <w:rsid w:val="A8FBB4DB"/>
    <w:rsid w:val="AB7B1409"/>
    <w:rsid w:val="EB9F7A9A"/>
    <w:rsid w:val="FF69A80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29"/>
    <w:qFormat/>
    <w:uiPriority w:val="9"/>
    <w:pPr>
      <w:spacing w:line="590" w:lineRule="exact"/>
      <w:ind w:firstLine="880" w:firstLineChars="200"/>
      <w:outlineLvl w:val="0"/>
    </w:pPr>
    <w:rPr>
      <w:rFonts w:ascii="黑体" w:hAnsi="黑体" w:eastAsia="黑体"/>
      <w:bCs/>
      <w:kern w:val="44"/>
      <w:sz w:val="32"/>
      <w:szCs w:val="44"/>
    </w:rPr>
  </w:style>
  <w:style w:type="paragraph" w:styleId="5">
    <w:name w:val="heading 2"/>
    <w:basedOn w:val="1"/>
    <w:next w:val="1"/>
    <w:unhideWhenUsed/>
    <w:qFormat/>
    <w:uiPriority w:val="9"/>
    <w:pPr>
      <w:spacing w:line="590" w:lineRule="exact"/>
      <w:ind w:firstLine="880" w:firstLineChars="200"/>
      <w:jc w:val="left"/>
      <w:outlineLvl w:val="1"/>
    </w:pPr>
    <w:rPr>
      <w:rFonts w:hint="eastAsia" w:ascii="楷体_GB2312" w:hAnsi="楷体_GB2312" w:eastAsia="楷体_GB2312" w:cs="Times New Roman"/>
      <w:kern w:val="0"/>
      <w:sz w:val="32"/>
      <w:szCs w:val="36"/>
    </w:rPr>
  </w:style>
  <w:style w:type="paragraph" w:styleId="6">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7">
    <w:name w:val="heading 4"/>
    <w:basedOn w:val="1"/>
    <w:next w:val="1"/>
    <w:qFormat/>
    <w:uiPriority w:val="0"/>
    <w:pPr>
      <w:adjustRightInd w:val="0"/>
      <w:snapToGrid w:val="0"/>
      <w:spacing w:after="50" w:afterLines="50" w:line="400" w:lineRule="exact"/>
      <w:outlineLvl w:val="3"/>
    </w:pPr>
    <w:rPr>
      <w:rFonts w:ascii="Times New Roman" w:hAnsi="Times New Roman" w:eastAsia="宋体" w:cs="Times New Roman"/>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semiHidden/>
    <w:unhideWhenUsed/>
    <w:uiPriority w:val="99"/>
    <w:pPr>
      <w:ind w:firstLine="420" w:firstLineChars="200"/>
    </w:pPr>
  </w:style>
  <w:style w:type="paragraph" w:styleId="3">
    <w:name w:val="Body Text Indent"/>
    <w:basedOn w:val="1"/>
    <w:semiHidden/>
    <w:unhideWhenUsed/>
    <w:uiPriority w:val="99"/>
    <w:pPr>
      <w:spacing w:after="120" w:afterLines="0" w:afterAutospacing="0"/>
      <w:ind w:left="420" w:leftChars="200"/>
    </w:pPr>
  </w:style>
  <w:style w:type="paragraph" w:styleId="8">
    <w:name w:val="Normal Indent"/>
    <w:basedOn w:val="1"/>
    <w:next w:val="1"/>
    <w:qFormat/>
    <w:uiPriority w:val="0"/>
    <w:pPr>
      <w:ind w:firstLine="420" w:firstLineChars="200"/>
    </w:pPr>
  </w:style>
  <w:style w:type="paragraph" w:styleId="9">
    <w:name w:val="annotation text"/>
    <w:basedOn w:val="1"/>
    <w:link w:val="33"/>
    <w:semiHidden/>
    <w:unhideWhenUsed/>
    <w:qFormat/>
    <w:uiPriority w:val="99"/>
    <w:pPr>
      <w:jc w:val="left"/>
    </w:pPr>
  </w:style>
  <w:style w:type="paragraph" w:styleId="10">
    <w:name w:val="Body Text"/>
    <w:basedOn w:val="1"/>
    <w:next w:val="1"/>
    <w:qFormat/>
    <w:uiPriority w:val="1"/>
    <w:pPr>
      <w:ind w:left="119"/>
    </w:pPr>
    <w:rPr>
      <w:rFonts w:ascii="仿宋_GB2312" w:hAnsi="仿宋_GB2312" w:eastAsia="仿宋_GB2312" w:cs="Times New Roman"/>
      <w:sz w:val="30"/>
      <w:szCs w:val="30"/>
      <w:lang w:eastAsia="en-US"/>
    </w:rPr>
  </w:style>
  <w:style w:type="paragraph" w:styleId="11">
    <w:name w:val="toc 3"/>
    <w:basedOn w:val="1"/>
    <w:next w:val="1"/>
    <w:unhideWhenUsed/>
    <w:qFormat/>
    <w:uiPriority w:val="39"/>
    <w:pPr>
      <w:widowControl/>
      <w:spacing w:after="100" w:line="276" w:lineRule="auto"/>
      <w:ind w:left="440"/>
      <w:jc w:val="left"/>
    </w:pPr>
    <w:rPr>
      <w:kern w:val="0"/>
      <w:sz w:val="22"/>
    </w:rPr>
  </w:style>
  <w:style w:type="paragraph" w:styleId="12">
    <w:name w:val="Balloon Text"/>
    <w:basedOn w:val="1"/>
    <w:link w:val="31"/>
    <w:semiHidden/>
    <w:unhideWhenUsed/>
    <w:qFormat/>
    <w:uiPriority w:val="99"/>
    <w:rPr>
      <w:sz w:val="18"/>
      <w:szCs w:val="18"/>
    </w:rPr>
  </w:style>
  <w:style w:type="paragraph" w:styleId="13">
    <w:name w:val="footer"/>
    <w:basedOn w:val="1"/>
    <w:next w:val="14"/>
    <w:link w:val="28"/>
    <w:unhideWhenUsed/>
    <w:qFormat/>
    <w:uiPriority w:val="99"/>
    <w:pPr>
      <w:tabs>
        <w:tab w:val="center" w:pos="4153"/>
        <w:tab w:val="right" w:pos="8306"/>
      </w:tabs>
      <w:snapToGrid w:val="0"/>
      <w:jc w:val="left"/>
    </w:pPr>
    <w:rPr>
      <w:sz w:val="18"/>
      <w:szCs w:val="18"/>
    </w:rPr>
  </w:style>
  <w:style w:type="paragraph" w:styleId="14">
    <w:name w:val="Normal (Web)"/>
    <w:basedOn w:val="1"/>
    <w:next w:val="13"/>
    <w:semiHidden/>
    <w:unhideWhenUsed/>
    <w:qFormat/>
    <w:uiPriority w:val="99"/>
    <w:pPr>
      <w:spacing w:before="0" w:beforeAutospacing="1" w:after="0" w:afterAutospacing="1"/>
      <w:ind w:left="0" w:right="0"/>
      <w:jc w:val="left"/>
    </w:pPr>
    <w:rPr>
      <w:kern w:val="0"/>
      <w:sz w:val="24"/>
      <w:lang w:val="en-US" w:eastAsia="zh-CN" w:bidi="ar"/>
    </w:rPr>
  </w:style>
  <w:style w:type="paragraph" w:styleId="15">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spacing w:line="540" w:lineRule="exact"/>
    </w:pPr>
    <w:rPr>
      <w:rFonts w:ascii="Times New Roman" w:hAnsi="Times New Roman" w:eastAsia="黑体" w:cs="Times New Roman"/>
      <w:sz w:val="28"/>
      <w:szCs w:val="24"/>
    </w:rPr>
  </w:style>
  <w:style w:type="paragraph" w:styleId="17">
    <w:name w:val="toc 2"/>
    <w:basedOn w:val="1"/>
    <w:next w:val="1"/>
    <w:qFormat/>
    <w:uiPriority w:val="39"/>
    <w:pPr>
      <w:spacing w:line="540" w:lineRule="exact"/>
      <w:ind w:left="420" w:leftChars="200"/>
    </w:pPr>
    <w:rPr>
      <w:rFonts w:ascii="Times New Roman" w:hAnsi="Times New Roman" w:eastAsia="楷体" w:cs="Times New Roman"/>
      <w:sz w:val="28"/>
      <w:szCs w:val="24"/>
    </w:rPr>
  </w:style>
  <w:style w:type="paragraph" w:styleId="18">
    <w:name w:val="annotation subject"/>
    <w:basedOn w:val="9"/>
    <w:next w:val="9"/>
    <w:link w:val="34"/>
    <w:semiHidden/>
    <w:unhideWhenUsed/>
    <w:qFormat/>
    <w:uiPriority w:val="99"/>
    <w:rPr>
      <w:b/>
      <w:bCs/>
    </w:rPr>
  </w:style>
  <w:style w:type="table" w:styleId="20">
    <w:name w:val="Table Grid"/>
    <w:basedOn w:val="19"/>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22">
    <w:name w:val="page number"/>
    <w:basedOn w:val="21"/>
    <w:qFormat/>
    <w:uiPriority w:val="0"/>
  </w:style>
  <w:style w:type="character" w:styleId="23">
    <w:name w:val="Emphasis"/>
    <w:basedOn w:val="21"/>
    <w:qFormat/>
    <w:uiPriority w:val="20"/>
    <w:rPr>
      <w:i/>
    </w:rPr>
  </w:style>
  <w:style w:type="character" w:styleId="24">
    <w:name w:val="Hyperlink"/>
    <w:unhideWhenUsed/>
    <w:qFormat/>
    <w:uiPriority w:val="99"/>
    <w:rPr>
      <w:color w:val="0000FF"/>
      <w:u w:val="single"/>
    </w:rPr>
  </w:style>
  <w:style w:type="character" w:styleId="25">
    <w:name w:val="annotation reference"/>
    <w:basedOn w:val="21"/>
    <w:semiHidden/>
    <w:unhideWhenUsed/>
    <w:qFormat/>
    <w:uiPriority w:val="99"/>
    <w:rPr>
      <w:sz w:val="21"/>
      <w:szCs w:val="21"/>
    </w:rPr>
  </w:style>
  <w:style w:type="paragraph" w:customStyle="1" w:styleId="26">
    <w:name w:val="样式 左 行距: 最小值 28 磅"/>
    <w:basedOn w:val="1"/>
    <w:qFormat/>
    <w:uiPriority w:val="0"/>
    <w:pPr>
      <w:shd w:val="clear" w:color="auto" w:fill="FFFFFF"/>
      <w:spacing w:line="360" w:lineRule="atLeast"/>
    </w:pPr>
    <w:rPr>
      <w:rFonts w:ascii="Calibri" w:hAnsi="Calibri" w:eastAsia="仿宋_GB2312"/>
      <w:sz w:val="32"/>
      <w:szCs w:val="20"/>
    </w:rPr>
  </w:style>
  <w:style w:type="character" w:customStyle="1" w:styleId="27">
    <w:name w:val="页眉 字符"/>
    <w:basedOn w:val="21"/>
    <w:link w:val="15"/>
    <w:qFormat/>
    <w:uiPriority w:val="99"/>
    <w:rPr>
      <w:sz w:val="18"/>
      <w:szCs w:val="18"/>
    </w:rPr>
  </w:style>
  <w:style w:type="character" w:customStyle="1" w:styleId="28">
    <w:name w:val="页脚 字符"/>
    <w:basedOn w:val="21"/>
    <w:link w:val="13"/>
    <w:qFormat/>
    <w:uiPriority w:val="99"/>
    <w:rPr>
      <w:sz w:val="18"/>
      <w:szCs w:val="18"/>
    </w:rPr>
  </w:style>
  <w:style w:type="character" w:customStyle="1" w:styleId="29">
    <w:name w:val="标题 1 字符"/>
    <w:basedOn w:val="21"/>
    <w:link w:val="4"/>
    <w:qFormat/>
    <w:uiPriority w:val="9"/>
    <w:rPr>
      <w:rFonts w:ascii="黑体" w:hAnsi="黑体" w:eastAsia="黑体"/>
      <w:bCs/>
      <w:kern w:val="44"/>
      <w:sz w:val="32"/>
      <w:szCs w:val="44"/>
    </w:rPr>
  </w:style>
  <w:style w:type="paragraph" w:customStyle="1" w:styleId="30">
    <w:name w:val="TOC 标题1"/>
    <w:basedOn w:val="4"/>
    <w:next w:val="1"/>
    <w:semiHidden/>
    <w:unhideWhenUsed/>
    <w:qFormat/>
    <w:uiPriority w:val="39"/>
    <w:pPr>
      <w:widowControl/>
      <w:spacing w:before="48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1">
    <w:name w:val="批注框文本 字符"/>
    <w:basedOn w:val="21"/>
    <w:link w:val="12"/>
    <w:semiHidden/>
    <w:qFormat/>
    <w:uiPriority w:val="99"/>
    <w:rPr>
      <w:sz w:val="18"/>
      <w:szCs w:val="18"/>
    </w:rPr>
  </w:style>
  <w:style w:type="paragraph" w:styleId="32">
    <w:name w:val="List Paragraph"/>
    <w:basedOn w:val="1"/>
    <w:qFormat/>
    <w:uiPriority w:val="34"/>
    <w:pPr>
      <w:ind w:firstLine="420" w:firstLineChars="200"/>
    </w:pPr>
  </w:style>
  <w:style w:type="character" w:customStyle="1" w:styleId="33">
    <w:name w:val="批注文字 字符"/>
    <w:basedOn w:val="21"/>
    <w:link w:val="9"/>
    <w:semiHidden/>
    <w:qFormat/>
    <w:uiPriority w:val="99"/>
  </w:style>
  <w:style w:type="character" w:customStyle="1" w:styleId="34">
    <w:name w:val="批注主题 字符"/>
    <w:basedOn w:val="33"/>
    <w:link w:val="18"/>
    <w:semiHidden/>
    <w:qFormat/>
    <w:uiPriority w:val="99"/>
    <w:rPr>
      <w:b/>
      <w:bCs/>
    </w:rPr>
  </w:style>
  <w:style w:type="character" w:customStyle="1" w:styleId="35">
    <w:name w:val="font11"/>
    <w:basedOn w:val="21"/>
    <w:qFormat/>
    <w:uiPriority w:val="0"/>
    <w:rPr>
      <w:rFonts w:ascii="仿宋_GB2312" w:eastAsia="仿宋_GB2312" w:cs="仿宋_GB2312"/>
      <w:color w:val="000000"/>
      <w:sz w:val="22"/>
      <w:szCs w:val="22"/>
      <w:u w:val="none"/>
    </w:rPr>
  </w:style>
  <w:style w:type="character" w:customStyle="1" w:styleId="36">
    <w:name w:val="font81"/>
    <w:basedOn w:val="21"/>
    <w:qFormat/>
    <w:uiPriority w:val="0"/>
    <w:rPr>
      <w:rFonts w:hint="default" w:ascii="Times New Roman" w:hAnsi="Times New Roman" w:cs="Times New Roman"/>
      <w:b/>
      <w:color w:val="000000"/>
      <w:sz w:val="22"/>
      <w:szCs w:val="22"/>
      <w:u w:val="none"/>
    </w:rPr>
  </w:style>
  <w:style w:type="character" w:customStyle="1" w:styleId="37">
    <w:name w:val="font21"/>
    <w:basedOn w:val="21"/>
    <w:qFormat/>
    <w:uiPriority w:val="0"/>
    <w:rPr>
      <w:rFonts w:ascii="仿宋_GB2312" w:eastAsia="仿宋_GB2312" w:cs="仿宋_GB2312"/>
      <w:color w:val="000000"/>
      <w:sz w:val="22"/>
      <w:szCs w:val="22"/>
      <w:u w:val="none"/>
    </w:rPr>
  </w:style>
  <w:style w:type="character" w:customStyle="1" w:styleId="38">
    <w:name w:val="font31"/>
    <w:basedOn w:val="21"/>
    <w:qFormat/>
    <w:uiPriority w:val="0"/>
    <w:rPr>
      <w:rFonts w:ascii="仿宋_GB2312" w:eastAsia="仿宋_GB2312" w:cs="仿宋_GB2312"/>
      <w:color w:val="000000"/>
      <w:sz w:val="22"/>
      <w:szCs w:val="22"/>
      <w:u w:val="none"/>
    </w:rPr>
  </w:style>
  <w:style w:type="character" w:customStyle="1" w:styleId="39">
    <w:name w:val="font41"/>
    <w:basedOn w:val="21"/>
    <w:qFormat/>
    <w:uiPriority w:val="0"/>
    <w:rPr>
      <w:rFonts w:hint="default" w:ascii="Times New Roman" w:hAnsi="Times New Roman" w:cs="Times New Roman"/>
      <w:color w:val="000000"/>
      <w:sz w:val="22"/>
      <w:szCs w:val="22"/>
      <w:u w:val="none"/>
    </w:rPr>
  </w:style>
  <w:style w:type="character" w:customStyle="1" w:styleId="40">
    <w:name w:val="font01"/>
    <w:basedOn w:val="21"/>
    <w:qFormat/>
    <w:uiPriority w:val="0"/>
    <w:rPr>
      <w:rFonts w:hint="eastAsia" w:ascii="仿宋_GB2312" w:eastAsia="仿宋_GB2312" w:cs="仿宋_GB2312"/>
      <w:color w:val="000000"/>
      <w:sz w:val="22"/>
      <w:szCs w:val="22"/>
      <w:u w:val="none"/>
    </w:rPr>
  </w:style>
  <w:style w:type="paragraph" w:customStyle="1" w:styleId="41">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42">
    <w:name w:val="font91"/>
    <w:basedOn w:val="21"/>
    <w:qFormat/>
    <w:uiPriority w:val="0"/>
    <w:rPr>
      <w:rFonts w:hint="eastAsia" w:ascii="仿宋_GB2312" w:eastAsia="仿宋_GB2312" w:cs="仿宋_GB2312"/>
      <w:color w:val="000000"/>
      <w:sz w:val="22"/>
      <w:szCs w:val="22"/>
      <w:u w:val="none"/>
    </w:rPr>
  </w:style>
  <w:style w:type="character" w:customStyle="1" w:styleId="43">
    <w:name w:val="font61"/>
    <w:basedOn w:val="21"/>
    <w:qFormat/>
    <w:uiPriority w:val="0"/>
    <w:rPr>
      <w:rFonts w:ascii="仿宋_GB2312" w:eastAsia="仿宋_GB2312" w:cs="仿宋_GB2312"/>
      <w:b/>
      <w:color w:val="000000"/>
      <w:sz w:val="22"/>
      <w:szCs w:val="22"/>
      <w:u w:val="none"/>
    </w:rPr>
  </w:style>
  <w:style w:type="character" w:customStyle="1" w:styleId="44">
    <w:name w:val="font51"/>
    <w:basedOn w:val="21"/>
    <w:qFormat/>
    <w:uiPriority w:val="0"/>
    <w:rPr>
      <w:rFonts w:hint="eastAsia" w:ascii="仿宋_GB2312" w:eastAsia="仿宋_GB2312" w:cs="仿宋_GB2312"/>
      <w:b/>
      <w:color w:val="000000"/>
      <w:sz w:val="24"/>
      <w:szCs w:val="24"/>
      <w:u w:val="none"/>
    </w:rPr>
  </w:style>
  <w:style w:type="character" w:customStyle="1" w:styleId="45">
    <w:name w:val="font101"/>
    <w:basedOn w:val="21"/>
    <w:qFormat/>
    <w:uiPriority w:val="0"/>
    <w:rPr>
      <w:rFonts w:hint="default" w:ascii="Times New Roman" w:hAnsi="Times New Roman" w:cs="Times New Roman"/>
      <w:color w:val="000000"/>
      <w:sz w:val="24"/>
      <w:szCs w:val="24"/>
      <w:u w:val="none"/>
    </w:rPr>
  </w:style>
  <w:style w:type="character" w:customStyle="1" w:styleId="46">
    <w:name w:val="font71"/>
    <w:basedOn w:val="21"/>
    <w:qFormat/>
    <w:uiPriority w:val="0"/>
    <w:rPr>
      <w:rFonts w:hint="eastAsia" w:ascii="仿宋_GB2312" w:eastAsia="仿宋_GB2312" w:cs="仿宋_GB2312"/>
      <w:color w:val="000000"/>
      <w:sz w:val="24"/>
      <w:szCs w:val="24"/>
      <w:u w:val="none"/>
    </w:rPr>
  </w:style>
  <w:style w:type="character" w:customStyle="1" w:styleId="47">
    <w:name w:val="font112"/>
    <w:basedOn w:val="21"/>
    <w:qFormat/>
    <w:uiPriority w:val="0"/>
    <w:rPr>
      <w:rFonts w:hint="default" w:ascii="Times New Roman" w:hAnsi="Times New Roman" w:cs="Times New Roman"/>
      <w:color w:val="000000"/>
      <w:sz w:val="24"/>
      <w:szCs w:val="24"/>
      <w:u w:val="none"/>
    </w:rPr>
  </w:style>
  <w:style w:type="character" w:customStyle="1" w:styleId="48">
    <w:name w:val="font121"/>
    <w:basedOn w:val="21"/>
    <w:qFormat/>
    <w:uiPriority w:val="0"/>
    <w:rPr>
      <w:rFonts w:hint="eastAsia" w:ascii="仿宋_GB2312" w:eastAsia="仿宋_GB2312" w:cs="仿宋_GB2312"/>
      <w:b/>
      <w:color w:val="000000"/>
      <w:sz w:val="22"/>
      <w:szCs w:val="22"/>
      <w:u w:val="none"/>
    </w:rPr>
  </w:style>
  <w:style w:type="character" w:customStyle="1" w:styleId="49">
    <w:name w:val="font131"/>
    <w:basedOn w:val="21"/>
    <w:qFormat/>
    <w:uiPriority w:val="0"/>
    <w:rPr>
      <w:rFonts w:hint="eastAsia" w:ascii="仿宋_GB2312" w:eastAsia="仿宋_GB2312" w:cs="仿宋_GB2312"/>
      <w:b/>
      <w:color w:val="000000"/>
      <w:sz w:val="22"/>
      <w:szCs w:val="22"/>
      <w:u w:val="none"/>
    </w:rPr>
  </w:style>
  <w:style w:type="paragraph" w:customStyle="1" w:styleId="50">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51">
    <w:name w:val="表头"/>
    <w:basedOn w:val="1"/>
    <w:qFormat/>
    <w:uiPriority w:val="0"/>
    <w:pPr>
      <w:spacing w:line="240" w:lineRule="auto"/>
      <w:ind w:firstLine="0" w:firstLineChars="0"/>
      <w:jc w:val="center"/>
    </w:pPr>
    <w:rPr>
      <w:rFonts w:eastAsia="黑体"/>
      <w:sz w:val="24"/>
    </w:rPr>
  </w:style>
  <w:style w:type="character" w:customStyle="1" w:styleId="52">
    <w:name w:val="font141"/>
    <w:basedOn w:val="21"/>
    <w:qFormat/>
    <w:uiPriority w:val="0"/>
    <w:rPr>
      <w:rFonts w:hint="eastAsia" w:ascii="仿宋" w:hAnsi="仿宋" w:eastAsia="仿宋" w:cs="仿宋"/>
      <w:b/>
      <w:bCs/>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31</Pages>
  <Words>12595</Words>
  <Characters>13685</Characters>
  <Lines>1</Lines>
  <Paragraphs>1</Paragraphs>
  <TotalTime>2</TotalTime>
  <ScaleCrop>false</ScaleCrop>
  <LinksUpToDate>false</LinksUpToDate>
  <CharactersWithSpaces>13896</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2018-01-31T16:17:00Z</dcterms:created>
  <dc:creator>lenovo</dc:creator>
  <cp:lastModifiedBy>YYY</cp:lastModifiedBy>
  <cp:lastPrinted>2022-12-08T02:10:00Z</cp:lastPrinted>
  <dcterms:modified xsi:type="dcterms:W3CDTF">2023-04-26T03:14:20Z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04B72CA6889E4F228A753AE7D70E9E3E</vt:lpwstr>
  </property>
</Properties>
</file>