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黑体" w:eastAsia="方正小标宋简体"/>
          <w:w w:val="98"/>
          <w:sz w:val="44"/>
          <w:szCs w:val="44"/>
          <w:lang w:val="en-US" w:eastAsia="zh-CN"/>
        </w:rPr>
      </w:pPr>
      <w:r>
        <w:rPr>
          <w:rFonts w:hint="eastAsia" w:ascii="方正小标宋简体" w:hAnsi="黑体" w:eastAsia="方正小标宋简体"/>
          <w:w w:val="98"/>
          <w:sz w:val="44"/>
          <w:szCs w:val="44"/>
        </w:rPr>
        <w:t>贵阳市</w:t>
      </w:r>
      <w:r>
        <w:rPr>
          <w:rFonts w:hint="eastAsia" w:ascii="方正小标宋简体" w:hAnsi="黑体" w:eastAsia="方正小标宋简体"/>
          <w:w w:val="98"/>
          <w:sz w:val="44"/>
          <w:szCs w:val="44"/>
          <w:lang w:val="en-US" w:eastAsia="zh-CN"/>
        </w:rPr>
        <w:t>云岩</w:t>
      </w:r>
      <w:r>
        <w:rPr>
          <w:rFonts w:hint="eastAsia" w:ascii="方正小标宋简体" w:hAnsi="黑体" w:eastAsia="方正小标宋简体"/>
          <w:w w:val="98"/>
          <w:sz w:val="44"/>
          <w:szCs w:val="44"/>
        </w:rPr>
        <w:t>区</w:t>
      </w:r>
      <w:r>
        <w:rPr>
          <w:rFonts w:hint="eastAsia" w:ascii="方正小标宋简体" w:hAnsi="黑体" w:eastAsia="方正小标宋简体"/>
          <w:w w:val="98"/>
          <w:sz w:val="44"/>
          <w:szCs w:val="44"/>
          <w:lang w:val="en-US" w:eastAsia="zh-CN"/>
        </w:rPr>
        <w:t>应急局</w:t>
      </w:r>
    </w:p>
    <w:p>
      <w:pPr>
        <w:jc w:val="center"/>
        <w:rPr>
          <w:rFonts w:ascii="Times New Roman" w:hAnsi="黑体" w:eastAsia="黑体" w:cs="宋体"/>
          <w:kern w:val="0"/>
          <w:sz w:val="24"/>
          <w:szCs w:val="24"/>
          <w:highlight w:val="none"/>
        </w:rPr>
      </w:pPr>
      <w:r>
        <w:rPr>
          <w:rFonts w:hint="eastAsia" w:ascii="方正小标宋简体" w:hAnsi="黑体" w:eastAsia="方正小标宋简体"/>
          <w:w w:val="98"/>
          <w:sz w:val="44"/>
          <w:szCs w:val="44"/>
        </w:rPr>
        <w:t>20</w:t>
      </w:r>
      <w:r>
        <w:rPr>
          <w:rFonts w:hint="eastAsia" w:ascii="方正小标宋简体" w:hAnsi="黑体" w:eastAsia="方正小标宋简体"/>
          <w:w w:val="98"/>
          <w:sz w:val="44"/>
          <w:szCs w:val="44"/>
          <w:lang w:val="en-US" w:eastAsia="zh-CN"/>
        </w:rPr>
        <w:t>21</w:t>
      </w:r>
      <w:r>
        <w:rPr>
          <w:rFonts w:hint="eastAsia" w:ascii="方正小标宋简体" w:hAnsi="黑体" w:eastAsia="方正小标宋简体"/>
          <w:w w:val="98"/>
          <w:sz w:val="44"/>
          <w:szCs w:val="44"/>
        </w:rPr>
        <w:t>年</w:t>
      </w:r>
      <w:r>
        <w:rPr>
          <w:rFonts w:hint="eastAsia" w:ascii="方正小标宋简体" w:hAnsi="黑体" w:eastAsia="方正小标宋简体"/>
          <w:w w:val="98"/>
          <w:sz w:val="44"/>
          <w:szCs w:val="44"/>
          <w:lang w:val="en-US" w:eastAsia="zh-CN"/>
        </w:rPr>
        <w:t>消防安全隐患排查</w:t>
      </w:r>
      <w:r>
        <w:rPr>
          <w:rFonts w:hint="eastAsia" w:ascii="方正小标宋简体" w:hAnsi="黑体" w:eastAsia="方正小标宋简体"/>
          <w:w w:val="98"/>
          <w:sz w:val="44"/>
          <w:szCs w:val="44"/>
        </w:rPr>
        <w:t>项目</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jc w:val="center"/>
        <w:rPr>
          <w:rFonts w:ascii="方正小标宋简体" w:hAnsi="黑体" w:eastAsia="方正小标宋简体" w:cs="宋体"/>
          <w:kern w:val="0"/>
          <w:sz w:val="72"/>
          <w:szCs w:val="72"/>
          <w:highlight w:val="none"/>
        </w:rPr>
      </w:pPr>
      <w:r>
        <w:rPr>
          <w:rFonts w:hint="eastAsia" w:ascii="方正小标宋简体" w:hAnsi="黑体" w:eastAsia="方正小标宋简体" w:cs="宋体"/>
          <w:kern w:val="0"/>
          <w:sz w:val="72"/>
          <w:szCs w:val="72"/>
          <w:highlight w:val="none"/>
          <w:lang w:eastAsia="zh-CN"/>
        </w:rPr>
        <w:t>绩效评价</w:t>
      </w:r>
      <w:r>
        <w:rPr>
          <w:rFonts w:hint="eastAsia" w:ascii="方正小标宋简体" w:hAnsi="黑体" w:eastAsia="方正小标宋简体" w:cs="宋体"/>
          <w:kern w:val="0"/>
          <w:sz w:val="72"/>
          <w:szCs w:val="72"/>
          <w:highlight w:val="none"/>
        </w:rPr>
        <w:t>报告</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pStyle w:val="22"/>
        <w:rPr>
          <w:rFonts w:ascii="Times New Roman" w:hAnsi="黑体" w:eastAsia="黑体" w:cs="宋体"/>
          <w:kern w:val="0"/>
          <w:sz w:val="24"/>
          <w:szCs w:val="24"/>
          <w:highlight w:val="none"/>
        </w:rPr>
      </w:pPr>
    </w:p>
    <w:p>
      <w:pPr>
        <w:pStyle w:val="22"/>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spacing w:line="360" w:lineRule="auto"/>
        <w:ind w:firstLine="2240" w:firstLineChars="800"/>
        <w:jc w:val="left"/>
        <w:rPr>
          <w:rFonts w:hint="eastAsia" w:ascii="黑体" w:hAnsi="黑体" w:eastAsia="黑体" w:cs="宋体"/>
          <w:kern w:val="0"/>
          <w:sz w:val="28"/>
          <w:szCs w:val="28"/>
          <w:lang w:val="en-US" w:eastAsia="zh-CN"/>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lang w:val="en-US" w:eastAsia="zh-CN"/>
        </w:rPr>
        <w:t>33</w:t>
      </w:r>
      <w:r>
        <w:rPr>
          <w:rFonts w:hint="eastAsia" w:ascii="黑体" w:hAnsi="黑体" w:eastAsia="黑体" w:cs="宋体"/>
          <w:kern w:val="0"/>
          <w:sz w:val="28"/>
          <w:szCs w:val="28"/>
        </w:rPr>
        <w:t>号</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委托单位：贵阳市</w:t>
      </w:r>
      <w:r>
        <w:rPr>
          <w:rFonts w:hint="eastAsia" w:ascii="黑体" w:hAnsi="黑体" w:eastAsia="黑体" w:cs="宋体"/>
          <w:kern w:val="0"/>
          <w:sz w:val="28"/>
          <w:szCs w:val="28"/>
          <w:lang w:val="en-US" w:eastAsia="zh-CN"/>
        </w:rPr>
        <w:t>云岩</w:t>
      </w:r>
      <w:r>
        <w:rPr>
          <w:rFonts w:hint="eastAsia" w:ascii="黑体" w:hAnsi="黑体" w:eastAsia="黑体" w:cs="宋体"/>
          <w:kern w:val="0"/>
          <w:sz w:val="28"/>
          <w:szCs w:val="28"/>
        </w:rPr>
        <w:t>区财政</w:t>
      </w:r>
      <w:r>
        <w:rPr>
          <w:rFonts w:hint="eastAsia" w:ascii="黑体" w:hAnsi="黑体" w:eastAsia="黑体" w:cs="宋体"/>
          <w:kern w:val="0"/>
          <w:sz w:val="28"/>
          <w:szCs w:val="28"/>
          <w:lang w:val="en-US" w:eastAsia="zh-CN"/>
        </w:rPr>
        <w:t>局</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报告时间：202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年</w:t>
      </w:r>
      <w:r>
        <w:rPr>
          <w:rFonts w:hint="eastAsia" w:ascii="黑体" w:hAnsi="黑体" w:eastAsia="黑体" w:cs="宋体"/>
          <w:kern w:val="0"/>
          <w:sz w:val="28"/>
          <w:szCs w:val="28"/>
          <w:lang w:val="en-US" w:eastAsia="zh-CN"/>
        </w:rPr>
        <w:t>12</w:t>
      </w:r>
      <w:r>
        <w:rPr>
          <w:rFonts w:hint="eastAsia" w:ascii="黑体" w:hAnsi="黑体" w:eastAsia="黑体" w:cs="宋体"/>
          <w:kern w:val="0"/>
          <w:sz w:val="28"/>
          <w:szCs w:val="28"/>
        </w:rPr>
        <w:t>月</w:t>
      </w:r>
      <w:r>
        <w:rPr>
          <w:rFonts w:hint="eastAsia" w:ascii="黑体" w:hAnsi="黑体" w:eastAsia="黑体" w:cs="宋体"/>
          <w:kern w:val="0"/>
          <w:sz w:val="28"/>
          <w:szCs w:val="28"/>
          <w:lang w:val="en-US" w:eastAsia="zh-CN"/>
        </w:rPr>
        <w:t>15</w:t>
      </w:r>
      <w:r>
        <w:rPr>
          <w:rFonts w:hint="eastAsia" w:ascii="黑体" w:hAnsi="黑体" w:eastAsia="黑体" w:cs="宋体"/>
          <w:kern w:val="0"/>
          <w:sz w:val="28"/>
          <w:szCs w:val="28"/>
        </w:rPr>
        <w:t>日</w:t>
      </w:r>
    </w:p>
    <w:p>
      <w:pPr>
        <w:rPr>
          <w:rFonts w:hint="eastAsia" w:ascii="黑体" w:hAnsi="宋体" w:eastAsia="黑体" w:cs="黑体"/>
          <w:color w:val="000000"/>
          <w:kern w:val="0"/>
          <w:sz w:val="2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titlePg/>
          <w:docGrid w:type="lines" w:linePitch="312" w:charSpace="0"/>
        </w:sectPr>
      </w:pPr>
    </w:p>
    <w:tbl>
      <w:tblPr>
        <w:tblStyle w:val="16"/>
        <w:tblpPr w:leftFromText="180" w:rightFromText="180" w:vertAnchor="text" w:horzAnchor="margin" w:tblpY="-77"/>
        <w:tblOverlap w:val="never"/>
        <w:tblW w:w="8983" w:type="dxa"/>
        <w:tblInd w:w="0" w:type="dxa"/>
        <w:tblLayout w:type="fixed"/>
        <w:tblCellMar>
          <w:top w:w="17" w:type="dxa"/>
          <w:left w:w="17" w:type="dxa"/>
          <w:bottom w:w="17" w:type="dxa"/>
          <w:right w:w="17" w:type="dxa"/>
        </w:tblCellMar>
      </w:tblPr>
      <w:tblGrid>
        <w:gridCol w:w="1356"/>
        <w:gridCol w:w="751"/>
        <w:gridCol w:w="639"/>
        <w:gridCol w:w="492"/>
        <w:gridCol w:w="848"/>
        <w:gridCol w:w="854"/>
        <w:gridCol w:w="974"/>
        <w:gridCol w:w="1541"/>
        <w:gridCol w:w="1528"/>
      </w:tblGrid>
      <w:tr>
        <w:tblPrEx>
          <w:tblCellMar>
            <w:top w:w="17" w:type="dxa"/>
            <w:left w:w="17" w:type="dxa"/>
            <w:bottom w:w="17" w:type="dxa"/>
            <w:right w:w="17" w:type="dxa"/>
          </w:tblCellMar>
        </w:tblPrEx>
        <w:trPr>
          <w:trHeight w:val="90" w:hRule="atLeast"/>
        </w:trPr>
        <w:tc>
          <w:tcPr>
            <w:tcW w:w="8983" w:type="dxa"/>
            <w:gridSpan w:val="9"/>
            <w:noWrap w:val="0"/>
            <w:vAlign w:val="center"/>
          </w:tcPr>
          <w:p>
            <w:pPr>
              <w:tabs>
                <w:tab w:val="center" w:pos="4474"/>
              </w:tabs>
              <w:rPr>
                <w:rFonts w:hint="eastAsia" w:ascii="黑体" w:hAnsi="宋体" w:eastAsia="黑体" w:cs="黑体"/>
                <w:color w:val="000000"/>
                <w:sz w:val="24"/>
                <w:highlight w:val="none"/>
                <w:lang w:val="en-US" w:eastAsia="zh-CN"/>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82.48分</w:t>
            </w:r>
            <w:r>
              <w:rPr>
                <w:rStyle w:val="35"/>
                <w:rFonts w:hint="eastAsia" w:hAnsi="宋体"/>
                <w:highlight w:val="none"/>
              </w:rPr>
              <w:t xml:space="preserve">      </w:t>
            </w:r>
            <w:r>
              <w:rPr>
                <w:rFonts w:hint="eastAsia" w:ascii="黑体" w:hAnsi="宋体" w:eastAsia="黑体" w:cs="黑体"/>
                <w:color w:val="000000"/>
                <w:kern w:val="0"/>
                <w:sz w:val="24"/>
                <w:highlight w:val="none"/>
              </w:rPr>
              <w:t>评价等级：</w:t>
            </w:r>
            <w:r>
              <w:rPr>
                <w:rFonts w:hint="eastAsia" w:ascii="黑体" w:hAnsi="宋体" w:eastAsia="黑体" w:cs="黑体"/>
                <w:color w:val="000000"/>
                <w:kern w:val="0"/>
                <w:sz w:val="24"/>
                <w:highlight w:val="none"/>
                <w:lang w:val="en-US" w:eastAsia="zh-CN"/>
              </w:rPr>
              <w:t>良</w:t>
            </w:r>
          </w:p>
        </w:tc>
      </w:tr>
      <w:tr>
        <w:tblPrEx>
          <w:tblCellMar>
            <w:top w:w="17" w:type="dxa"/>
            <w:left w:w="17" w:type="dxa"/>
            <w:bottom w:w="17" w:type="dxa"/>
            <w:right w:w="17" w:type="dxa"/>
          </w:tblCellMar>
        </w:tblPrEx>
        <w:trPr>
          <w:trHeight w:val="299" w:hRule="atLeast"/>
        </w:trPr>
        <w:tc>
          <w:tcPr>
            <w:tcW w:w="8983" w:type="dxa"/>
            <w:gridSpan w:val="9"/>
            <w:noWrap w:val="0"/>
            <w:vAlign w:val="center"/>
          </w:tcPr>
          <w:p>
            <w:pPr>
              <w:widowControl/>
              <w:jc w:val="center"/>
              <w:textAlignment w:val="center"/>
              <w:rPr>
                <w:rFonts w:ascii="黑体" w:hAnsi="宋体" w:eastAsia="黑体" w:cs="黑体"/>
                <w:b/>
                <w:color w:val="000000"/>
                <w:sz w:val="36"/>
                <w:szCs w:val="36"/>
                <w:highlight w:val="none"/>
              </w:rPr>
            </w:pPr>
            <w:r>
              <w:rPr>
                <w:rFonts w:hint="eastAsia" w:ascii="黑体" w:hAnsi="宋体" w:eastAsia="黑体" w:cs="黑体"/>
                <w:b/>
                <w:color w:val="000000"/>
                <w:kern w:val="0"/>
                <w:sz w:val="36"/>
                <w:szCs w:val="36"/>
                <w:highlight w:val="none"/>
              </w:rPr>
              <w:t>概   要</w:t>
            </w:r>
          </w:p>
        </w:tc>
      </w:tr>
      <w:tr>
        <w:tblPrEx>
          <w:tblCellMar>
            <w:top w:w="17" w:type="dxa"/>
            <w:left w:w="17" w:type="dxa"/>
            <w:bottom w:w="17" w:type="dxa"/>
            <w:right w:w="17" w:type="dxa"/>
          </w:tblCellMar>
        </w:tblPrEx>
        <w:trPr>
          <w:trHeight w:val="330" w:hRule="atLeast"/>
        </w:trPr>
        <w:tc>
          <w:tcPr>
            <w:tcW w:w="8983" w:type="dxa"/>
            <w:gridSpan w:val="9"/>
            <w:noWrap w:val="0"/>
            <w:vAlign w:val="center"/>
          </w:tcPr>
          <w:p>
            <w:pPr>
              <w:widowControl/>
              <w:jc w:val="left"/>
              <w:textAlignment w:val="center"/>
              <w:rPr>
                <w:rFonts w:ascii="黑体" w:hAnsi="黑体" w:eastAsia="黑体" w:cs="仿宋_GB2312"/>
                <w:color w:val="000000"/>
                <w:sz w:val="22"/>
                <w:highlight w:val="none"/>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val="en-US" w:eastAsia="zh-CN"/>
              </w:rPr>
              <w:t>贵州黔元会计师事务所有限公司</w:t>
            </w:r>
            <w:r>
              <w:rPr>
                <w:rFonts w:hint="eastAsia" w:ascii="黑体" w:hAnsi="黑体" w:eastAsia="黑体" w:cs="仿宋_GB2312"/>
                <w:color w:val="000000"/>
                <w:kern w:val="0"/>
                <w:sz w:val="22"/>
                <w:highlight w:val="none"/>
              </w:rPr>
              <w:t xml:space="preserve">                </w:t>
            </w:r>
            <w:r>
              <w:rPr>
                <w:rFonts w:hint="eastAsia" w:ascii="黑体" w:hAnsi="黑体" w:eastAsia="黑体" w:cs="仿宋_GB2312"/>
                <w:color w:val="000000"/>
                <w:kern w:val="0"/>
                <w:sz w:val="22"/>
                <w:highlight w:val="none"/>
                <w:lang w:val="en-US" w:eastAsia="zh-CN"/>
              </w:rPr>
              <w:t xml:space="preserve"> </w:t>
            </w:r>
            <w:r>
              <w:rPr>
                <w:rFonts w:hint="eastAsia" w:ascii="黑体" w:hAnsi="黑体" w:eastAsia="黑体" w:cs="仿宋_GB2312"/>
                <w:color w:val="000000"/>
                <w:kern w:val="0"/>
                <w:sz w:val="22"/>
                <w:highlight w:val="none"/>
              </w:rPr>
              <w:t>单位：万元、个</w:t>
            </w:r>
          </w:p>
        </w:tc>
      </w:tr>
      <w:tr>
        <w:tblPrEx>
          <w:tblCellMar>
            <w:top w:w="17" w:type="dxa"/>
            <w:left w:w="17" w:type="dxa"/>
            <w:bottom w:w="17" w:type="dxa"/>
            <w:right w:w="17" w:type="dxa"/>
          </w:tblCellMar>
        </w:tblPrEx>
        <w:trPr>
          <w:trHeight w:val="359"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4558"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2021年云岩区应急管理局消防安全隐患排查项目</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w:t>
            </w:r>
          </w:p>
        </w:tc>
      </w:tr>
      <w:tr>
        <w:tblPrEx>
          <w:tblCellMar>
            <w:top w:w="17" w:type="dxa"/>
            <w:left w:w="17" w:type="dxa"/>
            <w:bottom w:w="17" w:type="dxa"/>
            <w:right w:w="17" w:type="dxa"/>
          </w:tblCellMar>
        </w:tblPrEx>
        <w:trPr>
          <w:trHeight w:val="510"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财政主管处室</w:t>
            </w:r>
          </w:p>
        </w:tc>
        <w:tc>
          <w:tcPr>
            <w:tcW w:w="273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val="en-US" w:eastAsia="zh-CN"/>
              </w:rPr>
              <w:t>云岩区财政局行财科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30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_GB2312" w:hAnsi="宋体" w:eastAsia="仿宋_GB2312" w:cs="仿宋_GB2312"/>
                <w:color w:val="000000"/>
                <w:sz w:val="20"/>
                <w:szCs w:val="20"/>
                <w:highlight w:val="none"/>
              </w:rPr>
            </w:pPr>
          </w:p>
        </w:tc>
      </w:tr>
      <w:tr>
        <w:tblPrEx>
          <w:tblCellMar>
            <w:top w:w="17" w:type="dxa"/>
            <w:left w:w="17" w:type="dxa"/>
            <w:bottom w:w="17" w:type="dxa"/>
            <w:right w:w="17" w:type="dxa"/>
          </w:tblCellMar>
        </w:tblPrEx>
        <w:trPr>
          <w:trHeight w:val="576"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自评</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自评分值</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99</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优</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区级财政预算</w:t>
            </w:r>
          </w:p>
          <w:p>
            <w:pPr>
              <w:widowControl/>
              <w:jc w:val="center"/>
              <w:textAlignment w:val="center"/>
              <w:rPr>
                <w:rFonts w:hint="default"/>
                <w:lang w:val="en-US" w:eastAsia="zh-CN"/>
              </w:rPr>
            </w:pPr>
            <w:r>
              <w:rPr>
                <w:rFonts w:hint="default" w:ascii="黑体" w:hAnsi="宋体" w:eastAsia="黑体" w:cs="黑体"/>
                <w:color w:val="000000"/>
                <w:kern w:val="0"/>
                <w:sz w:val="20"/>
                <w:szCs w:val="20"/>
                <w:highlight w:val="none"/>
                <w:lang w:val="en-US" w:eastAsia="zh-CN"/>
              </w:rPr>
              <w:t>安排资金</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500</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抽查资金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496.69</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99.34%</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ascii="Times New Roman" w:hAnsi="Times New Roman" w:eastAsia="黑体" w:cs="Times New Roman"/>
                <w:kern w:val="0"/>
                <w:sz w:val="20"/>
                <w:szCs w:val="20"/>
              </w:rPr>
              <w:t>项目类别</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ascii="Times New Roman" w:hAnsi="Times New Roman" w:eastAsia="黑体" w:cs="Times New Roman"/>
                <w:kern w:val="0"/>
                <w:sz w:val="20"/>
                <w:szCs w:val="20"/>
              </w:rPr>
              <w:t>抽查类别</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rPr>
            </w:pPr>
            <w:r>
              <w:rPr>
                <w:rFonts w:ascii="Times New Roman" w:hAnsi="Times New Roman" w:eastAsia="黑体" w:cs="Times New Roman"/>
                <w:kern w:val="0"/>
                <w:sz w:val="20"/>
                <w:szCs w:val="20"/>
              </w:rPr>
              <w:t>类别抽查占比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ascii="仿宋_GB2312" w:hAnsi="仿宋_GB2312" w:eastAsia="仿宋_GB2312" w:cs="仿宋_GB2312"/>
                <w:sz w:val="20"/>
                <w:szCs w:val="20"/>
              </w:rPr>
              <w:t>100%</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项目数量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1个</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w:t>
            </w:r>
            <w:r>
              <w:rPr>
                <w:rFonts w:hint="eastAsia" w:ascii="黑体" w:hAnsi="宋体" w:eastAsia="黑体" w:cs="黑体"/>
                <w:color w:val="000000"/>
                <w:kern w:val="0"/>
                <w:sz w:val="20"/>
                <w:szCs w:val="20"/>
                <w:highlight w:val="none"/>
                <w:lang w:val="en-US" w:eastAsia="zh-CN"/>
              </w:rPr>
              <w:t>项目</w:t>
            </w:r>
            <w:r>
              <w:rPr>
                <w:rFonts w:hint="eastAsia" w:ascii="黑体" w:hAnsi="宋体" w:eastAsia="黑体" w:cs="黑体"/>
                <w:color w:val="000000"/>
                <w:kern w:val="0"/>
                <w:sz w:val="20"/>
                <w:szCs w:val="20"/>
                <w:highlight w:val="none"/>
                <w:lang w:eastAsia="zh-CN"/>
              </w:rPr>
              <w:t>数</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1个</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77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751"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1236</w:t>
            </w:r>
          </w:p>
        </w:tc>
        <w:tc>
          <w:tcPr>
            <w:tcW w:w="113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有效调查</w:t>
            </w:r>
          </w:p>
          <w:p>
            <w:pPr>
              <w:widowControl/>
              <w:spacing w:line="320" w:lineRule="exact"/>
              <w:jc w:val="center"/>
              <w:textAlignment w:val="center"/>
              <w:rPr>
                <w:rFonts w:ascii="黑体" w:hAnsi="黑体" w:eastAsia="黑体" w:cs="仿宋_GB2312"/>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4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1236</w:t>
            </w:r>
          </w:p>
        </w:tc>
        <w:tc>
          <w:tcPr>
            <w:tcW w:w="85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满意度</w:t>
            </w:r>
          </w:p>
          <w:p>
            <w:pPr>
              <w:widowControl/>
              <w:spacing w:line="320" w:lineRule="exact"/>
              <w:jc w:val="center"/>
              <w:textAlignment w:val="center"/>
              <w:rPr>
                <w:rFonts w:ascii="仿宋_GB2312" w:hAnsi="宋体" w:eastAsia="仿宋_GB2312" w:cs="仿宋_GB2312"/>
                <w:color w:val="000000"/>
                <w:kern w:val="0"/>
                <w:sz w:val="20"/>
                <w:szCs w:val="20"/>
                <w:highlight w:val="none"/>
              </w:rPr>
            </w:pPr>
            <w:r>
              <w:rPr>
                <w:rFonts w:hint="eastAsia" w:ascii="黑体" w:hAnsi="宋体" w:eastAsia="黑体" w:cs="黑体"/>
                <w:color w:val="000000"/>
                <w:kern w:val="0"/>
                <w:sz w:val="20"/>
                <w:szCs w:val="20"/>
                <w:highlight w:val="none"/>
              </w:rPr>
              <w:t>情况</w:t>
            </w:r>
          </w:p>
        </w:tc>
        <w:tc>
          <w:tcPr>
            <w:tcW w:w="404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numPr>
                <w:ilvl w:val="0"/>
                <w:numId w:val="0"/>
              </w:numPr>
              <w:spacing w:line="320" w:lineRule="exact"/>
              <w:jc w:val="left"/>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（1）居民群众对消防安全的知晓率：</w:t>
            </w:r>
            <w:r>
              <w:rPr>
                <w:rFonts w:hint="default" w:ascii="仿宋_GB2312" w:hAnsi="宋体" w:eastAsia="仿宋_GB2312" w:cs="仿宋_GB2312"/>
                <w:color w:val="000000"/>
                <w:kern w:val="0"/>
                <w:sz w:val="20"/>
                <w:szCs w:val="20"/>
                <w:highlight w:val="none"/>
                <w:lang w:val="en-US" w:eastAsia="zh-CN"/>
              </w:rPr>
              <w:t>9</w:t>
            </w:r>
            <w:r>
              <w:rPr>
                <w:rFonts w:hint="eastAsia" w:ascii="仿宋_GB2312" w:hAnsi="宋体" w:eastAsia="仿宋_GB2312" w:cs="仿宋_GB2312"/>
                <w:color w:val="000000"/>
                <w:kern w:val="0"/>
                <w:sz w:val="20"/>
                <w:szCs w:val="20"/>
                <w:highlight w:val="none"/>
                <w:lang w:val="en-US" w:eastAsia="zh-CN"/>
              </w:rPr>
              <w:t>6.75</w:t>
            </w:r>
            <w:r>
              <w:rPr>
                <w:rFonts w:hint="default" w:ascii="仿宋_GB2312" w:hAnsi="宋体" w:eastAsia="仿宋_GB2312" w:cs="仿宋_GB2312"/>
                <w:color w:val="000000"/>
                <w:kern w:val="0"/>
                <w:sz w:val="20"/>
                <w:szCs w:val="20"/>
                <w:highlight w:val="none"/>
                <w:lang w:val="en-US" w:eastAsia="zh-CN"/>
              </w:rPr>
              <w:t>%</w:t>
            </w:r>
            <w:r>
              <w:rPr>
                <w:rFonts w:hint="eastAsia" w:ascii="仿宋_GB2312" w:hAnsi="宋体" w:eastAsia="仿宋_GB2312" w:cs="仿宋_GB2312"/>
                <w:color w:val="000000"/>
                <w:kern w:val="0"/>
                <w:sz w:val="20"/>
                <w:szCs w:val="20"/>
                <w:highlight w:val="none"/>
                <w:lang w:val="en-US" w:eastAsia="zh-CN"/>
              </w:rPr>
              <w:t>；</w:t>
            </w:r>
          </w:p>
          <w:p>
            <w:pPr>
              <w:widowControl/>
              <w:numPr>
                <w:ilvl w:val="0"/>
                <w:numId w:val="0"/>
              </w:numPr>
              <w:spacing w:line="320" w:lineRule="exact"/>
              <w:jc w:val="left"/>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（2）</w:t>
            </w:r>
            <w:r>
              <w:rPr>
                <w:rFonts w:hint="default" w:ascii="仿宋_GB2312" w:hAnsi="宋体" w:eastAsia="仿宋_GB2312" w:cs="仿宋_GB2312"/>
                <w:color w:val="000000"/>
                <w:kern w:val="0"/>
                <w:sz w:val="20"/>
                <w:szCs w:val="20"/>
                <w:highlight w:val="none"/>
                <w:lang w:val="en-US" w:eastAsia="zh-CN"/>
              </w:rPr>
              <w:t>群众对</w:t>
            </w:r>
            <w:r>
              <w:rPr>
                <w:rFonts w:hint="eastAsia" w:ascii="仿宋_GB2312" w:hAnsi="宋体" w:eastAsia="仿宋_GB2312" w:cs="仿宋_GB2312"/>
                <w:color w:val="000000"/>
                <w:kern w:val="0"/>
                <w:sz w:val="20"/>
                <w:szCs w:val="20"/>
                <w:highlight w:val="none"/>
                <w:lang w:val="en-US" w:eastAsia="zh-CN"/>
              </w:rPr>
              <w:t>消防安全隐患排查工作</w:t>
            </w:r>
            <w:r>
              <w:rPr>
                <w:rFonts w:hint="default" w:ascii="仿宋_GB2312" w:hAnsi="宋体" w:eastAsia="仿宋_GB2312" w:cs="仿宋_GB2312"/>
                <w:color w:val="000000"/>
                <w:kern w:val="0"/>
                <w:sz w:val="20"/>
                <w:szCs w:val="20"/>
                <w:highlight w:val="none"/>
                <w:lang w:val="en-US" w:eastAsia="zh-CN"/>
              </w:rPr>
              <w:t>的满意度</w:t>
            </w:r>
            <w:r>
              <w:rPr>
                <w:rFonts w:hint="eastAsia" w:ascii="仿宋_GB2312" w:hAnsi="宋体" w:eastAsia="仿宋_GB2312" w:cs="仿宋_GB2312"/>
                <w:color w:val="000000"/>
                <w:kern w:val="0"/>
                <w:sz w:val="20"/>
                <w:szCs w:val="20"/>
                <w:highlight w:val="none"/>
                <w:lang w:val="en-US" w:eastAsia="zh-CN"/>
              </w:rPr>
              <w:t>：</w:t>
            </w:r>
            <w:r>
              <w:rPr>
                <w:rFonts w:hint="default" w:ascii="仿宋_GB2312" w:hAnsi="宋体" w:eastAsia="仿宋_GB2312" w:cs="仿宋_GB2312"/>
                <w:color w:val="000000"/>
                <w:kern w:val="0"/>
                <w:sz w:val="20"/>
                <w:szCs w:val="20"/>
                <w:highlight w:val="none"/>
                <w:lang w:val="en-US" w:eastAsia="zh-CN"/>
              </w:rPr>
              <w:t>9</w:t>
            </w:r>
            <w:r>
              <w:rPr>
                <w:rFonts w:hint="eastAsia" w:ascii="仿宋_GB2312" w:hAnsi="宋体" w:eastAsia="仿宋_GB2312" w:cs="仿宋_GB2312"/>
                <w:color w:val="000000"/>
                <w:kern w:val="0"/>
                <w:sz w:val="20"/>
                <w:szCs w:val="20"/>
                <w:highlight w:val="none"/>
                <w:lang w:val="en-US" w:eastAsia="zh-CN"/>
              </w:rPr>
              <w:t>8.12</w:t>
            </w:r>
            <w:r>
              <w:rPr>
                <w:rFonts w:hint="default" w:ascii="仿宋_GB2312" w:hAnsi="宋体" w:eastAsia="仿宋_GB2312" w:cs="仿宋_GB2312"/>
                <w:color w:val="000000"/>
                <w:kern w:val="0"/>
                <w:sz w:val="20"/>
                <w:szCs w:val="20"/>
                <w:highlight w:val="none"/>
                <w:lang w:val="en-US" w:eastAsia="zh-CN"/>
              </w:rPr>
              <w:t>%</w:t>
            </w:r>
            <w:r>
              <w:rPr>
                <w:rFonts w:hint="eastAsia" w:ascii="仿宋_GB2312" w:hAnsi="宋体" w:eastAsia="仿宋_GB2312" w:cs="仿宋_GB2312"/>
                <w:color w:val="000000"/>
                <w:kern w:val="0"/>
                <w:sz w:val="20"/>
                <w:szCs w:val="20"/>
                <w:highlight w:val="none"/>
                <w:lang w:val="en-US" w:eastAsia="zh-CN"/>
              </w:rPr>
              <w:t>。</w:t>
            </w:r>
          </w:p>
        </w:tc>
      </w:tr>
      <w:tr>
        <w:tblPrEx>
          <w:tblCellMar>
            <w:top w:w="17" w:type="dxa"/>
            <w:left w:w="17" w:type="dxa"/>
            <w:bottom w:w="17" w:type="dxa"/>
            <w:right w:w="17" w:type="dxa"/>
          </w:tblCellMar>
        </w:tblPrEx>
        <w:trPr>
          <w:trHeight w:val="9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绩效目标</w:t>
            </w:r>
          </w:p>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实现情况</w:t>
            </w:r>
          </w:p>
        </w:tc>
        <w:tc>
          <w:tcPr>
            <w:tcW w:w="7627" w:type="dxa"/>
            <w:gridSpan w:val="8"/>
            <w:tcBorders>
              <w:top w:val="single" w:color="000000" w:sz="4" w:space="0"/>
              <w:left w:val="single" w:color="000000" w:sz="4" w:space="0"/>
              <w:bottom w:val="single" w:color="auto" w:sz="4" w:space="0"/>
              <w:right w:val="single" w:color="000000" w:sz="4" w:space="0"/>
            </w:tcBorders>
            <w:noWrap w:val="0"/>
            <w:vAlign w:val="center"/>
          </w:tcPr>
          <w:p>
            <w:pPr>
              <w:pStyle w:val="22"/>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应急管理局消防安全隐患排查项目</w:t>
            </w:r>
            <w:r>
              <w:rPr>
                <w:rFonts w:hint="eastAsia" w:ascii="仿宋_GB2312" w:hAnsi="宋体" w:cs="仿宋_GB2312"/>
                <w:color w:val="000000"/>
                <w:sz w:val="20"/>
                <w:szCs w:val="20"/>
                <w:highlight w:val="none"/>
                <w:lang w:val="en-US" w:eastAsia="zh-CN"/>
              </w:rPr>
              <w:t>设置3个绩效目标，完成2个，部分完成1个。</w:t>
            </w:r>
          </w:p>
        </w:tc>
      </w:tr>
      <w:tr>
        <w:tblPrEx>
          <w:tblCellMar>
            <w:top w:w="17" w:type="dxa"/>
            <w:left w:w="17" w:type="dxa"/>
            <w:bottom w:w="17" w:type="dxa"/>
            <w:right w:w="17" w:type="dxa"/>
          </w:tblCellMar>
        </w:tblPrEx>
        <w:trPr>
          <w:trHeight w:val="750"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简要情况</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（一）</w:t>
            </w:r>
            <w:r>
              <w:rPr>
                <w:rFonts w:hint="eastAsia" w:ascii="仿宋_GB2312" w:hAnsi="仿宋_GB2312" w:eastAsia="仿宋_GB2312" w:cs="仿宋_GB2312"/>
                <w:sz w:val="20"/>
                <w:szCs w:val="20"/>
                <w:lang w:val="en-US" w:eastAsia="zh-CN"/>
              </w:rPr>
              <w:t>政策</w:t>
            </w:r>
            <w:r>
              <w:rPr>
                <w:rFonts w:hint="eastAsia" w:ascii="仿宋_GB2312" w:hAnsi="仿宋_GB2312" w:eastAsia="仿宋_GB2312" w:cs="仿宋_GB2312"/>
                <w:sz w:val="20"/>
                <w:szCs w:val="20"/>
              </w:rPr>
              <w:t>制度方面</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未参与设备验收，设备管理不规范。</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（二）资金</w:t>
            </w:r>
            <w:r>
              <w:rPr>
                <w:rFonts w:hint="eastAsia" w:ascii="仿宋_GB2312" w:hAnsi="仿宋_GB2312" w:eastAsia="仿宋_GB2312" w:cs="仿宋_GB2312"/>
                <w:sz w:val="20"/>
                <w:szCs w:val="20"/>
                <w:lang w:val="en-US" w:eastAsia="zh-CN"/>
              </w:rPr>
              <w:t>管理</w:t>
            </w:r>
            <w:r>
              <w:rPr>
                <w:rFonts w:hint="eastAsia" w:ascii="仿宋_GB2312" w:hAnsi="仿宋_GB2312" w:eastAsia="仿宋_GB2312" w:cs="仿宋_GB2312"/>
                <w:sz w:val="20"/>
                <w:szCs w:val="20"/>
              </w:rPr>
              <w:t>方面</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未编制项目预算。</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（三）</w:t>
            </w:r>
            <w:r>
              <w:rPr>
                <w:rFonts w:hint="eastAsia" w:ascii="仿宋_GB2312" w:hAnsi="仿宋_GB2312" w:eastAsia="仿宋_GB2312" w:cs="仿宋_GB2312"/>
                <w:sz w:val="20"/>
                <w:szCs w:val="20"/>
                <w:lang w:val="en-US" w:eastAsia="zh-CN"/>
              </w:rPr>
              <w:t>项目</w:t>
            </w:r>
            <w:r>
              <w:rPr>
                <w:rFonts w:hint="eastAsia" w:ascii="仿宋_GB2312" w:hAnsi="仿宋_GB2312" w:eastAsia="仿宋_GB2312" w:cs="仿宋_GB2312"/>
                <w:sz w:val="20"/>
                <w:szCs w:val="20"/>
              </w:rPr>
              <w:t>管理方面</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未按时完成微型消防站建设任务。</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四</w:t>
            </w:r>
            <w:r>
              <w:rPr>
                <w:rFonts w:hint="eastAsia" w:ascii="仿宋_GB2312" w:hAnsi="仿宋_GB2312" w:eastAsia="仿宋_GB2312" w:cs="仿宋_GB2312"/>
                <w:sz w:val="20"/>
                <w:szCs w:val="20"/>
              </w:rPr>
              <w:t>）绩效管理方面</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1．绩效目标不完善。</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lang w:val="zh-CN" w:eastAsia="zh-CN"/>
              </w:rPr>
            </w:pP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lang w:val="zh-CN" w:eastAsia="zh-CN"/>
              </w:rPr>
              <w:t>未设置清晰、可衡量的指标值。</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3．设置的绩效指标与项目管理无关</w:t>
            </w:r>
            <w:r>
              <w:rPr>
                <w:rFonts w:hint="eastAsia" w:ascii="仿宋_GB2312" w:hAnsi="仿宋_GB2312" w:eastAsia="仿宋_GB2312" w:cs="仿宋_GB2312"/>
                <w:sz w:val="20"/>
                <w:szCs w:val="20"/>
                <w:lang w:val="zh-CN" w:eastAsia="zh-CN"/>
              </w:rPr>
              <w:t>。</w:t>
            </w:r>
          </w:p>
        </w:tc>
      </w:tr>
      <w:tr>
        <w:tblPrEx>
          <w:tblCellMar>
            <w:top w:w="17" w:type="dxa"/>
            <w:left w:w="17" w:type="dxa"/>
            <w:bottom w:w="17" w:type="dxa"/>
            <w:right w:w="17" w:type="dxa"/>
          </w:tblCellMar>
        </w:tblPrEx>
        <w:trPr>
          <w:trHeight w:val="386" w:hRule="atLeast"/>
        </w:trPr>
        <w:tc>
          <w:tcPr>
            <w:tcW w:w="1356"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简要建议</w:t>
            </w:r>
          </w:p>
        </w:tc>
        <w:tc>
          <w:tcPr>
            <w:tcW w:w="7627" w:type="dxa"/>
            <w:gridSpan w:val="8"/>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（一）政策制度方面</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严格落实《云岩区应急管理局资产业务内部控制制度》加强与区消防救援大队、云岩区国有投资控股集团有限公司沟通力度，解决设备登记入账及移交的相关工作。</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（二）资金管理方面</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项目入库之前，编制项目预算，明确项目资金使用方向，确保项目预算资金与实际工作任务相匹配。</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（三）项目管理方面</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在项目实施过程中加强与其他相关责任单位对接力度，</w:t>
            </w:r>
            <w:r>
              <w:rPr>
                <w:rFonts w:hint="default" w:ascii="仿宋_GB2312" w:hAnsi="仿宋_GB2312" w:eastAsia="仿宋_GB2312" w:cs="仿宋_GB2312"/>
                <w:sz w:val="20"/>
                <w:szCs w:val="20"/>
                <w:lang w:val="en-US" w:eastAsia="zh-CN"/>
              </w:rPr>
              <w:t>及时掌握</w:t>
            </w:r>
            <w:r>
              <w:rPr>
                <w:rFonts w:hint="eastAsia" w:ascii="仿宋_GB2312" w:hAnsi="仿宋_GB2312" w:eastAsia="仿宋_GB2312" w:cs="仿宋_GB2312"/>
                <w:sz w:val="20"/>
                <w:szCs w:val="20"/>
                <w:lang w:val="en-US" w:eastAsia="zh-CN"/>
              </w:rPr>
              <w:t>项目实施情况</w:t>
            </w:r>
            <w:r>
              <w:rPr>
                <w:rFonts w:hint="default" w:ascii="仿宋_GB2312" w:hAnsi="仿宋_GB2312" w:eastAsia="仿宋_GB2312" w:cs="仿宋_GB2312"/>
                <w:sz w:val="20"/>
                <w:szCs w:val="20"/>
                <w:lang w:val="en-US" w:eastAsia="zh-CN"/>
              </w:rPr>
              <w:t>，确保按时、保质保量完成相关任务。</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（四）绩效管理方面</w:t>
            </w:r>
          </w:p>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仿宋_GB2312" w:eastAsia="仿宋_GB2312" w:cs="仿宋_GB2312"/>
                <w:sz w:val="20"/>
                <w:szCs w:val="20"/>
                <w:lang w:val="en-US" w:eastAsia="zh-CN"/>
              </w:rPr>
              <w:t>科学合理设置绩效指标和指标值，指标值应明确，增强项目绩效指标科学性和可操作性。</w:t>
            </w:r>
          </w:p>
        </w:tc>
      </w:tr>
      <w:tr>
        <w:tblPrEx>
          <w:tblCellMar>
            <w:top w:w="17" w:type="dxa"/>
            <w:left w:w="17" w:type="dxa"/>
            <w:bottom w:w="17" w:type="dxa"/>
            <w:right w:w="17" w:type="dxa"/>
          </w:tblCellMar>
        </w:tblPrEx>
        <w:trPr>
          <w:trHeight w:val="0"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评价结果</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应用建议</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left"/>
              <w:textAlignment w:val="center"/>
              <w:rPr>
                <w:rFonts w:ascii="仿宋_GB2312" w:hAnsi="宋体" w:eastAsia="仿宋_GB2312" w:cs="仿宋_GB2312"/>
                <w:color w:val="000000"/>
                <w:sz w:val="20"/>
                <w:szCs w:val="20"/>
                <w:highlight w:val="none"/>
              </w:rPr>
            </w:pPr>
            <w:r>
              <w:rPr>
                <w:rFonts w:hint="eastAsia" w:ascii="仿宋_GB2312" w:hAnsi="仿宋_GB2312" w:eastAsia="仿宋_GB2312" w:cs="仿宋_GB2312"/>
                <w:sz w:val="20"/>
                <w:szCs w:val="20"/>
                <w:lang w:val="en-US" w:eastAsia="zh-CN"/>
              </w:rPr>
              <w:t>本项目属于一次性项目，不做以后年度预算安排。</w:t>
            </w:r>
          </w:p>
        </w:tc>
      </w:tr>
    </w:tbl>
    <w:tbl>
      <w:tblPr>
        <w:tblStyle w:val="16"/>
        <w:tblpPr w:leftFromText="180" w:rightFromText="180" w:vertAnchor="text" w:horzAnchor="margin" w:tblpY="1"/>
        <w:tblOverlap w:val="never"/>
        <w:tblW w:w="8983" w:type="dxa"/>
        <w:tblInd w:w="0" w:type="dxa"/>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17" w:type="dxa"/>
          <w:bottom w:w="17" w:type="dxa"/>
          <w:right w:w="17" w:type="dxa"/>
        </w:tblCellMar>
      </w:tblPr>
      <w:tblGrid>
        <w:gridCol w:w="2059"/>
        <w:gridCol w:w="2252"/>
        <w:gridCol w:w="2238"/>
        <w:gridCol w:w="2434"/>
      </w:tblGrid>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1012" w:hRule="atLeast"/>
        </w:trPr>
        <w:tc>
          <w:tcPr>
            <w:tcW w:w="205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评价时间</w:t>
            </w:r>
          </w:p>
        </w:tc>
        <w:tc>
          <w:tcPr>
            <w:tcW w:w="225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8</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30</w:t>
            </w:r>
            <w:r>
              <w:rPr>
                <w:rFonts w:hint="eastAsia" w:ascii="仿宋_GB2312" w:hAnsi="宋体" w:eastAsia="仿宋_GB2312" w:cs="仿宋_GB2312"/>
                <w:color w:val="000000"/>
                <w:sz w:val="20"/>
                <w:szCs w:val="20"/>
                <w:highlight w:val="none"/>
              </w:rPr>
              <w:t>日—20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12</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15</w:t>
            </w:r>
            <w:r>
              <w:rPr>
                <w:rFonts w:hint="eastAsia" w:ascii="仿宋_GB2312" w:hAnsi="宋体" w:eastAsia="仿宋_GB2312" w:cs="仿宋_GB2312"/>
                <w:color w:val="000000"/>
                <w:sz w:val="20"/>
                <w:szCs w:val="20"/>
                <w:highlight w:val="none"/>
              </w:rPr>
              <w:t>日</w:t>
            </w:r>
          </w:p>
        </w:tc>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评价机构报告编号</w:t>
            </w:r>
          </w:p>
        </w:tc>
        <w:tc>
          <w:tcPr>
            <w:tcW w:w="2434"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center"/>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贵州黔元</w:t>
            </w:r>
          </w:p>
          <w:p>
            <w:pPr>
              <w:widowControl/>
              <w:spacing w:line="320" w:lineRule="exact"/>
              <w:jc w:val="center"/>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绩效字〔2022〕第</w:t>
            </w:r>
            <w:r>
              <w:rPr>
                <w:rFonts w:hint="eastAsia" w:ascii="仿宋_GB2312" w:hAnsi="宋体" w:eastAsia="仿宋_GB2312" w:cs="仿宋_GB2312"/>
                <w:color w:val="000000"/>
                <w:sz w:val="20"/>
                <w:szCs w:val="20"/>
                <w:highlight w:val="none"/>
                <w:lang w:val="en-US" w:eastAsia="zh-CN"/>
              </w:rPr>
              <w:t>33</w:t>
            </w:r>
            <w:r>
              <w:rPr>
                <w:rFonts w:hint="eastAsia" w:ascii="仿宋_GB2312" w:hAnsi="宋体" w:eastAsia="仿宋_GB2312" w:cs="仿宋_GB2312"/>
                <w:color w:val="000000"/>
                <w:sz w:val="20"/>
                <w:szCs w:val="20"/>
                <w:highlight w:val="none"/>
              </w:rPr>
              <w:t>号</w:t>
            </w: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2234" w:hRule="atLeast"/>
        </w:trPr>
        <w:tc>
          <w:tcPr>
            <w:tcW w:w="205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lang w:eastAsia="zh-CN"/>
              </w:rPr>
              <w:t>项目主评人</w:t>
            </w:r>
            <w:r>
              <w:rPr>
                <w:rFonts w:hint="eastAsia" w:ascii="黑体" w:hAnsi="黑体" w:eastAsia="黑体" w:cs="仿宋_GB2312"/>
                <w:color w:val="000000"/>
                <w:sz w:val="20"/>
                <w:szCs w:val="20"/>
                <w:highlight w:val="none"/>
              </w:rPr>
              <w:t>（签字）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25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p>
          <w:p>
            <w:pPr>
              <w:pStyle w:val="22"/>
              <w:rPr>
                <w:rFonts w:ascii="仿宋_GB2312" w:hAnsi="宋体" w:eastAsia="仿宋_GB2312" w:cs="仿宋_GB2312"/>
                <w:color w:val="000000"/>
                <w:sz w:val="20"/>
                <w:szCs w:val="20"/>
                <w:highlight w:val="none"/>
              </w:rPr>
            </w:pPr>
          </w:p>
          <w:p>
            <w:pPr>
              <w:pStyle w:val="22"/>
              <w:rPr>
                <w:rFonts w:ascii="仿宋_GB2312" w:hAnsi="宋体" w:eastAsia="仿宋_GB2312" w:cs="仿宋_GB2312"/>
                <w:color w:val="000000"/>
                <w:sz w:val="20"/>
                <w:szCs w:val="20"/>
                <w:highlight w:val="none"/>
              </w:rPr>
            </w:pPr>
          </w:p>
          <w:p>
            <w:pPr>
              <w:widowControl/>
              <w:spacing w:line="320" w:lineRule="exact"/>
              <w:jc w:val="left"/>
              <w:textAlignment w:val="center"/>
              <w:rPr>
                <w:rFonts w:ascii="仿宋_GB2312" w:hAnsi="宋体" w:eastAsia="仿宋_GB2312" w:cs="仿宋_GB2312"/>
                <w:color w:val="000000"/>
                <w:sz w:val="20"/>
                <w:szCs w:val="20"/>
                <w:highlight w:val="none"/>
              </w:rPr>
            </w:pPr>
          </w:p>
          <w:p>
            <w:pPr>
              <w:widowControl/>
              <w:spacing w:line="32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宫经全：13985455127</w:t>
            </w:r>
          </w:p>
        </w:tc>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法定代表人（签字）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434"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left"/>
              <w:textAlignment w:val="center"/>
              <w:rPr>
                <w:rFonts w:hint="eastAsia" w:ascii="仿宋_GB2312" w:hAnsi="仿宋_GB2312" w:eastAsia="仿宋_GB2312" w:cs="仿宋_GB2312"/>
                <w:sz w:val="20"/>
                <w:szCs w:val="20"/>
                <w:highlight w:val="none"/>
              </w:rPr>
            </w:pPr>
          </w:p>
          <w:p>
            <w:pPr>
              <w:pStyle w:val="22"/>
              <w:rPr>
                <w:rFonts w:hint="eastAsia" w:ascii="仿宋_GB2312" w:hAnsi="仿宋_GB2312" w:eastAsia="仿宋_GB2312" w:cs="仿宋_GB2312"/>
                <w:sz w:val="20"/>
                <w:szCs w:val="20"/>
                <w:highlight w:val="none"/>
              </w:rPr>
            </w:pPr>
          </w:p>
          <w:p>
            <w:pPr>
              <w:pStyle w:val="22"/>
              <w:rPr>
                <w:rFonts w:hint="eastAsia" w:ascii="仿宋_GB2312" w:hAnsi="仿宋_GB2312" w:eastAsia="仿宋_GB2312" w:cs="仿宋_GB2312"/>
                <w:sz w:val="20"/>
                <w:szCs w:val="20"/>
                <w:highlight w:val="none"/>
              </w:rPr>
            </w:pPr>
          </w:p>
          <w:p>
            <w:pPr>
              <w:widowControl/>
              <w:spacing w:line="320" w:lineRule="exact"/>
              <w:jc w:val="left"/>
              <w:textAlignment w:val="center"/>
              <w:rPr>
                <w:rFonts w:hint="eastAsia" w:ascii="仿宋_GB2312" w:hAnsi="仿宋_GB2312" w:eastAsia="仿宋_GB2312" w:cs="仿宋_GB2312"/>
                <w:sz w:val="20"/>
                <w:szCs w:val="20"/>
                <w:highlight w:val="none"/>
              </w:rPr>
            </w:pPr>
          </w:p>
          <w:p>
            <w:pPr>
              <w:widowControl/>
              <w:spacing w:line="320" w:lineRule="exact"/>
              <w:jc w:val="left"/>
              <w:textAlignment w:val="center"/>
              <w:rPr>
                <w:rFonts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陈万琪：</w:t>
            </w:r>
            <w:r>
              <w:rPr>
                <w:rFonts w:ascii="仿宋_GB2312" w:hAnsi="仿宋_GB2312" w:eastAsia="仿宋_GB2312" w:cs="仿宋_GB2312"/>
                <w:sz w:val="20"/>
                <w:szCs w:val="20"/>
                <w:highlight w:val="none"/>
              </w:rPr>
              <w:t>13985006396</w:t>
            </w:r>
          </w:p>
        </w:tc>
      </w:tr>
    </w:tbl>
    <w:p>
      <w:pPr>
        <w:rPr>
          <w:rFonts w:eastAsia="方正小标宋简体"/>
          <w:sz w:val="44"/>
          <w:szCs w:val="44"/>
          <w:highlight w:val="none"/>
        </w:rPr>
        <w:sectPr>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ind w:firstLine="664" w:firstLineChars="200"/>
        <w:textAlignment w:val="auto"/>
        <w:rPr>
          <w:spacing w:val="6"/>
          <w:highlight w:val="none"/>
        </w:rPr>
      </w:pPr>
      <w:bookmarkStart w:id="0" w:name="_Toc8051"/>
      <w:bookmarkStart w:id="1" w:name="_Toc11919"/>
      <w:bookmarkStart w:id="2" w:name="_Toc25305"/>
      <w:bookmarkStart w:id="3" w:name="_Toc30498"/>
      <w:bookmarkStart w:id="4" w:name="_Toc1391"/>
      <w:bookmarkStart w:id="5" w:name="_Toc16295"/>
      <w:bookmarkStart w:id="6" w:name="_Toc22300"/>
      <w:bookmarkStart w:id="7" w:name="_Toc12766"/>
      <w:bookmarkStart w:id="8" w:name="_Toc1193"/>
      <w:bookmarkStart w:id="9" w:name="_Toc30987"/>
      <w:bookmarkStart w:id="10" w:name="_Toc24329"/>
      <w:bookmarkStart w:id="11" w:name="_Toc29412"/>
      <w:bookmarkStart w:id="12" w:name="_Toc14205"/>
      <w:bookmarkStart w:id="13" w:name="_Toc15159"/>
      <w:bookmarkStart w:id="14" w:name="_Toc30388"/>
      <w:bookmarkStart w:id="15" w:name="_Toc3567"/>
      <w:bookmarkStart w:id="16" w:name="_Toc12290"/>
      <w:bookmarkStart w:id="17" w:name="_Toc14755"/>
      <w:bookmarkStart w:id="18" w:name="_Toc24457"/>
      <w:bookmarkStart w:id="19" w:name="_Toc6906"/>
      <w:bookmarkStart w:id="20" w:name="_Toc9684"/>
      <w:bookmarkStart w:id="21" w:name="_Toc12079"/>
      <w:bookmarkStart w:id="22" w:name="_Toc12738"/>
      <w:bookmarkStart w:id="23" w:name="_Toc15338"/>
      <w:bookmarkStart w:id="24" w:name="_Toc23747"/>
      <w:bookmarkStart w:id="25" w:name="_Toc28719"/>
      <w:bookmarkStart w:id="26" w:name="_Toc25162"/>
      <w:bookmarkStart w:id="27" w:name="_Toc6327"/>
      <w:bookmarkStart w:id="28" w:name="_Toc25748"/>
      <w:bookmarkStart w:id="29" w:name="_Toc2662"/>
      <w:bookmarkStart w:id="30" w:name="_Toc3987"/>
      <w:bookmarkStart w:id="31" w:name="_Toc32301"/>
      <w:r>
        <w:rPr>
          <w:rFonts w:hint="eastAsia"/>
          <w:spacing w:val="6"/>
          <w:highlight w:val="none"/>
        </w:rPr>
        <w:t>一、</w:t>
      </w:r>
      <w:bookmarkStart w:id="382" w:name="_GoBack"/>
      <w:bookmarkEnd w:id="382"/>
      <w:r>
        <w:rPr>
          <w:rFonts w:hint="eastAsia"/>
          <w:spacing w:val="6"/>
          <w:highlight w:val="none"/>
        </w:rPr>
        <w:t>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4"/>
        <w:keepNext w:val="0"/>
        <w:keepLines w:val="0"/>
        <w:pageBreakBefore w:val="0"/>
        <w:widowControl w:val="0"/>
        <w:kinsoku/>
        <w:wordWrap/>
        <w:overflowPunct/>
        <w:topLinePunct w:val="0"/>
        <w:autoSpaceDE/>
        <w:autoSpaceDN/>
        <w:bidi w:val="0"/>
        <w:adjustRightInd/>
        <w:snapToGrid/>
        <w:ind w:firstLine="664" w:firstLineChars="200"/>
        <w:textAlignment w:val="auto"/>
        <w:rPr>
          <w:rFonts w:hint="eastAsia" w:hAnsi="仿宋" w:eastAsia="楷体_GB2312"/>
          <w:spacing w:val="6"/>
          <w:szCs w:val="32"/>
          <w:highlight w:val="none"/>
          <w:lang w:val="en-US" w:eastAsia="zh-CN"/>
        </w:rPr>
      </w:pPr>
      <w:bookmarkStart w:id="32" w:name="_Toc9213"/>
      <w:bookmarkStart w:id="33" w:name="_Toc28210"/>
      <w:bookmarkStart w:id="34" w:name="_Toc20737"/>
      <w:bookmarkStart w:id="35" w:name="_Toc8811"/>
      <w:bookmarkStart w:id="36" w:name="_Toc12643"/>
      <w:bookmarkStart w:id="37" w:name="_Toc27289"/>
      <w:bookmarkStart w:id="38" w:name="_Toc286"/>
      <w:bookmarkStart w:id="39" w:name="_Toc16625"/>
      <w:bookmarkStart w:id="40" w:name="_Toc12975"/>
      <w:bookmarkStart w:id="41" w:name="_Toc29893"/>
      <w:bookmarkStart w:id="42" w:name="_Toc28486"/>
      <w:bookmarkStart w:id="43" w:name="_Toc2255"/>
      <w:bookmarkStart w:id="44" w:name="_Toc24129"/>
      <w:bookmarkStart w:id="45" w:name="_Toc32693"/>
      <w:bookmarkStart w:id="46" w:name="_Toc12188"/>
      <w:bookmarkStart w:id="47" w:name="_Toc11765"/>
      <w:bookmarkStart w:id="48" w:name="_Toc12996"/>
      <w:bookmarkStart w:id="49" w:name="_Toc31337"/>
      <w:bookmarkStart w:id="50" w:name="_Toc8687"/>
      <w:bookmarkStart w:id="51" w:name="_Toc27860"/>
      <w:bookmarkStart w:id="52" w:name="_Toc22895"/>
      <w:bookmarkStart w:id="53" w:name="_Toc17123"/>
      <w:bookmarkStart w:id="54" w:name="_Toc5632"/>
      <w:bookmarkStart w:id="55" w:name="_Toc4534"/>
      <w:bookmarkStart w:id="56" w:name="_Toc13002"/>
      <w:bookmarkStart w:id="57" w:name="_Toc4388"/>
      <w:bookmarkStart w:id="58" w:name="_Toc28276"/>
      <w:bookmarkStart w:id="59" w:name="_Toc30322"/>
      <w:bookmarkStart w:id="60" w:name="_Toc28444"/>
      <w:bookmarkStart w:id="61" w:name="_Toc15090"/>
      <w:bookmarkStart w:id="62" w:name="_Toc26701"/>
      <w:bookmarkStart w:id="63" w:name="_Toc2812"/>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（一）</w:t>
      </w:r>
      <w:r>
        <w:rPr>
          <w:rFonts w:hAnsi="仿宋"/>
          <w:spacing w:val="6"/>
          <w:szCs w:val="32"/>
          <w:highlight w:val="none"/>
          <w:lang w:val="zh-CN"/>
        </w:rPr>
        <w:fldChar w:fldCharType="end"/>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Pr>
          <w:rFonts w:hint="eastAsia" w:hAnsi="仿宋"/>
          <w:spacing w:val="6"/>
          <w:szCs w:val="32"/>
          <w:highlight w:val="none"/>
          <w:lang w:val="en-US" w:eastAsia="zh-CN"/>
        </w:rPr>
        <w:t>项目概况</w:t>
      </w:r>
      <w:bookmarkEnd w:id="57"/>
      <w:bookmarkEnd w:id="58"/>
      <w:bookmarkEnd w:id="59"/>
      <w:bookmarkEnd w:id="60"/>
      <w:bookmarkEnd w:id="61"/>
      <w:bookmarkEnd w:id="62"/>
      <w:bookmarkEnd w:id="63"/>
    </w:p>
    <w:p>
      <w:pPr>
        <w:keepNext w:val="0"/>
        <w:keepLines w:val="0"/>
        <w:pageBreakBefore w:val="0"/>
        <w:widowControl w:val="0"/>
        <w:kinsoku/>
        <w:wordWrap/>
        <w:overflowPunct/>
        <w:topLinePunct w:val="0"/>
        <w:autoSpaceDE/>
        <w:autoSpaceDN/>
        <w:bidi w:val="0"/>
        <w:adjustRightInd/>
        <w:snapToGrid/>
        <w:ind w:firstLine="664" w:firstLineChars="200"/>
        <w:textAlignment w:val="auto"/>
        <w:outlineLvl w:val="9"/>
        <w:rPr>
          <w:rFonts w:hint="eastAsia"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lang w:val="zh-CN"/>
        </w:rPr>
        <w:t>．</w:t>
      </w:r>
      <w:r>
        <w:rPr>
          <w:rFonts w:hint="eastAsia" w:ascii="仿宋_GB2312" w:hAnsi="仿宋_GB2312" w:eastAsia="仿宋_GB2312" w:cs="仿宋_GB2312"/>
          <w:spacing w:val="6"/>
          <w:sz w:val="32"/>
          <w:szCs w:val="32"/>
          <w:highlight w:val="none"/>
          <w:lang w:val="en-US" w:eastAsia="zh-CN"/>
        </w:rPr>
        <w:t>项目背景</w:t>
      </w:r>
    </w:p>
    <w:p>
      <w:pPr>
        <w:spacing w:line="590" w:lineRule="exact"/>
        <w:ind w:firstLine="664"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bCs/>
          <w:spacing w:val="6"/>
          <w:sz w:val="32"/>
          <w:szCs w:val="32"/>
          <w:u w:val="none"/>
          <w:lang w:val="en-US" w:eastAsia="zh-CN"/>
        </w:rPr>
        <w:t>根据2021年贵阳市、贵安新区将为民办“十件实事”，云岩区制定2021年拟为民办“十件实事”，其中实施城市安全工程中要求微型消防站195个投入使用。云岩区制定《关于构筑社会消防安全“防火墙”工程行动方案》（云委</w:t>
      </w:r>
      <w:r>
        <w:rPr>
          <w:rFonts w:hint="eastAsia" w:ascii="仿宋_GB2312" w:hAnsi="仿宋_GB2312" w:eastAsia="仿宋_GB2312" w:cs="仿宋_GB2312"/>
          <w:sz w:val="32"/>
          <w:szCs w:val="32"/>
          <w:lang w:val="en-US" w:eastAsia="zh-CN"/>
        </w:rPr>
        <w:t>〔2021〕14号），解决全区火灾预付和管控方面存在的突出问题，全力防范化解重大消防安全风险。</w:t>
      </w:r>
    </w:p>
    <w:p>
      <w:pPr>
        <w:widowControl w:val="0"/>
        <w:spacing w:line="610" w:lineRule="exact"/>
        <w:ind w:firstLine="664" w:firstLineChars="200"/>
        <w:jc w:val="both"/>
        <w:rPr>
          <w:rFonts w:hint="default"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2</w:t>
      </w:r>
      <w:r>
        <w:rPr>
          <w:rFonts w:hint="eastAsia" w:ascii="仿宋_GB2312" w:hAnsi="仿宋_GB2312" w:eastAsia="仿宋_GB2312" w:cs="仿宋_GB2312"/>
          <w:spacing w:val="6"/>
          <w:sz w:val="32"/>
          <w:szCs w:val="32"/>
          <w:highlight w:val="none"/>
          <w:lang w:val="zh-CN"/>
        </w:rPr>
        <w:t>．</w:t>
      </w:r>
      <w:r>
        <w:rPr>
          <w:rFonts w:hint="eastAsia" w:ascii="仿宋_GB2312" w:hAnsi="仿宋_GB2312" w:eastAsia="仿宋_GB2312" w:cs="仿宋_GB2312"/>
          <w:spacing w:val="6"/>
          <w:sz w:val="32"/>
          <w:szCs w:val="32"/>
          <w:highlight w:val="none"/>
          <w:lang w:val="en-US" w:eastAsia="zh-CN"/>
        </w:rPr>
        <w:t>主要内容及实施情况</w:t>
      </w:r>
    </w:p>
    <w:p>
      <w:pPr>
        <w:widowControl w:val="0"/>
        <w:spacing w:line="590" w:lineRule="exact"/>
        <w:ind w:firstLine="664" w:firstLineChars="200"/>
        <w:jc w:val="both"/>
        <w:rPr>
          <w:rFonts w:hint="eastAsia" w:ascii="仿宋_GB2312" w:hAnsi="仿宋_GB2312" w:eastAsia="仿宋_GB2312" w:cs="仿宋_GB2312"/>
          <w:bCs/>
          <w:spacing w:val="6"/>
          <w:sz w:val="32"/>
          <w:szCs w:val="32"/>
          <w:lang w:val="en-US" w:eastAsia="zh-CN"/>
        </w:rPr>
      </w:pPr>
      <w:r>
        <w:rPr>
          <w:rFonts w:hint="eastAsia" w:ascii="仿宋_GB2312" w:hAnsi="仿宋_GB2312" w:eastAsia="仿宋_GB2312" w:cs="仿宋_GB2312"/>
          <w:bCs/>
          <w:spacing w:val="6"/>
          <w:sz w:val="32"/>
          <w:szCs w:val="32"/>
          <w:lang w:val="en-US" w:eastAsia="zh-CN"/>
        </w:rPr>
        <w:t>根据《中共云岩区委专题会议纪要》（</w:t>
      </w:r>
      <w:r>
        <w:rPr>
          <w:rFonts w:hint="eastAsia" w:ascii="仿宋_GB2312" w:hAnsi="仿宋_GB2312" w:eastAsia="仿宋_GB2312" w:cs="仿宋_GB2312"/>
          <w:color w:val="000000" w:themeColor="text1"/>
          <w:spacing w:val="6"/>
          <w:sz w:val="32"/>
          <w:szCs w:val="32"/>
          <w:highlight w:val="none"/>
          <w:lang w:val="en-US" w:eastAsia="zh-CN"/>
          <w14:textFill>
            <w14:solidFill>
              <w14:schemeClr w14:val="tx1"/>
            </w14:solidFill>
          </w14:textFill>
        </w:rPr>
        <w:t>云委议字</w:t>
      </w:r>
      <w:r>
        <w:rPr>
          <w:rFonts w:hint="eastAsia" w:ascii="仿宋_GB2312" w:hAnsi="仿宋_GB2312" w:eastAsia="仿宋_GB2312" w:cs="仿宋_GB2312"/>
          <w:color w:val="000000" w:themeColor="text1"/>
          <w:spacing w:val="6"/>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pacing w:val="6"/>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pacing w:val="6"/>
          <w:sz w:val="32"/>
          <w:szCs w:val="32"/>
          <w:highlight w:val="none"/>
          <w14:textFill>
            <w14:solidFill>
              <w14:schemeClr w14:val="tx1"/>
            </w14:solidFill>
          </w14:textFill>
        </w:rPr>
        <w:t>〕</w:t>
      </w:r>
      <w:r>
        <w:rPr>
          <w:rFonts w:hint="eastAsia" w:ascii="仿宋_GB2312" w:hAnsi="仿宋_GB2312" w:eastAsia="仿宋_GB2312" w:cs="仿宋_GB2312"/>
          <w:color w:val="000000" w:themeColor="text1"/>
          <w:spacing w:val="6"/>
          <w:sz w:val="32"/>
          <w:szCs w:val="32"/>
          <w:highlight w:val="none"/>
          <w:lang w:val="en-US" w:eastAsia="zh-CN"/>
          <w14:textFill>
            <w14:solidFill>
              <w14:schemeClr w14:val="tx1"/>
            </w14:solidFill>
          </w14:textFill>
        </w:rPr>
        <w:t>11</w:t>
      </w:r>
      <w:r>
        <w:rPr>
          <w:rFonts w:hint="eastAsia" w:ascii="仿宋_GB2312" w:hAnsi="仿宋_GB2312" w:eastAsia="仿宋_GB2312" w:cs="仿宋_GB2312"/>
          <w:color w:val="000000" w:themeColor="text1"/>
          <w:spacing w:val="6"/>
          <w:sz w:val="32"/>
          <w:szCs w:val="32"/>
          <w:highlight w:val="none"/>
          <w14:textFill>
            <w14:solidFill>
              <w14:schemeClr w14:val="tx1"/>
            </w14:solidFill>
          </w14:textFill>
        </w:rPr>
        <w:t>号）</w:t>
      </w:r>
      <w:r>
        <w:rPr>
          <w:rFonts w:hint="eastAsia" w:ascii="仿宋_GB2312" w:hAnsi="仿宋_GB2312" w:eastAsia="仿宋_GB2312" w:cs="仿宋_GB2312"/>
          <w:color w:val="000000" w:themeColor="text1"/>
          <w:spacing w:val="6"/>
          <w:sz w:val="32"/>
          <w:szCs w:val="32"/>
          <w:highlight w:val="none"/>
          <w:lang w:val="en-US" w:eastAsia="zh-CN"/>
          <w14:textFill>
            <w14:solidFill>
              <w14:schemeClr w14:val="tx1"/>
            </w14:solidFill>
          </w14:textFill>
        </w:rPr>
        <w:t>等文件要求</w:t>
      </w:r>
      <w:r>
        <w:rPr>
          <w:rFonts w:hint="eastAsia" w:ascii="仿宋_GB2312" w:hAnsi="仿宋_GB2312" w:eastAsia="仿宋_GB2312" w:cs="仿宋_GB2312"/>
          <w:bCs/>
          <w:spacing w:val="6"/>
          <w:sz w:val="32"/>
          <w:szCs w:val="32"/>
          <w:lang w:val="en-US" w:eastAsia="zh-CN"/>
        </w:rPr>
        <w:t>，</w:t>
      </w:r>
      <w:r>
        <w:rPr>
          <w:rFonts w:hint="eastAsia" w:ascii="仿宋_GB2312" w:hAnsi="仿宋_GB2312" w:eastAsia="仿宋_GB2312" w:cs="仿宋_GB2312"/>
          <w:sz w:val="32"/>
          <w:szCs w:val="32"/>
          <w:lang w:val="en-US" w:eastAsia="zh-CN"/>
        </w:rPr>
        <w:t>贵阳市云岩</w:t>
      </w:r>
      <w:r>
        <w:rPr>
          <w:rFonts w:hint="eastAsia" w:ascii="仿宋_GB2312" w:hAnsi="仿宋_GB2312" w:eastAsia="仿宋_GB2312" w:cs="仿宋_GB2312"/>
          <w:sz w:val="32"/>
          <w:szCs w:val="32"/>
        </w:rPr>
        <w:t>区</w:t>
      </w:r>
      <w:r>
        <w:rPr>
          <w:rFonts w:hint="eastAsia" w:ascii="仿宋_GB2312" w:hAnsi="仿宋_GB2312" w:eastAsia="仿宋_GB2312" w:cs="仿宋_GB2312"/>
          <w:bCs/>
          <w:spacing w:val="6"/>
          <w:sz w:val="32"/>
          <w:szCs w:val="32"/>
          <w:lang w:val="en-US" w:eastAsia="zh-CN"/>
        </w:rPr>
        <w:t>建设的微型消防站总数178个，单独一个微型消防站需配备消防灭火服、消防头盔、消防手套等相关设施设备共22种，每个种类需购买两个。云岩区组织森林消防安全应急演练，社区街道办事处按要求进行定期的网格化消防安全隐患排查，同时</w:t>
      </w:r>
      <w:r>
        <w:rPr>
          <w:rFonts w:hint="eastAsia" w:ascii="仿宋_GB2312" w:hAnsi="仿宋_GB2312" w:eastAsia="仿宋_GB2312" w:cs="仿宋_GB2312"/>
          <w:bCs/>
          <w:spacing w:val="6"/>
          <w:sz w:val="32"/>
          <w:szCs w:val="32"/>
          <w:u w:val="none"/>
          <w:lang w:val="en-US" w:eastAsia="zh-CN"/>
        </w:rPr>
        <w:t>新增森林消防安全标识标牌</w:t>
      </w:r>
      <w:r>
        <w:rPr>
          <w:rFonts w:hint="eastAsia" w:ascii="仿宋_GB2312" w:hAnsi="仿宋_GB2312" w:eastAsia="仿宋_GB2312" w:cs="仿宋_GB2312"/>
          <w:bCs/>
          <w:spacing w:val="6"/>
          <w:sz w:val="32"/>
          <w:szCs w:val="32"/>
          <w:lang w:val="en-US" w:eastAsia="zh-CN"/>
        </w:rPr>
        <w:t>。</w:t>
      </w:r>
    </w:p>
    <w:p>
      <w:pPr>
        <w:widowControl w:val="0"/>
        <w:spacing w:line="59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3．项目资金概况</w:t>
      </w:r>
    </w:p>
    <w:p>
      <w:pPr>
        <w:widowControl w:val="0"/>
        <w:spacing w:line="590" w:lineRule="exact"/>
        <w:ind w:firstLine="640" w:firstLineChars="200"/>
        <w:jc w:val="both"/>
        <w:rPr>
          <w:rFonts w:hint="default" w:ascii="仿宋_GB2312" w:hAnsi="仿宋_GB2312" w:eastAsia="仿宋_GB2312" w:cs="仿宋_GB2312"/>
          <w:sz w:val="32"/>
          <w:szCs w:val="32"/>
          <w:lang w:val="en-US" w:eastAsia="zh-CN"/>
        </w:rPr>
      </w:pPr>
      <w:bookmarkStart w:id="64" w:name="_Toc12077"/>
      <w:bookmarkStart w:id="65" w:name="_Toc28875"/>
      <w:bookmarkStart w:id="66" w:name="_Toc21623"/>
      <w:bookmarkStart w:id="67" w:name="_Toc12683"/>
      <w:r>
        <w:rPr>
          <w:rFonts w:hint="eastAsia" w:ascii="仿宋_GB2312" w:hAnsi="仿宋_GB2312" w:eastAsia="仿宋_GB2312" w:cs="仿宋_GB2312"/>
          <w:sz w:val="32"/>
          <w:szCs w:val="32"/>
          <w:lang w:val="en-US" w:eastAsia="zh-CN"/>
        </w:rPr>
        <w:t>（1）项目资金预算及到位情况</w:t>
      </w:r>
    </w:p>
    <w:p>
      <w:pPr>
        <w:widowControl w:val="0"/>
        <w:spacing w:line="590" w:lineRule="exact"/>
        <w:ind w:firstLine="640" w:firstLineChars="200"/>
        <w:jc w:val="both"/>
        <w:rPr>
          <w:rFonts w:hint="eastAsia" w:ascii="仿宋_GB2312" w:hAnsi="仿宋_GB2312" w:eastAsia="仿宋_GB2312" w:cs="仿宋_GB2312"/>
          <w:sz w:val="32"/>
          <w:szCs w:val="32"/>
          <w:highlight w:val="green"/>
          <w:lang w:val="en-US" w:eastAsia="zh-CN"/>
        </w:rPr>
      </w:pPr>
      <w:r>
        <w:rPr>
          <w:rFonts w:hint="eastAsia" w:ascii="仿宋_GB2312" w:hAnsi="仿宋_GB2312" w:eastAsia="仿宋_GB2312" w:cs="仿宋_GB2312"/>
          <w:sz w:val="32"/>
          <w:szCs w:val="32"/>
          <w:lang w:val="en-US" w:eastAsia="zh-CN"/>
        </w:rPr>
        <w:t>云岩</w:t>
      </w:r>
      <w:r>
        <w:rPr>
          <w:rFonts w:hint="eastAsia" w:ascii="仿宋_GB2312" w:hAnsi="仿宋_GB2312" w:eastAsia="仿宋_GB2312" w:cs="仿宋_GB2312"/>
          <w:sz w:val="32"/>
          <w:szCs w:val="32"/>
          <w:highlight w:val="none"/>
          <w:lang w:val="en-US" w:eastAsia="zh-CN"/>
        </w:rPr>
        <w:t>区应急局2021年</w:t>
      </w:r>
      <w:r>
        <w:rPr>
          <w:rFonts w:hint="eastAsia" w:ascii="仿宋_GB2312" w:hAnsi="仿宋_GB2312" w:eastAsia="仿宋_GB2312" w:cs="仿宋_GB2312"/>
          <w:spacing w:val="6"/>
          <w:sz w:val="32"/>
          <w:szCs w:val="32"/>
          <w:highlight w:val="none"/>
          <w:lang w:val="en-US" w:eastAsia="zh-CN"/>
        </w:rPr>
        <w:t>消防安全隐患排查项目经费</w:t>
      </w:r>
      <w:r>
        <w:rPr>
          <w:rFonts w:hint="eastAsia" w:ascii="仿宋_GB2312" w:hAnsi="仿宋_GB2312" w:eastAsia="仿宋_GB2312" w:cs="仿宋_GB2312"/>
          <w:sz w:val="32"/>
          <w:szCs w:val="32"/>
          <w:highlight w:val="none"/>
          <w:lang w:val="en-US" w:eastAsia="zh-CN"/>
        </w:rPr>
        <w:t>预算500万元。项目经费预算指标已全额下达。</w:t>
      </w:r>
    </w:p>
    <w:p>
      <w:pPr>
        <w:widowControl w:val="0"/>
        <w:spacing w:line="59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（2）项目资金使用及结余情况</w:t>
      </w:r>
    </w:p>
    <w:p>
      <w:pPr>
        <w:widowControl w:val="0"/>
        <w:spacing w:line="59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云岩区应急局2021年本项目经费预算共500.00万元，实际使用项目资金496.69万元，项目结余3.31万元。</w:t>
      </w:r>
      <w:bookmarkStart w:id="68" w:name="_Toc18218"/>
      <w:bookmarkStart w:id="69" w:name="_Toc22724"/>
      <w:bookmarkStart w:id="70" w:name="_Toc20306"/>
      <w:bookmarkStart w:id="71" w:name="_Toc5300"/>
      <w:bookmarkStart w:id="72" w:name="_Toc31686"/>
      <w:bookmarkStart w:id="73" w:name="_Toc23233"/>
      <w:bookmarkStart w:id="74" w:name="_Toc14706"/>
      <w:bookmarkStart w:id="75" w:name="_Toc22749"/>
      <w:bookmarkStart w:id="76" w:name="_Toc3639"/>
      <w:bookmarkStart w:id="77" w:name="_Toc29235"/>
      <w:bookmarkStart w:id="78" w:name="_Toc7768"/>
      <w:bookmarkStart w:id="79" w:name="_Toc6292"/>
      <w:bookmarkStart w:id="80" w:name="_Toc23751"/>
      <w:bookmarkStart w:id="81" w:name="_Toc22093"/>
      <w:bookmarkStart w:id="82" w:name="_Toc30360"/>
      <w:bookmarkStart w:id="83" w:name="_Toc30638"/>
      <w:bookmarkStart w:id="84" w:name="_Toc30573"/>
      <w:bookmarkStart w:id="85" w:name="_Toc13986"/>
      <w:bookmarkStart w:id="86" w:name="_Toc32675"/>
      <w:bookmarkStart w:id="87" w:name="_Toc12227"/>
      <w:bookmarkStart w:id="88" w:name="_Toc3459"/>
    </w:p>
    <w:p>
      <w:pPr>
        <w:pStyle w:val="4"/>
        <w:keepNext w:val="0"/>
        <w:keepLines w:val="0"/>
        <w:pageBreakBefore w:val="0"/>
        <w:widowControl w:val="0"/>
        <w:kinsoku/>
        <w:wordWrap/>
        <w:overflowPunct/>
        <w:topLinePunct w:val="0"/>
        <w:autoSpaceDE/>
        <w:autoSpaceDN/>
        <w:bidi w:val="0"/>
        <w:adjustRightInd/>
        <w:snapToGrid/>
        <w:ind w:firstLine="664" w:firstLineChars="200"/>
        <w:textAlignment w:val="auto"/>
        <w:rPr>
          <w:rFonts w:hint="default" w:hAnsi="仿宋"/>
          <w:spacing w:val="6"/>
          <w:szCs w:val="32"/>
          <w:highlight w:val="none"/>
        </w:rPr>
      </w:pPr>
      <w:bookmarkStart w:id="89" w:name="_Toc14712"/>
      <w:bookmarkStart w:id="90" w:name="_Toc30053"/>
      <w:bookmarkStart w:id="91" w:name="_Toc20458"/>
      <w:bookmarkStart w:id="92" w:name="_Toc5232"/>
      <w:bookmarkStart w:id="93" w:name="_Toc30614"/>
      <w:bookmarkStart w:id="94" w:name="_Toc12102"/>
      <w:bookmarkStart w:id="95" w:name="_Toc9302"/>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w:t>
      </w:r>
      <w:r>
        <w:rPr>
          <w:rFonts w:hint="eastAsia" w:hAnsi="仿宋"/>
          <w:spacing w:val="6"/>
          <w:szCs w:val="32"/>
          <w:highlight w:val="none"/>
          <w:lang w:val="en-US" w:eastAsia="zh-CN"/>
        </w:rPr>
        <w:t>二</w:t>
      </w:r>
      <w:r>
        <w:rPr>
          <w:rFonts w:hAnsi="仿宋"/>
          <w:spacing w:val="6"/>
          <w:szCs w:val="32"/>
          <w:highlight w:val="none"/>
          <w:lang w:val="zh-CN"/>
        </w:rPr>
        <w:t>）</w:t>
      </w:r>
      <w:r>
        <w:rPr>
          <w:rFonts w:hAnsi="仿宋"/>
          <w:spacing w:val="6"/>
          <w:szCs w:val="32"/>
          <w:highlight w:val="none"/>
          <w:lang w:val="zh-CN"/>
        </w:rPr>
        <w:fldChar w:fldCharType="end"/>
      </w:r>
      <w:r>
        <w:rPr>
          <w:rFonts w:hint="eastAsia" w:hAnsi="仿宋"/>
          <w:spacing w:val="6"/>
          <w:szCs w:val="32"/>
          <w:highlight w:val="none"/>
          <w:lang w:val="en-US" w:eastAsia="zh-CN"/>
        </w:rPr>
        <w:t>项目支出绩效目标及指标设立情况</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default" w:ascii="仿宋_GB2312" w:hAnsi="仿宋_GB2312" w:eastAsia="仿宋_GB2312" w:cs="仿宋_GB2312"/>
          <w:spacing w:val="6"/>
          <w:sz w:val="32"/>
          <w:szCs w:val="32"/>
          <w:highlight w:val="none"/>
          <w:lang w:val="en-US"/>
        </w:rPr>
      </w:pPr>
      <w:bookmarkStart w:id="96" w:name="_Hlk20316695"/>
      <w:r>
        <w:rPr>
          <w:rFonts w:hint="eastAsia" w:ascii="仿宋_GB2312" w:hAnsi="仿宋_GB2312" w:eastAsia="仿宋_GB2312" w:cs="仿宋_GB2312"/>
          <w:bCs/>
          <w:spacing w:val="6"/>
          <w:kern w:val="0"/>
          <w:sz w:val="32"/>
          <w:szCs w:val="32"/>
          <w:highlight w:val="none"/>
        </w:rPr>
        <w:t>1．</w:t>
      </w:r>
      <w:r>
        <w:rPr>
          <w:rFonts w:hint="eastAsia" w:ascii="仿宋_GB2312" w:hAnsi="仿宋_GB2312" w:eastAsia="仿宋_GB2312" w:cs="仿宋_GB2312"/>
          <w:spacing w:val="6"/>
          <w:sz w:val="32"/>
          <w:szCs w:val="32"/>
          <w:highlight w:val="none"/>
          <w:lang w:val="en-US" w:eastAsia="zh-CN"/>
        </w:rPr>
        <w:t>绩效目标</w:t>
      </w:r>
    </w:p>
    <w:bookmarkEnd w:id="96"/>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default"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我们在与区应急局、区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业务处室充分沟通的基础上，根据</w:t>
      </w:r>
      <w:r>
        <w:rPr>
          <w:rFonts w:hint="eastAsia" w:ascii="仿宋_GB2312" w:hAnsi="仿宋_GB2312" w:eastAsia="仿宋_GB2312" w:cs="仿宋_GB2312"/>
          <w:spacing w:val="6"/>
          <w:sz w:val="32"/>
          <w:szCs w:val="32"/>
          <w:lang w:val="en-US" w:eastAsia="zh-CN"/>
        </w:rPr>
        <w:t>区应急</w:t>
      </w:r>
      <w:r>
        <w:rPr>
          <w:rFonts w:hint="eastAsia" w:ascii="仿宋_GB2312" w:hAnsi="仿宋_GB2312" w:eastAsia="仿宋_GB2312" w:cs="仿宋_GB2312"/>
          <w:spacing w:val="6"/>
          <w:sz w:val="32"/>
          <w:szCs w:val="32"/>
          <w:lang w:eastAsia="zh-CN"/>
        </w:rPr>
        <w:t>局</w:t>
      </w:r>
      <w:r>
        <w:rPr>
          <w:rFonts w:hint="eastAsia" w:ascii="仿宋_GB2312" w:hAnsi="仿宋_GB2312" w:eastAsia="仿宋_GB2312" w:cs="仿宋_GB2312"/>
          <w:spacing w:val="6"/>
          <w:sz w:val="32"/>
          <w:szCs w:val="32"/>
        </w:rPr>
        <w:t>提供的项目绩效目标表结合项目实际情况对项目绩效目标和绩效指标进行再次梳理。再次梳理的绩效目标</w:t>
      </w:r>
      <w:r>
        <w:rPr>
          <w:rFonts w:hint="eastAsia" w:ascii="仿宋_GB2312" w:hAnsi="仿宋_GB2312" w:eastAsia="仿宋_GB2312" w:cs="仿宋_GB2312"/>
          <w:spacing w:val="6"/>
          <w:sz w:val="32"/>
          <w:szCs w:val="32"/>
          <w:lang w:val="en-US" w:eastAsia="zh-CN"/>
        </w:rPr>
        <w:t>如下：一是完成微型消防站建设工作；二是</w:t>
      </w:r>
      <w:r>
        <w:rPr>
          <w:rFonts w:hint="eastAsia" w:ascii="仿宋_GB2312" w:hAnsi="仿宋_GB2312" w:eastAsia="仿宋_GB2312" w:cs="仿宋_GB2312"/>
          <w:spacing w:val="6"/>
          <w:sz w:val="32"/>
          <w:szCs w:val="32"/>
        </w:rPr>
        <w:t>协调调度森林防灭火工作，做好森防物资储备、森防宣传等工作</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三是协助社区进行消防安全隐患排查。</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default"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bCs/>
          <w:spacing w:val="6"/>
          <w:kern w:val="0"/>
          <w:sz w:val="32"/>
          <w:szCs w:val="32"/>
          <w:highlight w:val="none"/>
        </w:rPr>
        <w:t>2．</w:t>
      </w:r>
      <w:r>
        <w:rPr>
          <w:rFonts w:hint="eastAsia" w:ascii="仿宋_GB2312" w:hAnsi="仿宋_GB2312" w:eastAsia="仿宋_GB2312" w:cs="仿宋_GB2312"/>
          <w:spacing w:val="6"/>
          <w:sz w:val="32"/>
          <w:szCs w:val="32"/>
          <w:highlight w:val="none"/>
          <w:lang w:val="en-US" w:eastAsia="zh-CN"/>
        </w:rPr>
        <w:t>绩效指标</w:t>
      </w:r>
    </w:p>
    <w:p>
      <w:pPr>
        <w:widowControl w:val="0"/>
        <w:spacing w:line="62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本项目20</w:t>
      </w:r>
      <w:r>
        <w:rPr>
          <w:rFonts w:hint="eastAsia" w:ascii="仿宋_GB2312" w:hAnsi="仿宋_GB2312" w:eastAsia="仿宋_GB2312" w:cs="仿宋_GB2312"/>
          <w:spacing w:val="6"/>
          <w:sz w:val="32"/>
          <w:szCs w:val="32"/>
          <w:lang w:val="en-US" w:eastAsia="zh-CN"/>
        </w:rPr>
        <w:t>21</w:t>
      </w:r>
      <w:r>
        <w:rPr>
          <w:rFonts w:hint="eastAsia" w:ascii="仿宋_GB2312" w:hAnsi="仿宋_GB2312" w:eastAsia="仿宋_GB2312" w:cs="仿宋_GB2312"/>
          <w:spacing w:val="6"/>
          <w:sz w:val="32"/>
          <w:szCs w:val="32"/>
        </w:rPr>
        <w:t>年度绩效指标主要为产出指标、效益指标和满意度指标，具体情况详见下表：</w:t>
      </w:r>
    </w:p>
    <w:tbl>
      <w:tblPr>
        <w:tblStyle w:val="16"/>
        <w:tblW w:w="4996" w:type="pct"/>
        <w:tblInd w:w="0" w:type="dxa"/>
        <w:tblLayout w:type="fixed"/>
        <w:tblCellMar>
          <w:top w:w="0" w:type="dxa"/>
          <w:left w:w="108" w:type="dxa"/>
          <w:bottom w:w="0" w:type="dxa"/>
          <w:right w:w="108" w:type="dxa"/>
        </w:tblCellMar>
      </w:tblPr>
      <w:tblGrid>
        <w:gridCol w:w="1201"/>
        <w:gridCol w:w="1616"/>
        <w:gridCol w:w="4188"/>
        <w:gridCol w:w="2162"/>
      </w:tblGrid>
      <w:tr>
        <w:tblPrEx>
          <w:tblCellMar>
            <w:top w:w="0" w:type="dxa"/>
            <w:left w:w="108" w:type="dxa"/>
            <w:bottom w:w="0" w:type="dxa"/>
            <w:right w:w="108" w:type="dxa"/>
          </w:tblCellMar>
        </w:tblPrEx>
        <w:trPr>
          <w:trHeight w:val="482" w:hRule="atLeast"/>
          <w:tblHeader/>
        </w:trPr>
        <w:tc>
          <w:tcPr>
            <w:tcW w:w="65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一级指标</w:t>
            </w:r>
          </w:p>
        </w:tc>
        <w:tc>
          <w:tcPr>
            <w:tcW w:w="8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二级指标</w:t>
            </w: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三级指标</w:t>
            </w:r>
          </w:p>
        </w:tc>
        <w:tc>
          <w:tcPr>
            <w:tcW w:w="11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指标值</w:t>
            </w:r>
          </w:p>
        </w:tc>
      </w:tr>
      <w:tr>
        <w:tblPrEx>
          <w:tblCellMar>
            <w:top w:w="0" w:type="dxa"/>
            <w:left w:w="108" w:type="dxa"/>
            <w:bottom w:w="0" w:type="dxa"/>
            <w:right w:w="108" w:type="dxa"/>
          </w:tblCellMar>
        </w:tblPrEx>
        <w:trPr>
          <w:trHeight w:val="482" w:hRule="atLeast"/>
        </w:trPr>
        <w:tc>
          <w:tcPr>
            <w:tcW w:w="65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产出</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指标</w:t>
            </w:r>
          </w:p>
        </w:tc>
        <w:tc>
          <w:tcPr>
            <w:tcW w:w="8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产出数量指标</w:t>
            </w: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2"/>
                <w:sz w:val="22"/>
                <w:szCs w:val="22"/>
                <w:u w:val="none"/>
                <w:lang w:val="en-US" w:eastAsia="zh-CN" w:bidi="ar-SA"/>
              </w:rPr>
            </w:pPr>
            <w:r>
              <w:rPr>
                <w:rFonts w:hint="eastAsia" w:ascii="仿宋_GB2312" w:hAnsi="仿宋_GB2312" w:eastAsia="仿宋_GB2312" w:cs="仿宋_GB2312"/>
                <w:i w:val="0"/>
                <w:iCs w:val="0"/>
                <w:color w:val="000000"/>
                <w:kern w:val="0"/>
                <w:sz w:val="22"/>
                <w:szCs w:val="22"/>
                <w:u w:val="none"/>
                <w:lang w:val="en-US" w:eastAsia="zh-CN" w:bidi="ar"/>
              </w:rPr>
              <w:t>微型消防站建设数量</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sz w:val="22"/>
                <w:szCs w:val="22"/>
                <w:u w:val="none"/>
                <w:lang w:val="en-US"/>
              </w:rPr>
            </w:pPr>
            <w:r>
              <w:rPr>
                <w:rFonts w:hint="eastAsia" w:ascii="仿宋_GB2312" w:hAnsi="仿宋_GB2312" w:eastAsia="仿宋_GB2312" w:cs="仿宋_GB2312"/>
                <w:bCs/>
                <w:i w:val="0"/>
                <w:iCs w:val="0"/>
                <w:color w:val="000000"/>
                <w:kern w:val="0"/>
                <w:sz w:val="22"/>
                <w:szCs w:val="22"/>
                <w:u w:val="none"/>
                <w:lang w:val="en-US" w:eastAsia="zh-CN" w:bidi="ar"/>
              </w:rPr>
              <w:t>≥</w:t>
            </w:r>
            <w:r>
              <w:rPr>
                <w:rFonts w:hint="eastAsia" w:ascii="仿宋_GB2312" w:hAnsi="仿宋_GB2312" w:eastAsia="仿宋_GB2312" w:cs="仿宋_GB2312"/>
                <w:b w:val="0"/>
                <w:bCs w:val="0"/>
                <w:i w:val="0"/>
                <w:iCs w:val="0"/>
                <w:color w:val="000000"/>
                <w:kern w:val="0"/>
                <w:sz w:val="22"/>
                <w:szCs w:val="22"/>
                <w:u w:val="none"/>
                <w:lang w:val="en-US" w:eastAsia="zh-CN" w:bidi="ar"/>
              </w:rPr>
              <w:t>178个</w:t>
            </w:r>
          </w:p>
        </w:tc>
      </w:tr>
      <w:tr>
        <w:tblPrEx>
          <w:tblCellMar>
            <w:top w:w="0" w:type="dxa"/>
            <w:left w:w="108" w:type="dxa"/>
            <w:bottom w:w="0" w:type="dxa"/>
            <w:right w:w="108" w:type="dxa"/>
          </w:tblCellMar>
        </w:tblPrEx>
        <w:trPr>
          <w:trHeight w:val="482" w:hRule="atLeast"/>
        </w:trPr>
        <w:tc>
          <w:tcPr>
            <w:tcW w:w="65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2"/>
                <w:szCs w:val="22"/>
                <w:u w:val="none"/>
              </w:rPr>
            </w:pPr>
          </w:p>
        </w:tc>
        <w:tc>
          <w:tcPr>
            <w:tcW w:w="8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i w:val="0"/>
                <w:iCs w:val="0"/>
                <w:color w:val="000000"/>
                <w:sz w:val="22"/>
                <w:szCs w:val="22"/>
                <w:u w:val="none"/>
              </w:rPr>
            </w:pP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社区消防安全隐患排查覆盖率</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仿宋_GB2312" w:hAnsi="仿宋_GB2312" w:eastAsia="仿宋_GB2312" w:cs="仿宋_GB2312"/>
                <w:bCs/>
                <w:i w:val="0"/>
                <w:iCs w:val="0"/>
                <w:color w:val="000000"/>
                <w:kern w:val="0"/>
                <w:sz w:val="22"/>
                <w:szCs w:val="22"/>
                <w:u w:val="none"/>
                <w:lang w:val="en-US" w:eastAsia="zh-CN" w:bidi="ar"/>
              </w:rPr>
            </w:pPr>
            <w:r>
              <w:rPr>
                <w:rFonts w:hint="eastAsia" w:ascii="仿宋_GB2312" w:hAnsi="仿宋_GB2312" w:eastAsia="仿宋_GB2312" w:cs="仿宋_GB2312"/>
                <w:bCs/>
                <w:i w:val="0"/>
                <w:iCs w:val="0"/>
                <w:color w:val="000000"/>
                <w:kern w:val="0"/>
                <w:sz w:val="22"/>
                <w:szCs w:val="22"/>
                <w:u w:val="none"/>
                <w:lang w:val="en-US" w:eastAsia="zh-CN" w:bidi="ar"/>
              </w:rPr>
              <w:t>=</w:t>
            </w:r>
            <w:r>
              <w:rPr>
                <w:rFonts w:hint="eastAsia" w:ascii="仿宋_GB2312" w:hAnsi="仿宋_GB2312" w:eastAsia="仿宋_GB2312" w:cs="仿宋_GB2312"/>
                <w:bCs/>
                <w:i w:val="0"/>
                <w:iCs w:val="0"/>
                <w:color w:val="000000"/>
                <w:kern w:val="0"/>
                <w:sz w:val="22"/>
                <w:szCs w:val="22"/>
                <w:highlight w:val="none"/>
                <w:u w:val="none"/>
                <w:lang w:val="en-US" w:eastAsia="zh-CN" w:bidi="ar"/>
              </w:rPr>
              <w:t>100%</w:t>
            </w:r>
          </w:p>
        </w:tc>
      </w:tr>
      <w:tr>
        <w:tblPrEx>
          <w:tblCellMar>
            <w:top w:w="0" w:type="dxa"/>
            <w:left w:w="108" w:type="dxa"/>
            <w:bottom w:w="0" w:type="dxa"/>
            <w:right w:w="108" w:type="dxa"/>
          </w:tblCellMar>
        </w:tblPrEx>
        <w:trPr>
          <w:trHeight w:val="482" w:hRule="atLeast"/>
        </w:trPr>
        <w:tc>
          <w:tcPr>
            <w:tcW w:w="65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2"/>
                <w:szCs w:val="22"/>
                <w:u w:val="none"/>
              </w:rPr>
            </w:pPr>
          </w:p>
        </w:tc>
        <w:tc>
          <w:tcPr>
            <w:tcW w:w="8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i w:val="0"/>
                <w:iCs w:val="0"/>
                <w:color w:val="000000"/>
                <w:sz w:val="22"/>
                <w:szCs w:val="22"/>
                <w:u w:val="none"/>
              </w:rPr>
            </w:pP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完善应急管理局森林防灭火储备物资</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仿宋_GB2312" w:hAnsi="仿宋_GB2312" w:eastAsia="仿宋_GB2312" w:cs="仿宋_GB2312"/>
                <w:bCs/>
                <w:i w:val="0"/>
                <w:iCs w:val="0"/>
                <w:color w:val="000000"/>
                <w:kern w:val="0"/>
                <w:sz w:val="22"/>
                <w:szCs w:val="22"/>
                <w:u w:val="none"/>
                <w:lang w:val="en-US" w:eastAsia="zh-CN" w:bidi="ar"/>
              </w:rPr>
            </w:pPr>
            <w:r>
              <w:rPr>
                <w:rFonts w:hint="eastAsia" w:ascii="仿宋_GB2312" w:hAnsi="仿宋_GB2312" w:eastAsia="仿宋_GB2312" w:cs="仿宋_GB2312"/>
                <w:bCs/>
                <w:i w:val="0"/>
                <w:iCs w:val="0"/>
                <w:color w:val="000000"/>
                <w:kern w:val="0"/>
                <w:sz w:val="22"/>
                <w:szCs w:val="22"/>
                <w:u w:val="none"/>
                <w:lang w:val="en-US" w:eastAsia="zh-CN" w:bidi="ar"/>
              </w:rPr>
              <w:t>≥40人份</w:t>
            </w:r>
          </w:p>
        </w:tc>
      </w:tr>
      <w:tr>
        <w:tblPrEx>
          <w:tblCellMar>
            <w:top w:w="0" w:type="dxa"/>
            <w:left w:w="108" w:type="dxa"/>
            <w:bottom w:w="0" w:type="dxa"/>
            <w:right w:w="108" w:type="dxa"/>
          </w:tblCellMar>
        </w:tblPrEx>
        <w:trPr>
          <w:trHeight w:val="482" w:hRule="atLeast"/>
        </w:trPr>
        <w:tc>
          <w:tcPr>
            <w:tcW w:w="65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2"/>
                <w:szCs w:val="22"/>
                <w:u w:val="none"/>
              </w:rPr>
            </w:pPr>
          </w:p>
        </w:tc>
        <w:tc>
          <w:tcPr>
            <w:tcW w:w="8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i w:val="0"/>
                <w:iCs w:val="0"/>
                <w:color w:val="000000"/>
                <w:sz w:val="22"/>
                <w:szCs w:val="22"/>
                <w:u w:val="none"/>
              </w:rPr>
            </w:pP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组织开展森林消防安全应急演练次数</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仿宋_GB2312" w:hAnsi="仿宋_GB2312" w:eastAsia="仿宋_GB2312" w:cs="仿宋_GB2312"/>
                <w:bCs/>
                <w:i w:val="0"/>
                <w:iCs w:val="0"/>
                <w:color w:val="000000"/>
                <w:kern w:val="0"/>
                <w:sz w:val="22"/>
                <w:szCs w:val="22"/>
                <w:u w:val="none"/>
                <w:lang w:val="en-US" w:eastAsia="zh-CN" w:bidi="ar"/>
              </w:rPr>
            </w:pPr>
            <w:r>
              <w:rPr>
                <w:rFonts w:hint="eastAsia" w:ascii="仿宋_GB2312" w:hAnsi="仿宋_GB2312" w:eastAsia="仿宋_GB2312" w:cs="仿宋_GB2312"/>
                <w:bCs/>
                <w:i w:val="0"/>
                <w:iCs w:val="0"/>
                <w:color w:val="000000"/>
                <w:kern w:val="0"/>
                <w:sz w:val="22"/>
                <w:szCs w:val="22"/>
                <w:u w:val="none"/>
                <w:lang w:val="en-US" w:eastAsia="zh-CN" w:bidi="ar"/>
              </w:rPr>
              <w:t>≥1次</w:t>
            </w:r>
          </w:p>
        </w:tc>
      </w:tr>
      <w:tr>
        <w:tblPrEx>
          <w:tblCellMar>
            <w:top w:w="0" w:type="dxa"/>
            <w:left w:w="108" w:type="dxa"/>
            <w:bottom w:w="0" w:type="dxa"/>
            <w:right w:w="108" w:type="dxa"/>
          </w:tblCellMar>
        </w:tblPrEx>
        <w:trPr>
          <w:trHeight w:val="482" w:hRule="atLeast"/>
        </w:trPr>
        <w:tc>
          <w:tcPr>
            <w:tcW w:w="65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2"/>
                <w:szCs w:val="22"/>
                <w:u w:val="none"/>
              </w:rPr>
            </w:pPr>
          </w:p>
        </w:tc>
        <w:tc>
          <w:tcPr>
            <w:tcW w:w="8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i w:val="0"/>
                <w:iCs w:val="0"/>
                <w:color w:val="000000"/>
                <w:sz w:val="22"/>
                <w:szCs w:val="22"/>
                <w:u w:val="none"/>
              </w:rPr>
            </w:pP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组织开展森林防灭火工作的督查</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sz w:val="22"/>
                <w:szCs w:val="22"/>
                <w:u w:val="none"/>
                <w:lang w:val="en-US"/>
              </w:rPr>
            </w:pPr>
            <w:r>
              <w:rPr>
                <w:rFonts w:hint="eastAsia" w:ascii="仿宋_GB2312" w:hAnsi="仿宋_GB2312" w:eastAsia="仿宋_GB2312" w:cs="仿宋_GB2312"/>
                <w:bCs/>
                <w:i w:val="0"/>
                <w:iCs w:val="0"/>
                <w:color w:val="000000"/>
                <w:kern w:val="0"/>
                <w:sz w:val="22"/>
                <w:szCs w:val="22"/>
                <w:u w:val="none"/>
                <w:lang w:val="en-US" w:eastAsia="zh-CN" w:bidi="ar"/>
              </w:rPr>
              <w:t>≥</w:t>
            </w:r>
            <w:r>
              <w:rPr>
                <w:rFonts w:hint="eastAsia" w:ascii="仿宋_GB2312" w:hAnsi="仿宋_GB2312" w:eastAsia="仿宋_GB2312" w:cs="仿宋_GB2312"/>
                <w:b w:val="0"/>
                <w:bCs w:val="0"/>
                <w:i w:val="0"/>
                <w:iCs w:val="0"/>
                <w:color w:val="000000"/>
                <w:kern w:val="0"/>
                <w:sz w:val="22"/>
                <w:szCs w:val="22"/>
                <w:u w:val="none"/>
                <w:lang w:val="en-US" w:eastAsia="zh-CN" w:bidi="ar"/>
              </w:rPr>
              <w:t>5次</w:t>
            </w:r>
          </w:p>
        </w:tc>
      </w:tr>
      <w:tr>
        <w:tblPrEx>
          <w:tblCellMar>
            <w:top w:w="0" w:type="dxa"/>
            <w:left w:w="108" w:type="dxa"/>
            <w:bottom w:w="0" w:type="dxa"/>
            <w:right w:w="108" w:type="dxa"/>
          </w:tblCellMar>
        </w:tblPrEx>
        <w:trPr>
          <w:trHeight w:val="482" w:hRule="atLeast"/>
        </w:trPr>
        <w:tc>
          <w:tcPr>
            <w:tcW w:w="65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2"/>
                <w:szCs w:val="22"/>
                <w:u w:val="none"/>
              </w:rPr>
            </w:pPr>
          </w:p>
        </w:tc>
        <w:tc>
          <w:tcPr>
            <w:tcW w:w="8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产出质量指标</w:t>
            </w: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highlight w:val="none"/>
                <w:u w:val="none"/>
              </w:rPr>
            </w:pPr>
            <w:r>
              <w:rPr>
                <w:rFonts w:hint="eastAsia" w:ascii="仿宋_GB2312" w:hAnsi="仿宋_GB2312" w:eastAsia="仿宋_GB2312" w:cs="仿宋_GB2312"/>
                <w:i w:val="0"/>
                <w:iCs w:val="0"/>
                <w:color w:val="000000"/>
                <w:kern w:val="0"/>
                <w:sz w:val="22"/>
                <w:szCs w:val="22"/>
                <w:highlight w:val="none"/>
                <w:u w:val="none"/>
                <w:lang w:val="en-US" w:eastAsia="zh-CN" w:bidi="ar"/>
              </w:rPr>
              <w:t>购置质量合格率</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2"/>
                <w:szCs w:val="22"/>
                <w:highlight w:val="none"/>
                <w:u w:val="none"/>
                <w:lang w:val="en-US"/>
              </w:rPr>
            </w:pPr>
            <w:r>
              <w:rPr>
                <w:rFonts w:hint="eastAsia" w:ascii="仿宋_GB2312" w:hAnsi="仿宋_GB2312" w:eastAsia="仿宋_GB2312" w:cs="仿宋_GB2312"/>
                <w:b w:val="0"/>
                <w:bCs w:val="0"/>
                <w:i w:val="0"/>
                <w:iCs w:val="0"/>
                <w:color w:val="000000"/>
                <w:kern w:val="0"/>
                <w:sz w:val="22"/>
                <w:szCs w:val="22"/>
                <w:highlight w:val="none"/>
                <w:u w:val="none"/>
                <w:lang w:val="en-US" w:eastAsia="zh-CN" w:bidi="ar"/>
              </w:rPr>
              <w:t>=100%</w:t>
            </w:r>
          </w:p>
        </w:tc>
      </w:tr>
      <w:tr>
        <w:tblPrEx>
          <w:tblCellMar>
            <w:top w:w="0" w:type="dxa"/>
            <w:left w:w="108" w:type="dxa"/>
            <w:bottom w:w="0" w:type="dxa"/>
            <w:right w:w="108" w:type="dxa"/>
          </w:tblCellMar>
        </w:tblPrEx>
        <w:trPr>
          <w:trHeight w:val="482" w:hRule="atLeast"/>
        </w:trPr>
        <w:tc>
          <w:tcPr>
            <w:tcW w:w="65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2"/>
                <w:szCs w:val="22"/>
                <w:u w:val="none"/>
              </w:rPr>
            </w:pPr>
          </w:p>
        </w:tc>
        <w:tc>
          <w:tcPr>
            <w:tcW w:w="8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产出时效指标</w:t>
            </w: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微型消防站及时投入使用</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sz w:val="22"/>
                <w:szCs w:val="22"/>
                <w:u w:val="none"/>
                <w:lang w:val="en-US"/>
              </w:rPr>
            </w:pPr>
            <w:r>
              <w:rPr>
                <w:rFonts w:hint="eastAsia" w:ascii="仿宋_GB2312" w:hAnsi="仿宋_GB2312" w:eastAsia="仿宋_GB2312" w:cs="仿宋_GB2312"/>
                <w:b w:val="0"/>
                <w:bCs w:val="0"/>
                <w:i w:val="0"/>
                <w:iCs w:val="0"/>
                <w:color w:val="000000"/>
                <w:kern w:val="0"/>
                <w:sz w:val="22"/>
                <w:szCs w:val="22"/>
                <w:highlight w:val="none"/>
                <w:u w:val="none"/>
                <w:lang w:val="en-US" w:eastAsia="zh-CN" w:bidi="ar"/>
              </w:rPr>
              <w:t>≤2021年</w:t>
            </w:r>
            <w:r>
              <w:rPr>
                <w:rStyle w:val="32"/>
                <w:rFonts w:hint="eastAsia" w:ascii="仿宋_GB2312" w:hAnsi="仿宋_GB2312" w:eastAsia="仿宋_GB2312" w:cs="仿宋_GB2312"/>
                <w:b w:val="0"/>
                <w:bCs w:val="0"/>
                <w:sz w:val="22"/>
                <w:szCs w:val="22"/>
                <w:highlight w:val="none"/>
                <w:lang w:val="en-US" w:eastAsia="zh-CN" w:bidi="ar"/>
              </w:rPr>
              <w:t>4月23日</w:t>
            </w:r>
          </w:p>
        </w:tc>
      </w:tr>
      <w:tr>
        <w:tblPrEx>
          <w:tblCellMar>
            <w:top w:w="0" w:type="dxa"/>
            <w:left w:w="108" w:type="dxa"/>
            <w:bottom w:w="0" w:type="dxa"/>
            <w:right w:w="108" w:type="dxa"/>
          </w:tblCellMar>
        </w:tblPrEx>
        <w:trPr>
          <w:trHeight w:val="482" w:hRule="atLeast"/>
        </w:trPr>
        <w:tc>
          <w:tcPr>
            <w:tcW w:w="65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效益</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指标</w:t>
            </w:r>
          </w:p>
        </w:tc>
        <w:tc>
          <w:tcPr>
            <w:tcW w:w="88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社会效益指标</w:t>
            </w: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社区消防安全隐患问题有效解决率</w:t>
            </w:r>
          </w:p>
        </w:tc>
        <w:tc>
          <w:tcPr>
            <w:tcW w:w="11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Cs/>
                <w:i w:val="0"/>
                <w:iCs w:val="0"/>
                <w:color w:val="000000"/>
                <w:sz w:val="22"/>
                <w:szCs w:val="22"/>
                <w:u w:val="none"/>
              </w:rPr>
            </w:pPr>
            <w:r>
              <w:rPr>
                <w:rFonts w:hint="eastAsia" w:ascii="仿宋_GB2312" w:hAnsi="仿宋_GB2312" w:eastAsia="仿宋_GB2312" w:cs="仿宋_GB2312"/>
                <w:bCs/>
                <w:i w:val="0"/>
                <w:iCs w:val="0"/>
                <w:color w:val="000000"/>
                <w:kern w:val="0"/>
                <w:sz w:val="22"/>
                <w:szCs w:val="22"/>
                <w:highlight w:val="none"/>
                <w:u w:val="none"/>
                <w:lang w:val="en-US" w:eastAsia="zh-CN" w:bidi="ar"/>
              </w:rPr>
              <w:t>=100%</w:t>
            </w:r>
          </w:p>
        </w:tc>
      </w:tr>
      <w:tr>
        <w:tblPrEx>
          <w:tblCellMar>
            <w:top w:w="0" w:type="dxa"/>
            <w:left w:w="108" w:type="dxa"/>
            <w:bottom w:w="0" w:type="dxa"/>
            <w:right w:w="108" w:type="dxa"/>
          </w:tblCellMar>
        </w:tblPrEx>
        <w:trPr>
          <w:trHeight w:val="482" w:hRule="atLeast"/>
        </w:trPr>
        <w:tc>
          <w:tcPr>
            <w:tcW w:w="65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2"/>
                <w:szCs w:val="22"/>
                <w:u w:val="none"/>
              </w:rPr>
            </w:pPr>
          </w:p>
        </w:tc>
        <w:tc>
          <w:tcPr>
            <w:tcW w:w="881"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_GB2312" w:hAnsi="仿宋_GB2312" w:eastAsia="仿宋_GB2312" w:cs="仿宋_GB2312"/>
                <w:i w:val="0"/>
                <w:iCs w:val="0"/>
                <w:color w:val="000000"/>
                <w:sz w:val="22"/>
                <w:szCs w:val="22"/>
                <w:u w:val="none"/>
              </w:rPr>
            </w:pP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居民消防安全知晓率</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Cs/>
                <w:i w:val="0"/>
                <w:iCs w:val="0"/>
                <w:color w:val="000000"/>
                <w:sz w:val="22"/>
                <w:szCs w:val="22"/>
                <w:highlight w:val="none"/>
                <w:u w:val="none"/>
              </w:rPr>
            </w:pPr>
            <w:r>
              <w:rPr>
                <w:rFonts w:hint="eastAsia" w:ascii="仿宋_GB2312" w:hAnsi="仿宋_GB2312" w:eastAsia="仿宋_GB2312" w:cs="仿宋_GB2312"/>
                <w:bCs/>
                <w:i w:val="0"/>
                <w:iCs w:val="0"/>
                <w:color w:val="000000"/>
                <w:kern w:val="0"/>
                <w:sz w:val="22"/>
                <w:szCs w:val="22"/>
                <w:highlight w:val="none"/>
                <w:u w:val="none"/>
                <w:lang w:val="en-US" w:eastAsia="zh-CN" w:bidi="ar"/>
              </w:rPr>
              <w:t>≥90%</w:t>
            </w:r>
          </w:p>
        </w:tc>
      </w:tr>
      <w:tr>
        <w:tblPrEx>
          <w:tblCellMar>
            <w:top w:w="0" w:type="dxa"/>
            <w:left w:w="108" w:type="dxa"/>
            <w:bottom w:w="0" w:type="dxa"/>
            <w:right w:w="108" w:type="dxa"/>
          </w:tblCellMar>
        </w:tblPrEx>
        <w:trPr>
          <w:trHeight w:val="482" w:hRule="atLeast"/>
        </w:trPr>
        <w:tc>
          <w:tcPr>
            <w:tcW w:w="655"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2"/>
                <w:szCs w:val="22"/>
                <w:u w:val="none"/>
              </w:rPr>
            </w:pPr>
          </w:p>
        </w:tc>
        <w:tc>
          <w:tcPr>
            <w:tcW w:w="881" w:type="pc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sz w:val="22"/>
                <w:szCs w:val="22"/>
                <w:u w:val="none"/>
                <w:lang w:val="en-US"/>
              </w:rPr>
            </w:pPr>
            <w:r>
              <w:rPr>
                <w:rFonts w:hint="eastAsia" w:ascii="仿宋_GB2312" w:hAnsi="仿宋_GB2312" w:eastAsia="仿宋_GB2312" w:cs="仿宋_GB2312"/>
                <w:i w:val="0"/>
                <w:iCs w:val="0"/>
                <w:color w:val="000000"/>
                <w:kern w:val="0"/>
                <w:sz w:val="22"/>
                <w:szCs w:val="22"/>
                <w:u w:val="none"/>
                <w:lang w:val="en-US" w:eastAsia="zh-CN" w:bidi="ar"/>
              </w:rPr>
              <w:t>生态效益指标</w:t>
            </w: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预防森林火灾发生</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仿宋_GB2312" w:hAnsi="仿宋_GB2312" w:eastAsia="仿宋_GB2312" w:cs="仿宋_GB2312"/>
                <w:bCs/>
                <w:i w:val="0"/>
                <w:iCs w:val="0"/>
                <w:color w:val="000000"/>
                <w:sz w:val="22"/>
                <w:szCs w:val="22"/>
                <w:u w:val="none"/>
                <w:lang w:val="en-US"/>
              </w:rPr>
            </w:pPr>
            <w:r>
              <w:rPr>
                <w:rStyle w:val="32"/>
                <w:rFonts w:hint="eastAsia" w:ascii="仿宋_GB2312" w:hAnsi="仿宋_GB2312" w:eastAsia="仿宋_GB2312" w:cs="仿宋_GB2312"/>
                <w:b w:val="0"/>
                <w:bCs/>
                <w:sz w:val="22"/>
                <w:szCs w:val="22"/>
                <w:lang w:val="en-US" w:eastAsia="zh-CN" w:bidi="ar"/>
              </w:rPr>
              <w:t>=0次</w:t>
            </w:r>
          </w:p>
        </w:tc>
      </w:tr>
      <w:tr>
        <w:tblPrEx>
          <w:tblCellMar>
            <w:top w:w="0" w:type="dxa"/>
            <w:left w:w="108" w:type="dxa"/>
            <w:bottom w:w="0" w:type="dxa"/>
            <w:right w:w="108" w:type="dxa"/>
          </w:tblCellMar>
        </w:tblPrEx>
        <w:trPr>
          <w:trHeight w:val="482" w:hRule="atLeast"/>
        </w:trPr>
        <w:tc>
          <w:tcPr>
            <w:tcW w:w="655" w:type="pct"/>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iCs w:val="0"/>
                <w:color w:val="000000"/>
                <w:sz w:val="22"/>
                <w:szCs w:val="22"/>
                <w:u w:val="none"/>
              </w:rPr>
            </w:pPr>
          </w:p>
        </w:tc>
        <w:tc>
          <w:tcPr>
            <w:tcW w:w="881" w:type="pct"/>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sz w:val="22"/>
                <w:szCs w:val="22"/>
                <w:u w:val="none"/>
                <w:lang w:val="en-US" w:eastAsia="zh-CN"/>
              </w:rPr>
              <w:t>满意度指标</w:t>
            </w:r>
          </w:p>
        </w:tc>
        <w:tc>
          <w:tcPr>
            <w:tcW w:w="228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群众满意度</w:t>
            </w:r>
          </w:p>
        </w:tc>
        <w:tc>
          <w:tcPr>
            <w:tcW w:w="11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Cs/>
                <w:i w:val="0"/>
                <w:iCs w:val="0"/>
                <w:color w:val="000000"/>
                <w:sz w:val="22"/>
                <w:szCs w:val="22"/>
                <w:u w:val="none"/>
              </w:rPr>
            </w:pPr>
            <w:r>
              <w:rPr>
                <w:rFonts w:hint="eastAsia" w:ascii="仿宋_GB2312" w:hAnsi="仿宋_GB2312" w:eastAsia="仿宋_GB2312" w:cs="仿宋_GB2312"/>
                <w:bCs/>
                <w:i w:val="0"/>
                <w:iCs w:val="0"/>
                <w:color w:val="000000"/>
                <w:kern w:val="0"/>
                <w:sz w:val="22"/>
                <w:szCs w:val="22"/>
                <w:u w:val="none"/>
                <w:lang w:val="en-US" w:eastAsia="zh-CN" w:bidi="ar"/>
              </w:rPr>
              <w:t>≥90%</w:t>
            </w:r>
          </w:p>
        </w:tc>
      </w:tr>
    </w:tbl>
    <w:p>
      <w:pPr>
        <w:pStyle w:val="3"/>
        <w:keepNext w:val="0"/>
        <w:keepLines w:val="0"/>
        <w:pageBreakBefore w:val="0"/>
        <w:widowControl w:val="0"/>
        <w:numPr>
          <w:ilvl w:val="0"/>
          <w:numId w:val="0"/>
        </w:numPr>
        <w:kinsoku/>
        <w:wordWrap/>
        <w:overflowPunct/>
        <w:topLinePunct w:val="0"/>
        <w:autoSpaceDE/>
        <w:autoSpaceDN/>
        <w:bidi w:val="0"/>
        <w:adjustRightInd/>
        <w:snapToGrid/>
        <w:ind w:firstLine="664" w:firstLineChars="200"/>
        <w:textAlignment w:val="auto"/>
        <w:rPr>
          <w:rFonts w:hint="default"/>
          <w:lang w:val="en-US" w:eastAsia="zh-CN"/>
        </w:rPr>
      </w:pPr>
      <w:bookmarkStart w:id="97" w:name="_Toc3187"/>
      <w:bookmarkStart w:id="98" w:name="_Toc11796"/>
      <w:bookmarkStart w:id="99" w:name="_Toc14131"/>
      <w:bookmarkStart w:id="100" w:name="_Toc7504"/>
      <w:bookmarkStart w:id="101" w:name="_Toc14823"/>
      <w:bookmarkStart w:id="102" w:name="_Toc21902"/>
      <w:bookmarkStart w:id="103" w:name="_Toc1390"/>
      <w:bookmarkStart w:id="104" w:name="_Toc15898"/>
      <w:bookmarkStart w:id="105" w:name="_Toc9242"/>
      <w:bookmarkStart w:id="106" w:name="_Toc1312"/>
      <w:bookmarkStart w:id="107" w:name="_Toc10633"/>
      <w:bookmarkStart w:id="108" w:name="_Toc24126"/>
      <w:bookmarkStart w:id="109" w:name="_Toc8630"/>
      <w:bookmarkStart w:id="110" w:name="_Toc1279"/>
      <w:bookmarkStart w:id="111" w:name="_Toc14235"/>
      <w:bookmarkStart w:id="112" w:name="_Toc8780"/>
      <w:bookmarkStart w:id="113" w:name="_Toc14722"/>
      <w:bookmarkStart w:id="114" w:name="_Toc3440"/>
      <w:bookmarkStart w:id="115" w:name="_Toc9109"/>
      <w:bookmarkStart w:id="116" w:name="_Toc28855"/>
      <w:bookmarkStart w:id="117" w:name="_Toc26595"/>
      <w:bookmarkStart w:id="118" w:name="_Toc14"/>
      <w:bookmarkStart w:id="119" w:name="_Toc12994"/>
      <w:bookmarkStart w:id="120" w:name="_Toc15311"/>
      <w:bookmarkStart w:id="121" w:name="_Toc14372"/>
      <w:bookmarkStart w:id="122" w:name="_Toc25973"/>
      <w:bookmarkStart w:id="123" w:name="_Toc12654"/>
      <w:bookmarkStart w:id="124" w:name="_Toc19137"/>
      <w:bookmarkStart w:id="125" w:name="_Toc26716"/>
      <w:bookmarkStart w:id="126" w:name="_Toc25489"/>
      <w:bookmarkStart w:id="127" w:name="_Toc19477"/>
      <w:bookmarkStart w:id="128" w:name="_Toc17451"/>
      <w:r>
        <w:rPr>
          <w:rFonts w:hint="eastAsia"/>
          <w:spacing w:val="6"/>
          <w:highlight w:val="none"/>
        </w:rPr>
        <w:t>二、</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Start w:id="129" w:name="_Toc15"/>
      <w:bookmarkStart w:id="130" w:name="_Toc25299"/>
      <w:bookmarkStart w:id="131" w:name="_Toc16826"/>
      <w:bookmarkStart w:id="132" w:name="_Toc14098"/>
      <w:bookmarkStart w:id="133" w:name="_Toc17905"/>
      <w:bookmarkStart w:id="134" w:name="_Toc5517"/>
      <w:bookmarkStart w:id="135" w:name="_Toc2564"/>
      <w:r>
        <w:rPr>
          <w:rFonts w:hint="eastAsia"/>
          <w:highlight w:val="none"/>
          <w:lang w:eastAsia="zh-CN"/>
        </w:rPr>
        <w:t>绩效评价</w:t>
      </w:r>
      <w:r>
        <w:rPr>
          <w:rFonts w:hint="eastAsia"/>
          <w:highlight w:val="none"/>
          <w:lang w:val="en-US" w:eastAsia="zh-CN"/>
        </w:rPr>
        <w:t>综合评价情况及评价结论</w:t>
      </w:r>
      <w:bookmarkEnd w:id="129"/>
      <w:bookmarkEnd w:id="130"/>
      <w:bookmarkEnd w:id="131"/>
      <w:bookmarkEnd w:id="132"/>
      <w:bookmarkEnd w:id="133"/>
      <w:bookmarkEnd w:id="134"/>
      <w:bookmarkEnd w:id="135"/>
    </w:p>
    <w:p>
      <w:pPr>
        <w:pStyle w:val="4"/>
        <w:keepNext w:val="0"/>
        <w:keepLines w:val="0"/>
        <w:pageBreakBefore w:val="0"/>
        <w:widowControl w:val="0"/>
        <w:kinsoku/>
        <w:wordWrap/>
        <w:overflowPunct/>
        <w:topLinePunct w:val="0"/>
        <w:autoSpaceDE/>
        <w:autoSpaceDN/>
        <w:bidi w:val="0"/>
        <w:adjustRightInd/>
        <w:snapToGrid/>
        <w:ind w:firstLine="664" w:firstLineChars="200"/>
        <w:textAlignment w:val="auto"/>
        <w:rPr>
          <w:rFonts w:hint="default" w:hAnsi="Times New Roman"/>
          <w:spacing w:val="6"/>
          <w:szCs w:val="32"/>
          <w:highlight w:val="none"/>
        </w:rPr>
      </w:pPr>
      <w:bookmarkStart w:id="136" w:name="_Toc29195"/>
      <w:bookmarkStart w:id="137" w:name="_Toc10655"/>
      <w:bookmarkStart w:id="138" w:name="_Toc31030"/>
      <w:bookmarkStart w:id="139" w:name="_Toc12208"/>
      <w:bookmarkStart w:id="140" w:name="_Toc32031"/>
      <w:bookmarkStart w:id="141" w:name="_Toc6104"/>
      <w:bookmarkStart w:id="142" w:name="_Toc27920"/>
      <w:bookmarkStart w:id="143" w:name="_Toc28788"/>
      <w:bookmarkStart w:id="144" w:name="_Toc5337"/>
      <w:bookmarkStart w:id="145" w:name="_Toc26866"/>
      <w:bookmarkStart w:id="146" w:name="_Toc10355"/>
      <w:bookmarkStart w:id="147" w:name="_Toc3094"/>
      <w:bookmarkStart w:id="148" w:name="_Toc4167"/>
      <w:bookmarkStart w:id="149" w:name="_Toc29698"/>
      <w:bookmarkStart w:id="150" w:name="_Toc1628"/>
      <w:bookmarkStart w:id="151" w:name="_Toc7253"/>
      <w:bookmarkStart w:id="152" w:name="_Toc22311"/>
      <w:bookmarkStart w:id="153" w:name="_Toc23292"/>
      <w:bookmarkStart w:id="154" w:name="_Toc7449"/>
      <w:bookmarkStart w:id="155" w:name="_Toc21342"/>
      <w:bookmarkStart w:id="156" w:name="_Toc2163"/>
      <w:bookmarkStart w:id="157" w:name="_Toc14782"/>
      <w:bookmarkStart w:id="158" w:name="_Toc10438"/>
      <w:bookmarkStart w:id="159" w:name="_Toc29986"/>
      <w:bookmarkStart w:id="160" w:name="_Toc3326"/>
      <w:bookmarkStart w:id="161" w:name="_Toc2067"/>
      <w:bookmarkStart w:id="162" w:name="_Toc20407"/>
      <w:bookmarkStart w:id="163" w:name="_Toc4334"/>
      <w:bookmarkStart w:id="164" w:name="_Toc20088"/>
      <w:bookmarkStart w:id="165" w:name="_Toc26262"/>
      <w:bookmarkStart w:id="166" w:name="_Toc12500"/>
      <w:bookmarkStart w:id="167" w:name="_Toc11753"/>
      <w:bookmarkStart w:id="168" w:name="_Toc18864"/>
      <w:bookmarkStart w:id="169" w:name="_Toc7700"/>
      <w:bookmarkStart w:id="170" w:name="_Toc29377"/>
      <w:bookmarkStart w:id="171" w:name="_Toc26347"/>
      <w:bookmarkStart w:id="172" w:name="_Toc25448"/>
      <w:bookmarkStart w:id="173" w:name="_Toc30397"/>
      <w:bookmarkStart w:id="174" w:name="_Toc23533"/>
      <w:bookmarkStart w:id="175" w:name="_Toc30654"/>
      <w:bookmarkStart w:id="176" w:name="_Toc10476"/>
      <w:bookmarkStart w:id="177" w:name="_Toc28"/>
      <w:bookmarkStart w:id="178" w:name="_Toc4287"/>
      <w:bookmarkStart w:id="179" w:name="_Toc8459"/>
      <w:bookmarkStart w:id="180" w:name="_Toc5311"/>
      <w:bookmarkStart w:id="181" w:name="_Toc29109"/>
      <w:bookmarkStart w:id="182" w:name="_Toc6894"/>
      <w:bookmarkStart w:id="183" w:name="_Toc11180"/>
      <w:bookmarkStart w:id="184" w:name="_Toc21209"/>
      <w:bookmarkStart w:id="185" w:name="_Toc12833"/>
      <w:bookmarkStart w:id="186" w:name="_Toc16718"/>
      <w:bookmarkStart w:id="187" w:name="_Toc10657"/>
      <w:bookmarkStart w:id="188" w:name="_Toc27933"/>
      <w:bookmarkStart w:id="189" w:name="_Toc12057"/>
      <w:bookmarkStart w:id="190" w:name="_Toc2590"/>
      <w:bookmarkStart w:id="191" w:name="_Hlk49420951"/>
      <w:r>
        <w:rPr>
          <w:spacing w:val="6"/>
          <w:highlight w:val="none"/>
        </w:rPr>
        <w:fldChar w:fldCharType="begin"/>
      </w:r>
      <w:r>
        <w:rPr>
          <w:spacing w:val="6"/>
          <w:highlight w:val="none"/>
        </w:rPr>
        <w:instrText xml:space="preserve"> HYPERLINK \l "_Toc434746187" </w:instrText>
      </w:r>
      <w:r>
        <w:rPr>
          <w:spacing w:val="6"/>
          <w:highlight w:val="none"/>
        </w:rPr>
        <w:fldChar w:fldCharType="separate"/>
      </w:r>
      <w:bookmarkStart w:id="192" w:name="_Toc19828365"/>
      <w:r>
        <w:rPr>
          <w:rFonts w:hAnsi="Times New Roman"/>
          <w:spacing w:val="6"/>
          <w:szCs w:val="32"/>
          <w:highlight w:val="none"/>
          <w:lang w:val="zh-CN"/>
        </w:rPr>
        <w:t>（</w:t>
      </w:r>
      <w:r>
        <w:rPr>
          <w:rFonts w:hint="eastAsia" w:hAnsi="Times New Roman"/>
          <w:spacing w:val="6"/>
          <w:szCs w:val="32"/>
          <w:highlight w:val="none"/>
          <w:lang w:val="en-US" w:eastAsia="zh-CN"/>
        </w:rPr>
        <w:t>一</w:t>
      </w:r>
      <w:r>
        <w:rPr>
          <w:rFonts w:hAnsi="Times New Roman"/>
          <w:spacing w:val="6"/>
          <w:szCs w:val="32"/>
          <w:highlight w:val="none"/>
          <w:lang w:val="zh-CN"/>
        </w:rPr>
        <w:t>）</w:t>
      </w:r>
      <w:r>
        <w:rPr>
          <w:rFonts w:hint="eastAsia" w:hAnsi="Times New Roman"/>
          <w:spacing w:val="6"/>
          <w:szCs w:val="32"/>
          <w:highlight w:val="none"/>
          <w:lang w:val="en-US" w:eastAsia="zh-CN"/>
        </w:rPr>
        <w:t>绩效评价综合结论</w:t>
      </w:r>
      <w:bookmarkEnd w:id="192"/>
      <w:r>
        <w:rPr>
          <w:rFonts w:hAnsi="Times New Roman"/>
          <w:spacing w:val="6"/>
          <w:szCs w:val="32"/>
          <w:highlight w:val="none"/>
          <w:lang w:val="zh-CN"/>
        </w:rPr>
        <w:fldChar w:fldCharType="end"/>
      </w:r>
      <w:bookmarkEnd w:id="136"/>
      <w:bookmarkEnd w:id="137"/>
      <w:bookmarkEnd w:id="138"/>
      <w:bookmarkEnd w:id="139"/>
      <w:bookmarkEnd w:id="140"/>
      <w:bookmarkEnd w:id="141"/>
      <w:bookmarkEnd w:id="142"/>
    </w:p>
    <w:p>
      <w:pPr>
        <w:widowControl w:val="0"/>
        <w:spacing w:after="0" w:afterLines="0" w:line="590" w:lineRule="exact"/>
        <w:ind w:firstLine="640" w:firstLineChars="200"/>
        <w:jc w:val="both"/>
        <w:rPr>
          <w:rFonts w:hint="eastAsia" w:ascii="仿宋_GB2312" w:hAnsi="Times New Roman" w:eastAsia="仿宋_GB2312" w:cs="Times New Roman"/>
          <w:spacing w:val="6"/>
          <w:sz w:val="32"/>
          <w:szCs w:val="32"/>
          <w:highlight w:val="none"/>
          <w:lang w:eastAsia="zh-CN"/>
        </w:rPr>
      </w:pPr>
      <w:r>
        <w:rPr>
          <w:rFonts w:hint="eastAsia" w:ascii="仿宋_GB2312" w:hAnsi="仿宋_GB2312" w:eastAsia="仿宋_GB2312" w:cs="仿宋_GB2312"/>
          <w:sz w:val="32"/>
          <w:szCs w:val="32"/>
          <w:lang w:val="en-US" w:eastAsia="zh-CN"/>
        </w:rPr>
        <w:t>云岩区2021年消防</w:t>
      </w:r>
      <w:r>
        <w:rPr>
          <w:rFonts w:hint="eastAsia" w:ascii="仿宋_GB2312" w:hAnsi="仿宋_GB2312" w:eastAsia="仿宋_GB2312" w:cs="仿宋_GB2312"/>
          <w:spacing w:val="6"/>
          <w:sz w:val="32"/>
          <w:szCs w:val="32"/>
          <w:lang w:val="en-US" w:eastAsia="zh-CN"/>
        </w:rPr>
        <w:t>安全隐患排查项目为全区建设178个微型消防站提供部分资金，组织开展森林防火演练和森林防火督查工作，降低森林火灾发生风险，协助社区进行消防安全隐患排查，降低社区火灾风险。但区应急局在实施</w:t>
      </w:r>
      <w:r>
        <w:rPr>
          <w:rFonts w:hint="eastAsia" w:ascii="仿宋_GB2312" w:hAnsi="仿宋_GB2312" w:eastAsia="仿宋_GB2312" w:cs="仿宋_GB2312"/>
          <w:spacing w:val="6"/>
          <w:sz w:val="32"/>
          <w:szCs w:val="32"/>
        </w:rPr>
        <w:t>本项目</w:t>
      </w:r>
      <w:r>
        <w:rPr>
          <w:rFonts w:hint="eastAsia" w:ascii="仿宋_GB2312" w:hAnsi="仿宋_GB2312" w:eastAsia="仿宋_GB2312" w:cs="仿宋_GB2312"/>
          <w:spacing w:val="6"/>
          <w:sz w:val="32"/>
          <w:szCs w:val="32"/>
          <w:lang w:val="en-US" w:eastAsia="zh-CN"/>
        </w:rPr>
        <w:t>的过程中仍</w:t>
      </w:r>
      <w:r>
        <w:rPr>
          <w:rFonts w:hint="eastAsia" w:ascii="仿宋_GB2312" w:hAnsi="仿宋_GB2312" w:eastAsia="仿宋_GB2312" w:cs="仿宋_GB2312"/>
          <w:spacing w:val="6"/>
          <w:sz w:val="32"/>
          <w:szCs w:val="32"/>
        </w:rPr>
        <w:t>存在</w:t>
      </w:r>
      <w:r>
        <w:rPr>
          <w:rFonts w:hint="eastAsia" w:ascii="仿宋_GB2312" w:hAnsi="仿宋_GB2312" w:eastAsia="仿宋_GB2312" w:cs="仿宋_GB2312"/>
          <w:spacing w:val="6"/>
          <w:sz w:val="32"/>
          <w:szCs w:val="32"/>
          <w:lang w:val="en-US" w:eastAsia="zh-CN"/>
        </w:rPr>
        <w:t>一些不足够之处，如：未制定项目预算、未及时完成微型消防站建设工作以及未参与微型消防站验收工作和资产移交相关工作</w:t>
      </w:r>
      <w:r>
        <w:rPr>
          <w:rFonts w:hint="eastAsia" w:ascii="仿宋_GB2312" w:hAnsi="Times New Roman" w:eastAsia="仿宋_GB2312" w:cs="Times New Roman"/>
          <w:spacing w:val="6"/>
          <w:sz w:val="32"/>
          <w:szCs w:val="32"/>
          <w:highlight w:val="none"/>
          <w:lang w:eastAsia="zh-CN"/>
        </w:rPr>
        <w:t>。</w:t>
      </w:r>
    </w:p>
    <w:p>
      <w:pPr>
        <w:widowControl w:val="0"/>
        <w:spacing w:after="0" w:afterLines="0" w:line="590" w:lineRule="exact"/>
        <w:ind w:firstLine="640" w:firstLineChars="200"/>
        <w:jc w:val="both"/>
        <w:rPr>
          <w:rFonts w:hint="eastAsia" w:ascii="仿宋_GB2312" w:hAnsi="仿宋_GB2312" w:eastAsia="仿宋_GB2312" w:cs="仿宋_GB2312"/>
          <w:spacing w:val="6"/>
          <w:sz w:val="32"/>
          <w:szCs w:val="32"/>
          <w:highlight w:val="none"/>
          <w:lang w:val="zh-CN"/>
        </w:rPr>
      </w:pPr>
      <w:r>
        <w:rPr>
          <w:rFonts w:hint="eastAsia" w:ascii="仿宋_GB2312" w:hAnsi="仿宋_GB2312" w:eastAsia="仿宋_GB2312" w:cs="仿宋_GB2312"/>
          <w:sz w:val="32"/>
          <w:szCs w:val="32"/>
        </w:rPr>
        <w:t>经综合评定</w:t>
      </w:r>
      <w:r>
        <w:rPr>
          <w:rFonts w:hint="eastAsia" w:ascii="仿宋_GB2312" w:hAnsi="仿宋_GB2312" w:eastAsia="仿宋_GB2312" w:cs="仿宋_GB2312"/>
          <w:spacing w:val="6"/>
          <w:sz w:val="32"/>
          <w:szCs w:val="32"/>
          <w:lang w:val="zh-CN"/>
        </w:rPr>
        <w:t>，绩效评价得分为：</w:t>
      </w:r>
      <w:r>
        <w:rPr>
          <w:rFonts w:hint="eastAsia" w:ascii="仿宋_GB2312" w:hAnsi="仿宋_GB2312" w:eastAsia="仿宋_GB2312" w:cs="仿宋_GB2312"/>
          <w:spacing w:val="6"/>
          <w:sz w:val="32"/>
          <w:szCs w:val="32"/>
          <w:lang w:val="en-US" w:eastAsia="zh-CN"/>
        </w:rPr>
        <w:t>82.48</w:t>
      </w:r>
      <w:r>
        <w:rPr>
          <w:rFonts w:hint="eastAsia" w:ascii="仿宋_GB2312" w:hAnsi="仿宋_GB2312" w:eastAsia="仿宋_GB2312" w:cs="仿宋_GB2312"/>
          <w:spacing w:val="6"/>
          <w:sz w:val="32"/>
          <w:szCs w:val="32"/>
          <w:highlight w:val="none"/>
          <w:lang w:val="zh-CN"/>
        </w:rPr>
        <w:t>分，评定等级为：</w:t>
      </w:r>
      <w:r>
        <w:rPr>
          <w:rFonts w:hint="eastAsia" w:ascii="仿宋_GB2312" w:hAnsi="仿宋_GB2312" w:eastAsia="仿宋_GB2312" w:cs="仿宋_GB2312"/>
          <w:spacing w:val="6"/>
          <w:sz w:val="32"/>
          <w:szCs w:val="32"/>
          <w:highlight w:val="none"/>
          <w:lang w:val="en-US" w:eastAsia="zh-CN"/>
        </w:rPr>
        <w:t>良</w:t>
      </w:r>
      <w:r>
        <w:rPr>
          <w:rFonts w:hint="eastAsia" w:ascii="仿宋_GB2312" w:hAnsi="仿宋_GB2312" w:eastAsia="仿宋_GB2312" w:cs="仿宋_GB2312"/>
          <w:spacing w:val="6"/>
          <w:sz w:val="32"/>
          <w:szCs w:val="32"/>
          <w:highlight w:val="none"/>
          <w:lang w:val="zh-CN"/>
        </w:rPr>
        <w:t>。评价得分汇总情况详见下表：</w:t>
      </w:r>
    </w:p>
    <w:tbl>
      <w:tblPr>
        <w:tblStyle w:val="16"/>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40"/>
        <w:gridCol w:w="2201"/>
        <w:gridCol w:w="1897"/>
        <w:gridCol w:w="1920"/>
        <w:gridCol w:w="19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676"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序号</w:t>
            </w:r>
          </w:p>
        </w:tc>
        <w:tc>
          <w:tcPr>
            <w:tcW w:w="1199"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一级指标</w:t>
            </w:r>
          </w:p>
        </w:tc>
        <w:tc>
          <w:tcPr>
            <w:tcW w:w="103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总分</w:t>
            </w:r>
          </w:p>
        </w:tc>
        <w:tc>
          <w:tcPr>
            <w:tcW w:w="104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得分</w:t>
            </w:r>
          </w:p>
        </w:tc>
        <w:tc>
          <w:tcPr>
            <w:tcW w:w="104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676"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1199"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决策</w:t>
            </w:r>
          </w:p>
        </w:tc>
        <w:tc>
          <w:tcPr>
            <w:tcW w:w="103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16.00 </w:t>
            </w:r>
          </w:p>
        </w:tc>
        <w:tc>
          <w:tcPr>
            <w:tcW w:w="104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9.40 </w:t>
            </w:r>
          </w:p>
        </w:tc>
        <w:tc>
          <w:tcPr>
            <w:tcW w:w="104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6.60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676"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1199"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过程</w:t>
            </w:r>
          </w:p>
        </w:tc>
        <w:tc>
          <w:tcPr>
            <w:tcW w:w="103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19.00 </w:t>
            </w:r>
          </w:p>
        </w:tc>
        <w:tc>
          <w:tcPr>
            <w:tcW w:w="104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17.47 </w:t>
            </w:r>
          </w:p>
        </w:tc>
        <w:tc>
          <w:tcPr>
            <w:tcW w:w="104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676"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w:t>
            </w:r>
          </w:p>
        </w:tc>
        <w:tc>
          <w:tcPr>
            <w:tcW w:w="1199"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产出</w:t>
            </w:r>
          </w:p>
        </w:tc>
        <w:tc>
          <w:tcPr>
            <w:tcW w:w="103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35.00 </w:t>
            </w:r>
          </w:p>
        </w:tc>
        <w:tc>
          <w:tcPr>
            <w:tcW w:w="104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28"/>
                <w:szCs w:val="28"/>
                <w:u w:val="none"/>
                <w:lang w:val="en-US"/>
              </w:rPr>
            </w:pPr>
            <w:r>
              <w:rPr>
                <w:rFonts w:hint="eastAsia" w:ascii="仿宋_GB2312" w:hAnsi="宋体" w:eastAsia="仿宋_GB2312" w:cs="仿宋_GB2312"/>
                <w:i w:val="0"/>
                <w:iCs w:val="0"/>
                <w:color w:val="000000"/>
                <w:kern w:val="0"/>
                <w:sz w:val="28"/>
                <w:szCs w:val="28"/>
                <w:u w:val="none"/>
                <w:lang w:val="en-US" w:eastAsia="zh-CN" w:bidi="ar"/>
              </w:rPr>
              <w:t>27.00</w:t>
            </w:r>
          </w:p>
        </w:tc>
        <w:tc>
          <w:tcPr>
            <w:tcW w:w="104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28"/>
                <w:szCs w:val="28"/>
                <w:u w:val="none"/>
                <w:lang w:val="en-US"/>
              </w:rPr>
            </w:pPr>
            <w:r>
              <w:rPr>
                <w:rFonts w:hint="eastAsia" w:ascii="仿宋_GB2312" w:hAnsi="宋体" w:eastAsia="仿宋_GB2312" w:cs="仿宋_GB2312"/>
                <w:i w:val="0"/>
                <w:iCs w:val="0"/>
                <w:color w:val="000000"/>
                <w:kern w:val="0"/>
                <w:sz w:val="28"/>
                <w:szCs w:val="28"/>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2" w:hRule="atLeast"/>
        </w:trPr>
        <w:tc>
          <w:tcPr>
            <w:tcW w:w="676"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4</w:t>
            </w:r>
          </w:p>
        </w:tc>
        <w:tc>
          <w:tcPr>
            <w:tcW w:w="1199"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效益</w:t>
            </w:r>
          </w:p>
        </w:tc>
        <w:tc>
          <w:tcPr>
            <w:tcW w:w="103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30.00 </w:t>
            </w:r>
          </w:p>
        </w:tc>
        <w:tc>
          <w:tcPr>
            <w:tcW w:w="104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28.61 </w:t>
            </w:r>
          </w:p>
        </w:tc>
        <w:tc>
          <w:tcPr>
            <w:tcW w:w="104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876"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合  计</w:t>
            </w:r>
          </w:p>
        </w:tc>
        <w:tc>
          <w:tcPr>
            <w:tcW w:w="1034"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100.00 </w:t>
            </w:r>
          </w:p>
        </w:tc>
        <w:tc>
          <w:tcPr>
            <w:tcW w:w="104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82.48 </w:t>
            </w:r>
          </w:p>
        </w:tc>
        <w:tc>
          <w:tcPr>
            <w:tcW w:w="104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17.52 </w:t>
            </w:r>
          </w:p>
        </w:tc>
      </w:tr>
    </w:tbl>
    <w:p>
      <w:pPr>
        <w:pStyle w:val="4"/>
        <w:ind w:firstLine="664" w:firstLineChars="200"/>
        <w:rPr>
          <w:rFonts w:hint="default" w:hAnsi="Times New Roman" w:eastAsia="楷体_GB2312"/>
          <w:spacing w:val="6"/>
          <w:szCs w:val="32"/>
          <w:highlight w:val="none"/>
          <w:lang w:val="en-US" w:eastAsia="zh-CN"/>
        </w:rPr>
      </w:pPr>
      <w:bookmarkStart w:id="193" w:name="_Toc3761"/>
      <w:bookmarkStart w:id="194" w:name="_Toc30164"/>
      <w:bookmarkStart w:id="195" w:name="_Toc24478"/>
      <w:bookmarkStart w:id="196" w:name="_Toc6492"/>
      <w:bookmarkStart w:id="197" w:name="_Toc12667"/>
      <w:bookmarkStart w:id="198" w:name="_Toc18468"/>
      <w:bookmarkStart w:id="199" w:name="_Toc22789"/>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Times New Roman"/>
          <w:spacing w:val="6"/>
          <w:szCs w:val="32"/>
          <w:highlight w:val="none"/>
          <w:lang w:val="zh-CN"/>
        </w:rPr>
        <w:t>（</w:t>
      </w:r>
      <w:r>
        <w:rPr>
          <w:rFonts w:hint="eastAsia" w:hAnsi="Times New Roman"/>
          <w:spacing w:val="6"/>
          <w:szCs w:val="32"/>
          <w:highlight w:val="none"/>
          <w:lang w:val="en-US" w:eastAsia="zh-CN"/>
        </w:rPr>
        <w:t>二</w:t>
      </w:r>
      <w:r>
        <w:rPr>
          <w:rFonts w:hAnsi="Times New Roman"/>
          <w:spacing w:val="6"/>
          <w:szCs w:val="32"/>
          <w:highlight w:val="none"/>
          <w:lang w:val="zh-CN"/>
        </w:rPr>
        <w:t>）</w:t>
      </w:r>
      <w:r>
        <w:rPr>
          <w:rFonts w:hAnsi="Times New Roman"/>
          <w:spacing w:val="6"/>
          <w:szCs w:val="32"/>
          <w:highlight w:val="none"/>
          <w:lang w:val="zh-CN"/>
        </w:rPr>
        <w:fldChar w:fldCharType="end"/>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Pr>
          <w:rFonts w:hint="eastAsia" w:hAnsi="Times New Roman"/>
          <w:spacing w:val="6"/>
          <w:szCs w:val="32"/>
          <w:highlight w:val="none"/>
          <w:lang w:val="en-US" w:eastAsia="zh-CN"/>
        </w:rPr>
        <w:t>绩效目标实行情况</w:t>
      </w:r>
      <w:bookmarkEnd w:id="193"/>
      <w:bookmarkEnd w:id="194"/>
      <w:bookmarkEnd w:id="195"/>
      <w:bookmarkEnd w:id="196"/>
      <w:bookmarkEnd w:id="197"/>
      <w:bookmarkEnd w:id="198"/>
      <w:bookmarkEnd w:id="199"/>
    </w:p>
    <w:p>
      <w:pPr>
        <w:widowControl/>
        <w:spacing w:line="590" w:lineRule="exact"/>
        <w:ind w:firstLine="664" w:firstLineChars="200"/>
        <w:jc w:val="left"/>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结合项目实际情况，与</w:t>
      </w:r>
      <w:r>
        <w:rPr>
          <w:rFonts w:hint="eastAsia" w:ascii="仿宋_GB2312" w:hAnsi="仿宋_GB2312" w:eastAsia="仿宋_GB2312" w:cs="仿宋_GB2312"/>
          <w:spacing w:val="6"/>
          <w:sz w:val="32"/>
          <w:szCs w:val="32"/>
          <w:lang w:val="en-US" w:eastAsia="zh-CN"/>
        </w:rPr>
        <w:t>区应急</w:t>
      </w:r>
      <w:r>
        <w:rPr>
          <w:rFonts w:hint="eastAsia" w:ascii="仿宋_GB2312" w:hAnsi="仿宋_GB2312" w:eastAsia="仿宋_GB2312" w:cs="仿宋_GB2312"/>
          <w:spacing w:val="6"/>
          <w:sz w:val="32"/>
          <w:szCs w:val="32"/>
          <w:lang w:eastAsia="zh-CN"/>
        </w:rPr>
        <w:t>局</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业务处室充分沟通后再次梳理的202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z w:val="32"/>
          <w:szCs w:val="32"/>
          <w:lang w:val="en-US" w:eastAsia="zh-CN"/>
        </w:rPr>
        <w:t>消防</w:t>
      </w:r>
      <w:r>
        <w:rPr>
          <w:rFonts w:hint="eastAsia" w:ascii="仿宋_GB2312" w:hAnsi="仿宋_GB2312" w:eastAsia="仿宋_GB2312" w:cs="仿宋_GB2312"/>
          <w:spacing w:val="6"/>
          <w:sz w:val="32"/>
          <w:szCs w:val="32"/>
          <w:lang w:val="en-US" w:eastAsia="zh-CN"/>
        </w:rPr>
        <w:t>安全隐患排查</w:t>
      </w:r>
      <w:r>
        <w:rPr>
          <w:rFonts w:hint="eastAsia" w:ascii="仿宋_GB2312" w:hAnsi="仿宋_GB2312" w:eastAsia="仿宋_GB2312" w:cs="仿宋_GB2312"/>
          <w:spacing w:val="6"/>
          <w:sz w:val="32"/>
          <w:szCs w:val="32"/>
          <w:lang w:eastAsia="zh-CN"/>
        </w:rPr>
        <w:t>工作</w:t>
      </w:r>
      <w:r>
        <w:rPr>
          <w:rFonts w:hint="eastAsia" w:ascii="仿宋_GB2312" w:hAnsi="仿宋_GB2312" w:eastAsia="仿宋_GB2312" w:cs="仿宋_GB2312"/>
          <w:spacing w:val="6"/>
          <w:sz w:val="32"/>
          <w:szCs w:val="32"/>
        </w:rPr>
        <w:t>资金绩效目标合计</w:t>
      </w:r>
      <w:r>
        <w:rPr>
          <w:rFonts w:hint="eastAsia" w:ascii="仿宋_GB2312" w:hAnsi="仿宋_GB2312" w:eastAsia="仿宋_GB2312" w:cs="仿宋_GB2312"/>
          <w:spacing w:val="6"/>
          <w:sz w:val="32"/>
          <w:szCs w:val="32"/>
          <w:lang w:val="en-US" w:eastAsia="zh-CN"/>
        </w:rPr>
        <w:t>3</w:t>
      </w:r>
      <w:r>
        <w:rPr>
          <w:rFonts w:hint="eastAsia" w:ascii="仿宋_GB2312" w:hAnsi="仿宋_GB2312" w:eastAsia="仿宋_GB2312" w:cs="仿宋_GB2312"/>
          <w:spacing w:val="6"/>
          <w:sz w:val="32"/>
          <w:szCs w:val="32"/>
        </w:rPr>
        <w:t>个，完成</w:t>
      </w:r>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部分完成1个</w:t>
      </w:r>
      <w:r>
        <w:rPr>
          <w:rFonts w:hint="eastAsia" w:ascii="仿宋_GB2312" w:hAnsi="仿宋_GB2312" w:eastAsia="仿宋_GB2312" w:cs="仿宋_GB2312"/>
          <w:spacing w:val="6"/>
          <w:sz w:val="32"/>
          <w:szCs w:val="32"/>
        </w:rPr>
        <w:t>；绩效指标合计</w:t>
      </w:r>
      <w:r>
        <w:rPr>
          <w:rFonts w:hint="eastAsia" w:ascii="仿宋_GB2312" w:hAnsi="仿宋_GB2312" w:eastAsia="仿宋_GB2312" w:cs="仿宋_GB2312"/>
          <w:spacing w:val="6"/>
          <w:sz w:val="32"/>
          <w:szCs w:val="32"/>
          <w:lang w:val="en-US" w:eastAsia="zh-CN"/>
        </w:rPr>
        <w:t>11</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10</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val="en-US" w:eastAsia="zh-CN"/>
        </w:rPr>
        <w:t>，未完成1个</w:t>
      </w:r>
      <w:r>
        <w:rPr>
          <w:rFonts w:hint="eastAsia" w:ascii="仿宋_GB2312" w:hAnsi="仿宋_GB2312" w:eastAsia="仿宋_GB2312" w:cs="仿宋_GB2312"/>
          <w:spacing w:val="6"/>
          <w:sz w:val="32"/>
          <w:szCs w:val="32"/>
        </w:rPr>
        <w:t>。绩效目标及绩效指标完成情况详见下表：</w:t>
      </w:r>
    </w:p>
    <w:p>
      <w:pPr>
        <w:pStyle w:val="2"/>
        <w:rPr>
          <w:rFonts w:hint="eastAsia"/>
        </w:rPr>
      </w:pPr>
    </w:p>
    <w:tbl>
      <w:tblPr>
        <w:tblStyle w:val="16"/>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4"/>
        <w:gridCol w:w="1401"/>
        <w:gridCol w:w="2213"/>
        <w:gridCol w:w="1423"/>
        <w:gridCol w:w="1597"/>
        <w:gridCol w:w="14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254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2021年总体目标</w:t>
            </w:r>
          </w:p>
        </w:tc>
        <w:tc>
          <w:tcPr>
            <w:tcW w:w="245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2021年总体目标完成情况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2546" w:type="pct"/>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目标1：完成微型消防站建设工作。</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目标2：协调调度森林防灭火工作，做好森防物资储备、森防宣传等工作。</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目标3：协助社区进行消防安全隐患排查。</w:t>
            </w:r>
          </w:p>
        </w:tc>
        <w:tc>
          <w:tcPr>
            <w:tcW w:w="2453" w:type="pct"/>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目标1：完成。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目标2：完成。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目标3：部分完成。</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82" w:hRule="atLeast"/>
        </w:trPr>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76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指标值</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完成值</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82" w:hRule="atLeast"/>
        </w:trPr>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产出</w:t>
            </w:r>
          </w:p>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764"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微型消防站建设数量</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=178个</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178</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PrEx>
        <w:trPr>
          <w:trHeight w:val="482"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center"/>
              <w:rPr>
                <w:rFonts w:hint="eastAsia" w:ascii="仿宋_GB2312" w:hAnsi="仿宋_GB2312" w:eastAsia="仿宋_GB2312" w:cs="仿宋_GB2312"/>
                <w:i w:val="0"/>
                <w:iCs w:val="0"/>
                <w:color w:val="000000"/>
                <w:sz w:val="24"/>
                <w:szCs w:val="24"/>
                <w:u w:val="none"/>
              </w:rPr>
            </w:pPr>
          </w:p>
        </w:tc>
        <w:tc>
          <w:tcPr>
            <w:tcW w:w="764"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left"/>
              <w:rPr>
                <w:rFonts w:hint="eastAsia" w:ascii="仿宋_GB2312" w:hAnsi="仿宋_GB2312" w:eastAsia="仿宋_GB2312" w:cs="仿宋_GB2312"/>
                <w:i w:val="0"/>
                <w:iCs w:val="0"/>
                <w:color w:val="000000"/>
                <w:sz w:val="24"/>
                <w:szCs w:val="24"/>
                <w:u w:val="none"/>
              </w:rPr>
            </w:pP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社区消防安全隐患排查覆盖率</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color w:val="000000"/>
                <w:sz w:val="24"/>
                <w:szCs w:val="24"/>
                <w:lang w:val="en-US" w:eastAsia="zh-CN" w:bidi="ar"/>
              </w:rPr>
            </w:pPr>
            <w:r>
              <w:rPr>
                <w:rFonts w:hint="eastAsia" w:ascii="仿宋_GB2312" w:hAnsi="仿宋_GB2312" w:eastAsia="仿宋_GB2312" w:cs="仿宋_GB2312"/>
                <w:color w:val="000000"/>
                <w:sz w:val="24"/>
                <w:szCs w:val="24"/>
                <w:lang w:val="en-US" w:eastAsia="zh-CN" w:bidi="ar"/>
              </w:rPr>
              <w:t>100%</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PrEx>
        <w:trPr>
          <w:trHeight w:val="73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center"/>
              <w:rPr>
                <w:rFonts w:hint="eastAsia" w:ascii="仿宋_GB2312" w:hAnsi="仿宋_GB2312" w:eastAsia="仿宋_GB2312" w:cs="仿宋_GB2312"/>
                <w:i w:val="0"/>
                <w:iCs w:val="0"/>
                <w:color w:val="000000"/>
                <w:sz w:val="24"/>
                <w:szCs w:val="24"/>
                <w:u w:val="none"/>
              </w:rPr>
            </w:pPr>
          </w:p>
        </w:tc>
        <w:tc>
          <w:tcPr>
            <w:tcW w:w="764"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left"/>
              <w:rPr>
                <w:rFonts w:hint="eastAsia" w:ascii="仿宋_GB2312" w:hAnsi="仿宋_GB2312" w:eastAsia="仿宋_GB2312" w:cs="仿宋_GB2312"/>
                <w:i w:val="0"/>
                <w:iCs w:val="0"/>
                <w:color w:val="000000"/>
                <w:sz w:val="24"/>
                <w:szCs w:val="24"/>
                <w:u w:val="none"/>
              </w:rPr>
            </w:pP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完善应急管理局森林防灭火储备物资</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 40人份</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color w:val="000000"/>
                <w:sz w:val="24"/>
                <w:szCs w:val="24"/>
                <w:lang w:val="en-US" w:eastAsia="zh-CN" w:bidi="ar"/>
              </w:rPr>
            </w:pPr>
            <w:r>
              <w:rPr>
                <w:rFonts w:hint="eastAsia" w:ascii="仿宋_GB2312" w:hAnsi="仿宋_GB2312" w:eastAsia="仿宋_GB2312" w:cs="仿宋_GB2312"/>
                <w:color w:val="000000"/>
                <w:sz w:val="24"/>
                <w:szCs w:val="24"/>
                <w:lang w:val="en-US" w:eastAsia="zh-CN" w:bidi="ar"/>
              </w:rPr>
              <w:t>40人份</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PrEx>
        <w:trPr>
          <w:trHeight w:val="73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center"/>
              <w:rPr>
                <w:rFonts w:hint="eastAsia" w:ascii="仿宋_GB2312" w:hAnsi="仿宋_GB2312" w:eastAsia="仿宋_GB2312" w:cs="仿宋_GB2312"/>
                <w:i w:val="0"/>
                <w:iCs w:val="0"/>
                <w:color w:val="000000"/>
                <w:sz w:val="24"/>
                <w:szCs w:val="24"/>
                <w:u w:val="none"/>
              </w:rPr>
            </w:pPr>
          </w:p>
        </w:tc>
        <w:tc>
          <w:tcPr>
            <w:tcW w:w="764"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left"/>
              <w:rPr>
                <w:rFonts w:hint="eastAsia" w:ascii="仿宋_GB2312" w:hAnsi="仿宋_GB2312" w:eastAsia="仿宋_GB2312" w:cs="仿宋_GB2312"/>
                <w:i w:val="0"/>
                <w:iCs w:val="0"/>
                <w:color w:val="000000"/>
                <w:sz w:val="24"/>
                <w:szCs w:val="24"/>
                <w:u w:val="none"/>
              </w:rPr>
            </w:pP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组织开展森林消防安全应急演练次数</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 1次</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color w:val="000000"/>
                <w:sz w:val="24"/>
                <w:szCs w:val="24"/>
                <w:lang w:val="en-US" w:eastAsia="zh-CN" w:bidi="ar"/>
              </w:rPr>
            </w:pPr>
            <w:r>
              <w:rPr>
                <w:rFonts w:hint="eastAsia" w:ascii="仿宋_GB2312" w:hAnsi="仿宋_GB2312" w:eastAsia="仿宋_GB2312" w:cs="仿宋_GB2312"/>
                <w:color w:val="000000"/>
                <w:sz w:val="24"/>
                <w:szCs w:val="24"/>
                <w:lang w:val="en-US" w:eastAsia="zh-CN" w:bidi="ar"/>
              </w:rPr>
              <w:t>1</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82"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center"/>
              <w:rPr>
                <w:rFonts w:hint="eastAsia" w:ascii="仿宋_GB2312" w:hAnsi="仿宋_GB2312" w:eastAsia="仿宋_GB2312" w:cs="仿宋_GB2312"/>
                <w:i w:val="0"/>
                <w:iCs w:val="0"/>
                <w:color w:val="000000"/>
                <w:sz w:val="24"/>
                <w:szCs w:val="24"/>
                <w:u w:val="none"/>
              </w:rPr>
            </w:pPr>
          </w:p>
        </w:tc>
        <w:tc>
          <w:tcPr>
            <w:tcW w:w="764"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left"/>
              <w:rPr>
                <w:rFonts w:hint="eastAsia" w:ascii="仿宋_GB2312" w:hAnsi="仿宋_GB2312" w:eastAsia="仿宋_GB2312" w:cs="仿宋_GB2312"/>
                <w:i w:val="0"/>
                <w:iCs w:val="0"/>
                <w:color w:val="000000"/>
                <w:sz w:val="24"/>
                <w:szCs w:val="24"/>
                <w:u w:val="none"/>
              </w:rPr>
            </w:pP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组织开展森林防灭火工作的督查</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5次</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82"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center"/>
              <w:rPr>
                <w:rFonts w:hint="eastAsia" w:ascii="仿宋_GB2312" w:hAnsi="仿宋_GB2312" w:eastAsia="仿宋_GB2312" w:cs="仿宋_GB2312"/>
                <w:i w:val="0"/>
                <w:iCs w:val="0"/>
                <w:color w:val="000000"/>
                <w:sz w:val="24"/>
                <w:szCs w:val="24"/>
                <w:u w:val="none"/>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购置质量合格率</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u w:val="none"/>
                <w:lang w:val="en-US" w:eastAsia="zh-CN" w:bidi="ar"/>
              </w:rPr>
              <w:t>= 100%</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100%</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80"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center"/>
              <w:rPr>
                <w:rFonts w:hint="eastAsia" w:ascii="仿宋_GB2312" w:hAnsi="仿宋_GB2312" w:eastAsia="仿宋_GB2312" w:cs="仿宋_GB2312"/>
                <w:i w:val="0"/>
                <w:iCs w:val="0"/>
                <w:color w:val="000000"/>
                <w:sz w:val="24"/>
                <w:szCs w:val="24"/>
                <w:u w:val="none"/>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微型消防站及时投入使用</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 xml:space="preserve"> 2021年4月</w:t>
            </w:r>
          </w:p>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23日前</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2021年8月</w:t>
            </w:r>
          </w:p>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17日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82" w:hRule="atLeast"/>
        </w:trPr>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效益</w:t>
            </w:r>
          </w:p>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764"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社会效益</w:t>
            </w:r>
          </w:p>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社区消防安全隐患有效解决率</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100%</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72.30%</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PrEx>
        <w:trPr>
          <w:trHeight w:val="482"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center"/>
              <w:rPr>
                <w:rFonts w:hint="eastAsia" w:ascii="仿宋_GB2312" w:hAnsi="仿宋_GB2312" w:eastAsia="仿宋_GB2312" w:cs="仿宋_GB2312"/>
                <w:i w:val="0"/>
                <w:iCs w:val="0"/>
                <w:color w:val="000000"/>
                <w:sz w:val="24"/>
                <w:szCs w:val="24"/>
                <w:u w:val="none"/>
              </w:rPr>
            </w:pPr>
          </w:p>
        </w:tc>
        <w:tc>
          <w:tcPr>
            <w:tcW w:w="764"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left"/>
              <w:rPr>
                <w:rFonts w:hint="eastAsia" w:ascii="仿宋_GB2312" w:hAnsi="仿宋_GB2312" w:eastAsia="仿宋_GB2312" w:cs="仿宋_GB2312"/>
                <w:i w:val="0"/>
                <w:iCs w:val="0"/>
                <w:color w:val="000000"/>
                <w:sz w:val="24"/>
                <w:szCs w:val="24"/>
                <w:u w:val="none"/>
              </w:rPr>
            </w:pP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居民消防安全知晓率</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90%</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96.75%</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PrEx>
        <w:trPr>
          <w:trHeight w:val="680"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center"/>
              <w:rPr>
                <w:rFonts w:hint="eastAsia" w:ascii="仿宋_GB2312" w:hAnsi="仿宋_GB2312" w:eastAsia="仿宋_GB2312" w:cs="仿宋_GB2312"/>
                <w:i w:val="0"/>
                <w:iCs w:val="0"/>
                <w:color w:val="000000"/>
                <w:sz w:val="24"/>
                <w:szCs w:val="24"/>
                <w:u w:val="none"/>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生态效益</w:t>
            </w:r>
          </w:p>
          <w:p>
            <w:pPr>
              <w:keepNext w:val="0"/>
              <w:keepLines w:val="0"/>
              <w:widowControl/>
              <w:suppressLineNumbers w:val="0"/>
              <w:spacing w:line="240" w:lineRule="exact"/>
              <w:jc w:val="left"/>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指标</w:t>
            </w: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预防森林火灾发生</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未发生</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未发生</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82"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pacing w:line="240" w:lineRule="exact"/>
              <w:jc w:val="center"/>
              <w:rPr>
                <w:rFonts w:hint="eastAsia" w:ascii="仿宋_GB2312" w:hAnsi="仿宋_GB2312" w:eastAsia="仿宋_GB2312" w:cs="仿宋_GB2312"/>
                <w:i w:val="0"/>
                <w:iCs w:val="0"/>
                <w:color w:val="000000"/>
                <w:sz w:val="24"/>
                <w:szCs w:val="24"/>
                <w:u w:val="none"/>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满意度指标</w:t>
            </w:r>
          </w:p>
        </w:tc>
        <w:tc>
          <w:tcPr>
            <w:tcW w:w="1983"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line="24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群众满意度</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90%</w:t>
            </w: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98.12%</w:t>
            </w:r>
          </w:p>
        </w:tc>
      </w:t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tbl>
    <w:p>
      <w:pPr>
        <w:pStyle w:val="3"/>
        <w:keepNext w:val="0"/>
        <w:keepLines w:val="0"/>
        <w:widowControl w:val="0"/>
        <w:spacing w:before="0" w:after="0" w:line="590" w:lineRule="exact"/>
        <w:ind w:firstLine="640" w:firstLineChars="200"/>
        <w:rPr>
          <w:rFonts w:ascii="黑体" w:hAnsi="黑体" w:eastAsia="黑体"/>
          <w:b w:val="0"/>
          <w:sz w:val="32"/>
          <w:szCs w:val="32"/>
        </w:rPr>
      </w:pPr>
      <w:bookmarkStart w:id="200" w:name="_Toc41306289"/>
      <w:bookmarkStart w:id="201" w:name="_Toc10089"/>
      <w:bookmarkStart w:id="202" w:name="_Toc20691"/>
      <w:bookmarkStart w:id="203" w:name="_Toc13636"/>
      <w:bookmarkStart w:id="204" w:name="_Toc8587"/>
      <w:bookmarkStart w:id="205" w:name="_Toc16158"/>
      <w:bookmarkStart w:id="206" w:name="_Toc24205"/>
      <w:bookmarkStart w:id="207" w:name="_Toc17357"/>
      <w:bookmarkStart w:id="208" w:name="_Toc1865"/>
      <w:bookmarkStart w:id="209" w:name="_Toc16013"/>
      <w:bookmarkStart w:id="210" w:name="_Toc20388"/>
      <w:bookmarkStart w:id="211" w:name="_Toc8364"/>
      <w:bookmarkStart w:id="212" w:name="_Toc8131"/>
      <w:bookmarkStart w:id="213" w:name="_Toc31660"/>
      <w:bookmarkStart w:id="214" w:name="_Toc6181"/>
      <w:bookmarkStart w:id="215" w:name="_Toc4420"/>
      <w:bookmarkStart w:id="216" w:name="_Toc31784"/>
      <w:bookmarkStart w:id="217" w:name="_Toc28440"/>
      <w:bookmarkStart w:id="218" w:name="_Toc22862"/>
      <w:bookmarkStart w:id="219" w:name="_Toc4849"/>
      <w:r>
        <w:rPr>
          <w:rFonts w:hint="eastAsia"/>
          <w:b w:val="0"/>
          <w:sz w:val="32"/>
          <w:szCs w:val="32"/>
          <w:lang w:eastAsia="zh-CN"/>
        </w:rPr>
        <w:t>三</w:t>
      </w:r>
      <w:r>
        <w:rPr>
          <w:rFonts w:hint="eastAsia" w:ascii="黑体" w:hAnsi="黑体" w:eastAsia="黑体"/>
          <w:b w:val="0"/>
          <w:sz w:val="32"/>
          <w:szCs w:val="32"/>
        </w:rPr>
        <w:t>、存在问题及</w:t>
      </w:r>
      <w:bookmarkEnd w:id="200"/>
      <w:bookmarkEnd w:id="201"/>
      <w:bookmarkEnd w:id="202"/>
      <w:bookmarkEnd w:id="203"/>
      <w:bookmarkEnd w:id="204"/>
      <w:bookmarkEnd w:id="205"/>
      <w:bookmarkEnd w:id="206"/>
      <w:bookmarkEnd w:id="207"/>
      <w:bookmarkEnd w:id="208"/>
      <w:r>
        <w:rPr>
          <w:rFonts w:hint="eastAsia" w:ascii="黑体" w:hAnsi="黑体" w:eastAsia="黑体"/>
          <w:b w:val="0"/>
          <w:sz w:val="32"/>
          <w:szCs w:val="32"/>
        </w:rPr>
        <w:t>原因分析</w:t>
      </w:r>
      <w:bookmarkEnd w:id="209"/>
      <w:bookmarkEnd w:id="210"/>
      <w:bookmarkEnd w:id="211"/>
      <w:bookmarkEnd w:id="212"/>
      <w:bookmarkEnd w:id="213"/>
      <w:bookmarkEnd w:id="214"/>
      <w:bookmarkEnd w:id="215"/>
      <w:bookmarkEnd w:id="216"/>
      <w:bookmarkEnd w:id="217"/>
      <w:bookmarkEnd w:id="218"/>
      <w:bookmarkEnd w:id="219"/>
    </w:p>
    <w:p>
      <w:pPr>
        <w:keepNext w:val="0"/>
        <w:keepLines w:val="0"/>
        <w:pageBreakBefore w:val="0"/>
        <w:widowControl w:val="0"/>
        <w:kinsoku/>
        <w:wordWrap/>
        <w:overflowPunct/>
        <w:topLinePunct w:val="0"/>
        <w:autoSpaceDE/>
        <w:autoSpaceDN/>
        <w:bidi w:val="0"/>
        <w:adjustRightInd/>
        <w:snapToGrid/>
        <w:spacing w:beforeLines="0" w:line="590" w:lineRule="exact"/>
        <w:ind w:firstLine="640" w:firstLineChars="200"/>
        <w:jc w:val="both"/>
        <w:textAlignment w:val="auto"/>
        <w:outlineLvl w:val="1"/>
        <w:rPr>
          <w:rFonts w:hint="eastAsia" w:ascii="楷体_GB2312" w:hAnsi="楷体_GB2312" w:eastAsia="楷体_GB2312" w:cs="楷体_GB2312"/>
          <w:sz w:val="32"/>
          <w:szCs w:val="32"/>
          <w:lang w:val="en-US" w:eastAsia="zh-CN"/>
        </w:rPr>
      </w:pPr>
      <w:bookmarkStart w:id="220" w:name="_Toc18662"/>
      <w:bookmarkStart w:id="221" w:name="_Toc25056"/>
      <w:bookmarkStart w:id="222" w:name="_Toc21450"/>
      <w:bookmarkStart w:id="223" w:name="_Toc31696"/>
      <w:bookmarkStart w:id="224" w:name="_Toc26882"/>
      <w:bookmarkStart w:id="225" w:name="_Toc9558"/>
      <w:bookmarkStart w:id="226" w:name="_Toc11890"/>
      <w:bookmarkStart w:id="227" w:name="_Toc531300200"/>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制度执行方面</w:t>
      </w:r>
      <w:bookmarkEnd w:id="220"/>
      <w:bookmarkEnd w:id="221"/>
      <w:bookmarkEnd w:id="222"/>
      <w:bookmarkEnd w:id="223"/>
      <w:bookmarkEnd w:id="224"/>
      <w:bookmarkEnd w:id="225"/>
      <w:bookmarkEnd w:id="226"/>
    </w:p>
    <w:p>
      <w:pPr>
        <w:spacing w:line="59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未参与设备验收，设备管理不规范。区应急局未参与微型消防站所需设备验收工作、未将微型消防站所需设备登记入账，微型消防站设备实际已经移交未签订移交清单。根据《云岩区应急管理局资产业务内部控制制度》第五十条购入的固定资产，由固定资产归口管理部门协同政府采购归口管理部门、财会、业务部门组织验收，登记固定资产登记簿和固定资产卡片，财会部门填制记账凭证，记入固定资产总账。根据《关于微型消防站建设等有关事宜专题会议纪要》（云委议字〔2021〕11号）文件要求微型消防站所需设备由区应急局委托区贵阳市云岩区国有投资控股集团有限公司进行采购，区应急局、区消防救援大队负责微型消防站验收工作。经评价，微型消防站所需设备由云岩区国有投资控股集团有限公司下属贵阳云岩城市消防救援有限公司组织采购，验收工作由贵阳云岩城市消防救援有限公司和区消防救援大队共同验收，区应急局未参与验收，同时未将采购设备登记入账。区消防救援大队实际在使用微型消防站设备设施，未与区应急局签订资产移交清单。</w:t>
      </w:r>
    </w:p>
    <w:p>
      <w:pPr>
        <w:widowControl w:val="0"/>
        <w:adjustRightInd/>
        <w:spacing w:line="590" w:lineRule="exact"/>
        <w:ind w:firstLine="640" w:firstLineChars="200"/>
        <w:jc w:val="both"/>
        <w:outlineLvl w:val="9"/>
        <w:rPr>
          <w:rFonts w:hint="eastAsia" w:ascii="仿宋_GB2312" w:hAnsi="仿宋_GB2312" w:eastAsia="仿宋_GB2312" w:cs="仿宋_GB2312"/>
          <w:sz w:val="32"/>
          <w:szCs w:val="32"/>
          <w:lang w:val="en-US" w:eastAsia="zh-CN"/>
        </w:rPr>
      </w:pPr>
      <w:bookmarkStart w:id="228" w:name="_Toc24991"/>
      <w:r>
        <w:rPr>
          <w:rFonts w:hint="eastAsia" w:ascii="仿宋_GB2312" w:hAnsi="仿宋_GB2312" w:eastAsia="仿宋_GB2312" w:cs="仿宋_GB2312"/>
          <w:sz w:val="32"/>
          <w:szCs w:val="32"/>
          <w:lang w:val="en-US" w:eastAsia="zh-CN"/>
        </w:rPr>
        <w:t>主要原因系区应急局、云岩区国有投资控股集团有限公司及区消防救援大队三方沟通力度不够，没有协调好对微型消防站设备设施的采购及验收工作。</w:t>
      </w:r>
      <w:bookmarkEnd w:id="228"/>
      <w:bookmarkStart w:id="229" w:name="_Toc22815"/>
    </w:p>
    <w:p>
      <w:pPr>
        <w:widowControl w:val="0"/>
        <w:adjustRightInd/>
        <w:spacing w:line="590" w:lineRule="exact"/>
        <w:ind w:firstLine="640" w:firstLineChars="200"/>
        <w:jc w:val="both"/>
        <w:outlineLvl w:val="1"/>
        <w:rPr>
          <w:rFonts w:ascii="仿宋_GB2312" w:hAnsi="仿宋_GB2312" w:eastAsia="仿宋_GB2312" w:cs="仿宋_GB2312"/>
          <w:bCs/>
          <w:spacing w:val="6"/>
          <w:sz w:val="32"/>
          <w:szCs w:val="32"/>
        </w:rPr>
      </w:pPr>
      <w:bookmarkStart w:id="230" w:name="_Toc11975"/>
      <w:bookmarkStart w:id="231" w:name="_Toc25142"/>
      <w:bookmarkStart w:id="232" w:name="_Toc17594"/>
      <w:bookmarkStart w:id="233" w:name="_Toc11678"/>
      <w:bookmarkStart w:id="234" w:name="_Toc4779"/>
      <w:bookmarkStart w:id="235" w:name="_Toc30749"/>
      <w:r>
        <w:rPr>
          <w:rFonts w:hint="eastAsia" w:ascii="楷体_GB2312" w:hAnsi="楷体_GB2312" w:eastAsia="楷体_GB2312" w:cs="楷体_GB2312"/>
          <w:sz w:val="32"/>
          <w:szCs w:val="32"/>
          <w:lang w:val="zh-CN"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val="zh-CN" w:eastAsia="zh-CN"/>
        </w:rPr>
        <w:t>）</w:t>
      </w:r>
      <w:r>
        <w:rPr>
          <w:rFonts w:hint="eastAsia" w:ascii="楷体_GB2312" w:hAnsi="楷体_GB2312" w:eastAsia="楷体_GB2312" w:cs="楷体_GB2312"/>
          <w:sz w:val="32"/>
          <w:szCs w:val="32"/>
          <w:lang w:val="en-US" w:eastAsia="zh-CN"/>
        </w:rPr>
        <w:t>资金管理</w:t>
      </w:r>
      <w:r>
        <w:rPr>
          <w:rFonts w:hint="eastAsia" w:ascii="楷体_GB2312" w:hAnsi="楷体_GB2312" w:eastAsia="楷体_GB2312" w:cs="楷体_GB2312"/>
          <w:sz w:val="32"/>
          <w:szCs w:val="32"/>
          <w:lang w:val="zh-CN"/>
        </w:rPr>
        <w:t>方面</w:t>
      </w:r>
      <w:bookmarkEnd w:id="229"/>
      <w:bookmarkEnd w:id="230"/>
      <w:bookmarkEnd w:id="231"/>
      <w:bookmarkEnd w:id="232"/>
      <w:bookmarkEnd w:id="233"/>
      <w:bookmarkEnd w:id="234"/>
      <w:bookmarkEnd w:id="235"/>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区应急局未编制项目预算。</w:t>
      </w:r>
    </w:p>
    <w:p>
      <w:pPr>
        <w:pStyle w:val="2"/>
        <w:rPr>
          <w:rFonts w:hint="default"/>
          <w:lang w:val="en-US" w:eastAsia="zh-CN"/>
        </w:rPr>
      </w:pPr>
      <w:r>
        <w:rPr>
          <w:rFonts w:hint="eastAsia" w:ascii="仿宋_GB2312" w:hAnsi="仿宋_GB2312" w:eastAsia="仿宋_GB2312" w:cs="仿宋_GB2312"/>
          <w:bCs/>
          <w:spacing w:val="6"/>
          <w:sz w:val="32"/>
          <w:szCs w:val="32"/>
          <w:highlight w:val="none"/>
          <w:lang w:val="en-US" w:eastAsia="zh-CN"/>
        </w:rPr>
        <w:t>主要原因</w:t>
      </w:r>
      <w:r>
        <w:rPr>
          <w:rFonts w:hint="eastAsia" w:ascii="仿宋_GB2312" w:hAnsi="仿宋_GB2312" w:eastAsia="仿宋_GB2312" w:cs="仿宋_GB2312"/>
          <w:spacing w:val="6"/>
          <w:sz w:val="32"/>
          <w:szCs w:val="32"/>
          <w:highlight w:val="none"/>
          <w:lang w:val="en-US" w:eastAsia="zh-CN"/>
        </w:rPr>
        <w:t>系</w:t>
      </w:r>
      <w:r>
        <w:rPr>
          <w:rFonts w:hint="eastAsia" w:ascii="仿宋_GB2312" w:hAnsi="仿宋_GB2312" w:eastAsia="仿宋_GB2312" w:cs="仿宋_GB2312"/>
          <w:bCs/>
          <w:spacing w:val="6"/>
          <w:sz w:val="32"/>
          <w:szCs w:val="32"/>
          <w:highlight w:val="none"/>
          <w:lang w:val="en-US" w:eastAsia="zh-CN"/>
        </w:rPr>
        <w:t>项目为云岩区政府年中调整项目，对调整项目预算不重视。</w:t>
      </w:r>
    </w:p>
    <w:p>
      <w:pPr>
        <w:widowControl w:val="0"/>
        <w:adjustRightInd w:val="0"/>
        <w:spacing w:line="590" w:lineRule="exact"/>
        <w:ind w:firstLine="640" w:firstLineChars="200"/>
        <w:jc w:val="both"/>
        <w:outlineLvl w:val="1"/>
        <w:rPr>
          <w:rFonts w:ascii="仿宋_GB2312" w:hAnsi="仿宋_GB2312" w:eastAsia="仿宋_GB2312" w:cs="仿宋_GB2312"/>
          <w:bCs/>
          <w:spacing w:val="6"/>
          <w:sz w:val="32"/>
          <w:szCs w:val="32"/>
        </w:rPr>
      </w:pPr>
      <w:bookmarkStart w:id="236" w:name="_Toc30289"/>
      <w:bookmarkStart w:id="237" w:name="_Toc12786"/>
      <w:bookmarkStart w:id="238" w:name="_Toc25468"/>
      <w:bookmarkStart w:id="239" w:name="_Toc1796"/>
      <w:bookmarkStart w:id="240" w:name="_Toc30944"/>
      <w:bookmarkStart w:id="241" w:name="_Toc1398"/>
      <w:bookmarkStart w:id="242" w:name="_Toc18369"/>
      <w:r>
        <w:rPr>
          <w:rFonts w:hint="eastAsia" w:ascii="楷体_GB2312" w:hAnsi="楷体_GB2312" w:eastAsia="楷体_GB2312" w:cs="楷体_GB2312"/>
          <w:sz w:val="32"/>
          <w:szCs w:val="32"/>
          <w:lang w:val="zh-CN"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val="zh-CN" w:eastAsia="zh-CN"/>
        </w:rPr>
        <w:t>）</w:t>
      </w:r>
      <w:r>
        <w:rPr>
          <w:rFonts w:hint="eastAsia" w:ascii="楷体_GB2312" w:hAnsi="楷体_GB2312" w:eastAsia="楷体_GB2312" w:cs="楷体_GB2312"/>
          <w:sz w:val="32"/>
          <w:szCs w:val="32"/>
          <w:lang w:val="zh-CN"/>
        </w:rPr>
        <w:t>项目管理方面</w:t>
      </w:r>
      <w:bookmarkEnd w:id="236"/>
      <w:bookmarkEnd w:id="237"/>
      <w:bookmarkEnd w:id="238"/>
      <w:bookmarkEnd w:id="239"/>
      <w:bookmarkEnd w:id="240"/>
      <w:bookmarkEnd w:id="241"/>
      <w:bookmarkEnd w:id="242"/>
    </w:p>
    <w:p>
      <w:pPr>
        <w:widowControl w:val="0"/>
        <w:spacing w:line="590" w:lineRule="exact"/>
        <w:ind w:firstLine="640" w:firstLineChars="200"/>
        <w:jc w:val="both"/>
        <w:rPr>
          <w:rFonts w:hint="eastAsia" w:ascii="仿宋_GB2312" w:hAnsi="仿宋_GB2312" w:eastAsia="仿宋_GB2312" w:cs="仿宋_GB2312"/>
          <w:color w:val="000000" w:themeColor="text1"/>
          <w:spacing w:val="6"/>
          <w:sz w:val="32"/>
          <w:szCs w:val="32"/>
          <w:highlight w:val="none"/>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微型消防站</w:t>
      </w:r>
      <w:r>
        <w:rPr>
          <w:rFonts w:hint="eastAsia" w:ascii="Times New Roman" w:hAnsi="Times New Roman" w:eastAsia="仿宋_GB2312" w:cs="Times New Roman"/>
          <w:bCs/>
          <w:spacing w:val="6"/>
          <w:sz w:val="32"/>
          <w:szCs w:val="32"/>
          <w:lang w:val="en-US" w:eastAsia="zh-CN"/>
        </w:rPr>
        <w:t>未按规定时间投入使用。根据</w:t>
      </w:r>
      <w:r>
        <w:rPr>
          <w:rFonts w:hint="eastAsia" w:ascii="仿宋_GB2312" w:hAnsi="仿宋_GB2312" w:eastAsia="仿宋_GB2312" w:cs="仿宋_GB2312"/>
          <w:bCs/>
          <w:spacing w:val="6"/>
          <w:sz w:val="32"/>
          <w:szCs w:val="32"/>
          <w:lang w:val="en-US" w:eastAsia="zh-CN"/>
        </w:rPr>
        <w:t>《关于微型消防站建设等有关事宜专题会议纪要》（云委议字</w:t>
      </w:r>
      <w:r>
        <w:rPr>
          <w:rFonts w:hint="eastAsia" w:ascii="仿宋_GB2312" w:hAnsi="仿宋_GB2312" w:eastAsia="仿宋_GB2312" w:cs="仿宋_GB2312"/>
          <w:sz w:val="32"/>
          <w:szCs w:val="32"/>
          <w:lang w:val="en-US" w:eastAsia="zh-CN"/>
        </w:rPr>
        <w:t>〔2021〕11号）要求，所有微型消防站要求2021年4月23日前投入使用。</w:t>
      </w:r>
      <w:r>
        <w:rPr>
          <w:rFonts w:hint="eastAsia" w:ascii="Times New Roman" w:hAnsi="Times New Roman" w:eastAsia="仿宋_GB2312" w:cs="Times New Roman"/>
          <w:color w:val="000000" w:themeColor="text1"/>
          <w:spacing w:val="6"/>
          <w:sz w:val="32"/>
          <w:szCs w:val="32"/>
          <w:highlight w:val="none"/>
          <w:lang w:val="en-US" w:eastAsia="zh-CN"/>
          <w14:textFill>
            <w14:solidFill>
              <w14:schemeClr w14:val="tx1"/>
            </w14:solidFill>
          </w14:textFill>
        </w:rPr>
        <w:t>根据</w:t>
      </w:r>
      <w:r>
        <w:rPr>
          <w:rFonts w:hint="eastAsia" w:ascii="仿宋_GB2312" w:hAnsi="仿宋_GB2312" w:eastAsia="仿宋_GB2312" w:cs="仿宋_GB2312"/>
          <w:sz w:val="32"/>
          <w:szCs w:val="32"/>
          <w:lang w:val="en-US" w:eastAsia="zh-CN"/>
        </w:rPr>
        <w:t>贵阳云岩城市消防救援有限公司</w:t>
      </w:r>
      <w:r>
        <w:rPr>
          <w:rFonts w:hint="eastAsia" w:ascii="Times New Roman" w:hAnsi="Times New Roman" w:eastAsia="仿宋_GB2312" w:cs="Times New Roman"/>
          <w:color w:val="000000" w:themeColor="text1"/>
          <w:spacing w:val="6"/>
          <w:sz w:val="32"/>
          <w:szCs w:val="32"/>
          <w:highlight w:val="none"/>
          <w:lang w:val="en-US" w:eastAsia="zh-CN"/>
          <w14:textFill>
            <w14:solidFill>
              <w14:schemeClr w14:val="tx1"/>
            </w14:solidFill>
          </w14:textFill>
        </w:rPr>
        <w:t>签收的《消防大队验收情况说明》验收设备设施</w:t>
      </w:r>
      <w:r>
        <w:rPr>
          <w:rFonts w:hint="eastAsia" w:ascii="仿宋_GB2312" w:hAnsi="仿宋_GB2312" w:eastAsia="仿宋_GB2312" w:cs="仿宋_GB2312"/>
          <w:color w:val="000000" w:themeColor="text1"/>
          <w:spacing w:val="6"/>
          <w:sz w:val="32"/>
          <w:szCs w:val="32"/>
          <w:highlight w:val="none"/>
          <w:lang w:val="en-US" w:eastAsia="zh-CN"/>
          <w14:textFill>
            <w14:solidFill>
              <w14:schemeClr w14:val="tx1"/>
            </w14:solidFill>
          </w14:textFill>
        </w:rPr>
        <w:t>时间在2021年8月17日，超出文件要求的日期。</w:t>
      </w:r>
    </w:p>
    <w:p>
      <w:pPr>
        <w:pStyle w:val="2"/>
        <w:rPr>
          <w:rFonts w:hint="default"/>
          <w:lang w:val="en-US" w:eastAsia="zh-CN"/>
        </w:rPr>
      </w:pPr>
      <w:r>
        <w:rPr>
          <w:rFonts w:hint="eastAsia" w:ascii="仿宋_GB2312" w:hAnsi="仿宋_GB2312" w:eastAsia="仿宋_GB2312" w:cs="仿宋_GB2312"/>
          <w:spacing w:val="6"/>
          <w:sz w:val="32"/>
          <w:szCs w:val="32"/>
          <w:highlight w:val="none"/>
          <w:lang w:val="en-US" w:eastAsia="zh-CN"/>
        </w:rPr>
        <w:t>主要原因系</w:t>
      </w:r>
      <w:r>
        <w:rPr>
          <w:rFonts w:hint="eastAsia" w:ascii="仿宋_GB2312" w:hAnsi="仿宋_GB2312" w:eastAsia="仿宋_GB2312" w:cs="仿宋_GB2312"/>
          <w:bCs/>
          <w:spacing w:val="6"/>
          <w:sz w:val="32"/>
          <w:szCs w:val="32"/>
          <w:highlight w:val="none"/>
          <w:lang w:val="en-US" w:eastAsia="zh-CN"/>
        </w:rPr>
        <w:t>项目是云岩区政府年中调整项目，对调整项目在管理方面不够重视，不能严格按照时间要求完成工作任务。</w:t>
      </w:r>
    </w:p>
    <w:p>
      <w:pPr>
        <w:widowControl w:val="0"/>
        <w:adjustRightInd w:val="0"/>
        <w:spacing w:beforeLines="0" w:line="590" w:lineRule="exact"/>
        <w:ind w:firstLine="640" w:firstLineChars="200"/>
        <w:jc w:val="both"/>
        <w:outlineLvl w:val="1"/>
        <w:rPr>
          <w:rFonts w:ascii="仿宋_GB2312" w:hAnsi="仿宋_GB2312" w:eastAsia="仿宋_GB2312" w:cs="仿宋_GB2312"/>
          <w:bCs/>
          <w:spacing w:val="6"/>
          <w:sz w:val="32"/>
          <w:szCs w:val="32"/>
        </w:rPr>
      </w:pPr>
      <w:bookmarkStart w:id="243" w:name="_Toc13536"/>
      <w:bookmarkStart w:id="244" w:name="_Toc24594"/>
      <w:bookmarkStart w:id="245" w:name="_Toc223"/>
      <w:bookmarkStart w:id="246" w:name="_Toc30598"/>
      <w:bookmarkStart w:id="247" w:name="_Toc17636"/>
      <w:bookmarkStart w:id="248" w:name="_Toc14951"/>
      <w:bookmarkStart w:id="249" w:name="_Toc3928"/>
      <w:r>
        <w:rPr>
          <w:rFonts w:hint="eastAsia" w:ascii="楷体_GB2312" w:hAnsi="楷体_GB2312" w:eastAsia="楷体_GB2312" w:cs="楷体_GB2312"/>
          <w:sz w:val="32"/>
          <w:szCs w:val="32"/>
          <w:lang w:val="en-US" w:eastAsia="zh-CN"/>
        </w:rPr>
        <w:t>（四）绩效管理</w:t>
      </w:r>
      <w:r>
        <w:rPr>
          <w:rFonts w:hint="eastAsia" w:ascii="楷体_GB2312" w:hAnsi="楷体_GB2312" w:eastAsia="楷体_GB2312" w:cs="楷体_GB2312"/>
          <w:sz w:val="32"/>
          <w:szCs w:val="32"/>
          <w:lang w:val="zh-CN" w:eastAsia="zh-CN"/>
        </w:rPr>
        <w:t>方面</w:t>
      </w:r>
      <w:bookmarkEnd w:id="243"/>
      <w:bookmarkEnd w:id="244"/>
      <w:bookmarkEnd w:id="245"/>
      <w:bookmarkEnd w:id="246"/>
      <w:bookmarkEnd w:id="247"/>
      <w:bookmarkEnd w:id="248"/>
      <w:bookmarkEnd w:id="249"/>
    </w:p>
    <w:p>
      <w:pPr>
        <w:widowControl w:val="0"/>
        <w:adjustRightInd w:val="0"/>
        <w:spacing w:line="590" w:lineRule="exact"/>
        <w:ind w:firstLine="664" w:firstLineChars="200"/>
        <w:jc w:val="both"/>
        <w:outlineLvl w:val="9"/>
        <w:rPr>
          <w:rFonts w:hint="default"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zh-CN" w:eastAsia="zh-CN"/>
        </w:rPr>
        <w:t>一是</w:t>
      </w:r>
      <w:r>
        <w:rPr>
          <w:rFonts w:hint="eastAsia" w:ascii="仿宋_GB2312" w:hAnsi="仿宋_GB2312" w:eastAsia="仿宋_GB2312" w:cs="仿宋_GB2312"/>
          <w:spacing w:val="6"/>
          <w:sz w:val="32"/>
          <w:szCs w:val="32"/>
          <w:lang w:val="en-US" w:eastAsia="zh-CN"/>
        </w:rPr>
        <w:t>绩效目标不完善，如</w:t>
      </w:r>
      <w:r>
        <w:rPr>
          <w:rFonts w:hint="eastAsia" w:ascii="仿宋_GB2312" w:hAnsi="仿宋_GB2312" w:eastAsia="仿宋_GB2312" w:cs="仿宋_GB2312"/>
          <w:bCs/>
          <w:spacing w:val="6"/>
          <w:sz w:val="32"/>
          <w:szCs w:val="32"/>
          <w:highlight w:val="none"/>
          <w:lang w:val="zh-CN" w:eastAsia="zh-CN"/>
        </w:rPr>
        <w:t>项目</w:t>
      </w:r>
      <w:r>
        <w:rPr>
          <w:rFonts w:hint="eastAsia" w:ascii="仿宋_GB2312" w:hAnsi="仿宋_GB2312" w:eastAsia="仿宋_GB2312" w:cs="仿宋_GB2312"/>
          <w:bCs/>
          <w:spacing w:val="6"/>
          <w:sz w:val="32"/>
          <w:szCs w:val="32"/>
          <w:highlight w:val="none"/>
          <w:lang w:val="en-US" w:eastAsia="zh-CN"/>
        </w:rPr>
        <w:t>未对微型消防站、社区消防隐患排查设置相关绩效目标，绩效目标与实际资金支付内容不匹配</w:t>
      </w:r>
      <w:r>
        <w:rPr>
          <w:rFonts w:hint="eastAsia" w:ascii="仿宋_GB2312" w:hAnsi="仿宋_GB2312" w:eastAsia="仿宋_GB2312" w:cs="仿宋_GB2312"/>
          <w:bCs/>
          <w:spacing w:val="6"/>
          <w:sz w:val="32"/>
          <w:szCs w:val="32"/>
          <w:highlight w:val="none"/>
          <w:lang w:val="zh-CN" w:eastAsia="zh-CN"/>
        </w:rPr>
        <w:t>；二是未设置清晰、可衡量的指标值，如社会效益指标中“</w:t>
      </w:r>
      <w:r>
        <w:rPr>
          <w:rFonts w:hint="eastAsia" w:ascii="仿宋_GB2312" w:hAnsi="仿宋_GB2312" w:eastAsia="仿宋_GB2312" w:cs="仿宋_GB2312"/>
          <w:bCs/>
          <w:spacing w:val="6"/>
          <w:sz w:val="32"/>
          <w:szCs w:val="32"/>
          <w:highlight w:val="none"/>
          <w:lang w:val="en-US" w:eastAsia="zh-CN"/>
        </w:rPr>
        <w:t>保障消防安全</w:t>
      </w:r>
      <w:r>
        <w:rPr>
          <w:rFonts w:hint="eastAsia" w:ascii="仿宋_GB2312" w:hAnsi="仿宋_GB2312" w:eastAsia="仿宋_GB2312" w:cs="仿宋_GB2312"/>
          <w:bCs/>
          <w:spacing w:val="6"/>
          <w:sz w:val="32"/>
          <w:szCs w:val="32"/>
          <w:highlight w:val="none"/>
          <w:lang w:val="zh-CN" w:eastAsia="zh-CN"/>
        </w:rPr>
        <w:t>”，可持续影响指标中“</w:t>
      </w:r>
      <w:r>
        <w:rPr>
          <w:rFonts w:hint="eastAsia" w:ascii="仿宋_GB2312" w:hAnsi="仿宋_GB2312" w:eastAsia="仿宋_GB2312" w:cs="仿宋_GB2312"/>
          <w:bCs/>
          <w:spacing w:val="6"/>
          <w:sz w:val="32"/>
          <w:szCs w:val="32"/>
          <w:highlight w:val="none"/>
          <w:lang w:val="en-US" w:eastAsia="zh-CN"/>
        </w:rPr>
        <w:t>消防安全能力提升</w:t>
      </w:r>
      <w:r>
        <w:rPr>
          <w:rFonts w:hint="eastAsia" w:ascii="仿宋_GB2312" w:hAnsi="仿宋_GB2312" w:eastAsia="仿宋_GB2312" w:cs="仿宋_GB2312"/>
          <w:bCs/>
          <w:spacing w:val="6"/>
          <w:sz w:val="32"/>
          <w:szCs w:val="32"/>
          <w:highlight w:val="none"/>
          <w:lang w:val="zh-CN" w:eastAsia="zh-CN"/>
        </w:rPr>
        <w:t>”</w:t>
      </w:r>
      <w:r>
        <w:rPr>
          <w:rFonts w:hint="eastAsia" w:ascii="仿宋_GB2312" w:hAnsi="仿宋_GB2312" w:eastAsia="仿宋_GB2312" w:cs="仿宋_GB2312"/>
          <w:bCs/>
          <w:spacing w:val="6"/>
          <w:sz w:val="32"/>
          <w:szCs w:val="32"/>
          <w:highlight w:val="none"/>
          <w:lang w:val="en-US" w:eastAsia="zh-CN"/>
        </w:rPr>
        <w:t>不具有可衡量性；三是设置的绩效指标与项目管理无关，如数量指标中“完善避难场所设立”和质量指标中“避难场所设立合格率”。</w:t>
      </w:r>
    </w:p>
    <w:p>
      <w:pPr>
        <w:widowControl w:val="0"/>
        <w:adjustRightInd w:val="0"/>
        <w:spacing w:line="590" w:lineRule="exact"/>
        <w:ind w:firstLine="664" w:firstLineChars="200"/>
        <w:jc w:val="both"/>
        <w:outlineLvl w:val="9"/>
        <w:rPr>
          <w:rFonts w:hint="eastAsia" w:ascii="黑体" w:hAnsi="黑体" w:eastAsia="黑体" w:cs="黑体"/>
          <w:spacing w:val="6"/>
          <w:sz w:val="32"/>
          <w:szCs w:val="32"/>
          <w:lang w:val="en-US" w:eastAsia="zh-CN"/>
        </w:rPr>
      </w:pPr>
      <w:r>
        <w:rPr>
          <w:rFonts w:hint="default" w:ascii="仿宋_GB2312" w:hAnsi="仿宋_GB2312" w:eastAsia="仿宋_GB2312" w:cs="仿宋_GB2312"/>
          <w:bCs/>
          <w:spacing w:val="6"/>
          <w:sz w:val="32"/>
          <w:szCs w:val="32"/>
          <w:highlight w:val="none"/>
          <w:lang w:val="en-US" w:eastAsia="zh-CN"/>
        </w:rPr>
        <w:t>主要原因</w:t>
      </w:r>
      <w:r>
        <w:rPr>
          <w:rFonts w:hint="eastAsia" w:ascii="仿宋_GB2312" w:hAnsi="仿宋_GB2312" w:eastAsia="仿宋_GB2312" w:cs="仿宋_GB2312"/>
          <w:bCs/>
          <w:spacing w:val="6"/>
          <w:sz w:val="32"/>
          <w:szCs w:val="32"/>
          <w:highlight w:val="none"/>
          <w:lang w:val="en-US" w:eastAsia="zh-CN"/>
        </w:rPr>
        <w:t>系对《中共中央 国务院关于全面实施预算绩效管理的意见》（中发〔2018〕34号）和《省财政厅关于批复2018年度省级主管部门项目支出绩效目标的通知》（黔财绩〔2018〕1号）等文件学习不够深入，政策落实力度不够，对预算绩效管理政策制度及财政资金支出绩效指标体系研究不够深入、全面。</w:t>
      </w:r>
    </w:p>
    <w:p>
      <w:pPr>
        <w:widowControl w:val="0"/>
        <w:spacing w:beforeLines="0" w:line="590" w:lineRule="exact"/>
        <w:ind w:firstLine="640" w:firstLineChars="200"/>
        <w:jc w:val="both"/>
        <w:outlineLvl w:val="0"/>
        <w:rPr>
          <w:rFonts w:hint="eastAsia" w:ascii="黑体" w:hAnsi="黑体" w:eastAsia="黑体" w:cs="黑体"/>
          <w:spacing w:val="6"/>
          <w:sz w:val="32"/>
          <w:szCs w:val="32"/>
          <w:lang w:val="zh-CN"/>
        </w:rPr>
      </w:pPr>
      <w:bookmarkStart w:id="250" w:name="_Toc14926"/>
      <w:bookmarkStart w:id="251" w:name="_Toc20385"/>
      <w:bookmarkStart w:id="252" w:name="_Toc32484"/>
      <w:bookmarkStart w:id="253" w:name="_Toc8981"/>
      <w:bookmarkStart w:id="254" w:name="_Toc17988"/>
      <w:bookmarkStart w:id="255" w:name="_Toc41306291"/>
      <w:bookmarkStart w:id="256" w:name="_Toc22091"/>
      <w:bookmarkStart w:id="257" w:name="_Toc5971"/>
      <w:bookmarkStart w:id="258" w:name="_Toc15800"/>
      <w:bookmarkStart w:id="259" w:name="_Toc2626"/>
      <w:bookmarkStart w:id="260" w:name="_Toc11161"/>
      <w:bookmarkStart w:id="261" w:name="_Toc12627"/>
      <w:bookmarkStart w:id="262" w:name="_Toc11877"/>
      <w:bookmarkStart w:id="263" w:name="_Toc1253"/>
      <w:bookmarkStart w:id="264" w:name="_Toc27964"/>
      <w:bookmarkStart w:id="265" w:name="_Toc30801"/>
      <w:bookmarkStart w:id="266" w:name="_Toc18641"/>
      <w:bookmarkStart w:id="267" w:name="_Toc8123"/>
      <w:r>
        <w:rPr>
          <w:rStyle w:val="25"/>
          <w:rFonts w:hint="eastAsia" w:eastAsia="黑体"/>
          <w:lang w:eastAsia="zh-CN"/>
        </w:rPr>
        <w:t>四</w:t>
      </w:r>
      <w:r>
        <w:rPr>
          <w:rStyle w:val="25"/>
        </w:rPr>
        <w:t>、针对问题提出的建议</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pPr>
        <w:widowControl w:val="0"/>
        <w:spacing w:beforeLines="0" w:line="590" w:lineRule="exact"/>
        <w:ind w:firstLine="664" w:firstLineChars="200"/>
        <w:jc w:val="both"/>
        <w:outlineLvl w:val="1"/>
        <w:rPr>
          <w:rFonts w:hint="eastAsia" w:ascii="仿宋_GB2312" w:hAnsi="仿宋_GB2312" w:eastAsia="仿宋_GB2312" w:cs="仿宋_GB2312"/>
          <w:spacing w:val="6"/>
          <w:sz w:val="32"/>
          <w:szCs w:val="32"/>
        </w:rPr>
      </w:pPr>
      <w:bookmarkStart w:id="268" w:name="_Toc31149"/>
      <w:bookmarkStart w:id="269" w:name="_Toc5564"/>
      <w:bookmarkStart w:id="270" w:name="_Toc24937"/>
      <w:bookmarkStart w:id="271" w:name="_Toc19898"/>
      <w:bookmarkStart w:id="272" w:name="_Toc31132"/>
      <w:bookmarkStart w:id="273" w:name="_Toc10449"/>
      <w:bookmarkStart w:id="274" w:name="_Toc22797"/>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lang w:val="en-US" w:eastAsia="zh-CN"/>
        </w:rPr>
        <w:t>一</w:t>
      </w:r>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bCs/>
          <w:spacing w:val="6"/>
          <w:sz w:val="32"/>
          <w:szCs w:val="32"/>
        </w:rPr>
        <w:t>制度</w:t>
      </w:r>
      <w:r>
        <w:rPr>
          <w:rFonts w:hint="eastAsia" w:ascii="楷体_GB2312" w:hAnsi="楷体_GB2312" w:eastAsia="楷体_GB2312" w:cs="楷体_GB2312"/>
          <w:bCs/>
          <w:spacing w:val="6"/>
          <w:sz w:val="32"/>
          <w:szCs w:val="32"/>
          <w:lang w:val="en-US" w:eastAsia="zh-CN"/>
        </w:rPr>
        <w:t>执行</w:t>
      </w:r>
      <w:r>
        <w:rPr>
          <w:rFonts w:hint="eastAsia" w:ascii="楷体_GB2312" w:hAnsi="楷体_GB2312" w:eastAsia="楷体_GB2312" w:cs="楷体_GB2312"/>
          <w:bCs/>
          <w:spacing w:val="6"/>
          <w:sz w:val="32"/>
          <w:szCs w:val="32"/>
        </w:rPr>
        <w:t>方面</w:t>
      </w:r>
      <w:bookmarkEnd w:id="268"/>
      <w:bookmarkEnd w:id="269"/>
      <w:bookmarkEnd w:id="270"/>
      <w:bookmarkEnd w:id="271"/>
      <w:bookmarkEnd w:id="272"/>
      <w:bookmarkEnd w:id="273"/>
      <w:bookmarkEnd w:id="274"/>
    </w:p>
    <w:p>
      <w:pPr>
        <w:widowControl w:val="0"/>
        <w:spacing w:beforeLines="0"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val="en-US" w:eastAsia="zh-CN"/>
        </w:rPr>
        <w:t>严格落实</w:t>
      </w:r>
      <w:r>
        <w:rPr>
          <w:rFonts w:hint="eastAsia" w:ascii="仿宋_GB2312" w:hAnsi="仿宋_GB2312" w:eastAsia="仿宋_GB2312" w:cs="仿宋_GB2312"/>
          <w:bCs/>
          <w:spacing w:val="6"/>
          <w:sz w:val="32"/>
          <w:szCs w:val="32"/>
          <w:lang w:val="en-US" w:eastAsia="zh-CN"/>
        </w:rPr>
        <w:t>《云岩区应急管理局资产业务内部控制制度》，加强与</w:t>
      </w:r>
      <w:r>
        <w:rPr>
          <w:rFonts w:hint="eastAsia" w:ascii="仿宋_GB2312" w:hAnsi="仿宋_GB2312" w:eastAsia="仿宋_GB2312" w:cs="仿宋_GB2312"/>
          <w:sz w:val="32"/>
          <w:szCs w:val="32"/>
          <w:lang w:val="en-US" w:eastAsia="zh-CN"/>
        </w:rPr>
        <w:t>区消防救援大队、云岩区国有投资控股集团有限公司沟通力度，解决设备登记入账及移交的相关工作。</w:t>
      </w:r>
    </w:p>
    <w:p>
      <w:pPr>
        <w:widowControl w:val="0"/>
        <w:spacing w:line="590" w:lineRule="exact"/>
        <w:ind w:firstLine="664" w:firstLineChars="200"/>
        <w:jc w:val="both"/>
        <w:outlineLvl w:val="1"/>
        <w:rPr>
          <w:rFonts w:hint="eastAsia" w:ascii="楷体_GB2312" w:hAnsi="楷体_GB2312" w:eastAsia="楷体_GB2312" w:cs="楷体_GB2312"/>
          <w:spacing w:val="6"/>
          <w:sz w:val="32"/>
          <w:szCs w:val="32"/>
          <w:lang w:val="en-US" w:eastAsia="zh-CN"/>
        </w:rPr>
      </w:pPr>
      <w:bookmarkStart w:id="275" w:name="_Toc7435"/>
      <w:bookmarkStart w:id="276" w:name="_Toc22351"/>
      <w:bookmarkStart w:id="277" w:name="_Toc26074"/>
      <w:bookmarkStart w:id="278" w:name="_Toc24929"/>
      <w:bookmarkStart w:id="279" w:name="_Toc14045"/>
      <w:bookmarkStart w:id="280" w:name="_Toc3814"/>
      <w:bookmarkStart w:id="281" w:name="_Toc19929"/>
      <w:r>
        <w:rPr>
          <w:rFonts w:hint="eastAsia" w:ascii="楷体_GB2312" w:hAnsi="楷体_GB2312" w:eastAsia="楷体_GB2312" w:cs="楷体_GB2312"/>
          <w:spacing w:val="6"/>
          <w:sz w:val="32"/>
          <w:szCs w:val="32"/>
          <w:lang w:val="en-US" w:eastAsia="zh-CN"/>
        </w:rPr>
        <w:t>（二）资金</w:t>
      </w:r>
      <w:r>
        <w:rPr>
          <w:rFonts w:hint="eastAsia" w:ascii="楷体_GB2312" w:hAnsi="楷体_GB2312" w:eastAsia="楷体_GB2312" w:cs="楷体_GB2312"/>
          <w:spacing w:val="6"/>
          <w:sz w:val="32"/>
          <w:szCs w:val="32"/>
        </w:rPr>
        <w:t>管理方面</w:t>
      </w:r>
      <w:bookmarkEnd w:id="275"/>
      <w:bookmarkEnd w:id="276"/>
      <w:bookmarkEnd w:id="277"/>
      <w:bookmarkEnd w:id="278"/>
      <w:bookmarkEnd w:id="279"/>
      <w:bookmarkEnd w:id="280"/>
      <w:bookmarkEnd w:id="281"/>
    </w:p>
    <w:p>
      <w:pPr>
        <w:widowControl w:val="0"/>
        <w:spacing w:beforeLines="0" w:line="590" w:lineRule="exact"/>
        <w:ind w:firstLine="664" w:firstLineChars="200"/>
        <w:jc w:val="both"/>
        <w:rPr>
          <w:rFonts w:hint="eastAsia" w:ascii="仿宋_GB2312" w:hAnsi="仿宋_GB2312" w:eastAsia="仿宋_GB2312" w:cs="仿宋_GB2312"/>
          <w:spacing w:val="6"/>
          <w:sz w:val="32"/>
          <w:szCs w:val="32"/>
          <w:lang w:eastAsia="zh-CN"/>
        </w:rPr>
      </w:pPr>
      <w:r>
        <w:rPr>
          <w:rFonts w:hint="eastAsia" w:ascii="仿宋_GB2312" w:hAnsi="仿宋_GB2312" w:eastAsia="仿宋_GB2312" w:cs="仿宋_GB2312"/>
          <w:spacing w:val="6"/>
          <w:sz w:val="32"/>
          <w:szCs w:val="32"/>
          <w:lang w:eastAsia="zh-CN"/>
        </w:rPr>
        <w:t>建议区</w:t>
      </w:r>
      <w:r>
        <w:rPr>
          <w:rFonts w:hint="eastAsia" w:ascii="仿宋_GB2312" w:hAnsi="仿宋_GB2312" w:eastAsia="仿宋_GB2312" w:cs="仿宋_GB2312"/>
          <w:spacing w:val="6"/>
          <w:sz w:val="32"/>
          <w:szCs w:val="32"/>
          <w:lang w:val="en-US" w:eastAsia="zh-CN"/>
        </w:rPr>
        <w:t>应急局项目入库之前，编制项目预算，明确项目资金使用方向，确保项目预算资金与实际工作任务相匹配；同时加强相关工作人员预算编制培训，提高预算编制能力。</w:t>
      </w:r>
    </w:p>
    <w:p>
      <w:pPr>
        <w:widowControl w:val="0"/>
        <w:spacing w:line="590" w:lineRule="exact"/>
        <w:ind w:firstLine="664" w:firstLineChars="200"/>
        <w:jc w:val="both"/>
        <w:outlineLvl w:val="1"/>
        <w:rPr>
          <w:rFonts w:hint="eastAsia" w:ascii="楷体_GB2312" w:hAnsi="楷体_GB2312" w:eastAsia="楷体_GB2312" w:cs="楷体_GB2312"/>
          <w:spacing w:val="6"/>
          <w:sz w:val="32"/>
          <w:szCs w:val="32"/>
          <w:lang w:eastAsia="zh-CN"/>
        </w:rPr>
      </w:pPr>
      <w:bookmarkStart w:id="282" w:name="_Toc4224"/>
      <w:bookmarkStart w:id="283" w:name="_Toc22661"/>
      <w:bookmarkStart w:id="284" w:name="_Toc7584"/>
      <w:bookmarkStart w:id="285" w:name="_Toc504"/>
      <w:bookmarkStart w:id="286" w:name="_Toc22282"/>
      <w:bookmarkStart w:id="287" w:name="_Toc6470"/>
      <w:bookmarkStart w:id="288" w:name="_Toc11425"/>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lang w:val="en-US" w:eastAsia="zh-CN"/>
        </w:rPr>
        <w:t>三</w:t>
      </w:r>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rPr>
        <w:t>项目管理方面</w:t>
      </w:r>
      <w:bookmarkEnd w:id="282"/>
      <w:bookmarkEnd w:id="283"/>
      <w:bookmarkEnd w:id="284"/>
      <w:bookmarkEnd w:id="285"/>
      <w:bookmarkEnd w:id="286"/>
      <w:bookmarkEnd w:id="287"/>
      <w:bookmarkEnd w:id="288"/>
    </w:p>
    <w:p>
      <w:pPr>
        <w:widowControl w:val="0"/>
        <w:spacing w:line="590" w:lineRule="exact"/>
        <w:ind w:firstLine="664" w:firstLineChars="200"/>
        <w:jc w:val="both"/>
        <w:rPr>
          <w:rFonts w:hint="default"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在项目实施过程中加强与其他相关责任单位对接力度，</w:t>
      </w:r>
      <w:r>
        <w:rPr>
          <w:rFonts w:hint="default" w:ascii="仿宋_GB2312" w:hAnsi="仿宋_GB2312" w:eastAsia="仿宋_GB2312" w:cs="仿宋_GB2312"/>
          <w:spacing w:val="6"/>
          <w:sz w:val="32"/>
          <w:szCs w:val="32"/>
          <w:lang w:val="en-US" w:eastAsia="zh-CN"/>
        </w:rPr>
        <w:t>及时掌握</w:t>
      </w:r>
      <w:r>
        <w:rPr>
          <w:rFonts w:hint="eastAsia" w:ascii="仿宋_GB2312" w:hAnsi="仿宋_GB2312" w:eastAsia="仿宋_GB2312" w:cs="仿宋_GB2312"/>
          <w:spacing w:val="6"/>
          <w:sz w:val="32"/>
          <w:szCs w:val="32"/>
          <w:lang w:val="en-US" w:eastAsia="zh-CN"/>
        </w:rPr>
        <w:t>项目实施情况</w:t>
      </w:r>
      <w:r>
        <w:rPr>
          <w:rFonts w:hint="default" w:ascii="仿宋_GB2312" w:hAnsi="仿宋_GB2312" w:eastAsia="仿宋_GB2312" w:cs="仿宋_GB2312"/>
          <w:spacing w:val="6"/>
          <w:sz w:val="32"/>
          <w:szCs w:val="32"/>
          <w:lang w:val="en-US" w:eastAsia="zh-CN"/>
        </w:rPr>
        <w:t>，确保按时、保质保量完成相关任务。</w:t>
      </w:r>
    </w:p>
    <w:p>
      <w:pPr>
        <w:widowControl w:val="0"/>
        <w:spacing w:line="590" w:lineRule="exact"/>
        <w:ind w:firstLine="664" w:firstLineChars="200"/>
        <w:jc w:val="both"/>
        <w:outlineLvl w:val="1"/>
        <w:rPr>
          <w:rFonts w:hint="eastAsia" w:ascii="仿宋_GB2312" w:hAnsi="仿宋_GB2312" w:eastAsia="仿宋_GB2312" w:cs="仿宋_GB2312"/>
          <w:spacing w:val="6"/>
          <w:sz w:val="32"/>
          <w:szCs w:val="32"/>
          <w:lang w:eastAsia="zh-CN"/>
        </w:rPr>
      </w:pPr>
      <w:bookmarkStart w:id="289" w:name="_Toc23749"/>
      <w:bookmarkStart w:id="290" w:name="_Toc28998"/>
      <w:bookmarkStart w:id="291" w:name="_Toc4829"/>
      <w:bookmarkStart w:id="292" w:name="_Toc14390"/>
      <w:bookmarkStart w:id="293" w:name="_Toc13224"/>
      <w:bookmarkStart w:id="294" w:name="_Toc14900"/>
      <w:bookmarkStart w:id="295" w:name="_Toc14962"/>
      <w:r>
        <w:rPr>
          <w:rFonts w:hint="eastAsia" w:ascii="楷体_GB2312" w:hAnsi="楷体_GB2312" w:eastAsia="楷体_GB2312" w:cs="楷体_GB2312"/>
          <w:spacing w:val="6"/>
          <w:sz w:val="32"/>
          <w:szCs w:val="32"/>
          <w:lang w:val="en-US" w:eastAsia="zh-CN"/>
        </w:rPr>
        <w:t>（四）</w:t>
      </w:r>
      <w:r>
        <w:rPr>
          <w:rFonts w:hint="eastAsia" w:ascii="楷体_GB2312" w:hAnsi="楷体_GB2312" w:eastAsia="楷体_GB2312" w:cs="楷体_GB2312"/>
          <w:spacing w:val="6"/>
          <w:sz w:val="32"/>
          <w:szCs w:val="32"/>
        </w:rPr>
        <w:t>绩效管理方面</w:t>
      </w:r>
      <w:bookmarkEnd w:id="289"/>
      <w:bookmarkEnd w:id="290"/>
      <w:bookmarkEnd w:id="291"/>
      <w:bookmarkEnd w:id="292"/>
      <w:bookmarkEnd w:id="293"/>
      <w:bookmarkEnd w:id="294"/>
      <w:bookmarkEnd w:id="295"/>
    </w:p>
    <w:p>
      <w:pPr>
        <w:widowControl w:val="0"/>
        <w:spacing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建议区</w:t>
      </w:r>
      <w:r>
        <w:rPr>
          <w:rFonts w:hint="eastAsia" w:ascii="仿宋_GB2312" w:hAnsi="仿宋_GB2312" w:eastAsia="仿宋_GB2312" w:cs="仿宋_GB2312"/>
          <w:spacing w:val="6"/>
          <w:sz w:val="32"/>
          <w:szCs w:val="32"/>
          <w:lang w:val="en-US" w:eastAsia="zh-CN"/>
        </w:rPr>
        <w:t>应急局一是</w:t>
      </w:r>
      <w:r>
        <w:rPr>
          <w:rFonts w:hint="eastAsia" w:ascii="仿宋_GB2312" w:hAnsi="仿宋_GB2312" w:eastAsia="仿宋_GB2312" w:cs="仿宋_GB2312"/>
          <w:spacing w:val="6"/>
          <w:sz w:val="32"/>
          <w:szCs w:val="32"/>
        </w:rPr>
        <w:t>根据项目实际情况设置项目绩效目标</w:t>
      </w:r>
      <w:r>
        <w:rPr>
          <w:rFonts w:hint="eastAsia" w:ascii="仿宋_GB2312" w:hAnsi="仿宋_GB2312" w:eastAsia="仿宋_GB2312" w:cs="仿宋_GB2312"/>
          <w:spacing w:val="6"/>
          <w:sz w:val="32"/>
          <w:szCs w:val="32"/>
          <w:lang w:val="en-US" w:eastAsia="zh-CN"/>
        </w:rPr>
        <w:t>和绩效指标</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项目绩效目标和绩效指标与资金使用方向相匹配；</w:t>
      </w:r>
      <w:r>
        <w:rPr>
          <w:rFonts w:hint="eastAsia" w:ascii="仿宋_GB2312" w:hAnsi="仿宋_GB2312" w:eastAsia="仿宋_GB2312" w:cs="仿宋_GB2312"/>
          <w:spacing w:val="6"/>
          <w:sz w:val="32"/>
          <w:szCs w:val="32"/>
        </w:rPr>
        <w:t>二是应科学合理设置绩效指标和指标值，指标值应明确，增强项目绩效指标科学性和可操作性。</w:t>
      </w:r>
    </w:p>
    <w:p>
      <w:pPr>
        <w:widowControl w:val="0"/>
        <w:spacing w:line="590" w:lineRule="exact"/>
        <w:ind w:firstLine="664" w:firstLineChars="200"/>
        <w:jc w:val="both"/>
        <w:outlineLvl w:val="0"/>
        <w:rPr>
          <w:rFonts w:ascii="黑体" w:hAnsi="黑体" w:eastAsia="黑体"/>
          <w:spacing w:val="6"/>
          <w:sz w:val="32"/>
          <w:szCs w:val="32"/>
        </w:rPr>
      </w:pPr>
      <w:bookmarkStart w:id="296" w:name="_Toc15590"/>
      <w:bookmarkStart w:id="297" w:name="_Toc24234"/>
      <w:bookmarkStart w:id="298" w:name="_Toc41306292"/>
      <w:bookmarkStart w:id="299" w:name="_Toc26017"/>
      <w:bookmarkStart w:id="300" w:name="_Toc31526"/>
      <w:bookmarkStart w:id="301" w:name="_Toc11118"/>
      <w:bookmarkStart w:id="302" w:name="_Toc15360"/>
      <w:bookmarkStart w:id="303" w:name="_Toc27276"/>
      <w:bookmarkStart w:id="304" w:name="_Toc8689"/>
      <w:bookmarkStart w:id="305" w:name="_Toc16746"/>
      <w:bookmarkStart w:id="306" w:name="_Toc21954"/>
      <w:bookmarkStart w:id="307" w:name="_Toc2462"/>
      <w:bookmarkStart w:id="308" w:name="_Toc26904"/>
      <w:bookmarkStart w:id="309" w:name="_Toc29135"/>
      <w:bookmarkStart w:id="310" w:name="_Toc21085"/>
      <w:bookmarkStart w:id="311" w:name="_Toc3227"/>
      <w:bookmarkStart w:id="312" w:name="_Toc18377"/>
      <w:bookmarkStart w:id="313" w:name="_Toc6701"/>
      <w:bookmarkStart w:id="314" w:name="_Toc3549"/>
      <w:bookmarkStart w:id="315" w:name="_Toc11632"/>
      <w:r>
        <w:rPr>
          <w:rFonts w:hint="eastAsia" w:ascii="黑体" w:hAnsi="黑体" w:eastAsia="黑体"/>
          <w:spacing w:val="6"/>
          <w:sz w:val="32"/>
          <w:szCs w:val="32"/>
          <w:lang w:val="en-US" w:eastAsia="zh-CN"/>
        </w:rPr>
        <w:t>五</w:t>
      </w:r>
      <w:r>
        <w:rPr>
          <w:rFonts w:hint="eastAsia" w:ascii="黑体" w:hAnsi="黑体" w:eastAsia="黑体"/>
          <w:spacing w:val="6"/>
          <w:sz w:val="32"/>
          <w:szCs w:val="32"/>
        </w:rPr>
        <w:t>、绩效评价结果应用建议</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316" w:name="_Toc13605"/>
      <w:bookmarkStart w:id="317" w:name="_Toc17488"/>
      <w:bookmarkStart w:id="318" w:name="_Toc9129"/>
      <w:bookmarkStart w:id="319" w:name="_Toc16664"/>
      <w:bookmarkStart w:id="320" w:name="_Toc25393"/>
      <w:bookmarkStart w:id="321" w:name="_Toc7361"/>
      <w:bookmarkStart w:id="322" w:name="_Toc18208"/>
      <w:bookmarkStart w:id="323" w:name="_Toc28685"/>
      <w:bookmarkStart w:id="324" w:name="_Toc13984"/>
      <w:bookmarkStart w:id="325" w:name="_Toc830"/>
      <w:bookmarkStart w:id="326" w:name="_Toc32273"/>
      <w:bookmarkStart w:id="327" w:name="_Toc1788"/>
      <w:bookmarkStart w:id="328" w:name="_Toc10694"/>
      <w:bookmarkStart w:id="329" w:name="_Toc26381"/>
      <w:bookmarkStart w:id="330" w:name="_Toc26169"/>
      <w:bookmarkStart w:id="331" w:name="_Toc7921"/>
      <w:bookmarkStart w:id="332" w:name="_Toc6276"/>
      <w:bookmarkStart w:id="333" w:name="_Toc28241"/>
      <w:r>
        <w:fldChar w:fldCharType="begin"/>
      </w:r>
      <w:r>
        <w:instrText xml:space="preserve"> HYPERLINK \l "_Toc434746187" </w:instrText>
      </w:r>
      <w:r>
        <w:fldChar w:fldCharType="separate"/>
      </w:r>
      <w:bookmarkStart w:id="334" w:name="_Toc531300193"/>
      <w:bookmarkStart w:id="335" w:name="_Toc41306293"/>
      <w:r>
        <w:rPr>
          <w:rFonts w:hint="eastAsia" w:ascii="Times New Roman" w:hAnsi="Times New Roman" w:eastAsia="楷体_GB2312" w:cs="Times New Roman"/>
          <w:spacing w:val="6"/>
          <w:sz w:val="32"/>
          <w:szCs w:val="32"/>
          <w:lang w:val="zh-CN"/>
        </w:rPr>
        <w:t>（一）对发现的问题及时整改</w:t>
      </w:r>
      <w:bookmarkEnd w:id="334"/>
      <w:bookmarkEnd w:id="335"/>
      <w:r>
        <w:rPr>
          <w:rFonts w:hint="eastAsia" w:ascii="Times New Roman" w:hAnsi="Times New Roman" w:eastAsia="楷体_GB2312" w:cs="Times New Roman"/>
          <w:spacing w:val="6"/>
          <w:sz w:val="32"/>
          <w:szCs w:val="32"/>
          <w:lang w:val="zh-CN"/>
        </w:rPr>
        <w:fldChar w:fldCharType="end"/>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pPr>
        <w:widowControl w:val="0"/>
        <w:spacing w:line="590" w:lineRule="exact"/>
        <w:ind w:firstLine="664" w:firstLineChars="200"/>
        <w:jc w:val="both"/>
        <w:rPr>
          <w:rFonts w:hint="eastAsia"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rPr>
        <w:t>针对本次</w:t>
      </w:r>
      <w:r>
        <w:rPr>
          <w:rFonts w:hint="eastAsia" w:ascii="Times New Roman" w:hAnsi="Times New Roman" w:eastAsia="仿宋_GB2312" w:cs="Times New Roman"/>
          <w:spacing w:val="6"/>
          <w:sz w:val="32"/>
          <w:szCs w:val="32"/>
          <w:lang w:eastAsia="zh-CN"/>
        </w:rPr>
        <w:t>绩效评价</w:t>
      </w:r>
      <w:r>
        <w:rPr>
          <w:rFonts w:hint="eastAsia" w:ascii="Times New Roman" w:hAnsi="Times New Roman" w:eastAsia="仿宋_GB2312" w:cs="Times New Roman"/>
          <w:spacing w:val="6"/>
          <w:sz w:val="32"/>
          <w:szCs w:val="32"/>
        </w:rPr>
        <w:t>中发现的问题，建议</w:t>
      </w:r>
      <w:r>
        <w:rPr>
          <w:rFonts w:hint="eastAsia" w:ascii="Times New Roman" w:hAnsi="Times New Roman" w:eastAsia="仿宋_GB2312" w:cs="Times New Roman"/>
          <w:spacing w:val="6"/>
          <w:sz w:val="32"/>
          <w:szCs w:val="32"/>
          <w:lang w:val="en-US" w:eastAsia="zh-CN"/>
        </w:rPr>
        <w:t>区应急局</w:t>
      </w:r>
      <w:r>
        <w:rPr>
          <w:rFonts w:hint="eastAsia" w:ascii="Times New Roman" w:hAnsi="Times New Roman" w:eastAsia="仿宋_GB2312" w:cs="Times New Roman"/>
          <w:spacing w:val="6"/>
          <w:sz w:val="32"/>
          <w:szCs w:val="32"/>
        </w:rPr>
        <w:t>对存在的问题及时进行整改，并将整改情况书面上报相关部门。</w:t>
      </w:r>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336" w:name="_Toc28926"/>
      <w:bookmarkStart w:id="337" w:name="_Toc3772"/>
      <w:bookmarkStart w:id="338" w:name="_Toc25877"/>
      <w:bookmarkStart w:id="339" w:name="_Toc23669"/>
      <w:bookmarkStart w:id="340" w:name="_Toc25602"/>
      <w:bookmarkStart w:id="341" w:name="_Toc8576"/>
      <w:bookmarkStart w:id="342" w:name="_Toc2301"/>
      <w:bookmarkStart w:id="343" w:name="_Toc8626"/>
      <w:bookmarkStart w:id="344" w:name="_Toc25099"/>
      <w:bookmarkStart w:id="345" w:name="_Toc22196"/>
      <w:bookmarkStart w:id="346" w:name="_Toc24672"/>
      <w:bookmarkStart w:id="347" w:name="_Toc10559"/>
      <w:bookmarkStart w:id="348" w:name="_Toc8134"/>
      <w:bookmarkStart w:id="349" w:name="_Toc14423"/>
      <w:bookmarkStart w:id="350" w:name="_Toc22016"/>
      <w:bookmarkStart w:id="351" w:name="_Toc11904"/>
      <w:bookmarkStart w:id="352" w:name="_Toc22879"/>
      <w:bookmarkStart w:id="353" w:name="_Toc3617"/>
      <w:bookmarkStart w:id="354" w:name="_Toc20624"/>
      <w:r>
        <w:fldChar w:fldCharType="begin"/>
      </w:r>
      <w:r>
        <w:instrText xml:space="preserve"> HYPERLINK \l "_Toc434746187" </w:instrText>
      </w:r>
      <w:r>
        <w:fldChar w:fldCharType="separate"/>
      </w:r>
      <w:bookmarkStart w:id="355" w:name="_Toc41306294"/>
      <w:bookmarkStart w:id="356" w:name="_Toc531300194"/>
      <w:r>
        <w:rPr>
          <w:rFonts w:hint="eastAsia" w:ascii="Times New Roman" w:hAnsi="Times New Roman" w:eastAsia="楷体_GB2312" w:cs="Times New Roman"/>
          <w:spacing w:val="6"/>
          <w:sz w:val="32"/>
          <w:szCs w:val="32"/>
          <w:lang w:val="zh-CN"/>
        </w:rPr>
        <w:t>（二）以后年度预算安排建议</w:t>
      </w:r>
      <w:bookmarkEnd w:id="355"/>
      <w:bookmarkEnd w:id="356"/>
      <w:r>
        <w:rPr>
          <w:rFonts w:hint="eastAsia" w:ascii="Times New Roman" w:hAnsi="Times New Roman" w:eastAsia="楷体_GB2312" w:cs="Times New Roman"/>
          <w:spacing w:val="6"/>
          <w:sz w:val="32"/>
          <w:szCs w:val="32"/>
          <w:lang w:val="zh-CN"/>
        </w:rPr>
        <w:fldChar w:fldCharType="end"/>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pPr>
        <w:widowControl w:val="0"/>
        <w:spacing w:line="59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本项目属于政府年度临时增加一次性项目，不做以后年度预算安排。</w:t>
      </w:r>
    </w:p>
    <w:p>
      <w:pPr>
        <w:widowControl w:val="0"/>
        <w:spacing w:line="590" w:lineRule="exact"/>
        <w:ind w:firstLine="577" w:firstLineChars="275"/>
        <w:jc w:val="both"/>
        <w:outlineLvl w:val="1"/>
        <w:rPr>
          <w:rFonts w:ascii="仿宋_GB2312" w:hAnsi="仿宋" w:eastAsia="楷体_GB2312" w:cs="Times New Roman"/>
          <w:spacing w:val="6"/>
          <w:sz w:val="32"/>
          <w:szCs w:val="32"/>
          <w:lang w:val="zh-CN"/>
        </w:rPr>
      </w:pPr>
      <w:bookmarkStart w:id="357" w:name="_Toc24868"/>
      <w:bookmarkStart w:id="358" w:name="_Toc2769"/>
      <w:bookmarkStart w:id="359" w:name="_Toc20621"/>
      <w:bookmarkStart w:id="360" w:name="_Toc12311"/>
      <w:bookmarkStart w:id="361" w:name="_Toc7046"/>
      <w:bookmarkStart w:id="362" w:name="_Toc18913"/>
      <w:bookmarkStart w:id="363" w:name="_Toc24638"/>
      <w:bookmarkStart w:id="364" w:name="_Toc32066"/>
      <w:bookmarkStart w:id="365" w:name="_Toc1721"/>
      <w:bookmarkStart w:id="366" w:name="_Toc20085"/>
      <w:bookmarkStart w:id="367" w:name="_Toc11627"/>
      <w:bookmarkStart w:id="368" w:name="_Toc548"/>
      <w:bookmarkStart w:id="369" w:name="_Toc32250"/>
      <w:bookmarkStart w:id="370" w:name="_Toc19933"/>
      <w:bookmarkStart w:id="371" w:name="_Toc31702"/>
      <w:bookmarkStart w:id="372" w:name="_Toc29168"/>
      <w:bookmarkStart w:id="373" w:name="_Toc7204"/>
      <w:bookmarkStart w:id="374" w:name="_Toc9180"/>
      <w:r>
        <w:fldChar w:fldCharType="begin"/>
      </w:r>
      <w:r>
        <w:instrText xml:space="preserve"> HYPERLINK \l "_Toc434746187" </w:instrText>
      </w:r>
      <w:r>
        <w:fldChar w:fldCharType="separate"/>
      </w:r>
      <w:bookmarkStart w:id="375" w:name="_Toc41306295"/>
      <w:bookmarkStart w:id="376" w:name="_Toc531300195"/>
      <w:r>
        <w:rPr>
          <w:rFonts w:hint="eastAsia" w:ascii="仿宋_GB2312" w:hAnsi="仿宋" w:eastAsia="楷体_GB2312" w:cs="Times New Roman"/>
          <w:spacing w:val="6"/>
          <w:sz w:val="32"/>
          <w:szCs w:val="32"/>
          <w:lang w:val="zh-CN"/>
        </w:rPr>
        <w:t>（三）评价结果公开</w:t>
      </w:r>
      <w:bookmarkEnd w:id="375"/>
      <w:bookmarkEnd w:id="376"/>
      <w:r>
        <w:rPr>
          <w:rFonts w:hint="eastAsia" w:ascii="仿宋_GB2312" w:hAnsi="仿宋" w:eastAsia="楷体_GB2312" w:cs="Times New Roman"/>
          <w:spacing w:val="6"/>
          <w:sz w:val="32"/>
          <w:szCs w:val="32"/>
          <w:lang w:val="zh-CN"/>
        </w:rPr>
        <w:fldChar w:fldCharType="end"/>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bookmarkEnd w:id="227"/>
    <w:p>
      <w:pPr>
        <w:widowControl w:val="0"/>
        <w:spacing w:line="590" w:lineRule="exact"/>
        <w:ind w:firstLine="640" w:firstLineChars="200"/>
        <w:jc w:val="both"/>
        <w:outlineLvl w:val="9"/>
        <w:rPr>
          <w:rFonts w:hint="eastAsia" w:ascii="Times New Roman" w:hAnsi="Times New Roman" w:eastAsia="黑体" w:cs="Times New Roman"/>
          <w:spacing w:val="6"/>
          <w:sz w:val="32"/>
          <w:szCs w:val="32"/>
        </w:rPr>
      </w:pPr>
      <w:r>
        <w:rPr>
          <w:rFonts w:hint="eastAsia" w:ascii="仿宋_GB2312" w:hAnsi="仿宋_GB2312" w:eastAsia="仿宋_GB2312" w:cs="仿宋_GB2312"/>
          <w:sz w:val="32"/>
          <w:szCs w:val="32"/>
        </w:rPr>
        <w:t>建议按照中共中央 国务院《关于全面实施预算绩效管理的意见》（中发〔2018〕34号）和《中共贵州省委 贵州省人民政府关于全面实施预算绩效管理的实施意见》（黔党发〔2019〕29号）等文件规定，大力推进绩效信息公开透明，回应社会关切，自觉接受人大和社会各界监督。</w:t>
      </w:r>
      <w:bookmarkStart w:id="377" w:name="_Toc1249"/>
      <w:bookmarkStart w:id="378" w:name="_Toc17876"/>
      <w:bookmarkStart w:id="379" w:name="_Toc5275"/>
      <w:bookmarkStart w:id="380" w:name="_Toc30675"/>
      <w:bookmarkStart w:id="381" w:name="_Toc41306296"/>
    </w:p>
    <w:bookmarkEnd w:id="191"/>
    <w:bookmarkEnd w:id="377"/>
    <w:bookmarkEnd w:id="378"/>
    <w:bookmarkEnd w:id="379"/>
    <w:bookmarkEnd w:id="380"/>
    <w:bookmarkEnd w:id="381"/>
    <w:p>
      <w:pPr>
        <w:pStyle w:val="11"/>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textAlignment w:val="auto"/>
        <w:outlineLvl w:val="2"/>
        <w:rPr>
          <w:rFonts w:hint="default" w:ascii="Times New Roman" w:hAnsi="Times New Roman" w:eastAsia="黑体" w:cs="Times New Roman"/>
          <w:b w:val="0"/>
          <w:bCs w:val="0"/>
          <w:kern w:val="2"/>
          <w:sz w:val="32"/>
          <w:szCs w:val="21"/>
          <w:highlight w:val="none"/>
          <w:lang w:val="en-US" w:eastAsia="zh-CN" w:bidi="ar-SA"/>
        </w:rPr>
      </w:pPr>
    </w:p>
    <w:sectPr>
      <w:footerReference r:id="rId5" w:type="default"/>
      <w:footerReference r:id="rId6"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040" w:firstLineChars="1800"/>
      <w:rPr>
        <w:rStyle w:val="19"/>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1CBB"/>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453751"/>
    <w:rsid w:val="01710C42"/>
    <w:rsid w:val="017F126E"/>
    <w:rsid w:val="018C6040"/>
    <w:rsid w:val="01967E71"/>
    <w:rsid w:val="01BF645F"/>
    <w:rsid w:val="01D0720E"/>
    <w:rsid w:val="01E925F2"/>
    <w:rsid w:val="01EE77BF"/>
    <w:rsid w:val="021F72B2"/>
    <w:rsid w:val="02366DA0"/>
    <w:rsid w:val="024971C1"/>
    <w:rsid w:val="024D5B94"/>
    <w:rsid w:val="026412FF"/>
    <w:rsid w:val="026818CF"/>
    <w:rsid w:val="026E0318"/>
    <w:rsid w:val="028B3A0C"/>
    <w:rsid w:val="02A52145"/>
    <w:rsid w:val="02D26E72"/>
    <w:rsid w:val="02F41103"/>
    <w:rsid w:val="02F53E74"/>
    <w:rsid w:val="02FB7869"/>
    <w:rsid w:val="03315E11"/>
    <w:rsid w:val="03BC007F"/>
    <w:rsid w:val="03EB3FC7"/>
    <w:rsid w:val="040717CA"/>
    <w:rsid w:val="040E5C29"/>
    <w:rsid w:val="041600AC"/>
    <w:rsid w:val="043D69E1"/>
    <w:rsid w:val="044A7004"/>
    <w:rsid w:val="04671583"/>
    <w:rsid w:val="046A2703"/>
    <w:rsid w:val="04DB522D"/>
    <w:rsid w:val="050836B4"/>
    <w:rsid w:val="0510144C"/>
    <w:rsid w:val="052F698C"/>
    <w:rsid w:val="053805F8"/>
    <w:rsid w:val="05557F9E"/>
    <w:rsid w:val="05571533"/>
    <w:rsid w:val="055D4CB6"/>
    <w:rsid w:val="05A07FB5"/>
    <w:rsid w:val="05B70155"/>
    <w:rsid w:val="05CA4673"/>
    <w:rsid w:val="05D00854"/>
    <w:rsid w:val="05E86706"/>
    <w:rsid w:val="05EB3E85"/>
    <w:rsid w:val="05F626C2"/>
    <w:rsid w:val="06440003"/>
    <w:rsid w:val="06EE0FAD"/>
    <w:rsid w:val="06F4622C"/>
    <w:rsid w:val="07037896"/>
    <w:rsid w:val="071C1AB9"/>
    <w:rsid w:val="07224A50"/>
    <w:rsid w:val="072A35FB"/>
    <w:rsid w:val="07673691"/>
    <w:rsid w:val="07675D60"/>
    <w:rsid w:val="079A234F"/>
    <w:rsid w:val="07BD350D"/>
    <w:rsid w:val="07BE76F9"/>
    <w:rsid w:val="07ED67BF"/>
    <w:rsid w:val="07FB5842"/>
    <w:rsid w:val="0810522F"/>
    <w:rsid w:val="08251C3E"/>
    <w:rsid w:val="082F2D28"/>
    <w:rsid w:val="086B433E"/>
    <w:rsid w:val="087C3235"/>
    <w:rsid w:val="089524A2"/>
    <w:rsid w:val="08A44134"/>
    <w:rsid w:val="08C32FB7"/>
    <w:rsid w:val="08C80360"/>
    <w:rsid w:val="094C130B"/>
    <w:rsid w:val="096E6557"/>
    <w:rsid w:val="097612D8"/>
    <w:rsid w:val="09776B1A"/>
    <w:rsid w:val="09870B6B"/>
    <w:rsid w:val="09D6522B"/>
    <w:rsid w:val="0A2E55C3"/>
    <w:rsid w:val="0A38598E"/>
    <w:rsid w:val="0A4F305E"/>
    <w:rsid w:val="0AAC140A"/>
    <w:rsid w:val="0ADC74B5"/>
    <w:rsid w:val="0AE27EB6"/>
    <w:rsid w:val="0AEB5D03"/>
    <w:rsid w:val="0AFF6A33"/>
    <w:rsid w:val="0B0A632C"/>
    <w:rsid w:val="0B1933FA"/>
    <w:rsid w:val="0B3A110D"/>
    <w:rsid w:val="0B64529C"/>
    <w:rsid w:val="0B762C6A"/>
    <w:rsid w:val="0B942AEA"/>
    <w:rsid w:val="0B9841B0"/>
    <w:rsid w:val="0B9F443A"/>
    <w:rsid w:val="0BAB2AC2"/>
    <w:rsid w:val="0BBF193C"/>
    <w:rsid w:val="0BFD257C"/>
    <w:rsid w:val="0BFE018D"/>
    <w:rsid w:val="0C2A396B"/>
    <w:rsid w:val="0C2D7D84"/>
    <w:rsid w:val="0C345149"/>
    <w:rsid w:val="0C6D10C4"/>
    <w:rsid w:val="0C6E7CC4"/>
    <w:rsid w:val="0C870841"/>
    <w:rsid w:val="0C8804C9"/>
    <w:rsid w:val="0CD4772C"/>
    <w:rsid w:val="0D8F691E"/>
    <w:rsid w:val="0DAC0FC0"/>
    <w:rsid w:val="0DBD6E33"/>
    <w:rsid w:val="0DC95DFB"/>
    <w:rsid w:val="0DCA67D5"/>
    <w:rsid w:val="0DE23BDC"/>
    <w:rsid w:val="0DEC2FD8"/>
    <w:rsid w:val="0DFC7201"/>
    <w:rsid w:val="0E5701F3"/>
    <w:rsid w:val="0E597024"/>
    <w:rsid w:val="0E5F1975"/>
    <w:rsid w:val="0E7712A1"/>
    <w:rsid w:val="0E9244A6"/>
    <w:rsid w:val="0F0C791F"/>
    <w:rsid w:val="0F591BF7"/>
    <w:rsid w:val="0F860A96"/>
    <w:rsid w:val="0FCA5173"/>
    <w:rsid w:val="0FCA7061"/>
    <w:rsid w:val="0FDC0328"/>
    <w:rsid w:val="0FF40D67"/>
    <w:rsid w:val="102B630D"/>
    <w:rsid w:val="105D2F0D"/>
    <w:rsid w:val="10610C1D"/>
    <w:rsid w:val="10674688"/>
    <w:rsid w:val="10955F12"/>
    <w:rsid w:val="10B15F44"/>
    <w:rsid w:val="10B80B26"/>
    <w:rsid w:val="10C831A7"/>
    <w:rsid w:val="10CB33F3"/>
    <w:rsid w:val="10CC44AD"/>
    <w:rsid w:val="10E45C9C"/>
    <w:rsid w:val="111609D1"/>
    <w:rsid w:val="11374D2A"/>
    <w:rsid w:val="116A372A"/>
    <w:rsid w:val="118A2781"/>
    <w:rsid w:val="11AF7CB9"/>
    <w:rsid w:val="11CE6D9D"/>
    <w:rsid w:val="11E025C1"/>
    <w:rsid w:val="11F272DE"/>
    <w:rsid w:val="120664A5"/>
    <w:rsid w:val="1226602C"/>
    <w:rsid w:val="123D0E8B"/>
    <w:rsid w:val="123D5DA2"/>
    <w:rsid w:val="123E0B14"/>
    <w:rsid w:val="1261343A"/>
    <w:rsid w:val="12766890"/>
    <w:rsid w:val="128F38DC"/>
    <w:rsid w:val="12A31AFE"/>
    <w:rsid w:val="12CB2316"/>
    <w:rsid w:val="13054260"/>
    <w:rsid w:val="130C2A5B"/>
    <w:rsid w:val="13367C35"/>
    <w:rsid w:val="133A5DF2"/>
    <w:rsid w:val="134F578E"/>
    <w:rsid w:val="134F6889"/>
    <w:rsid w:val="13566E1F"/>
    <w:rsid w:val="13727B81"/>
    <w:rsid w:val="138520A3"/>
    <w:rsid w:val="138A39C5"/>
    <w:rsid w:val="138E7456"/>
    <w:rsid w:val="13B804D9"/>
    <w:rsid w:val="1401311A"/>
    <w:rsid w:val="14204765"/>
    <w:rsid w:val="14302C19"/>
    <w:rsid w:val="1466570D"/>
    <w:rsid w:val="148A218C"/>
    <w:rsid w:val="148D1992"/>
    <w:rsid w:val="149543C8"/>
    <w:rsid w:val="14AF7C3F"/>
    <w:rsid w:val="14ED252C"/>
    <w:rsid w:val="14FF709F"/>
    <w:rsid w:val="15593C77"/>
    <w:rsid w:val="15776601"/>
    <w:rsid w:val="15782840"/>
    <w:rsid w:val="158A46FA"/>
    <w:rsid w:val="15A05276"/>
    <w:rsid w:val="15A10AA3"/>
    <w:rsid w:val="15A613ED"/>
    <w:rsid w:val="15B03EEA"/>
    <w:rsid w:val="15D54C31"/>
    <w:rsid w:val="15E248B7"/>
    <w:rsid w:val="15E52FAF"/>
    <w:rsid w:val="1604750E"/>
    <w:rsid w:val="1616746A"/>
    <w:rsid w:val="162168E1"/>
    <w:rsid w:val="16232E7E"/>
    <w:rsid w:val="162A06D0"/>
    <w:rsid w:val="164E6A70"/>
    <w:rsid w:val="167E01C7"/>
    <w:rsid w:val="16B2239E"/>
    <w:rsid w:val="16D74074"/>
    <w:rsid w:val="16F44210"/>
    <w:rsid w:val="17051E8C"/>
    <w:rsid w:val="17213F37"/>
    <w:rsid w:val="174A3117"/>
    <w:rsid w:val="175156BB"/>
    <w:rsid w:val="177535F3"/>
    <w:rsid w:val="17876CD8"/>
    <w:rsid w:val="17991F6C"/>
    <w:rsid w:val="17AB3003"/>
    <w:rsid w:val="17AD21DF"/>
    <w:rsid w:val="17DA5E62"/>
    <w:rsid w:val="18073366"/>
    <w:rsid w:val="18091368"/>
    <w:rsid w:val="181B5321"/>
    <w:rsid w:val="18296387"/>
    <w:rsid w:val="187A3F69"/>
    <w:rsid w:val="189F0600"/>
    <w:rsid w:val="18AB48E3"/>
    <w:rsid w:val="18F6567A"/>
    <w:rsid w:val="191B4248"/>
    <w:rsid w:val="19290BBF"/>
    <w:rsid w:val="19343A40"/>
    <w:rsid w:val="19504551"/>
    <w:rsid w:val="196D7F1B"/>
    <w:rsid w:val="1979726C"/>
    <w:rsid w:val="19A90B8D"/>
    <w:rsid w:val="19AB6351"/>
    <w:rsid w:val="19C37425"/>
    <w:rsid w:val="19DB0028"/>
    <w:rsid w:val="19DE5125"/>
    <w:rsid w:val="19F44735"/>
    <w:rsid w:val="19F9675D"/>
    <w:rsid w:val="1A176F1F"/>
    <w:rsid w:val="1A3112FC"/>
    <w:rsid w:val="1A3268EA"/>
    <w:rsid w:val="1A3D7353"/>
    <w:rsid w:val="1A4B3691"/>
    <w:rsid w:val="1A582845"/>
    <w:rsid w:val="1A5A434F"/>
    <w:rsid w:val="1A78107D"/>
    <w:rsid w:val="1AAD3841"/>
    <w:rsid w:val="1AB729F0"/>
    <w:rsid w:val="1AD350C2"/>
    <w:rsid w:val="1AFC6CAA"/>
    <w:rsid w:val="1B003A3A"/>
    <w:rsid w:val="1B1C0FCD"/>
    <w:rsid w:val="1B1F290F"/>
    <w:rsid w:val="1B352E36"/>
    <w:rsid w:val="1B3E6055"/>
    <w:rsid w:val="1B4449F4"/>
    <w:rsid w:val="1B62011E"/>
    <w:rsid w:val="1B82212A"/>
    <w:rsid w:val="1B8E3D13"/>
    <w:rsid w:val="1BC44BC3"/>
    <w:rsid w:val="1BDC6CBF"/>
    <w:rsid w:val="1C1A2140"/>
    <w:rsid w:val="1C5546C9"/>
    <w:rsid w:val="1C5B3D52"/>
    <w:rsid w:val="1C65417E"/>
    <w:rsid w:val="1C715F47"/>
    <w:rsid w:val="1C8E2171"/>
    <w:rsid w:val="1CCB7B47"/>
    <w:rsid w:val="1CCF56FE"/>
    <w:rsid w:val="1CF9370A"/>
    <w:rsid w:val="1D1D282B"/>
    <w:rsid w:val="1D203231"/>
    <w:rsid w:val="1D216739"/>
    <w:rsid w:val="1D4F7665"/>
    <w:rsid w:val="1D5C4CAA"/>
    <w:rsid w:val="1D8553CF"/>
    <w:rsid w:val="1D937E42"/>
    <w:rsid w:val="1DC60FD4"/>
    <w:rsid w:val="1DE019AC"/>
    <w:rsid w:val="1DEE7632"/>
    <w:rsid w:val="1E193D15"/>
    <w:rsid w:val="1E3D0A3F"/>
    <w:rsid w:val="1E48161D"/>
    <w:rsid w:val="1E5D0DA8"/>
    <w:rsid w:val="1E6C0D71"/>
    <w:rsid w:val="1E7C4C85"/>
    <w:rsid w:val="1EF42A3F"/>
    <w:rsid w:val="1F017683"/>
    <w:rsid w:val="1F264A2D"/>
    <w:rsid w:val="1F323B00"/>
    <w:rsid w:val="1F3A7109"/>
    <w:rsid w:val="1F4E720F"/>
    <w:rsid w:val="1F722094"/>
    <w:rsid w:val="1FA91432"/>
    <w:rsid w:val="1FCE3404"/>
    <w:rsid w:val="1FD27F61"/>
    <w:rsid w:val="1FE024EA"/>
    <w:rsid w:val="1FF446FA"/>
    <w:rsid w:val="202B7515"/>
    <w:rsid w:val="20476854"/>
    <w:rsid w:val="204A0D08"/>
    <w:rsid w:val="20796E60"/>
    <w:rsid w:val="207E3C6E"/>
    <w:rsid w:val="20850F2A"/>
    <w:rsid w:val="20AA0E15"/>
    <w:rsid w:val="20AC2ED5"/>
    <w:rsid w:val="20D55460"/>
    <w:rsid w:val="20EA5E5F"/>
    <w:rsid w:val="212B3875"/>
    <w:rsid w:val="21384777"/>
    <w:rsid w:val="213900B3"/>
    <w:rsid w:val="21402683"/>
    <w:rsid w:val="214E3C8D"/>
    <w:rsid w:val="21564609"/>
    <w:rsid w:val="2172075E"/>
    <w:rsid w:val="218F26EC"/>
    <w:rsid w:val="21970268"/>
    <w:rsid w:val="21B67E14"/>
    <w:rsid w:val="21DE511C"/>
    <w:rsid w:val="21F2725D"/>
    <w:rsid w:val="21F7407A"/>
    <w:rsid w:val="21FA0F0C"/>
    <w:rsid w:val="22443F52"/>
    <w:rsid w:val="22800F5B"/>
    <w:rsid w:val="228E3138"/>
    <w:rsid w:val="22A6148F"/>
    <w:rsid w:val="22B068DF"/>
    <w:rsid w:val="22C11AA0"/>
    <w:rsid w:val="22C62F3A"/>
    <w:rsid w:val="22F912D1"/>
    <w:rsid w:val="2324394A"/>
    <w:rsid w:val="2328248D"/>
    <w:rsid w:val="2333099E"/>
    <w:rsid w:val="234647AA"/>
    <w:rsid w:val="23573815"/>
    <w:rsid w:val="2367752F"/>
    <w:rsid w:val="23753B32"/>
    <w:rsid w:val="2380657F"/>
    <w:rsid w:val="238621A3"/>
    <w:rsid w:val="23AD3F39"/>
    <w:rsid w:val="23D5432C"/>
    <w:rsid w:val="23F1591B"/>
    <w:rsid w:val="24051C87"/>
    <w:rsid w:val="24354C4F"/>
    <w:rsid w:val="24470B4A"/>
    <w:rsid w:val="24832ECC"/>
    <w:rsid w:val="248C46D2"/>
    <w:rsid w:val="24DB4E93"/>
    <w:rsid w:val="2509275D"/>
    <w:rsid w:val="250D0121"/>
    <w:rsid w:val="250D22FE"/>
    <w:rsid w:val="25172298"/>
    <w:rsid w:val="251972DF"/>
    <w:rsid w:val="25286633"/>
    <w:rsid w:val="253B4C73"/>
    <w:rsid w:val="25672E21"/>
    <w:rsid w:val="256D11CB"/>
    <w:rsid w:val="2572129F"/>
    <w:rsid w:val="25A84F81"/>
    <w:rsid w:val="26017463"/>
    <w:rsid w:val="2620569F"/>
    <w:rsid w:val="26264CA5"/>
    <w:rsid w:val="26367B9D"/>
    <w:rsid w:val="263A13A7"/>
    <w:rsid w:val="264579D4"/>
    <w:rsid w:val="26570D9B"/>
    <w:rsid w:val="265B4A98"/>
    <w:rsid w:val="26680B82"/>
    <w:rsid w:val="267F7F34"/>
    <w:rsid w:val="26C458D9"/>
    <w:rsid w:val="26C6266E"/>
    <w:rsid w:val="26F96584"/>
    <w:rsid w:val="26FA043B"/>
    <w:rsid w:val="27270BA0"/>
    <w:rsid w:val="27292897"/>
    <w:rsid w:val="272A512B"/>
    <w:rsid w:val="273057C2"/>
    <w:rsid w:val="2736007B"/>
    <w:rsid w:val="27364029"/>
    <w:rsid w:val="27485B61"/>
    <w:rsid w:val="274B08D6"/>
    <w:rsid w:val="27572352"/>
    <w:rsid w:val="27A63803"/>
    <w:rsid w:val="27AA66DF"/>
    <w:rsid w:val="27DE54C8"/>
    <w:rsid w:val="27DF5F83"/>
    <w:rsid w:val="28065029"/>
    <w:rsid w:val="28181A49"/>
    <w:rsid w:val="2881192B"/>
    <w:rsid w:val="28A571BF"/>
    <w:rsid w:val="28BA0544"/>
    <w:rsid w:val="28C825D9"/>
    <w:rsid w:val="28CA538C"/>
    <w:rsid w:val="28CB2378"/>
    <w:rsid w:val="28CC1CA9"/>
    <w:rsid w:val="28CF33C4"/>
    <w:rsid w:val="292213A3"/>
    <w:rsid w:val="29244BC3"/>
    <w:rsid w:val="294444A6"/>
    <w:rsid w:val="29502024"/>
    <w:rsid w:val="29626D9C"/>
    <w:rsid w:val="2983444B"/>
    <w:rsid w:val="29AE4DCD"/>
    <w:rsid w:val="29CD7446"/>
    <w:rsid w:val="2A0C4A85"/>
    <w:rsid w:val="2A182384"/>
    <w:rsid w:val="2A471C5B"/>
    <w:rsid w:val="2A47667E"/>
    <w:rsid w:val="2A7D17D9"/>
    <w:rsid w:val="2A997F46"/>
    <w:rsid w:val="2AA720BD"/>
    <w:rsid w:val="2AB23553"/>
    <w:rsid w:val="2AC6544B"/>
    <w:rsid w:val="2ADA2CBE"/>
    <w:rsid w:val="2AFB2465"/>
    <w:rsid w:val="2B0C5681"/>
    <w:rsid w:val="2B2379C3"/>
    <w:rsid w:val="2B2E6C66"/>
    <w:rsid w:val="2B6215F2"/>
    <w:rsid w:val="2B8B03A5"/>
    <w:rsid w:val="2BB875F8"/>
    <w:rsid w:val="2BCA7BD5"/>
    <w:rsid w:val="2BEE6654"/>
    <w:rsid w:val="2BF06118"/>
    <w:rsid w:val="2C082643"/>
    <w:rsid w:val="2C09361F"/>
    <w:rsid w:val="2C0B09FB"/>
    <w:rsid w:val="2C5F50E7"/>
    <w:rsid w:val="2C80640C"/>
    <w:rsid w:val="2CB044A6"/>
    <w:rsid w:val="2CD3475D"/>
    <w:rsid w:val="2CF471CC"/>
    <w:rsid w:val="2D2B1BF1"/>
    <w:rsid w:val="2D300C2A"/>
    <w:rsid w:val="2D9F4C9A"/>
    <w:rsid w:val="2DBB19C8"/>
    <w:rsid w:val="2E2A3C72"/>
    <w:rsid w:val="2E756EE4"/>
    <w:rsid w:val="2E7A6780"/>
    <w:rsid w:val="2E903AA6"/>
    <w:rsid w:val="2E990EE5"/>
    <w:rsid w:val="2EA74AB7"/>
    <w:rsid w:val="2EEA3EEB"/>
    <w:rsid w:val="2EFE3990"/>
    <w:rsid w:val="2F3474BC"/>
    <w:rsid w:val="2F376972"/>
    <w:rsid w:val="2F5510E8"/>
    <w:rsid w:val="2F915184"/>
    <w:rsid w:val="2FA21EAE"/>
    <w:rsid w:val="2FDB35FD"/>
    <w:rsid w:val="2FDB65AB"/>
    <w:rsid w:val="303655A9"/>
    <w:rsid w:val="303E30E6"/>
    <w:rsid w:val="30416A11"/>
    <w:rsid w:val="30513795"/>
    <w:rsid w:val="3053208E"/>
    <w:rsid w:val="308356D8"/>
    <w:rsid w:val="30EB1091"/>
    <w:rsid w:val="30FA2B83"/>
    <w:rsid w:val="31132AF6"/>
    <w:rsid w:val="31435308"/>
    <w:rsid w:val="316E7B6E"/>
    <w:rsid w:val="31777A59"/>
    <w:rsid w:val="31812D76"/>
    <w:rsid w:val="31B43FAE"/>
    <w:rsid w:val="32073DFD"/>
    <w:rsid w:val="32566F80"/>
    <w:rsid w:val="326233D5"/>
    <w:rsid w:val="326B0EC2"/>
    <w:rsid w:val="326C44C8"/>
    <w:rsid w:val="32BA614A"/>
    <w:rsid w:val="32D1566D"/>
    <w:rsid w:val="32E5345D"/>
    <w:rsid w:val="32EA3EBA"/>
    <w:rsid w:val="330274F1"/>
    <w:rsid w:val="33142F7A"/>
    <w:rsid w:val="334F62FB"/>
    <w:rsid w:val="337335DF"/>
    <w:rsid w:val="337749FD"/>
    <w:rsid w:val="339D73B6"/>
    <w:rsid w:val="33AE4D73"/>
    <w:rsid w:val="33C91820"/>
    <w:rsid w:val="33D86AEF"/>
    <w:rsid w:val="33EC19CF"/>
    <w:rsid w:val="33FB1B8D"/>
    <w:rsid w:val="33FB32EE"/>
    <w:rsid w:val="33FF598D"/>
    <w:rsid w:val="34621545"/>
    <w:rsid w:val="348B0BD6"/>
    <w:rsid w:val="34AA0C12"/>
    <w:rsid w:val="34B2110A"/>
    <w:rsid w:val="34C22379"/>
    <w:rsid w:val="34C50876"/>
    <w:rsid w:val="353C6C05"/>
    <w:rsid w:val="355B21DB"/>
    <w:rsid w:val="355E734D"/>
    <w:rsid w:val="35A013B7"/>
    <w:rsid w:val="35C72AF8"/>
    <w:rsid w:val="35D02BB2"/>
    <w:rsid w:val="35E51E53"/>
    <w:rsid w:val="35F6A475"/>
    <w:rsid w:val="364524C4"/>
    <w:rsid w:val="365D549E"/>
    <w:rsid w:val="366521B7"/>
    <w:rsid w:val="36757D1C"/>
    <w:rsid w:val="36826112"/>
    <w:rsid w:val="36893E31"/>
    <w:rsid w:val="36A070EC"/>
    <w:rsid w:val="36A86116"/>
    <w:rsid w:val="36B42A54"/>
    <w:rsid w:val="36D143C2"/>
    <w:rsid w:val="36E062B6"/>
    <w:rsid w:val="36F10A62"/>
    <w:rsid w:val="36F44BA5"/>
    <w:rsid w:val="370C25EC"/>
    <w:rsid w:val="375D5EFF"/>
    <w:rsid w:val="37606EF4"/>
    <w:rsid w:val="3769177D"/>
    <w:rsid w:val="378C0C0A"/>
    <w:rsid w:val="379530C6"/>
    <w:rsid w:val="37995C56"/>
    <w:rsid w:val="37A02467"/>
    <w:rsid w:val="37AA2A2B"/>
    <w:rsid w:val="37E976EC"/>
    <w:rsid w:val="380D4B9D"/>
    <w:rsid w:val="38121C1A"/>
    <w:rsid w:val="381A0DF2"/>
    <w:rsid w:val="381D0A3E"/>
    <w:rsid w:val="388C1269"/>
    <w:rsid w:val="38986075"/>
    <w:rsid w:val="38A428D6"/>
    <w:rsid w:val="38AA65E7"/>
    <w:rsid w:val="38B00B27"/>
    <w:rsid w:val="38B4055C"/>
    <w:rsid w:val="38C45D4D"/>
    <w:rsid w:val="38EF702B"/>
    <w:rsid w:val="38FA1B06"/>
    <w:rsid w:val="390846BD"/>
    <w:rsid w:val="394542C6"/>
    <w:rsid w:val="394C2D4E"/>
    <w:rsid w:val="3983203B"/>
    <w:rsid w:val="39A63FD7"/>
    <w:rsid w:val="39BF5F6B"/>
    <w:rsid w:val="39C15FF9"/>
    <w:rsid w:val="39F51765"/>
    <w:rsid w:val="39FF6276"/>
    <w:rsid w:val="3A8B0BD2"/>
    <w:rsid w:val="3AB43A4E"/>
    <w:rsid w:val="3AB914E9"/>
    <w:rsid w:val="3ABE2873"/>
    <w:rsid w:val="3AEB3CFC"/>
    <w:rsid w:val="3B30679B"/>
    <w:rsid w:val="3B51044C"/>
    <w:rsid w:val="3B7A345D"/>
    <w:rsid w:val="3B9F7C34"/>
    <w:rsid w:val="3BDF562E"/>
    <w:rsid w:val="3BE21CC8"/>
    <w:rsid w:val="3C18525E"/>
    <w:rsid w:val="3C332BE8"/>
    <w:rsid w:val="3C495BA9"/>
    <w:rsid w:val="3C601413"/>
    <w:rsid w:val="3C846DAF"/>
    <w:rsid w:val="3C8A2EAE"/>
    <w:rsid w:val="3CB96983"/>
    <w:rsid w:val="3CFB4E28"/>
    <w:rsid w:val="3D1F2F22"/>
    <w:rsid w:val="3D1F799D"/>
    <w:rsid w:val="3D271999"/>
    <w:rsid w:val="3D607867"/>
    <w:rsid w:val="3D7777D0"/>
    <w:rsid w:val="3D811E42"/>
    <w:rsid w:val="3D837D98"/>
    <w:rsid w:val="3D922A13"/>
    <w:rsid w:val="3D9E02C2"/>
    <w:rsid w:val="3DC106F4"/>
    <w:rsid w:val="3E2B3F62"/>
    <w:rsid w:val="3E396A25"/>
    <w:rsid w:val="3E4D46A5"/>
    <w:rsid w:val="3E52118C"/>
    <w:rsid w:val="3E91345E"/>
    <w:rsid w:val="3ECC2AD7"/>
    <w:rsid w:val="3EDE5E36"/>
    <w:rsid w:val="3EF43A44"/>
    <w:rsid w:val="3F361EF8"/>
    <w:rsid w:val="3F4C7A99"/>
    <w:rsid w:val="3F5E0CFB"/>
    <w:rsid w:val="3F6820E8"/>
    <w:rsid w:val="3F785E92"/>
    <w:rsid w:val="3F9000D1"/>
    <w:rsid w:val="3FA31F73"/>
    <w:rsid w:val="3FB32FC5"/>
    <w:rsid w:val="3FDF0148"/>
    <w:rsid w:val="3FE26FBD"/>
    <w:rsid w:val="3FE63E16"/>
    <w:rsid w:val="40252866"/>
    <w:rsid w:val="402F04A0"/>
    <w:rsid w:val="408840AB"/>
    <w:rsid w:val="409509DC"/>
    <w:rsid w:val="409E77BA"/>
    <w:rsid w:val="40A57984"/>
    <w:rsid w:val="40BE6BF1"/>
    <w:rsid w:val="415E2689"/>
    <w:rsid w:val="41643F29"/>
    <w:rsid w:val="41823BD3"/>
    <w:rsid w:val="419E1033"/>
    <w:rsid w:val="41D852BC"/>
    <w:rsid w:val="41ED7AF0"/>
    <w:rsid w:val="41F13BCE"/>
    <w:rsid w:val="41FB072E"/>
    <w:rsid w:val="420348D1"/>
    <w:rsid w:val="42097B6B"/>
    <w:rsid w:val="42110FC8"/>
    <w:rsid w:val="42191341"/>
    <w:rsid w:val="422D76F8"/>
    <w:rsid w:val="42394329"/>
    <w:rsid w:val="42436F15"/>
    <w:rsid w:val="424400E8"/>
    <w:rsid w:val="426530D8"/>
    <w:rsid w:val="42BD7C58"/>
    <w:rsid w:val="42C306F7"/>
    <w:rsid w:val="42C813D6"/>
    <w:rsid w:val="42D00689"/>
    <w:rsid w:val="42E62E31"/>
    <w:rsid w:val="42FB44D6"/>
    <w:rsid w:val="42FC0E4A"/>
    <w:rsid w:val="42FE5507"/>
    <w:rsid w:val="432943E8"/>
    <w:rsid w:val="43373249"/>
    <w:rsid w:val="436B7E50"/>
    <w:rsid w:val="437A514A"/>
    <w:rsid w:val="43954197"/>
    <w:rsid w:val="43B82D74"/>
    <w:rsid w:val="43CE2A24"/>
    <w:rsid w:val="43D60DB0"/>
    <w:rsid w:val="43DB6720"/>
    <w:rsid w:val="43E76BE2"/>
    <w:rsid w:val="440627D9"/>
    <w:rsid w:val="44092AA1"/>
    <w:rsid w:val="440C3942"/>
    <w:rsid w:val="44135B78"/>
    <w:rsid w:val="441C759C"/>
    <w:rsid w:val="442B0775"/>
    <w:rsid w:val="44406369"/>
    <w:rsid w:val="44556E66"/>
    <w:rsid w:val="448122BC"/>
    <w:rsid w:val="44B03FEF"/>
    <w:rsid w:val="44B10046"/>
    <w:rsid w:val="44BD5BEE"/>
    <w:rsid w:val="44DF2AE7"/>
    <w:rsid w:val="44E93244"/>
    <w:rsid w:val="4504546D"/>
    <w:rsid w:val="4528670D"/>
    <w:rsid w:val="452A5D48"/>
    <w:rsid w:val="455276EB"/>
    <w:rsid w:val="45C32D56"/>
    <w:rsid w:val="45CC78C7"/>
    <w:rsid w:val="45FE7AE7"/>
    <w:rsid w:val="463020CF"/>
    <w:rsid w:val="46373BE9"/>
    <w:rsid w:val="46524D89"/>
    <w:rsid w:val="468A544C"/>
    <w:rsid w:val="468B1BCE"/>
    <w:rsid w:val="46AC19EA"/>
    <w:rsid w:val="46AD6653"/>
    <w:rsid w:val="46B74165"/>
    <w:rsid w:val="46CA4FFB"/>
    <w:rsid w:val="46DD6398"/>
    <w:rsid w:val="471B661C"/>
    <w:rsid w:val="472752D8"/>
    <w:rsid w:val="47541B92"/>
    <w:rsid w:val="476A51FF"/>
    <w:rsid w:val="47900390"/>
    <w:rsid w:val="47A348CC"/>
    <w:rsid w:val="47B82C9D"/>
    <w:rsid w:val="47F037D9"/>
    <w:rsid w:val="48384B20"/>
    <w:rsid w:val="483940A5"/>
    <w:rsid w:val="489719B6"/>
    <w:rsid w:val="489E512A"/>
    <w:rsid w:val="48BA25C3"/>
    <w:rsid w:val="48D56883"/>
    <w:rsid w:val="493F2F15"/>
    <w:rsid w:val="49532D21"/>
    <w:rsid w:val="49657F06"/>
    <w:rsid w:val="49764533"/>
    <w:rsid w:val="49925A51"/>
    <w:rsid w:val="49AB61D0"/>
    <w:rsid w:val="49C41488"/>
    <w:rsid w:val="49FF3F32"/>
    <w:rsid w:val="4A017DCC"/>
    <w:rsid w:val="4A0A565D"/>
    <w:rsid w:val="4A363203"/>
    <w:rsid w:val="4A363DB5"/>
    <w:rsid w:val="4A623E11"/>
    <w:rsid w:val="4A726792"/>
    <w:rsid w:val="4A7623AC"/>
    <w:rsid w:val="4A766CEB"/>
    <w:rsid w:val="4AA91E37"/>
    <w:rsid w:val="4AC55B2D"/>
    <w:rsid w:val="4B080189"/>
    <w:rsid w:val="4B0F5187"/>
    <w:rsid w:val="4B0F7A7D"/>
    <w:rsid w:val="4B1E68F4"/>
    <w:rsid w:val="4B212B07"/>
    <w:rsid w:val="4B3B2FAC"/>
    <w:rsid w:val="4B5B1DE9"/>
    <w:rsid w:val="4B8B10CA"/>
    <w:rsid w:val="4BA029BD"/>
    <w:rsid w:val="4BAA5015"/>
    <w:rsid w:val="4BB14D2D"/>
    <w:rsid w:val="4BB330D0"/>
    <w:rsid w:val="4BBD259D"/>
    <w:rsid w:val="4BE33A37"/>
    <w:rsid w:val="4BE63907"/>
    <w:rsid w:val="4BF04B51"/>
    <w:rsid w:val="4C3E2A39"/>
    <w:rsid w:val="4C4E3980"/>
    <w:rsid w:val="4C65207D"/>
    <w:rsid w:val="4C672411"/>
    <w:rsid w:val="4CC004FA"/>
    <w:rsid w:val="4CD27102"/>
    <w:rsid w:val="4CDB41B8"/>
    <w:rsid w:val="4CDD5E4B"/>
    <w:rsid w:val="4CDE0D61"/>
    <w:rsid w:val="4D0A770A"/>
    <w:rsid w:val="4D156FC5"/>
    <w:rsid w:val="4D6D77F9"/>
    <w:rsid w:val="4DA6502A"/>
    <w:rsid w:val="4DA76A63"/>
    <w:rsid w:val="4DC40A29"/>
    <w:rsid w:val="4DE04E7C"/>
    <w:rsid w:val="4E0A344B"/>
    <w:rsid w:val="4E6A36F3"/>
    <w:rsid w:val="4E93737E"/>
    <w:rsid w:val="4EA12770"/>
    <w:rsid w:val="4EC046F5"/>
    <w:rsid w:val="4EC93D5C"/>
    <w:rsid w:val="4ECA12B4"/>
    <w:rsid w:val="4EF0641F"/>
    <w:rsid w:val="4EF53B2A"/>
    <w:rsid w:val="4F0F4C4F"/>
    <w:rsid w:val="4F315A8C"/>
    <w:rsid w:val="4F490370"/>
    <w:rsid w:val="4F544D29"/>
    <w:rsid w:val="4F5B7C85"/>
    <w:rsid w:val="4F635298"/>
    <w:rsid w:val="4F9454BF"/>
    <w:rsid w:val="4F9C52B7"/>
    <w:rsid w:val="4FC96B8B"/>
    <w:rsid w:val="4FDA6C8F"/>
    <w:rsid w:val="4FF74967"/>
    <w:rsid w:val="4FFF7151"/>
    <w:rsid w:val="50253FD1"/>
    <w:rsid w:val="502C1819"/>
    <w:rsid w:val="502E1606"/>
    <w:rsid w:val="503E4B73"/>
    <w:rsid w:val="503F546A"/>
    <w:rsid w:val="505A5C1E"/>
    <w:rsid w:val="50813B06"/>
    <w:rsid w:val="508654A4"/>
    <w:rsid w:val="509C25F0"/>
    <w:rsid w:val="50B271A1"/>
    <w:rsid w:val="50C81174"/>
    <w:rsid w:val="511C5162"/>
    <w:rsid w:val="513F29B7"/>
    <w:rsid w:val="517023EE"/>
    <w:rsid w:val="51813D34"/>
    <w:rsid w:val="519A1758"/>
    <w:rsid w:val="51AF1B37"/>
    <w:rsid w:val="51C51E76"/>
    <w:rsid w:val="51CC39AC"/>
    <w:rsid w:val="51E51128"/>
    <w:rsid w:val="522937E0"/>
    <w:rsid w:val="522C3F9D"/>
    <w:rsid w:val="5238713E"/>
    <w:rsid w:val="52D34235"/>
    <w:rsid w:val="534B1A77"/>
    <w:rsid w:val="534B7672"/>
    <w:rsid w:val="536C1090"/>
    <w:rsid w:val="53737C03"/>
    <w:rsid w:val="539A6D7C"/>
    <w:rsid w:val="539E5D3D"/>
    <w:rsid w:val="53EF5A68"/>
    <w:rsid w:val="540079CA"/>
    <w:rsid w:val="54027532"/>
    <w:rsid w:val="540C4F60"/>
    <w:rsid w:val="5419059C"/>
    <w:rsid w:val="54263A70"/>
    <w:rsid w:val="54501B0D"/>
    <w:rsid w:val="545F479A"/>
    <w:rsid w:val="546D5136"/>
    <w:rsid w:val="54777114"/>
    <w:rsid w:val="54872B15"/>
    <w:rsid w:val="54915A97"/>
    <w:rsid w:val="549D6A7C"/>
    <w:rsid w:val="54C74AA6"/>
    <w:rsid w:val="54CE47AF"/>
    <w:rsid w:val="54D359CD"/>
    <w:rsid w:val="54F27669"/>
    <w:rsid w:val="553A5D2A"/>
    <w:rsid w:val="557425CC"/>
    <w:rsid w:val="5587746A"/>
    <w:rsid w:val="55B04437"/>
    <w:rsid w:val="55F01018"/>
    <w:rsid w:val="563665FD"/>
    <w:rsid w:val="56784506"/>
    <w:rsid w:val="56A936AC"/>
    <w:rsid w:val="56BA1C1B"/>
    <w:rsid w:val="56C83A42"/>
    <w:rsid w:val="56FA6D9E"/>
    <w:rsid w:val="573A4220"/>
    <w:rsid w:val="57623859"/>
    <w:rsid w:val="5767274F"/>
    <w:rsid w:val="579E3DE8"/>
    <w:rsid w:val="57A17216"/>
    <w:rsid w:val="57D216E2"/>
    <w:rsid w:val="57D24171"/>
    <w:rsid w:val="57D60097"/>
    <w:rsid w:val="57D66949"/>
    <w:rsid w:val="57DC6A48"/>
    <w:rsid w:val="580B79A8"/>
    <w:rsid w:val="58156F93"/>
    <w:rsid w:val="5827352B"/>
    <w:rsid w:val="586056D5"/>
    <w:rsid w:val="587D6570"/>
    <w:rsid w:val="58826D4F"/>
    <w:rsid w:val="589128D7"/>
    <w:rsid w:val="58A65CBC"/>
    <w:rsid w:val="58B75BC6"/>
    <w:rsid w:val="58D5598B"/>
    <w:rsid w:val="58DA3893"/>
    <w:rsid w:val="58DF0B09"/>
    <w:rsid w:val="58FE149E"/>
    <w:rsid w:val="58FF682C"/>
    <w:rsid w:val="59074942"/>
    <w:rsid w:val="590B5F2B"/>
    <w:rsid w:val="591344BC"/>
    <w:rsid w:val="59362B30"/>
    <w:rsid w:val="593E2DF9"/>
    <w:rsid w:val="59467371"/>
    <w:rsid w:val="596E4C51"/>
    <w:rsid w:val="599B3797"/>
    <w:rsid w:val="59A71B88"/>
    <w:rsid w:val="59AE04C2"/>
    <w:rsid w:val="59AE4E80"/>
    <w:rsid w:val="59E86C16"/>
    <w:rsid w:val="59ED2DB1"/>
    <w:rsid w:val="59F439B7"/>
    <w:rsid w:val="59F8019B"/>
    <w:rsid w:val="5A0278DF"/>
    <w:rsid w:val="5A190E8E"/>
    <w:rsid w:val="5A23356B"/>
    <w:rsid w:val="5A274BC0"/>
    <w:rsid w:val="5A487E05"/>
    <w:rsid w:val="5A53173B"/>
    <w:rsid w:val="5A943606"/>
    <w:rsid w:val="5AAA653F"/>
    <w:rsid w:val="5AB90D1D"/>
    <w:rsid w:val="5ACE62ED"/>
    <w:rsid w:val="5B1E17B1"/>
    <w:rsid w:val="5B2A40D0"/>
    <w:rsid w:val="5B627C79"/>
    <w:rsid w:val="5B651940"/>
    <w:rsid w:val="5B7551AA"/>
    <w:rsid w:val="5B7752B2"/>
    <w:rsid w:val="5B9D3C91"/>
    <w:rsid w:val="5C284E5F"/>
    <w:rsid w:val="5C3C237D"/>
    <w:rsid w:val="5C513549"/>
    <w:rsid w:val="5C6E6E89"/>
    <w:rsid w:val="5C705231"/>
    <w:rsid w:val="5CA55B5B"/>
    <w:rsid w:val="5CAA1701"/>
    <w:rsid w:val="5CC92078"/>
    <w:rsid w:val="5CD50D73"/>
    <w:rsid w:val="5CEC60C7"/>
    <w:rsid w:val="5CF33B63"/>
    <w:rsid w:val="5D0E582F"/>
    <w:rsid w:val="5D323CF7"/>
    <w:rsid w:val="5D5A3682"/>
    <w:rsid w:val="5D647EB1"/>
    <w:rsid w:val="5D9756B6"/>
    <w:rsid w:val="5DAB6C09"/>
    <w:rsid w:val="5DB47DAE"/>
    <w:rsid w:val="5DD62B9F"/>
    <w:rsid w:val="5DF529F6"/>
    <w:rsid w:val="5DFA4DF5"/>
    <w:rsid w:val="5DFD04B0"/>
    <w:rsid w:val="5E495643"/>
    <w:rsid w:val="5E5B734D"/>
    <w:rsid w:val="5E88771E"/>
    <w:rsid w:val="5EE50805"/>
    <w:rsid w:val="5EE72287"/>
    <w:rsid w:val="5F542679"/>
    <w:rsid w:val="5F683DAD"/>
    <w:rsid w:val="5F721E93"/>
    <w:rsid w:val="5F7B0384"/>
    <w:rsid w:val="5FBD661B"/>
    <w:rsid w:val="5FC82634"/>
    <w:rsid w:val="5FCE4DAE"/>
    <w:rsid w:val="600E5982"/>
    <w:rsid w:val="60187C5D"/>
    <w:rsid w:val="60192A4F"/>
    <w:rsid w:val="60196D73"/>
    <w:rsid w:val="602559E8"/>
    <w:rsid w:val="605F5644"/>
    <w:rsid w:val="607A7BA9"/>
    <w:rsid w:val="60952901"/>
    <w:rsid w:val="60A769D5"/>
    <w:rsid w:val="60AA1B42"/>
    <w:rsid w:val="60BA6E11"/>
    <w:rsid w:val="60CE5CE0"/>
    <w:rsid w:val="610D1DA7"/>
    <w:rsid w:val="610E08BB"/>
    <w:rsid w:val="610F2538"/>
    <w:rsid w:val="611A26C4"/>
    <w:rsid w:val="61236265"/>
    <w:rsid w:val="61424A9B"/>
    <w:rsid w:val="61487C66"/>
    <w:rsid w:val="614B012A"/>
    <w:rsid w:val="615D2ABF"/>
    <w:rsid w:val="61680D03"/>
    <w:rsid w:val="616E2687"/>
    <w:rsid w:val="61892938"/>
    <w:rsid w:val="61956448"/>
    <w:rsid w:val="61AD6848"/>
    <w:rsid w:val="61B22E46"/>
    <w:rsid w:val="61CD3E9E"/>
    <w:rsid w:val="61CE3444"/>
    <w:rsid w:val="61EB6F89"/>
    <w:rsid w:val="61F5316A"/>
    <w:rsid w:val="61F8409E"/>
    <w:rsid w:val="61F914DB"/>
    <w:rsid w:val="61FB1170"/>
    <w:rsid w:val="62340F33"/>
    <w:rsid w:val="62385B9D"/>
    <w:rsid w:val="624D7F7B"/>
    <w:rsid w:val="628E5793"/>
    <w:rsid w:val="62A24636"/>
    <w:rsid w:val="62AB50D5"/>
    <w:rsid w:val="62AB618D"/>
    <w:rsid w:val="62E10125"/>
    <w:rsid w:val="62E369AA"/>
    <w:rsid w:val="62E927C6"/>
    <w:rsid w:val="630A568F"/>
    <w:rsid w:val="63152ED4"/>
    <w:rsid w:val="631D691C"/>
    <w:rsid w:val="6327472E"/>
    <w:rsid w:val="632A078C"/>
    <w:rsid w:val="63777206"/>
    <w:rsid w:val="637A2200"/>
    <w:rsid w:val="638915AD"/>
    <w:rsid w:val="63B10689"/>
    <w:rsid w:val="63B774D5"/>
    <w:rsid w:val="63E462FC"/>
    <w:rsid w:val="63FA115E"/>
    <w:rsid w:val="640A1FA5"/>
    <w:rsid w:val="642E187B"/>
    <w:rsid w:val="64771B6A"/>
    <w:rsid w:val="648E755D"/>
    <w:rsid w:val="64CE3708"/>
    <w:rsid w:val="64DB4C47"/>
    <w:rsid w:val="64DE04C9"/>
    <w:rsid w:val="64EE150A"/>
    <w:rsid w:val="64FC6714"/>
    <w:rsid w:val="65005F10"/>
    <w:rsid w:val="65076735"/>
    <w:rsid w:val="65096DD2"/>
    <w:rsid w:val="650C4AC7"/>
    <w:rsid w:val="65415492"/>
    <w:rsid w:val="65736522"/>
    <w:rsid w:val="65AB2B63"/>
    <w:rsid w:val="65BD4108"/>
    <w:rsid w:val="65C411ED"/>
    <w:rsid w:val="65CA13E4"/>
    <w:rsid w:val="65CB583A"/>
    <w:rsid w:val="65D02A4F"/>
    <w:rsid w:val="65EE47FE"/>
    <w:rsid w:val="65F46315"/>
    <w:rsid w:val="660233C9"/>
    <w:rsid w:val="662D29B4"/>
    <w:rsid w:val="663A5F3D"/>
    <w:rsid w:val="666E275C"/>
    <w:rsid w:val="669F0ADA"/>
    <w:rsid w:val="66AB017E"/>
    <w:rsid w:val="67053766"/>
    <w:rsid w:val="6746409B"/>
    <w:rsid w:val="675D5863"/>
    <w:rsid w:val="67643C12"/>
    <w:rsid w:val="67900263"/>
    <w:rsid w:val="679E3210"/>
    <w:rsid w:val="67B71080"/>
    <w:rsid w:val="67EA3A94"/>
    <w:rsid w:val="67FB2AE9"/>
    <w:rsid w:val="680A7FD6"/>
    <w:rsid w:val="68312EAF"/>
    <w:rsid w:val="683507BE"/>
    <w:rsid w:val="68451127"/>
    <w:rsid w:val="684C12C1"/>
    <w:rsid w:val="685F0CD2"/>
    <w:rsid w:val="68692E91"/>
    <w:rsid w:val="68692F69"/>
    <w:rsid w:val="689F5BD1"/>
    <w:rsid w:val="68AC3D57"/>
    <w:rsid w:val="68B63CD3"/>
    <w:rsid w:val="68CF7C43"/>
    <w:rsid w:val="68DF0EAB"/>
    <w:rsid w:val="69016A08"/>
    <w:rsid w:val="69D866C6"/>
    <w:rsid w:val="69F861E6"/>
    <w:rsid w:val="6A21309F"/>
    <w:rsid w:val="6A3D338C"/>
    <w:rsid w:val="6A454B85"/>
    <w:rsid w:val="6A482AAF"/>
    <w:rsid w:val="6A941E18"/>
    <w:rsid w:val="6A9D0F41"/>
    <w:rsid w:val="6AA113ED"/>
    <w:rsid w:val="6ACB3B1B"/>
    <w:rsid w:val="6AD42C9D"/>
    <w:rsid w:val="6AED1E34"/>
    <w:rsid w:val="6B0E62E1"/>
    <w:rsid w:val="6B2166BD"/>
    <w:rsid w:val="6B41702A"/>
    <w:rsid w:val="6B4E5A26"/>
    <w:rsid w:val="6B54748C"/>
    <w:rsid w:val="6B57179B"/>
    <w:rsid w:val="6B5C3188"/>
    <w:rsid w:val="6B617384"/>
    <w:rsid w:val="6B7B3DBF"/>
    <w:rsid w:val="6B882545"/>
    <w:rsid w:val="6BBA42EA"/>
    <w:rsid w:val="6BBE2563"/>
    <w:rsid w:val="6BF504BB"/>
    <w:rsid w:val="6BFC4560"/>
    <w:rsid w:val="6C023ED5"/>
    <w:rsid w:val="6C1437AA"/>
    <w:rsid w:val="6C851D38"/>
    <w:rsid w:val="6C8978CF"/>
    <w:rsid w:val="6C9169FC"/>
    <w:rsid w:val="6CCA3F84"/>
    <w:rsid w:val="6CDA5B84"/>
    <w:rsid w:val="6CE35E9B"/>
    <w:rsid w:val="6CF82CD9"/>
    <w:rsid w:val="6D6502CE"/>
    <w:rsid w:val="6D9240B6"/>
    <w:rsid w:val="6DB419BD"/>
    <w:rsid w:val="6E0E1ECC"/>
    <w:rsid w:val="6E2957FB"/>
    <w:rsid w:val="6E6D51F2"/>
    <w:rsid w:val="6E7F2C6B"/>
    <w:rsid w:val="6EA2541F"/>
    <w:rsid w:val="6EAE3E73"/>
    <w:rsid w:val="6EC25185"/>
    <w:rsid w:val="6ED00439"/>
    <w:rsid w:val="6EF62EC0"/>
    <w:rsid w:val="6EFC5550"/>
    <w:rsid w:val="6F0D2199"/>
    <w:rsid w:val="6F0F7DCB"/>
    <w:rsid w:val="6F284C65"/>
    <w:rsid w:val="6F2F2F24"/>
    <w:rsid w:val="6F312DD8"/>
    <w:rsid w:val="6F421919"/>
    <w:rsid w:val="6F735E73"/>
    <w:rsid w:val="6F8D13C7"/>
    <w:rsid w:val="6FC3526C"/>
    <w:rsid w:val="6FC72A57"/>
    <w:rsid w:val="6FE20A31"/>
    <w:rsid w:val="6FE87B87"/>
    <w:rsid w:val="6FF7297A"/>
    <w:rsid w:val="6FFE1AE2"/>
    <w:rsid w:val="700F12CD"/>
    <w:rsid w:val="701428CE"/>
    <w:rsid w:val="70327E1E"/>
    <w:rsid w:val="704F7779"/>
    <w:rsid w:val="708F4923"/>
    <w:rsid w:val="70B25961"/>
    <w:rsid w:val="70B75B8D"/>
    <w:rsid w:val="70BF6591"/>
    <w:rsid w:val="711A18D2"/>
    <w:rsid w:val="712966A9"/>
    <w:rsid w:val="712F60F6"/>
    <w:rsid w:val="714D6817"/>
    <w:rsid w:val="71524046"/>
    <w:rsid w:val="71533ADD"/>
    <w:rsid w:val="717D1E65"/>
    <w:rsid w:val="71A66CC4"/>
    <w:rsid w:val="720555E9"/>
    <w:rsid w:val="72193393"/>
    <w:rsid w:val="72331CBD"/>
    <w:rsid w:val="723604A8"/>
    <w:rsid w:val="724701E1"/>
    <w:rsid w:val="725255EA"/>
    <w:rsid w:val="72BC45BE"/>
    <w:rsid w:val="72BF19FC"/>
    <w:rsid w:val="72D9434B"/>
    <w:rsid w:val="72F82052"/>
    <w:rsid w:val="730C26C5"/>
    <w:rsid w:val="733266A8"/>
    <w:rsid w:val="73495B13"/>
    <w:rsid w:val="735815B6"/>
    <w:rsid w:val="738A7EAD"/>
    <w:rsid w:val="739D7139"/>
    <w:rsid w:val="73D52A30"/>
    <w:rsid w:val="73DD0E3C"/>
    <w:rsid w:val="74236B2B"/>
    <w:rsid w:val="74455D52"/>
    <w:rsid w:val="74531D63"/>
    <w:rsid w:val="747760CD"/>
    <w:rsid w:val="748F7B9E"/>
    <w:rsid w:val="74A84EFE"/>
    <w:rsid w:val="750A62DD"/>
    <w:rsid w:val="75277DE4"/>
    <w:rsid w:val="75322466"/>
    <w:rsid w:val="7564418B"/>
    <w:rsid w:val="757440DB"/>
    <w:rsid w:val="757A05DB"/>
    <w:rsid w:val="75816E28"/>
    <w:rsid w:val="759A5286"/>
    <w:rsid w:val="75ED33C8"/>
    <w:rsid w:val="75F67E88"/>
    <w:rsid w:val="76004CA4"/>
    <w:rsid w:val="76425EE2"/>
    <w:rsid w:val="7653072E"/>
    <w:rsid w:val="766E623E"/>
    <w:rsid w:val="76822B21"/>
    <w:rsid w:val="768C5471"/>
    <w:rsid w:val="769D58AC"/>
    <w:rsid w:val="76AA4B74"/>
    <w:rsid w:val="76B66965"/>
    <w:rsid w:val="76CA5D5C"/>
    <w:rsid w:val="77074F83"/>
    <w:rsid w:val="77220BD7"/>
    <w:rsid w:val="77414AC2"/>
    <w:rsid w:val="7748610F"/>
    <w:rsid w:val="775A38CC"/>
    <w:rsid w:val="776F67CD"/>
    <w:rsid w:val="77722FE6"/>
    <w:rsid w:val="777D2FED"/>
    <w:rsid w:val="7782689D"/>
    <w:rsid w:val="77976DFF"/>
    <w:rsid w:val="77A05771"/>
    <w:rsid w:val="77C21737"/>
    <w:rsid w:val="77CF0EAB"/>
    <w:rsid w:val="77E13603"/>
    <w:rsid w:val="77E77201"/>
    <w:rsid w:val="78116B04"/>
    <w:rsid w:val="78315D73"/>
    <w:rsid w:val="78336A8F"/>
    <w:rsid w:val="78355045"/>
    <w:rsid w:val="783D3E40"/>
    <w:rsid w:val="78716670"/>
    <w:rsid w:val="78965C28"/>
    <w:rsid w:val="78D953FA"/>
    <w:rsid w:val="78F37672"/>
    <w:rsid w:val="79345A3C"/>
    <w:rsid w:val="79372DC5"/>
    <w:rsid w:val="79374D5A"/>
    <w:rsid w:val="793A2AF8"/>
    <w:rsid w:val="793B28A6"/>
    <w:rsid w:val="796E5F2A"/>
    <w:rsid w:val="7974588C"/>
    <w:rsid w:val="7976223C"/>
    <w:rsid w:val="79933EDD"/>
    <w:rsid w:val="799776C8"/>
    <w:rsid w:val="79A53549"/>
    <w:rsid w:val="79AB350C"/>
    <w:rsid w:val="79C6663C"/>
    <w:rsid w:val="79E403F0"/>
    <w:rsid w:val="79EB5BE8"/>
    <w:rsid w:val="79F227D0"/>
    <w:rsid w:val="79FC6EBF"/>
    <w:rsid w:val="7A065A32"/>
    <w:rsid w:val="7A481500"/>
    <w:rsid w:val="7A587B79"/>
    <w:rsid w:val="7A99482C"/>
    <w:rsid w:val="7ACC2E74"/>
    <w:rsid w:val="7ACC428D"/>
    <w:rsid w:val="7AF5295B"/>
    <w:rsid w:val="7B1607CA"/>
    <w:rsid w:val="7B3E05B4"/>
    <w:rsid w:val="7B6056F6"/>
    <w:rsid w:val="7B6E6A55"/>
    <w:rsid w:val="7B750DE8"/>
    <w:rsid w:val="7B7E586C"/>
    <w:rsid w:val="7B8B0C38"/>
    <w:rsid w:val="7B914C83"/>
    <w:rsid w:val="7B9850A6"/>
    <w:rsid w:val="7BE032DA"/>
    <w:rsid w:val="7BF049EB"/>
    <w:rsid w:val="7C146461"/>
    <w:rsid w:val="7C221215"/>
    <w:rsid w:val="7C377446"/>
    <w:rsid w:val="7C5A6DFB"/>
    <w:rsid w:val="7C6E35CD"/>
    <w:rsid w:val="7CA00D26"/>
    <w:rsid w:val="7CB623F6"/>
    <w:rsid w:val="7CC30BB4"/>
    <w:rsid w:val="7CCF3C06"/>
    <w:rsid w:val="7CD12BEF"/>
    <w:rsid w:val="7CD9506D"/>
    <w:rsid w:val="7D076221"/>
    <w:rsid w:val="7D144EB5"/>
    <w:rsid w:val="7D6D2AF7"/>
    <w:rsid w:val="7D713FBB"/>
    <w:rsid w:val="7D8A60E2"/>
    <w:rsid w:val="7E0A5B14"/>
    <w:rsid w:val="7E121FB6"/>
    <w:rsid w:val="7E2205D3"/>
    <w:rsid w:val="7E385C8F"/>
    <w:rsid w:val="7E3C6F26"/>
    <w:rsid w:val="7E5B31B8"/>
    <w:rsid w:val="7E6A484C"/>
    <w:rsid w:val="7E9D6F63"/>
    <w:rsid w:val="7EEB718E"/>
    <w:rsid w:val="7EFF380E"/>
    <w:rsid w:val="7F053BD5"/>
    <w:rsid w:val="7F47353B"/>
    <w:rsid w:val="7F555E1A"/>
    <w:rsid w:val="7F5D55B5"/>
    <w:rsid w:val="7F680ECA"/>
    <w:rsid w:val="7FAA326A"/>
    <w:rsid w:val="7FB76A3C"/>
    <w:rsid w:val="7FBF449C"/>
    <w:rsid w:val="7FCE7C89"/>
    <w:rsid w:val="7FD103CF"/>
    <w:rsid w:val="7FD6732C"/>
    <w:rsid w:val="7FE42AA2"/>
    <w:rsid w:val="7FEE41AB"/>
    <w:rsid w:val="7FFB67C7"/>
    <w:rsid w:val="A8FBB4DB"/>
    <w:rsid w:val="AB7B1409"/>
    <w:rsid w:val="EB9F7A9A"/>
    <w:rsid w:val="FF69A8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5"/>
    <w:qFormat/>
    <w:uiPriority w:val="9"/>
    <w:pPr>
      <w:spacing w:line="590" w:lineRule="exact"/>
      <w:ind w:firstLine="880" w:firstLineChars="200"/>
      <w:outlineLvl w:val="0"/>
    </w:pPr>
    <w:rPr>
      <w:rFonts w:ascii="黑体" w:hAnsi="黑体" w:eastAsia="黑体"/>
      <w:bCs/>
      <w:kern w:val="44"/>
      <w:sz w:val="32"/>
      <w:szCs w:val="44"/>
    </w:rPr>
  </w:style>
  <w:style w:type="paragraph" w:styleId="4">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annotation text"/>
    <w:basedOn w:val="1"/>
    <w:link w:val="29"/>
    <w:semiHidden/>
    <w:unhideWhenUsed/>
    <w:qFormat/>
    <w:uiPriority w:val="99"/>
    <w:pPr>
      <w:jc w:val="left"/>
    </w:pPr>
  </w:style>
  <w:style w:type="paragraph" w:styleId="7">
    <w:name w:val="Body Text"/>
    <w:basedOn w:val="1"/>
    <w:next w:val="1"/>
    <w:qFormat/>
    <w:uiPriority w:val="1"/>
    <w:pPr>
      <w:ind w:left="119"/>
    </w:pPr>
    <w:rPr>
      <w:rFonts w:ascii="仿宋_GB2312" w:hAnsi="仿宋_GB2312" w:eastAsia="仿宋_GB2312" w:cs="Times New Roman"/>
      <w:sz w:val="30"/>
      <w:szCs w:val="30"/>
      <w:lang w:eastAsia="en-US"/>
    </w:rPr>
  </w:style>
  <w:style w:type="paragraph" w:styleId="8">
    <w:name w:val="toc 3"/>
    <w:basedOn w:val="1"/>
    <w:next w:val="1"/>
    <w:unhideWhenUsed/>
    <w:qFormat/>
    <w:uiPriority w:val="39"/>
    <w:pPr>
      <w:widowControl/>
      <w:spacing w:after="100" w:line="276" w:lineRule="auto"/>
      <w:ind w:left="440"/>
      <w:jc w:val="left"/>
    </w:pPr>
    <w:rPr>
      <w:kern w:val="0"/>
      <w:sz w:val="22"/>
    </w:rPr>
  </w:style>
  <w:style w:type="paragraph" w:styleId="9">
    <w:name w:val="Balloon Text"/>
    <w:basedOn w:val="1"/>
    <w:link w:val="27"/>
    <w:semiHidden/>
    <w:unhideWhenUsed/>
    <w:qFormat/>
    <w:uiPriority w:val="99"/>
    <w:rPr>
      <w:sz w:val="18"/>
      <w:szCs w:val="18"/>
    </w:rPr>
  </w:style>
  <w:style w:type="paragraph" w:styleId="10">
    <w:name w:val="footer"/>
    <w:basedOn w:val="1"/>
    <w:next w:val="11"/>
    <w:link w:val="24"/>
    <w:unhideWhenUsed/>
    <w:qFormat/>
    <w:uiPriority w:val="99"/>
    <w:pPr>
      <w:tabs>
        <w:tab w:val="center" w:pos="4153"/>
        <w:tab w:val="right" w:pos="8306"/>
      </w:tabs>
      <w:snapToGrid w:val="0"/>
      <w:jc w:val="left"/>
    </w:pPr>
    <w:rPr>
      <w:sz w:val="18"/>
      <w:szCs w:val="18"/>
    </w:rPr>
  </w:style>
  <w:style w:type="paragraph" w:styleId="11">
    <w:name w:val="Normal (Web)"/>
    <w:basedOn w:val="1"/>
    <w:next w:val="10"/>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spacing w:line="540" w:lineRule="exact"/>
    </w:pPr>
    <w:rPr>
      <w:rFonts w:ascii="Times New Roman" w:hAnsi="Times New Roman" w:eastAsia="黑体" w:cs="Times New Roman"/>
      <w:sz w:val="28"/>
      <w:szCs w:val="24"/>
    </w:rPr>
  </w:style>
  <w:style w:type="paragraph" w:styleId="14">
    <w:name w:val="toc 2"/>
    <w:basedOn w:val="1"/>
    <w:next w:val="1"/>
    <w:qFormat/>
    <w:uiPriority w:val="39"/>
    <w:pPr>
      <w:spacing w:line="540" w:lineRule="exact"/>
      <w:ind w:left="420" w:leftChars="200"/>
    </w:pPr>
    <w:rPr>
      <w:rFonts w:ascii="Times New Roman" w:hAnsi="Times New Roman" w:eastAsia="楷体" w:cs="Times New Roman"/>
      <w:sz w:val="28"/>
      <w:szCs w:val="24"/>
    </w:rPr>
  </w:style>
  <w:style w:type="paragraph" w:styleId="15">
    <w:name w:val="annotation subject"/>
    <w:basedOn w:val="6"/>
    <w:next w:val="6"/>
    <w:link w:val="30"/>
    <w:semiHidden/>
    <w:unhideWhenUsed/>
    <w:qFormat/>
    <w:uiPriority w:val="99"/>
    <w:rPr>
      <w:b/>
      <w:bCs/>
    </w:rPr>
  </w:style>
  <w:style w:type="table" w:styleId="17">
    <w:name w:val="Table Grid"/>
    <w:basedOn w:val="16"/>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9">
    <w:name w:val="page number"/>
    <w:basedOn w:val="18"/>
    <w:qFormat/>
    <w:uiPriority w:val="0"/>
  </w:style>
  <w:style w:type="character" w:styleId="20">
    <w:name w:val="Hyperlink"/>
    <w:unhideWhenUsed/>
    <w:qFormat/>
    <w:uiPriority w:val="99"/>
    <w:rPr>
      <w:color w:val="0000FF"/>
      <w:u w:val="single"/>
    </w:rPr>
  </w:style>
  <w:style w:type="character" w:styleId="21">
    <w:name w:val="annotation reference"/>
    <w:basedOn w:val="18"/>
    <w:semiHidden/>
    <w:unhideWhenUsed/>
    <w:qFormat/>
    <w:uiPriority w:val="99"/>
    <w:rPr>
      <w:sz w:val="21"/>
      <w:szCs w:val="21"/>
    </w:rPr>
  </w:style>
  <w:style w:type="paragraph" w:customStyle="1" w:styleId="22">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23">
    <w:name w:val="页眉 字符"/>
    <w:basedOn w:val="18"/>
    <w:link w:val="12"/>
    <w:qFormat/>
    <w:uiPriority w:val="99"/>
    <w:rPr>
      <w:sz w:val="18"/>
      <w:szCs w:val="18"/>
    </w:rPr>
  </w:style>
  <w:style w:type="character" w:customStyle="1" w:styleId="24">
    <w:name w:val="页脚 字符"/>
    <w:basedOn w:val="18"/>
    <w:link w:val="10"/>
    <w:qFormat/>
    <w:uiPriority w:val="99"/>
    <w:rPr>
      <w:sz w:val="18"/>
      <w:szCs w:val="18"/>
    </w:rPr>
  </w:style>
  <w:style w:type="character" w:customStyle="1" w:styleId="25">
    <w:name w:val="标题 1 字符"/>
    <w:basedOn w:val="18"/>
    <w:link w:val="3"/>
    <w:qFormat/>
    <w:uiPriority w:val="9"/>
    <w:rPr>
      <w:rFonts w:ascii="黑体" w:hAnsi="黑体" w:eastAsia="黑体"/>
      <w:bCs/>
      <w:kern w:val="44"/>
      <w:sz w:val="32"/>
      <w:szCs w:val="44"/>
    </w:rPr>
  </w:style>
  <w:style w:type="paragraph" w:customStyle="1" w:styleId="26">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字符"/>
    <w:basedOn w:val="18"/>
    <w:link w:val="9"/>
    <w:semiHidden/>
    <w:qFormat/>
    <w:uiPriority w:val="99"/>
    <w:rPr>
      <w:sz w:val="18"/>
      <w:szCs w:val="18"/>
    </w:rPr>
  </w:style>
  <w:style w:type="paragraph" w:styleId="28">
    <w:name w:val="List Paragraph"/>
    <w:basedOn w:val="1"/>
    <w:qFormat/>
    <w:uiPriority w:val="34"/>
    <w:pPr>
      <w:ind w:firstLine="420" w:firstLineChars="200"/>
    </w:pPr>
  </w:style>
  <w:style w:type="character" w:customStyle="1" w:styleId="29">
    <w:name w:val="批注文字 字符"/>
    <w:basedOn w:val="18"/>
    <w:link w:val="6"/>
    <w:semiHidden/>
    <w:qFormat/>
    <w:uiPriority w:val="99"/>
  </w:style>
  <w:style w:type="character" w:customStyle="1" w:styleId="30">
    <w:name w:val="批注主题 字符"/>
    <w:basedOn w:val="29"/>
    <w:link w:val="15"/>
    <w:semiHidden/>
    <w:qFormat/>
    <w:uiPriority w:val="99"/>
    <w:rPr>
      <w:b/>
      <w:bCs/>
    </w:rPr>
  </w:style>
  <w:style w:type="character" w:customStyle="1" w:styleId="31">
    <w:name w:val="font11"/>
    <w:basedOn w:val="18"/>
    <w:qFormat/>
    <w:uiPriority w:val="0"/>
    <w:rPr>
      <w:rFonts w:ascii="仿宋_GB2312" w:eastAsia="仿宋_GB2312" w:cs="仿宋_GB2312"/>
      <w:color w:val="000000"/>
      <w:sz w:val="22"/>
      <w:szCs w:val="22"/>
      <w:u w:val="none"/>
    </w:rPr>
  </w:style>
  <w:style w:type="character" w:customStyle="1" w:styleId="32">
    <w:name w:val="font81"/>
    <w:basedOn w:val="18"/>
    <w:qFormat/>
    <w:uiPriority w:val="0"/>
    <w:rPr>
      <w:rFonts w:hint="default" w:ascii="Times New Roman" w:hAnsi="Times New Roman" w:cs="Times New Roman"/>
      <w:b/>
      <w:color w:val="000000"/>
      <w:sz w:val="22"/>
      <w:szCs w:val="22"/>
      <w:u w:val="none"/>
    </w:rPr>
  </w:style>
  <w:style w:type="character" w:customStyle="1" w:styleId="33">
    <w:name w:val="font21"/>
    <w:basedOn w:val="18"/>
    <w:qFormat/>
    <w:uiPriority w:val="0"/>
    <w:rPr>
      <w:rFonts w:ascii="仿宋_GB2312" w:eastAsia="仿宋_GB2312" w:cs="仿宋_GB2312"/>
      <w:color w:val="000000"/>
      <w:sz w:val="22"/>
      <w:szCs w:val="22"/>
      <w:u w:val="none"/>
    </w:rPr>
  </w:style>
  <w:style w:type="character" w:customStyle="1" w:styleId="34">
    <w:name w:val="font31"/>
    <w:basedOn w:val="18"/>
    <w:qFormat/>
    <w:uiPriority w:val="0"/>
    <w:rPr>
      <w:rFonts w:ascii="仿宋_GB2312" w:eastAsia="仿宋_GB2312" w:cs="仿宋_GB2312"/>
      <w:color w:val="000000"/>
      <w:sz w:val="22"/>
      <w:szCs w:val="22"/>
      <w:u w:val="none"/>
    </w:rPr>
  </w:style>
  <w:style w:type="character" w:customStyle="1" w:styleId="35">
    <w:name w:val="font41"/>
    <w:basedOn w:val="18"/>
    <w:qFormat/>
    <w:uiPriority w:val="0"/>
    <w:rPr>
      <w:rFonts w:hint="default" w:ascii="Times New Roman" w:hAnsi="Times New Roman" w:cs="Times New Roman"/>
      <w:color w:val="000000"/>
      <w:sz w:val="22"/>
      <w:szCs w:val="22"/>
      <w:u w:val="none"/>
    </w:rPr>
  </w:style>
  <w:style w:type="character" w:customStyle="1" w:styleId="36">
    <w:name w:val="font01"/>
    <w:basedOn w:val="18"/>
    <w:qFormat/>
    <w:uiPriority w:val="0"/>
    <w:rPr>
      <w:rFonts w:hint="eastAsia" w:ascii="仿宋_GB2312" w:eastAsia="仿宋_GB2312" w:cs="仿宋_GB2312"/>
      <w:color w:val="000000"/>
      <w:sz w:val="22"/>
      <w:szCs w:val="22"/>
      <w:u w:val="none"/>
    </w:rPr>
  </w:style>
  <w:style w:type="paragraph" w:customStyle="1" w:styleId="3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8">
    <w:name w:val="font91"/>
    <w:basedOn w:val="18"/>
    <w:qFormat/>
    <w:uiPriority w:val="0"/>
    <w:rPr>
      <w:rFonts w:hint="eastAsia" w:ascii="仿宋_GB2312" w:eastAsia="仿宋_GB2312" w:cs="仿宋_GB2312"/>
      <w:color w:val="000000"/>
      <w:sz w:val="22"/>
      <w:szCs w:val="22"/>
      <w:u w:val="none"/>
    </w:rPr>
  </w:style>
  <w:style w:type="character" w:customStyle="1" w:styleId="39">
    <w:name w:val="font61"/>
    <w:basedOn w:val="18"/>
    <w:qFormat/>
    <w:uiPriority w:val="0"/>
    <w:rPr>
      <w:rFonts w:ascii="仿宋_GB2312" w:eastAsia="仿宋_GB2312" w:cs="仿宋_GB2312"/>
      <w:b/>
      <w:color w:val="000000"/>
      <w:sz w:val="22"/>
      <w:szCs w:val="22"/>
      <w:u w:val="none"/>
    </w:rPr>
  </w:style>
  <w:style w:type="character" w:customStyle="1" w:styleId="40">
    <w:name w:val="font51"/>
    <w:basedOn w:val="18"/>
    <w:qFormat/>
    <w:uiPriority w:val="0"/>
    <w:rPr>
      <w:rFonts w:hint="eastAsia" w:ascii="仿宋_GB2312" w:eastAsia="仿宋_GB2312" w:cs="仿宋_GB2312"/>
      <w:b/>
      <w:color w:val="000000"/>
      <w:sz w:val="24"/>
      <w:szCs w:val="24"/>
      <w:u w:val="none"/>
    </w:rPr>
  </w:style>
  <w:style w:type="character" w:customStyle="1" w:styleId="41">
    <w:name w:val="font101"/>
    <w:basedOn w:val="18"/>
    <w:qFormat/>
    <w:uiPriority w:val="0"/>
    <w:rPr>
      <w:rFonts w:hint="default" w:ascii="Times New Roman" w:hAnsi="Times New Roman" w:cs="Times New Roman"/>
      <w:color w:val="000000"/>
      <w:sz w:val="24"/>
      <w:szCs w:val="24"/>
      <w:u w:val="none"/>
    </w:rPr>
  </w:style>
  <w:style w:type="character" w:customStyle="1" w:styleId="42">
    <w:name w:val="font71"/>
    <w:basedOn w:val="18"/>
    <w:qFormat/>
    <w:uiPriority w:val="0"/>
    <w:rPr>
      <w:rFonts w:hint="eastAsia" w:ascii="仿宋_GB2312" w:eastAsia="仿宋_GB2312" w:cs="仿宋_GB2312"/>
      <w:color w:val="000000"/>
      <w:sz w:val="24"/>
      <w:szCs w:val="24"/>
      <w:u w:val="none"/>
    </w:rPr>
  </w:style>
  <w:style w:type="character" w:customStyle="1" w:styleId="43">
    <w:name w:val="font112"/>
    <w:basedOn w:val="18"/>
    <w:qFormat/>
    <w:uiPriority w:val="0"/>
    <w:rPr>
      <w:rFonts w:hint="default" w:ascii="Times New Roman" w:hAnsi="Times New Roman" w:cs="Times New Roman"/>
      <w:color w:val="000000"/>
      <w:sz w:val="24"/>
      <w:szCs w:val="24"/>
      <w:u w:val="none"/>
    </w:rPr>
  </w:style>
  <w:style w:type="character" w:customStyle="1" w:styleId="44">
    <w:name w:val="font121"/>
    <w:basedOn w:val="18"/>
    <w:qFormat/>
    <w:uiPriority w:val="0"/>
    <w:rPr>
      <w:rFonts w:hint="eastAsia" w:ascii="仿宋_GB2312" w:eastAsia="仿宋_GB2312" w:cs="仿宋_GB2312"/>
      <w:b/>
      <w:color w:val="000000"/>
      <w:sz w:val="22"/>
      <w:szCs w:val="22"/>
      <w:u w:val="none"/>
    </w:rPr>
  </w:style>
  <w:style w:type="character" w:customStyle="1" w:styleId="45">
    <w:name w:val="font131"/>
    <w:basedOn w:val="18"/>
    <w:qFormat/>
    <w:uiPriority w:val="0"/>
    <w:rPr>
      <w:rFonts w:hint="eastAsia" w:ascii="仿宋_GB2312" w:eastAsia="仿宋_GB2312" w:cs="仿宋_GB2312"/>
      <w:b/>
      <w:color w:val="000000"/>
      <w:sz w:val="22"/>
      <w:szCs w:val="22"/>
      <w:u w:val="none"/>
    </w:rPr>
  </w:style>
  <w:style w:type="paragraph" w:customStyle="1" w:styleId="46">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7">
    <w:name w:val="表头"/>
    <w:basedOn w:val="1"/>
    <w:qFormat/>
    <w:uiPriority w:val="0"/>
    <w:pPr>
      <w:spacing w:line="240" w:lineRule="auto"/>
      <w:ind w:firstLine="0" w:firstLineChars="0"/>
      <w:jc w:val="center"/>
    </w:pPr>
    <w:rPr>
      <w:rFonts w:eastAsia="黑体"/>
      <w:sz w:val="24"/>
    </w:rPr>
  </w:style>
  <w:style w:type="paragraph" w:customStyle="1" w:styleId="48">
    <w:name w:val=" Char Char Char1 Char Char Char Char"/>
    <w:basedOn w:val="1"/>
    <w:qFormat/>
    <w:uiPriority w:val="0"/>
  </w:style>
  <w:style w:type="character" w:customStyle="1" w:styleId="49">
    <w:name w:val="font141"/>
    <w:basedOn w:val="18"/>
    <w:qFormat/>
    <w:uiPriority w:val="0"/>
    <w:rPr>
      <w:rFonts w:hint="eastAsia" w:ascii="宋体" w:hAnsi="宋体" w:eastAsia="宋体" w:cs="宋体"/>
      <w:b/>
      <w:bCs/>
      <w:color w:val="000000"/>
      <w:sz w:val="22"/>
      <w:szCs w:val="22"/>
      <w:u w:val="none"/>
    </w:rPr>
  </w:style>
  <w:style w:type="character" w:customStyle="1" w:styleId="50">
    <w:name w:val="font12"/>
    <w:basedOn w:val="18"/>
    <w:qFormat/>
    <w:uiPriority w:val="0"/>
    <w:rPr>
      <w:rFonts w:hint="default" w:ascii="Times New Roman" w:hAnsi="Times New Roman" w:cs="Times New Roman"/>
      <w:color w:val="000000"/>
      <w:sz w:val="22"/>
      <w:szCs w:val="22"/>
      <w:u w:val="none"/>
    </w:rPr>
  </w:style>
  <w:style w:type="character" w:customStyle="1" w:styleId="51">
    <w:name w:val="font122"/>
    <w:basedOn w:val="1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30</Pages>
  <Words>10129</Words>
  <Characters>11108</Characters>
  <Lines>1</Lines>
  <Paragraphs>1</Paragraphs>
  <TotalTime>1</TotalTime>
  <ScaleCrop>false</ScaleCrop>
  <LinksUpToDate>false</LinksUpToDate>
  <CharactersWithSpaces>11707</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2018-01-31T16:17:00Z</dcterms:created>
  <dc:creator>lenovo</dc:creator>
  <cp:lastModifiedBy>YYY</cp:lastModifiedBy>
  <cp:lastPrinted>2022-08-30T04:52:00Z</cp:lastPrinted>
  <dcterms:modified xsi:type="dcterms:W3CDTF">2023-04-26T03:14:32Z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41186D51930B4D549434A3E7436E8CE3</vt:lpwstr>
  </property>
</Properties>
</file>