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317D61">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黑体" w:hAnsi="黑体" w:eastAsia="黑体" w:cs="黑体"/>
          <w:color w:val="auto"/>
          <w:sz w:val="32"/>
          <w:szCs w:val="32"/>
          <w:highlight w:val="none"/>
          <w:u w:val="none"/>
          <w:lang w:eastAsia="zh-CN"/>
        </w:rPr>
      </w:pPr>
      <w:bookmarkStart w:id="0" w:name="_Toc26639"/>
    </w:p>
    <w:p w14:paraId="644A42C2">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color w:val="auto"/>
          <w:sz w:val="44"/>
          <w:szCs w:val="44"/>
          <w:highlight w:val="none"/>
          <w:u w:val="none"/>
          <w:lang w:val="en-US" w:eastAsia="zh-CN"/>
        </w:rPr>
      </w:pPr>
      <w:r>
        <w:rPr>
          <w:rFonts w:hint="eastAsia" w:ascii="方正小标宋简体" w:hAnsi="方正小标宋简体" w:eastAsia="方正小标宋简体" w:cs="方正小标宋简体"/>
          <w:color w:val="auto"/>
          <w:sz w:val="44"/>
          <w:szCs w:val="44"/>
          <w:highlight w:val="none"/>
          <w:u w:val="none"/>
          <w:lang w:eastAsia="zh-CN"/>
        </w:rPr>
        <w:t>贵阳贵安城镇容貌</w:t>
      </w:r>
      <w:r>
        <w:rPr>
          <w:rFonts w:hint="eastAsia" w:ascii="方正小标宋简体" w:hAnsi="方正小标宋简体" w:eastAsia="方正小标宋简体" w:cs="方正小标宋简体"/>
          <w:color w:val="auto"/>
          <w:sz w:val="44"/>
          <w:szCs w:val="44"/>
          <w:highlight w:val="none"/>
          <w:u w:val="none"/>
          <w:lang w:val="en-US" w:eastAsia="zh-CN"/>
        </w:rPr>
        <w:t>导则</w:t>
      </w:r>
      <w:bookmarkEnd w:id="0"/>
      <w:r>
        <w:rPr>
          <w:rFonts w:hint="eastAsia" w:ascii="方正小标宋简体" w:hAnsi="方正小标宋简体" w:eastAsia="方正小标宋简体" w:cs="方正小标宋简体"/>
          <w:color w:val="auto"/>
          <w:sz w:val="44"/>
          <w:szCs w:val="44"/>
          <w:highlight w:val="none"/>
          <w:u w:val="none"/>
          <w:lang w:val="en-US" w:eastAsia="zh-CN"/>
        </w:rPr>
        <w:t>（征求意见稿）</w:t>
      </w:r>
      <w:bookmarkStart w:id="1" w:name="_Toc540"/>
    </w:p>
    <w:p w14:paraId="54E3E5DA">
      <w:pPr>
        <w:keepNext w:val="0"/>
        <w:keepLines w:val="0"/>
        <w:pageBreakBefore w:val="0"/>
        <w:widowControl w:val="0"/>
        <w:kinsoku/>
        <w:wordWrap/>
        <w:overflowPunct/>
        <w:topLinePunct w:val="0"/>
        <w:autoSpaceDE/>
        <w:autoSpaceDN/>
        <w:bidi w:val="0"/>
        <w:adjustRightInd/>
        <w:snapToGrid/>
        <w:spacing w:line="560" w:lineRule="exact"/>
        <w:ind w:firstLine="2640" w:firstLineChars="600"/>
        <w:jc w:val="both"/>
        <w:textAlignment w:val="auto"/>
        <w:outlineLvl w:val="9"/>
        <w:rPr>
          <w:rFonts w:hint="eastAsia" w:ascii="方正小标宋简体" w:hAnsi="方正小标宋简体" w:eastAsia="方正小标宋简体" w:cs="方正小标宋简体"/>
          <w:color w:val="auto"/>
          <w:sz w:val="44"/>
          <w:szCs w:val="44"/>
          <w:highlight w:val="none"/>
          <w:u w:val="none"/>
          <w:lang w:val="en-US" w:eastAsia="zh-CN"/>
        </w:rPr>
      </w:pPr>
    </w:p>
    <w:p w14:paraId="6F2227BB">
      <w:pPr>
        <w:keepNext w:val="0"/>
        <w:keepLines w:val="0"/>
        <w:pageBreakBefore w:val="0"/>
        <w:widowControl w:val="0"/>
        <w:kinsoku/>
        <w:wordWrap/>
        <w:overflowPunct/>
        <w:topLinePunct w:val="0"/>
        <w:autoSpaceDE/>
        <w:autoSpaceDN/>
        <w:bidi w:val="0"/>
        <w:adjustRightInd/>
        <w:snapToGrid/>
        <w:spacing w:line="560" w:lineRule="exact"/>
        <w:ind w:firstLine="1920" w:firstLineChars="600"/>
        <w:jc w:val="left"/>
        <w:textAlignment w:val="auto"/>
        <w:outlineLvl w:val="9"/>
        <w:rPr>
          <w:rFonts w:hint="eastAsia" w:ascii="楷体_GB2312" w:hAnsi="楷体_GB2312" w:eastAsia="楷体_GB2312" w:cs="楷体_GB2312"/>
          <w:color w:val="auto"/>
          <w:sz w:val="32"/>
          <w:szCs w:val="32"/>
          <w:highlight w:val="none"/>
          <w:u w:val="none"/>
          <w:lang w:val="en-US" w:eastAsia="zh-CN"/>
        </w:rPr>
      </w:pPr>
    </w:p>
    <w:p w14:paraId="01310A7E">
      <w:pPr>
        <w:keepNext w:val="0"/>
        <w:keepLines w:val="0"/>
        <w:pageBreakBefore w:val="0"/>
        <w:widowControl w:val="0"/>
        <w:kinsoku/>
        <w:wordWrap/>
        <w:overflowPunct/>
        <w:topLinePunct w:val="0"/>
        <w:autoSpaceDE/>
        <w:autoSpaceDN/>
        <w:bidi w:val="0"/>
        <w:adjustRightInd/>
        <w:snapToGrid/>
        <w:spacing w:line="560" w:lineRule="exact"/>
        <w:ind w:firstLine="1920" w:firstLineChars="600"/>
        <w:jc w:val="left"/>
        <w:textAlignment w:val="auto"/>
        <w:outlineLvl w:val="9"/>
        <w:rPr>
          <w:rFonts w:hint="eastAsia" w:ascii="楷体_GB2312" w:hAnsi="楷体_GB2312" w:eastAsia="楷体_GB2312" w:cs="楷体_GB2312"/>
          <w:color w:val="auto"/>
          <w:sz w:val="32"/>
          <w:szCs w:val="32"/>
          <w:highlight w:val="none"/>
          <w:u w:val="none"/>
          <w:lang w:val="en-US" w:eastAsia="zh-CN"/>
        </w:rPr>
      </w:pPr>
    </w:p>
    <w:p w14:paraId="0613F7E4">
      <w:pPr>
        <w:keepNext w:val="0"/>
        <w:keepLines w:val="0"/>
        <w:pageBreakBefore w:val="0"/>
        <w:widowControl w:val="0"/>
        <w:kinsoku/>
        <w:wordWrap/>
        <w:overflowPunct/>
        <w:topLinePunct w:val="0"/>
        <w:autoSpaceDE/>
        <w:autoSpaceDN/>
        <w:bidi w:val="0"/>
        <w:adjustRightInd/>
        <w:snapToGrid/>
        <w:spacing w:line="560" w:lineRule="exact"/>
        <w:ind w:firstLine="1920" w:firstLineChars="600"/>
        <w:jc w:val="left"/>
        <w:textAlignment w:val="auto"/>
        <w:outlineLvl w:val="9"/>
        <w:rPr>
          <w:rFonts w:hint="eastAsia" w:ascii="楷体_GB2312" w:hAnsi="楷体_GB2312" w:eastAsia="楷体_GB2312" w:cs="楷体_GB2312"/>
          <w:color w:val="auto"/>
          <w:sz w:val="32"/>
          <w:szCs w:val="32"/>
          <w:highlight w:val="none"/>
          <w:u w:val="none"/>
          <w:lang w:val="en-US" w:eastAsia="zh-CN"/>
        </w:rPr>
      </w:pPr>
    </w:p>
    <w:p w14:paraId="17ECF495">
      <w:pPr>
        <w:keepNext w:val="0"/>
        <w:keepLines w:val="0"/>
        <w:pageBreakBefore w:val="0"/>
        <w:widowControl w:val="0"/>
        <w:kinsoku/>
        <w:wordWrap/>
        <w:overflowPunct/>
        <w:topLinePunct w:val="0"/>
        <w:autoSpaceDE/>
        <w:autoSpaceDN/>
        <w:bidi w:val="0"/>
        <w:adjustRightInd/>
        <w:snapToGrid/>
        <w:spacing w:line="560" w:lineRule="exact"/>
        <w:ind w:firstLine="1920" w:firstLineChars="600"/>
        <w:jc w:val="left"/>
        <w:textAlignment w:val="auto"/>
        <w:outlineLvl w:val="9"/>
        <w:rPr>
          <w:rFonts w:hint="eastAsia" w:ascii="楷体_GB2312" w:hAnsi="楷体_GB2312" w:eastAsia="楷体_GB2312" w:cs="楷体_GB2312"/>
          <w:color w:val="auto"/>
          <w:sz w:val="32"/>
          <w:szCs w:val="32"/>
          <w:highlight w:val="none"/>
          <w:u w:val="none"/>
          <w:lang w:val="en-US" w:eastAsia="zh-CN"/>
        </w:rPr>
      </w:pPr>
    </w:p>
    <w:p w14:paraId="4A7447C2">
      <w:pPr>
        <w:keepNext w:val="0"/>
        <w:keepLines w:val="0"/>
        <w:pageBreakBefore w:val="0"/>
        <w:widowControl w:val="0"/>
        <w:kinsoku/>
        <w:wordWrap/>
        <w:overflowPunct/>
        <w:topLinePunct w:val="0"/>
        <w:autoSpaceDE/>
        <w:autoSpaceDN/>
        <w:bidi w:val="0"/>
        <w:adjustRightInd/>
        <w:snapToGrid/>
        <w:spacing w:line="560" w:lineRule="exact"/>
        <w:ind w:firstLine="1920" w:firstLineChars="600"/>
        <w:jc w:val="left"/>
        <w:textAlignment w:val="auto"/>
        <w:outlineLvl w:val="9"/>
        <w:rPr>
          <w:rFonts w:hint="eastAsia" w:ascii="楷体_GB2312" w:hAnsi="楷体_GB2312" w:eastAsia="楷体_GB2312" w:cs="楷体_GB2312"/>
          <w:color w:val="auto"/>
          <w:sz w:val="32"/>
          <w:szCs w:val="32"/>
          <w:highlight w:val="none"/>
          <w:u w:val="none"/>
          <w:lang w:val="en-US" w:eastAsia="zh-CN"/>
        </w:rPr>
      </w:pPr>
    </w:p>
    <w:bookmarkEnd w:id="1"/>
    <w:p w14:paraId="1AA69245">
      <w:pPr>
        <w:keepNext w:val="0"/>
        <w:keepLines w:val="0"/>
        <w:pageBreakBefore w:val="0"/>
        <w:kinsoku/>
        <w:wordWrap/>
        <w:overflowPunct/>
        <w:topLinePunct w:val="0"/>
        <w:bidi w:val="0"/>
        <w:spacing w:line="560" w:lineRule="exact"/>
        <w:jc w:val="left"/>
        <w:textAlignment w:val="auto"/>
        <w:rPr>
          <w:rFonts w:hint="eastAsia" w:ascii="楷体_GB2312" w:hAnsi="楷体_GB2312" w:eastAsia="楷体_GB2312" w:cs="楷体_GB2312"/>
          <w:color w:val="auto"/>
          <w:sz w:val="32"/>
          <w:szCs w:val="32"/>
          <w:highlight w:val="none"/>
          <w:u w:val="none"/>
          <w:lang w:val="en-US" w:eastAsia="zh-CN"/>
        </w:rPr>
      </w:pPr>
    </w:p>
    <w:p w14:paraId="6D31D95C">
      <w:pPr>
        <w:keepNext w:val="0"/>
        <w:keepLines w:val="0"/>
        <w:pageBreakBefore w:val="0"/>
        <w:kinsoku/>
        <w:wordWrap/>
        <w:overflowPunct/>
        <w:topLinePunct w:val="0"/>
        <w:bidi w:val="0"/>
        <w:spacing w:line="560" w:lineRule="exact"/>
        <w:jc w:val="left"/>
        <w:textAlignment w:val="auto"/>
        <w:rPr>
          <w:rFonts w:hint="eastAsia" w:ascii="楷体_GB2312" w:hAnsi="楷体_GB2312" w:eastAsia="楷体_GB2312" w:cs="楷体_GB2312"/>
          <w:color w:val="auto"/>
          <w:sz w:val="32"/>
          <w:szCs w:val="32"/>
          <w:highlight w:val="none"/>
          <w:u w:val="none"/>
          <w:lang w:val="en-US" w:eastAsia="zh-CN"/>
        </w:rPr>
      </w:pPr>
    </w:p>
    <w:p w14:paraId="69A3E09E">
      <w:pPr>
        <w:keepNext w:val="0"/>
        <w:keepLines w:val="0"/>
        <w:pageBreakBefore w:val="0"/>
        <w:kinsoku/>
        <w:wordWrap/>
        <w:overflowPunct/>
        <w:topLinePunct w:val="0"/>
        <w:bidi w:val="0"/>
        <w:spacing w:line="560" w:lineRule="exact"/>
        <w:jc w:val="left"/>
        <w:textAlignment w:val="auto"/>
        <w:rPr>
          <w:rFonts w:hint="eastAsia" w:ascii="楷体_GB2312" w:hAnsi="楷体_GB2312" w:eastAsia="楷体_GB2312" w:cs="楷体_GB2312"/>
          <w:color w:val="auto"/>
          <w:sz w:val="32"/>
          <w:szCs w:val="32"/>
          <w:highlight w:val="none"/>
          <w:u w:val="none"/>
          <w:lang w:val="en-US" w:eastAsia="zh-CN"/>
        </w:rPr>
      </w:pPr>
    </w:p>
    <w:p w14:paraId="6922EBBF">
      <w:pPr>
        <w:keepNext w:val="0"/>
        <w:keepLines w:val="0"/>
        <w:pageBreakBefore w:val="0"/>
        <w:kinsoku/>
        <w:wordWrap/>
        <w:overflowPunct/>
        <w:topLinePunct w:val="0"/>
        <w:bidi w:val="0"/>
        <w:spacing w:line="560" w:lineRule="exact"/>
        <w:jc w:val="left"/>
        <w:textAlignment w:val="auto"/>
        <w:rPr>
          <w:rFonts w:hint="eastAsia" w:ascii="楷体_GB2312" w:hAnsi="楷体_GB2312" w:eastAsia="楷体_GB2312" w:cs="楷体_GB2312"/>
          <w:color w:val="auto"/>
          <w:sz w:val="32"/>
          <w:szCs w:val="32"/>
          <w:highlight w:val="none"/>
          <w:u w:val="none"/>
          <w:lang w:val="en-US" w:eastAsia="zh-CN"/>
        </w:rPr>
      </w:pPr>
    </w:p>
    <w:p w14:paraId="539C632F">
      <w:pPr>
        <w:keepNext w:val="0"/>
        <w:keepLines w:val="0"/>
        <w:pageBreakBefore w:val="0"/>
        <w:kinsoku/>
        <w:wordWrap/>
        <w:overflowPunct/>
        <w:topLinePunct w:val="0"/>
        <w:bidi w:val="0"/>
        <w:spacing w:line="560" w:lineRule="exact"/>
        <w:jc w:val="left"/>
        <w:textAlignment w:val="auto"/>
        <w:rPr>
          <w:rFonts w:hint="eastAsia" w:ascii="楷体_GB2312" w:hAnsi="楷体_GB2312" w:eastAsia="楷体_GB2312" w:cs="楷体_GB2312"/>
          <w:color w:val="auto"/>
          <w:sz w:val="32"/>
          <w:szCs w:val="32"/>
          <w:highlight w:val="none"/>
          <w:u w:val="none"/>
          <w:lang w:val="en-US" w:eastAsia="zh-CN"/>
        </w:rPr>
      </w:pPr>
    </w:p>
    <w:p w14:paraId="4367B35C">
      <w:pPr>
        <w:keepNext w:val="0"/>
        <w:keepLines w:val="0"/>
        <w:pageBreakBefore w:val="0"/>
        <w:kinsoku/>
        <w:wordWrap/>
        <w:overflowPunct/>
        <w:topLinePunct w:val="0"/>
        <w:bidi w:val="0"/>
        <w:spacing w:line="560" w:lineRule="exact"/>
        <w:jc w:val="left"/>
        <w:textAlignment w:val="auto"/>
        <w:rPr>
          <w:rFonts w:hint="eastAsia" w:ascii="楷体_GB2312" w:hAnsi="楷体_GB2312" w:eastAsia="楷体_GB2312" w:cs="楷体_GB2312"/>
          <w:color w:val="auto"/>
          <w:sz w:val="32"/>
          <w:szCs w:val="32"/>
          <w:highlight w:val="none"/>
          <w:u w:val="none"/>
          <w:lang w:val="en-US" w:eastAsia="zh-CN"/>
        </w:rPr>
      </w:pPr>
    </w:p>
    <w:p w14:paraId="242062C8">
      <w:pPr>
        <w:keepNext w:val="0"/>
        <w:keepLines w:val="0"/>
        <w:pageBreakBefore w:val="0"/>
        <w:kinsoku/>
        <w:wordWrap/>
        <w:overflowPunct/>
        <w:topLinePunct w:val="0"/>
        <w:bidi w:val="0"/>
        <w:spacing w:line="560" w:lineRule="exact"/>
        <w:jc w:val="left"/>
        <w:textAlignment w:val="auto"/>
        <w:rPr>
          <w:rFonts w:hint="eastAsia" w:ascii="楷体_GB2312" w:hAnsi="楷体_GB2312" w:eastAsia="楷体_GB2312" w:cs="楷体_GB2312"/>
          <w:color w:val="auto"/>
          <w:sz w:val="32"/>
          <w:szCs w:val="32"/>
          <w:highlight w:val="none"/>
          <w:u w:val="none"/>
          <w:lang w:val="en-US" w:eastAsia="zh-CN"/>
        </w:rPr>
      </w:pPr>
    </w:p>
    <w:p w14:paraId="1B6F433D">
      <w:pPr>
        <w:keepNext w:val="0"/>
        <w:keepLines w:val="0"/>
        <w:pageBreakBefore w:val="0"/>
        <w:kinsoku/>
        <w:wordWrap/>
        <w:overflowPunct/>
        <w:topLinePunct w:val="0"/>
        <w:bidi w:val="0"/>
        <w:spacing w:line="560" w:lineRule="exact"/>
        <w:jc w:val="left"/>
        <w:textAlignment w:val="auto"/>
        <w:rPr>
          <w:rFonts w:hint="eastAsia" w:ascii="楷体_GB2312" w:hAnsi="楷体_GB2312" w:eastAsia="楷体_GB2312" w:cs="楷体_GB2312"/>
          <w:color w:val="auto"/>
          <w:sz w:val="32"/>
          <w:szCs w:val="32"/>
          <w:highlight w:val="none"/>
          <w:u w:val="none"/>
          <w:lang w:val="en-US" w:eastAsia="zh-CN"/>
        </w:rPr>
      </w:pPr>
    </w:p>
    <w:p w14:paraId="7D5FF381">
      <w:pPr>
        <w:keepNext w:val="0"/>
        <w:keepLines w:val="0"/>
        <w:pageBreakBefore w:val="0"/>
        <w:kinsoku/>
        <w:wordWrap/>
        <w:overflowPunct/>
        <w:topLinePunct w:val="0"/>
        <w:bidi w:val="0"/>
        <w:spacing w:line="560" w:lineRule="exact"/>
        <w:jc w:val="left"/>
        <w:textAlignment w:val="auto"/>
        <w:rPr>
          <w:rFonts w:hint="eastAsia" w:ascii="楷体_GB2312" w:hAnsi="楷体_GB2312" w:eastAsia="楷体_GB2312" w:cs="楷体_GB2312"/>
          <w:color w:val="auto"/>
          <w:sz w:val="32"/>
          <w:szCs w:val="32"/>
          <w:highlight w:val="none"/>
          <w:u w:val="none"/>
          <w:lang w:val="en-US" w:eastAsia="zh-CN"/>
        </w:rPr>
      </w:pPr>
    </w:p>
    <w:p w14:paraId="526F626D">
      <w:pPr>
        <w:keepNext w:val="0"/>
        <w:keepLines w:val="0"/>
        <w:pageBreakBefore w:val="0"/>
        <w:kinsoku/>
        <w:wordWrap/>
        <w:overflowPunct/>
        <w:topLinePunct w:val="0"/>
        <w:bidi w:val="0"/>
        <w:spacing w:line="560" w:lineRule="exact"/>
        <w:ind w:firstLine="3200" w:firstLineChars="1000"/>
        <w:jc w:val="left"/>
        <w:textAlignment w:val="auto"/>
        <w:rPr>
          <w:rFonts w:hint="default" w:ascii="楷体_GB2312" w:hAnsi="楷体_GB2312" w:eastAsia="楷体_GB2312" w:cs="楷体_GB2312"/>
          <w:color w:val="auto"/>
          <w:sz w:val="32"/>
          <w:szCs w:val="32"/>
          <w:highlight w:val="none"/>
          <w:u w:val="none"/>
          <w:lang w:val="en-US" w:eastAsia="zh-CN"/>
        </w:rPr>
      </w:pPr>
      <w:r>
        <w:rPr>
          <w:rFonts w:hint="eastAsia" w:ascii="楷体_GB2312" w:hAnsi="楷体_GB2312" w:eastAsia="楷体_GB2312" w:cs="楷体_GB2312"/>
          <w:color w:val="auto"/>
          <w:sz w:val="32"/>
          <w:szCs w:val="32"/>
          <w:highlight w:val="none"/>
          <w:u w:val="none"/>
          <w:lang w:val="en-US" w:eastAsia="zh-CN"/>
        </w:rPr>
        <w:t>2025年X月编制</w:t>
      </w:r>
    </w:p>
    <w:p w14:paraId="2EF6FA9C">
      <w:pPr>
        <w:keepNext w:val="0"/>
        <w:keepLines w:val="0"/>
        <w:pageBreakBefore w:val="0"/>
        <w:kinsoku/>
        <w:wordWrap/>
        <w:overflowPunct/>
        <w:topLinePunct w:val="0"/>
        <w:bidi w:val="0"/>
        <w:spacing w:line="560" w:lineRule="exact"/>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br w:type="page"/>
      </w:r>
    </w:p>
    <w:p w14:paraId="1665D4B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sz w:val="32"/>
          <w:szCs w:val="32"/>
          <w:highlight w:val="none"/>
          <w:u w:val="none"/>
          <w:lang w:val="en-US" w:eastAsia="zh-CN"/>
        </w:rPr>
        <w:sectPr>
          <w:footerReference r:id="rId3" w:type="default"/>
          <w:pgSz w:w="11906" w:h="16838"/>
          <w:pgMar w:top="2098" w:right="1474" w:bottom="1984" w:left="1587" w:header="851" w:footer="992" w:gutter="0"/>
          <w:pgNumType w:fmt="decimal"/>
          <w:cols w:space="0" w:num="1"/>
          <w:rtlGutter w:val="0"/>
          <w:docGrid w:type="lines" w:linePitch="312" w:charSpace="0"/>
        </w:sectPr>
      </w:pPr>
    </w:p>
    <w:sdt>
      <w:sdtPr>
        <w:rPr>
          <w:rFonts w:ascii="宋体" w:hAnsi="宋体" w:eastAsia="宋体" w:cstheme="minorBidi"/>
          <w:kern w:val="2"/>
          <w:sz w:val="21"/>
          <w:szCs w:val="24"/>
          <w:lang w:val="en-US" w:eastAsia="zh-CN" w:bidi="ar-SA"/>
        </w:rPr>
        <w:id w:val="147451197"/>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14:paraId="5AD1C3B4">
          <w:pPr>
            <w:spacing w:before="0" w:beforeLines="0" w:after="0" w:afterLines="0" w:line="240" w:lineRule="auto"/>
            <w:ind w:left="0" w:leftChars="0" w:right="0" w:rightChars="0" w:firstLine="0" w:firstLineChars="0"/>
            <w:jc w:val="center"/>
          </w:pPr>
          <w:r>
            <w:rPr>
              <w:rFonts w:ascii="宋体" w:hAnsi="宋体" w:eastAsia="宋体"/>
              <w:sz w:val="21"/>
            </w:rPr>
            <w:t>目录</w:t>
          </w:r>
        </w:p>
        <w:p w14:paraId="5F236502">
          <w:pPr>
            <w:pStyle w:val="12"/>
            <w:tabs>
              <w:tab w:val="right" w:leader="middleDot" w:pos="8845"/>
            </w:tabs>
          </w:pPr>
          <w:r>
            <w:fldChar w:fldCharType="begin"/>
          </w:r>
          <w:r>
            <w:instrText xml:space="preserve">TOC \o "1-3" \h \u </w:instrText>
          </w:r>
          <w:r>
            <w:fldChar w:fldCharType="separate"/>
          </w:r>
          <w:r>
            <w:fldChar w:fldCharType="begin"/>
          </w:r>
          <w:r>
            <w:instrText xml:space="preserve"> HYPERLINK \l _Toc28694 </w:instrText>
          </w:r>
          <w:r>
            <w:fldChar w:fldCharType="separate"/>
          </w:r>
          <w:r>
            <w:rPr>
              <w:rFonts w:hint="eastAsia" w:ascii="黑体" w:hAnsi="黑体" w:eastAsia="黑体" w:cs="黑体"/>
              <w:bCs/>
              <w:kern w:val="44"/>
              <w:szCs w:val="36"/>
              <w:highlight w:val="none"/>
              <w:lang w:val="en-US" w:eastAsia="zh-CN" w:bidi="ar-SA"/>
            </w:rPr>
            <w:t>1总则</w:t>
          </w:r>
          <w:r>
            <w:tab/>
          </w:r>
          <w:r>
            <w:fldChar w:fldCharType="begin"/>
          </w:r>
          <w:r>
            <w:instrText xml:space="preserve"> PAGEREF _Toc28694 \h </w:instrText>
          </w:r>
          <w:r>
            <w:fldChar w:fldCharType="separate"/>
          </w:r>
          <w:r>
            <w:t>4</w:t>
          </w:r>
          <w:r>
            <w:fldChar w:fldCharType="end"/>
          </w:r>
          <w:r>
            <w:fldChar w:fldCharType="end"/>
          </w:r>
        </w:p>
        <w:p w14:paraId="6CFE88FD">
          <w:pPr>
            <w:pStyle w:val="12"/>
            <w:tabs>
              <w:tab w:val="right" w:leader="middleDot" w:pos="8845"/>
            </w:tabs>
          </w:pPr>
          <w:r>
            <w:fldChar w:fldCharType="begin"/>
          </w:r>
          <w:r>
            <w:instrText xml:space="preserve"> HYPERLINK \l _Toc32264 </w:instrText>
          </w:r>
          <w:r>
            <w:fldChar w:fldCharType="separate"/>
          </w:r>
          <w:r>
            <w:rPr>
              <w:rFonts w:hint="eastAsia" w:ascii="黑体" w:hAnsi="黑体" w:eastAsia="黑体" w:cs="黑体"/>
              <w:bCs/>
              <w:kern w:val="44"/>
              <w:szCs w:val="36"/>
              <w:highlight w:val="none"/>
              <w:lang w:val="en-US" w:eastAsia="zh-CN" w:bidi="ar-SA"/>
            </w:rPr>
            <w:t>2术语</w:t>
          </w:r>
          <w:r>
            <w:tab/>
          </w:r>
          <w:r>
            <w:fldChar w:fldCharType="begin"/>
          </w:r>
          <w:r>
            <w:instrText xml:space="preserve"> PAGEREF _Toc32264 \h </w:instrText>
          </w:r>
          <w:r>
            <w:fldChar w:fldCharType="separate"/>
          </w:r>
          <w:r>
            <w:t>5</w:t>
          </w:r>
          <w:r>
            <w:fldChar w:fldCharType="end"/>
          </w:r>
          <w:r>
            <w:fldChar w:fldCharType="end"/>
          </w:r>
        </w:p>
        <w:p w14:paraId="35327CB3">
          <w:pPr>
            <w:pStyle w:val="12"/>
            <w:tabs>
              <w:tab w:val="right" w:leader="middleDot" w:pos="8845"/>
            </w:tabs>
          </w:pPr>
          <w:r>
            <w:fldChar w:fldCharType="begin"/>
          </w:r>
          <w:r>
            <w:instrText xml:space="preserve"> HYPERLINK \l _Toc7614 </w:instrText>
          </w:r>
          <w:r>
            <w:fldChar w:fldCharType="separate"/>
          </w:r>
          <w:r>
            <w:rPr>
              <w:rFonts w:hint="eastAsia" w:ascii="黑体" w:hAnsi="黑体" w:eastAsia="黑体" w:cs="黑体"/>
              <w:bCs/>
              <w:kern w:val="44"/>
              <w:szCs w:val="36"/>
              <w:highlight w:val="none"/>
              <w:lang w:val="en-US" w:eastAsia="zh-CN" w:bidi="ar-SA"/>
            </w:rPr>
            <w:t>3市容秩序</w:t>
          </w:r>
          <w:r>
            <w:tab/>
          </w:r>
          <w:r>
            <w:fldChar w:fldCharType="begin"/>
          </w:r>
          <w:r>
            <w:instrText xml:space="preserve"> PAGEREF _Toc7614 \h </w:instrText>
          </w:r>
          <w:r>
            <w:fldChar w:fldCharType="separate"/>
          </w:r>
          <w:r>
            <w:t>10</w:t>
          </w:r>
          <w:r>
            <w:fldChar w:fldCharType="end"/>
          </w:r>
          <w:r>
            <w:fldChar w:fldCharType="end"/>
          </w:r>
        </w:p>
        <w:p w14:paraId="7DA64921">
          <w:pPr>
            <w:pStyle w:val="13"/>
            <w:tabs>
              <w:tab w:val="right" w:leader="middleDot" w:pos="8845"/>
            </w:tabs>
          </w:pPr>
          <w:r>
            <w:fldChar w:fldCharType="begin"/>
          </w:r>
          <w:r>
            <w:instrText xml:space="preserve"> HYPERLINK \l _Toc3908 </w:instrText>
          </w:r>
          <w:r>
            <w:fldChar w:fldCharType="separate"/>
          </w:r>
          <w:r>
            <w:rPr>
              <w:rFonts w:hint="eastAsia" w:ascii="仿宋_GB2312" w:hAnsi="仿宋_GB2312" w:eastAsia="仿宋_GB2312" w:cs="仿宋_GB2312"/>
              <w:bCs/>
              <w:kern w:val="2"/>
              <w:szCs w:val="32"/>
              <w:highlight w:val="none"/>
              <w:lang w:val="en-US" w:eastAsia="zh-CN" w:bidi="ar-SA"/>
            </w:rPr>
            <w:t>3</w:t>
          </w:r>
          <w:r>
            <w:rPr>
              <w:rFonts w:hint="default" w:ascii="仿宋_GB2312" w:hAnsi="仿宋_GB2312" w:eastAsia="仿宋_GB2312" w:cs="仿宋_GB2312"/>
              <w:bCs/>
              <w:kern w:val="2"/>
              <w:szCs w:val="32"/>
              <w:highlight w:val="none"/>
              <w:lang w:val="en-US" w:eastAsia="zh-CN" w:bidi="ar-SA"/>
            </w:rPr>
            <w:t>.1门前三包</w:t>
          </w:r>
          <w:r>
            <w:tab/>
          </w:r>
          <w:r>
            <w:fldChar w:fldCharType="begin"/>
          </w:r>
          <w:r>
            <w:instrText xml:space="preserve"> PAGEREF _Toc3908 \h </w:instrText>
          </w:r>
          <w:r>
            <w:fldChar w:fldCharType="separate"/>
          </w:r>
          <w:r>
            <w:t>10</w:t>
          </w:r>
          <w:r>
            <w:fldChar w:fldCharType="end"/>
          </w:r>
          <w:r>
            <w:fldChar w:fldCharType="end"/>
          </w:r>
        </w:p>
        <w:p w14:paraId="4306E78A">
          <w:pPr>
            <w:pStyle w:val="13"/>
            <w:tabs>
              <w:tab w:val="right" w:leader="middleDot" w:pos="8845"/>
            </w:tabs>
          </w:pPr>
          <w:r>
            <w:fldChar w:fldCharType="begin"/>
          </w:r>
          <w:r>
            <w:instrText xml:space="preserve"> HYPERLINK \l _Toc17460 </w:instrText>
          </w:r>
          <w:r>
            <w:fldChar w:fldCharType="separate"/>
          </w:r>
          <w:r>
            <w:rPr>
              <w:rFonts w:hint="eastAsia" w:ascii="仿宋_GB2312" w:hAnsi="仿宋_GB2312" w:eastAsia="仿宋_GB2312" w:cs="仿宋_GB2312"/>
              <w:bCs/>
              <w:kern w:val="2"/>
              <w:szCs w:val="32"/>
              <w:highlight w:val="none"/>
              <w:lang w:val="en-US" w:eastAsia="zh-CN" w:bidi="ar-SA"/>
            </w:rPr>
            <w:t>3</w:t>
          </w:r>
          <w:r>
            <w:rPr>
              <w:rFonts w:hint="default" w:ascii="仿宋_GB2312" w:hAnsi="仿宋_GB2312" w:eastAsia="仿宋_GB2312" w:cs="仿宋_GB2312"/>
              <w:bCs/>
              <w:kern w:val="2"/>
              <w:szCs w:val="32"/>
              <w:highlight w:val="none"/>
              <w:lang w:val="en-US" w:eastAsia="zh-CN" w:bidi="ar-SA"/>
            </w:rPr>
            <w:t>.</w:t>
          </w:r>
          <w:r>
            <w:rPr>
              <w:rFonts w:hint="eastAsia" w:ascii="仿宋_GB2312" w:hAnsi="仿宋_GB2312" w:eastAsia="仿宋_GB2312" w:cs="仿宋_GB2312"/>
              <w:bCs/>
              <w:kern w:val="2"/>
              <w:szCs w:val="32"/>
              <w:highlight w:val="none"/>
              <w:lang w:val="en-US" w:eastAsia="zh-CN" w:bidi="ar-SA"/>
            </w:rPr>
            <w:t>2占道经营</w:t>
          </w:r>
          <w:r>
            <w:tab/>
          </w:r>
          <w:r>
            <w:fldChar w:fldCharType="begin"/>
          </w:r>
          <w:r>
            <w:instrText xml:space="preserve"> PAGEREF _Toc17460 \h </w:instrText>
          </w:r>
          <w:r>
            <w:fldChar w:fldCharType="separate"/>
          </w:r>
          <w:r>
            <w:t>11</w:t>
          </w:r>
          <w:r>
            <w:fldChar w:fldCharType="end"/>
          </w:r>
          <w:r>
            <w:fldChar w:fldCharType="end"/>
          </w:r>
        </w:p>
        <w:p w14:paraId="598EBDA5">
          <w:pPr>
            <w:pStyle w:val="13"/>
            <w:tabs>
              <w:tab w:val="right" w:leader="middleDot" w:pos="8845"/>
            </w:tabs>
          </w:pPr>
          <w:r>
            <w:fldChar w:fldCharType="begin"/>
          </w:r>
          <w:r>
            <w:instrText xml:space="preserve"> HYPERLINK \l _Toc330 </w:instrText>
          </w:r>
          <w:r>
            <w:fldChar w:fldCharType="separate"/>
          </w:r>
          <w:r>
            <w:rPr>
              <w:rFonts w:hint="eastAsia" w:ascii="仿宋_GB2312" w:hAnsi="仿宋_GB2312" w:eastAsia="仿宋_GB2312" w:cs="仿宋_GB2312"/>
              <w:bCs/>
              <w:kern w:val="2"/>
              <w:szCs w:val="32"/>
              <w:highlight w:val="none"/>
              <w:lang w:val="en-US" w:eastAsia="zh-CN" w:bidi="ar-SA"/>
            </w:rPr>
            <w:t>3</w:t>
          </w:r>
          <w:r>
            <w:rPr>
              <w:rFonts w:hint="default" w:ascii="仿宋_GB2312" w:hAnsi="仿宋_GB2312" w:eastAsia="仿宋_GB2312" w:cs="仿宋_GB2312"/>
              <w:bCs/>
              <w:kern w:val="2"/>
              <w:szCs w:val="32"/>
              <w:highlight w:val="none"/>
              <w:lang w:val="en-US" w:eastAsia="zh-CN" w:bidi="ar-SA"/>
            </w:rPr>
            <w:t>.3建（构）筑物</w:t>
          </w:r>
          <w:r>
            <w:rPr>
              <w:rFonts w:hint="eastAsia" w:ascii="仿宋_GB2312" w:hAnsi="仿宋_GB2312" w:eastAsia="仿宋_GB2312" w:cs="仿宋_GB2312"/>
              <w:bCs/>
              <w:kern w:val="2"/>
              <w:szCs w:val="32"/>
              <w:highlight w:val="none"/>
              <w:lang w:val="en-US" w:eastAsia="zh-CN" w:bidi="ar-SA"/>
            </w:rPr>
            <w:t>外立面</w:t>
          </w:r>
          <w:r>
            <w:tab/>
          </w:r>
          <w:r>
            <w:fldChar w:fldCharType="begin"/>
          </w:r>
          <w:r>
            <w:instrText xml:space="preserve"> PAGEREF _Toc330 \h </w:instrText>
          </w:r>
          <w:r>
            <w:fldChar w:fldCharType="separate"/>
          </w:r>
          <w:r>
            <w:t>12</w:t>
          </w:r>
          <w:r>
            <w:fldChar w:fldCharType="end"/>
          </w:r>
          <w:r>
            <w:fldChar w:fldCharType="end"/>
          </w:r>
        </w:p>
        <w:p w14:paraId="00EBAF30">
          <w:pPr>
            <w:pStyle w:val="13"/>
            <w:tabs>
              <w:tab w:val="right" w:leader="middleDot" w:pos="8845"/>
            </w:tabs>
          </w:pPr>
          <w:r>
            <w:fldChar w:fldCharType="begin"/>
          </w:r>
          <w:r>
            <w:instrText xml:space="preserve"> HYPERLINK \l _Toc3335 </w:instrText>
          </w:r>
          <w:r>
            <w:fldChar w:fldCharType="separate"/>
          </w:r>
          <w:r>
            <w:rPr>
              <w:rFonts w:hint="eastAsia" w:ascii="仿宋_GB2312" w:hAnsi="仿宋_GB2312" w:eastAsia="仿宋_GB2312" w:cs="仿宋_GB2312"/>
              <w:bCs/>
              <w:kern w:val="2"/>
              <w:szCs w:val="32"/>
              <w:highlight w:val="none"/>
              <w:lang w:val="en-US" w:eastAsia="zh-CN" w:bidi="ar-SA"/>
            </w:rPr>
            <w:t>3</w:t>
          </w:r>
          <w:r>
            <w:rPr>
              <w:rFonts w:hint="default" w:ascii="仿宋_GB2312" w:hAnsi="仿宋_GB2312" w:eastAsia="仿宋_GB2312" w:cs="仿宋_GB2312"/>
              <w:bCs/>
              <w:kern w:val="2"/>
              <w:szCs w:val="32"/>
              <w:highlight w:val="none"/>
              <w:lang w:val="en-US" w:eastAsia="zh-CN" w:bidi="ar-SA"/>
            </w:rPr>
            <w:t>.4建筑工地</w:t>
          </w:r>
          <w:r>
            <w:tab/>
          </w:r>
          <w:r>
            <w:fldChar w:fldCharType="begin"/>
          </w:r>
          <w:r>
            <w:instrText xml:space="preserve"> PAGEREF _Toc3335 \h </w:instrText>
          </w:r>
          <w:r>
            <w:fldChar w:fldCharType="separate"/>
          </w:r>
          <w:r>
            <w:t>13</w:t>
          </w:r>
          <w:r>
            <w:fldChar w:fldCharType="end"/>
          </w:r>
          <w:r>
            <w:fldChar w:fldCharType="end"/>
          </w:r>
        </w:p>
        <w:p w14:paraId="5E73190B">
          <w:pPr>
            <w:pStyle w:val="12"/>
            <w:tabs>
              <w:tab w:val="right" w:leader="middleDot" w:pos="8845"/>
            </w:tabs>
          </w:pPr>
          <w:r>
            <w:fldChar w:fldCharType="begin"/>
          </w:r>
          <w:r>
            <w:instrText xml:space="preserve"> HYPERLINK \l _Toc23750 </w:instrText>
          </w:r>
          <w:r>
            <w:fldChar w:fldCharType="separate"/>
          </w:r>
          <w:r>
            <w:rPr>
              <w:rFonts w:hint="eastAsia" w:ascii="黑体" w:hAnsi="黑体" w:eastAsia="黑体" w:cs="黑体"/>
              <w:bCs/>
              <w:kern w:val="44"/>
              <w:szCs w:val="36"/>
              <w:highlight w:val="none"/>
              <w:lang w:val="en-US" w:eastAsia="zh-CN" w:bidi="ar-SA"/>
            </w:rPr>
            <w:t>4</w:t>
          </w:r>
          <w:r>
            <w:rPr>
              <w:rFonts w:hint="default" w:ascii="黑体" w:hAnsi="黑体" w:eastAsia="黑体" w:cs="黑体"/>
              <w:bCs/>
              <w:kern w:val="44"/>
              <w:szCs w:val="36"/>
              <w:highlight w:val="none"/>
              <w:lang w:val="en-US" w:eastAsia="zh-CN" w:bidi="ar-SA"/>
            </w:rPr>
            <w:t>广告设施与标识</w:t>
          </w:r>
          <w:r>
            <w:tab/>
          </w:r>
          <w:r>
            <w:fldChar w:fldCharType="begin"/>
          </w:r>
          <w:r>
            <w:instrText xml:space="preserve"> PAGEREF _Toc23750 \h </w:instrText>
          </w:r>
          <w:r>
            <w:fldChar w:fldCharType="separate"/>
          </w:r>
          <w:r>
            <w:t>14</w:t>
          </w:r>
          <w:r>
            <w:fldChar w:fldCharType="end"/>
          </w:r>
          <w:r>
            <w:fldChar w:fldCharType="end"/>
          </w:r>
        </w:p>
        <w:p w14:paraId="30816C7A">
          <w:pPr>
            <w:pStyle w:val="13"/>
            <w:tabs>
              <w:tab w:val="right" w:leader="middleDot" w:pos="8845"/>
            </w:tabs>
          </w:pPr>
          <w:r>
            <w:fldChar w:fldCharType="begin"/>
          </w:r>
          <w:r>
            <w:instrText xml:space="preserve"> HYPERLINK \l _Toc8409 </w:instrText>
          </w:r>
          <w:r>
            <w:fldChar w:fldCharType="separate"/>
          </w:r>
          <w:r>
            <w:rPr>
              <w:rFonts w:hint="eastAsia" w:ascii="仿宋_GB2312" w:hAnsi="仿宋_GB2312" w:eastAsia="仿宋_GB2312" w:cs="仿宋_GB2312"/>
              <w:bCs/>
              <w:kern w:val="2"/>
              <w:szCs w:val="32"/>
              <w:highlight w:val="none"/>
              <w:lang w:val="en-US" w:eastAsia="zh-CN" w:bidi="ar-SA"/>
            </w:rPr>
            <w:t>4.1户外广告和招牌</w:t>
          </w:r>
          <w:r>
            <w:tab/>
          </w:r>
          <w:r>
            <w:fldChar w:fldCharType="begin"/>
          </w:r>
          <w:r>
            <w:instrText xml:space="preserve"> PAGEREF _Toc8409 \h </w:instrText>
          </w:r>
          <w:r>
            <w:fldChar w:fldCharType="separate"/>
          </w:r>
          <w:r>
            <w:t>14</w:t>
          </w:r>
          <w:r>
            <w:fldChar w:fldCharType="end"/>
          </w:r>
          <w:r>
            <w:fldChar w:fldCharType="end"/>
          </w:r>
        </w:p>
        <w:p w14:paraId="45E76334">
          <w:pPr>
            <w:pStyle w:val="13"/>
            <w:tabs>
              <w:tab w:val="right" w:leader="middleDot" w:pos="8845"/>
            </w:tabs>
          </w:pPr>
          <w:r>
            <w:fldChar w:fldCharType="begin"/>
          </w:r>
          <w:r>
            <w:instrText xml:space="preserve"> HYPERLINK \l _Toc22047 </w:instrText>
          </w:r>
          <w:r>
            <w:fldChar w:fldCharType="separate"/>
          </w:r>
          <w:r>
            <w:rPr>
              <w:rFonts w:hint="eastAsia" w:ascii="仿宋_GB2312" w:hAnsi="仿宋_GB2312" w:eastAsia="仿宋_GB2312" w:cs="仿宋_GB2312"/>
              <w:bCs/>
              <w:kern w:val="2"/>
              <w:szCs w:val="32"/>
              <w:highlight w:val="none"/>
              <w:lang w:val="en-US" w:eastAsia="zh-CN" w:bidi="ar-SA"/>
            </w:rPr>
            <w:t>4</w:t>
          </w:r>
          <w:r>
            <w:rPr>
              <w:rFonts w:hint="default" w:ascii="仿宋_GB2312" w:hAnsi="仿宋_GB2312" w:eastAsia="仿宋_GB2312" w:cs="仿宋_GB2312"/>
              <w:bCs/>
              <w:kern w:val="2"/>
              <w:szCs w:val="32"/>
              <w:highlight w:val="none"/>
              <w:lang w:val="en-US" w:eastAsia="zh-CN" w:bidi="ar-SA"/>
            </w:rPr>
            <w:t>.</w:t>
          </w:r>
          <w:r>
            <w:rPr>
              <w:rFonts w:hint="eastAsia" w:ascii="仿宋_GB2312" w:hAnsi="仿宋_GB2312" w:eastAsia="仿宋_GB2312" w:cs="仿宋_GB2312"/>
              <w:bCs/>
              <w:kern w:val="2"/>
              <w:szCs w:val="32"/>
              <w:highlight w:val="none"/>
              <w:lang w:val="en-US" w:eastAsia="zh-CN" w:bidi="ar-SA"/>
            </w:rPr>
            <w:t>2</w:t>
          </w:r>
          <w:r>
            <w:rPr>
              <w:rFonts w:hint="default" w:ascii="仿宋_GB2312" w:hAnsi="仿宋_GB2312" w:eastAsia="仿宋_GB2312" w:cs="仿宋_GB2312"/>
              <w:bCs/>
              <w:kern w:val="2"/>
              <w:szCs w:val="32"/>
              <w:highlight w:val="none"/>
              <w:lang w:val="en-US" w:eastAsia="zh-CN" w:bidi="ar-SA"/>
            </w:rPr>
            <w:t>标识标志与标语</w:t>
          </w:r>
          <w:r>
            <w:tab/>
          </w:r>
          <w:r>
            <w:fldChar w:fldCharType="begin"/>
          </w:r>
          <w:r>
            <w:instrText xml:space="preserve"> PAGEREF _Toc22047 \h </w:instrText>
          </w:r>
          <w:r>
            <w:fldChar w:fldCharType="separate"/>
          </w:r>
          <w:r>
            <w:t>16</w:t>
          </w:r>
          <w:r>
            <w:fldChar w:fldCharType="end"/>
          </w:r>
          <w:r>
            <w:fldChar w:fldCharType="end"/>
          </w:r>
        </w:p>
        <w:p w14:paraId="5EF1C51D">
          <w:pPr>
            <w:pStyle w:val="12"/>
            <w:tabs>
              <w:tab w:val="right" w:leader="middleDot" w:pos="8845"/>
            </w:tabs>
          </w:pPr>
          <w:r>
            <w:fldChar w:fldCharType="begin"/>
          </w:r>
          <w:r>
            <w:instrText xml:space="preserve"> HYPERLINK \l _Toc8061 </w:instrText>
          </w:r>
          <w:r>
            <w:fldChar w:fldCharType="separate"/>
          </w:r>
          <w:r>
            <w:rPr>
              <w:rFonts w:hint="eastAsia" w:ascii="黑体" w:hAnsi="黑体" w:eastAsia="黑体" w:cs="黑体"/>
              <w:bCs w:val="0"/>
              <w:kern w:val="2"/>
              <w:szCs w:val="36"/>
              <w:highlight w:val="none"/>
              <w:lang w:val="en-US" w:eastAsia="zh-CN" w:bidi="ar-SA"/>
            </w:rPr>
            <w:t>5环境卫生</w:t>
          </w:r>
          <w:r>
            <w:tab/>
          </w:r>
          <w:r>
            <w:fldChar w:fldCharType="begin"/>
          </w:r>
          <w:r>
            <w:instrText xml:space="preserve"> PAGEREF _Toc8061 \h </w:instrText>
          </w:r>
          <w:r>
            <w:fldChar w:fldCharType="separate"/>
          </w:r>
          <w:r>
            <w:t>17</w:t>
          </w:r>
          <w:r>
            <w:fldChar w:fldCharType="end"/>
          </w:r>
          <w:r>
            <w:fldChar w:fldCharType="end"/>
          </w:r>
        </w:p>
        <w:p w14:paraId="4C445026">
          <w:pPr>
            <w:pStyle w:val="13"/>
            <w:tabs>
              <w:tab w:val="right" w:leader="middleDot" w:pos="8845"/>
            </w:tabs>
          </w:pPr>
          <w:r>
            <w:fldChar w:fldCharType="begin"/>
          </w:r>
          <w:r>
            <w:instrText xml:space="preserve"> HYPERLINK \l _Toc32448 </w:instrText>
          </w:r>
          <w:r>
            <w:fldChar w:fldCharType="separate"/>
          </w:r>
          <w:r>
            <w:rPr>
              <w:rFonts w:hint="eastAsia" w:ascii="仿宋_GB2312" w:hAnsi="仿宋_GB2312" w:eastAsia="仿宋_GB2312" w:cs="仿宋_GB2312"/>
              <w:bCs/>
              <w:kern w:val="2"/>
              <w:szCs w:val="32"/>
              <w:highlight w:val="none"/>
              <w:lang w:val="en-US" w:eastAsia="zh-CN" w:bidi="ar-SA"/>
            </w:rPr>
            <w:t>5</w:t>
          </w:r>
          <w:r>
            <w:rPr>
              <w:rFonts w:hint="default" w:ascii="仿宋_GB2312" w:hAnsi="仿宋_GB2312" w:eastAsia="仿宋_GB2312" w:cs="仿宋_GB2312"/>
              <w:bCs/>
              <w:kern w:val="2"/>
              <w:szCs w:val="32"/>
              <w:highlight w:val="none"/>
              <w:lang w:val="en-US" w:eastAsia="zh-CN" w:bidi="ar-SA"/>
            </w:rPr>
            <w:t>.</w:t>
          </w:r>
          <w:r>
            <w:rPr>
              <w:rFonts w:hint="eastAsia" w:ascii="仿宋_GB2312" w:hAnsi="仿宋_GB2312" w:eastAsia="仿宋_GB2312" w:cs="仿宋_GB2312"/>
              <w:bCs/>
              <w:kern w:val="2"/>
              <w:szCs w:val="32"/>
              <w:highlight w:val="none"/>
              <w:lang w:val="en-US" w:eastAsia="zh-CN" w:bidi="ar-SA"/>
            </w:rPr>
            <w:t>1</w:t>
          </w:r>
          <w:r>
            <w:rPr>
              <w:rFonts w:hint="default" w:ascii="仿宋_GB2312" w:hAnsi="仿宋_GB2312" w:eastAsia="仿宋_GB2312" w:cs="仿宋_GB2312"/>
              <w:bCs/>
              <w:kern w:val="2"/>
              <w:szCs w:val="32"/>
              <w:highlight w:val="none"/>
              <w:lang w:val="en-US" w:eastAsia="zh-CN" w:bidi="ar-SA"/>
            </w:rPr>
            <w:t>环卫设施</w:t>
          </w:r>
          <w:r>
            <w:tab/>
          </w:r>
          <w:r>
            <w:fldChar w:fldCharType="begin"/>
          </w:r>
          <w:r>
            <w:instrText xml:space="preserve"> PAGEREF _Toc32448 \h </w:instrText>
          </w:r>
          <w:r>
            <w:fldChar w:fldCharType="separate"/>
          </w:r>
          <w:r>
            <w:t>17</w:t>
          </w:r>
          <w:r>
            <w:fldChar w:fldCharType="end"/>
          </w:r>
          <w:r>
            <w:fldChar w:fldCharType="end"/>
          </w:r>
        </w:p>
        <w:p w14:paraId="338B5C2C">
          <w:pPr>
            <w:pStyle w:val="13"/>
            <w:tabs>
              <w:tab w:val="right" w:leader="middleDot" w:pos="8845"/>
            </w:tabs>
          </w:pPr>
          <w:r>
            <w:fldChar w:fldCharType="begin"/>
          </w:r>
          <w:r>
            <w:instrText xml:space="preserve"> HYPERLINK \l _Toc2577 </w:instrText>
          </w:r>
          <w:r>
            <w:fldChar w:fldCharType="separate"/>
          </w:r>
          <w:r>
            <w:rPr>
              <w:rFonts w:hint="eastAsia" w:ascii="仿宋_GB2312" w:hAnsi="仿宋_GB2312" w:eastAsia="仿宋_GB2312" w:cs="仿宋_GB2312"/>
              <w:bCs/>
              <w:kern w:val="2"/>
              <w:szCs w:val="32"/>
              <w:highlight w:val="none"/>
              <w:lang w:val="en-US" w:eastAsia="zh-CN" w:bidi="ar-SA"/>
            </w:rPr>
            <w:t>5</w:t>
          </w:r>
          <w:r>
            <w:rPr>
              <w:rFonts w:hint="default" w:ascii="仿宋_GB2312" w:hAnsi="仿宋_GB2312" w:eastAsia="仿宋_GB2312" w:cs="仿宋_GB2312"/>
              <w:bCs/>
              <w:kern w:val="2"/>
              <w:szCs w:val="32"/>
              <w:highlight w:val="none"/>
              <w:lang w:val="en-US" w:eastAsia="zh-CN" w:bidi="ar-SA"/>
            </w:rPr>
            <w:t>.</w:t>
          </w:r>
          <w:r>
            <w:rPr>
              <w:rFonts w:hint="eastAsia" w:ascii="仿宋_GB2312" w:hAnsi="仿宋_GB2312" w:eastAsia="仿宋_GB2312" w:cs="仿宋_GB2312"/>
              <w:bCs/>
              <w:kern w:val="2"/>
              <w:szCs w:val="32"/>
              <w:highlight w:val="none"/>
              <w:lang w:val="en-US" w:eastAsia="zh-CN" w:bidi="ar-SA"/>
            </w:rPr>
            <w:t>2环卫清扫</w:t>
          </w:r>
          <w:r>
            <w:rPr>
              <w:rFonts w:hint="default" w:ascii="仿宋_GB2312" w:hAnsi="仿宋_GB2312" w:eastAsia="仿宋_GB2312" w:cs="仿宋_GB2312"/>
              <w:bCs/>
              <w:kern w:val="2"/>
              <w:szCs w:val="32"/>
              <w:highlight w:val="none"/>
              <w:lang w:val="en-US" w:eastAsia="zh-CN" w:bidi="ar-SA"/>
            </w:rPr>
            <w:t>保洁</w:t>
          </w:r>
          <w:r>
            <w:tab/>
          </w:r>
          <w:r>
            <w:fldChar w:fldCharType="begin"/>
          </w:r>
          <w:r>
            <w:instrText xml:space="preserve"> PAGEREF _Toc2577 \h </w:instrText>
          </w:r>
          <w:r>
            <w:fldChar w:fldCharType="separate"/>
          </w:r>
          <w:r>
            <w:t>18</w:t>
          </w:r>
          <w:r>
            <w:fldChar w:fldCharType="end"/>
          </w:r>
          <w:r>
            <w:fldChar w:fldCharType="end"/>
          </w:r>
        </w:p>
        <w:p w14:paraId="43CC287A">
          <w:pPr>
            <w:pStyle w:val="13"/>
            <w:tabs>
              <w:tab w:val="right" w:leader="middleDot" w:pos="8845"/>
            </w:tabs>
          </w:pPr>
          <w:r>
            <w:fldChar w:fldCharType="begin"/>
          </w:r>
          <w:r>
            <w:instrText xml:space="preserve"> HYPERLINK \l _Toc6977 </w:instrText>
          </w:r>
          <w:r>
            <w:fldChar w:fldCharType="separate"/>
          </w:r>
          <w:r>
            <w:rPr>
              <w:rFonts w:hint="eastAsia" w:ascii="仿宋_GB2312" w:hAnsi="仿宋_GB2312" w:eastAsia="仿宋_GB2312" w:cs="仿宋_GB2312"/>
              <w:bCs/>
              <w:kern w:val="2"/>
              <w:szCs w:val="32"/>
              <w:highlight w:val="none"/>
              <w:lang w:val="en-US" w:eastAsia="zh-CN" w:bidi="ar-SA"/>
            </w:rPr>
            <w:t>5</w:t>
          </w:r>
          <w:r>
            <w:rPr>
              <w:rFonts w:hint="default" w:ascii="仿宋_GB2312" w:hAnsi="仿宋_GB2312" w:eastAsia="仿宋_GB2312" w:cs="仿宋_GB2312"/>
              <w:bCs/>
              <w:kern w:val="2"/>
              <w:szCs w:val="32"/>
              <w:highlight w:val="none"/>
              <w:lang w:val="en-US" w:eastAsia="zh-CN" w:bidi="ar-SA"/>
            </w:rPr>
            <w:t>.</w:t>
          </w:r>
          <w:r>
            <w:rPr>
              <w:rFonts w:hint="eastAsia" w:ascii="仿宋_GB2312" w:hAnsi="仿宋_GB2312" w:eastAsia="仿宋_GB2312" w:cs="仿宋_GB2312"/>
              <w:bCs/>
              <w:kern w:val="2"/>
              <w:szCs w:val="32"/>
              <w:highlight w:val="none"/>
              <w:lang w:val="en-US" w:eastAsia="zh-CN" w:bidi="ar-SA"/>
            </w:rPr>
            <w:t>3</w:t>
          </w:r>
          <w:r>
            <w:rPr>
              <w:rFonts w:hint="default" w:ascii="仿宋_GB2312" w:hAnsi="仿宋_GB2312" w:eastAsia="仿宋_GB2312" w:cs="仿宋_GB2312"/>
              <w:bCs/>
              <w:kern w:val="2"/>
              <w:szCs w:val="32"/>
              <w:highlight w:val="none"/>
              <w:lang w:val="en-US" w:eastAsia="zh-CN" w:bidi="ar-SA"/>
            </w:rPr>
            <w:t>生活垃圾</w:t>
          </w:r>
          <w:r>
            <w:rPr>
              <w:rFonts w:hint="eastAsia" w:ascii="仿宋_GB2312" w:hAnsi="仿宋_GB2312" w:eastAsia="仿宋_GB2312" w:cs="仿宋_GB2312"/>
              <w:bCs/>
              <w:kern w:val="2"/>
              <w:szCs w:val="32"/>
              <w:highlight w:val="none"/>
              <w:lang w:val="en-US" w:eastAsia="zh-CN" w:bidi="ar-SA"/>
            </w:rPr>
            <w:t>收集、</w:t>
          </w:r>
          <w:r>
            <w:rPr>
              <w:rFonts w:hint="default" w:ascii="仿宋_GB2312" w:hAnsi="仿宋_GB2312" w:eastAsia="仿宋_GB2312" w:cs="仿宋_GB2312"/>
              <w:bCs/>
              <w:kern w:val="2"/>
              <w:szCs w:val="32"/>
              <w:highlight w:val="none"/>
              <w:lang w:val="en-US" w:eastAsia="zh-CN" w:bidi="ar-SA"/>
            </w:rPr>
            <w:t>运输</w:t>
          </w:r>
          <w:r>
            <w:tab/>
          </w:r>
          <w:r>
            <w:fldChar w:fldCharType="begin"/>
          </w:r>
          <w:r>
            <w:instrText xml:space="preserve"> PAGEREF _Toc6977 \h </w:instrText>
          </w:r>
          <w:r>
            <w:fldChar w:fldCharType="separate"/>
          </w:r>
          <w:r>
            <w:t>19</w:t>
          </w:r>
          <w:r>
            <w:fldChar w:fldCharType="end"/>
          </w:r>
          <w:r>
            <w:fldChar w:fldCharType="end"/>
          </w:r>
        </w:p>
        <w:p w14:paraId="59FBEB3E">
          <w:pPr>
            <w:pStyle w:val="13"/>
            <w:tabs>
              <w:tab w:val="right" w:leader="middleDot" w:pos="8845"/>
            </w:tabs>
          </w:pPr>
          <w:r>
            <w:fldChar w:fldCharType="begin"/>
          </w:r>
          <w:r>
            <w:instrText xml:space="preserve"> HYPERLINK \l _Toc753 </w:instrText>
          </w:r>
          <w:r>
            <w:fldChar w:fldCharType="separate"/>
          </w:r>
          <w:r>
            <w:rPr>
              <w:rFonts w:hint="eastAsia" w:ascii="仿宋_GB2312" w:hAnsi="仿宋_GB2312" w:eastAsia="仿宋_GB2312" w:cs="仿宋_GB2312"/>
              <w:bCs/>
              <w:kern w:val="2"/>
              <w:szCs w:val="32"/>
              <w:highlight w:val="none"/>
              <w:lang w:val="en-US" w:eastAsia="zh-CN" w:bidi="ar-SA"/>
            </w:rPr>
            <w:t>5</w:t>
          </w:r>
          <w:r>
            <w:rPr>
              <w:rFonts w:hint="default" w:ascii="仿宋_GB2312" w:hAnsi="仿宋_GB2312" w:eastAsia="仿宋_GB2312" w:cs="仿宋_GB2312"/>
              <w:bCs/>
              <w:kern w:val="2"/>
              <w:szCs w:val="32"/>
              <w:highlight w:val="none"/>
              <w:lang w:val="en-US" w:eastAsia="zh-CN" w:bidi="ar-SA"/>
            </w:rPr>
            <w:t>.</w:t>
          </w:r>
          <w:r>
            <w:rPr>
              <w:rFonts w:hint="eastAsia" w:ascii="仿宋_GB2312" w:hAnsi="仿宋_GB2312" w:eastAsia="仿宋_GB2312" w:cs="仿宋_GB2312"/>
              <w:bCs/>
              <w:kern w:val="2"/>
              <w:szCs w:val="32"/>
              <w:highlight w:val="none"/>
              <w:lang w:val="en-US" w:eastAsia="zh-CN" w:bidi="ar-SA"/>
            </w:rPr>
            <w:t>4</w:t>
          </w:r>
          <w:r>
            <w:rPr>
              <w:rFonts w:hint="default" w:ascii="仿宋_GB2312" w:hAnsi="仿宋_GB2312" w:eastAsia="仿宋_GB2312" w:cs="仿宋_GB2312"/>
              <w:bCs/>
              <w:kern w:val="2"/>
              <w:szCs w:val="32"/>
              <w:highlight w:val="none"/>
              <w:lang w:val="en-US" w:eastAsia="zh-CN" w:bidi="ar-SA"/>
            </w:rPr>
            <w:t>公共厕所管理</w:t>
          </w:r>
          <w:r>
            <w:tab/>
          </w:r>
          <w:r>
            <w:fldChar w:fldCharType="begin"/>
          </w:r>
          <w:r>
            <w:instrText xml:space="preserve"> PAGEREF _Toc753 \h </w:instrText>
          </w:r>
          <w:r>
            <w:fldChar w:fldCharType="separate"/>
          </w:r>
          <w:r>
            <w:t>20</w:t>
          </w:r>
          <w:r>
            <w:fldChar w:fldCharType="end"/>
          </w:r>
          <w:r>
            <w:fldChar w:fldCharType="end"/>
          </w:r>
        </w:p>
        <w:p w14:paraId="0CEAB488">
          <w:pPr>
            <w:pStyle w:val="13"/>
            <w:tabs>
              <w:tab w:val="right" w:leader="middleDot" w:pos="8845"/>
            </w:tabs>
          </w:pPr>
          <w:r>
            <w:fldChar w:fldCharType="begin"/>
          </w:r>
          <w:r>
            <w:instrText xml:space="preserve"> HYPERLINK \l _Toc7187 </w:instrText>
          </w:r>
          <w:r>
            <w:fldChar w:fldCharType="separate"/>
          </w:r>
          <w:r>
            <w:rPr>
              <w:rFonts w:hint="eastAsia" w:ascii="仿宋_GB2312" w:hAnsi="仿宋_GB2312" w:eastAsia="仿宋_GB2312" w:cs="仿宋_GB2312"/>
              <w:bCs/>
              <w:kern w:val="2"/>
              <w:szCs w:val="32"/>
              <w:highlight w:val="none"/>
              <w:lang w:val="en-US" w:eastAsia="zh-CN" w:bidi="ar-SA"/>
            </w:rPr>
            <w:t>5</w:t>
          </w:r>
          <w:r>
            <w:rPr>
              <w:rFonts w:hint="default" w:ascii="仿宋_GB2312" w:hAnsi="仿宋_GB2312" w:eastAsia="仿宋_GB2312" w:cs="仿宋_GB2312"/>
              <w:bCs/>
              <w:kern w:val="2"/>
              <w:szCs w:val="32"/>
              <w:highlight w:val="none"/>
              <w:lang w:val="en-US" w:eastAsia="zh-CN" w:bidi="ar-SA"/>
            </w:rPr>
            <w:t>.5建筑垃圾处置</w:t>
          </w:r>
          <w:r>
            <w:tab/>
          </w:r>
          <w:r>
            <w:fldChar w:fldCharType="begin"/>
          </w:r>
          <w:r>
            <w:instrText xml:space="preserve"> PAGEREF _Toc7187 \h </w:instrText>
          </w:r>
          <w:r>
            <w:fldChar w:fldCharType="separate"/>
          </w:r>
          <w:r>
            <w:t>21</w:t>
          </w:r>
          <w:r>
            <w:fldChar w:fldCharType="end"/>
          </w:r>
          <w:r>
            <w:fldChar w:fldCharType="end"/>
          </w:r>
        </w:p>
        <w:p w14:paraId="0C77088E">
          <w:pPr>
            <w:pStyle w:val="12"/>
            <w:tabs>
              <w:tab w:val="right" w:leader="middleDot" w:pos="8845"/>
            </w:tabs>
          </w:pPr>
          <w:r>
            <w:fldChar w:fldCharType="begin"/>
          </w:r>
          <w:r>
            <w:instrText xml:space="preserve"> HYPERLINK \l _Toc14925 </w:instrText>
          </w:r>
          <w:r>
            <w:fldChar w:fldCharType="separate"/>
          </w:r>
          <w:r>
            <w:rPr>
              <w:rFonts w:hint="eastAsia" w:ascii="黑体" w:hAnsi="黑体" w:eastAsia="黑体" w:cs="黑体"/>
              <w:bCs/>
              <w:kern w:val="44"/>
              <w:szCs w:val="36"/>
              <w:highlight w:val="none"/>
              <w:lang w:val="en-US" w:eastAsia="zh-CN" w:bidi="ar-SA"/>
            </w:rPr>
            <w:t>6城市</w:t>
          </w:r>
          <w:r>
            <w:rPr>
              <w:rFonts w:hint="default" w:ascii="黑体" w:hAnsi="黑体" w:eastAsia="黑体" w:cs="黑体"/>
              <w:bCs/>
              <w:kern w:val="44"/>
              <w:szCs w:val="36"/>
              <w:highlight w:val="none"/>
              <w:lang w:val="en-US" w:eastAsia="zh-CN" w:bidi="ar-SA"/>
            </w:rPr>
            <w:t>道路</w:t>
          </w:r>
          <w:r>
            <w:tab/>
          </w:r>
          <w:r>
            <w:fldChar w:fldCharType="begin"/>
          </w:r>
          <w:r>
            <w:instrText xml:space="preserve"> PAGEREF _Toc14925 \h </w:instrText>
          </w:r>
          <w:r>
            <w:fldChar w:fldCharType="separate"/>
          </w:r>
          <w:r>
            <w:t>23</w:t>
          </w:r>
          <w:r>
            <w:fldChar w:fldCharType="end"/>
          </w:r>
          <w:r>
            <w:fldChar w:fldCharType="end"/>
          </w:r>
        </w:p>
        <w:p w14:paraId="02F45442">
          <w:pPr>
            <w:pStyle w:val="13"/>
            <w:tabs>
              <w:tab w:val="right" w:leader="middleDot" w:pos="8845"/>
            </w:tabs>
          </w:pPr>
          <w:r>
            <w:fldChar w:fldCharType="begin"/>
          </w:r>
          <w:r>
            <w:instrText xml:space="preserve"> HYPERLINK \l _Toc21558 </w:instrText>
          </w:r>
          <w:r>
            <w:fldChar w:fldCharType="separate"/>
          </w:r>
          <w:r>
            <w:rPr>
              <w:rFonts w:hint="eastAsia" w:ascii="仿宋_GB2312" w:hAnsi="仿宋_GB2312" w:eastAsia="仿宋_GB2312" w:cs="仿宋_GB2312"/>
              <w:lang w:val="en-US" w:eastAsia="zh-CN"/>
            </w:rPr>
            <w:t>6.1城市道路设施（包括车行道、人行道及附属设施）</w:t>
          </w:r>
          <w:r>
            <w:tab/>
          </w:r>
          <w:r>
            <w:fldChar w:fldCharType="begin"/>
          </w:r>
          <w:r>
            <w:instrText xml:space="preserve"> PAGEREF _Toc21558 \h </w:instrText>
          </w:r>
          <w:r>
            <w:fldChar w:fldCharType="separate"/>
          </w:r>
          <w:r>
            <w:t>23</w:t>
          </w:r>
          <w:r>
            <w:fldChar w:fldCharType="end"/>
          </w:r>
          <w:r>
            <w:fldChar w:fldCharType="end"/>
          </w:r>
        </w:p>
        <w:p w14:paraId="118959F8">
          <w:pPr>
            <w:pStyle w:val="13"/>
            <w:tabs>
              <w:tab w:val="right" w:leader="middleDot" w:pos="8845"/>
            </w:tabs>
          </w:pPr>
          <w:r>
            <w:fldChar w:fldCharType="begin"/>
          </w:r>
          <w:r>
            <w:instrText xml:space="preserve"> HYPERLINK \l _Toc9992 </w:instrText>
          </w:r>
          <w:r>
            <w:fldChar w:fldCharType="separate"/>
          </w:r>
          <w:r>
            <w:rPr>
              <w:rFonts w:hint="eastAsia" w:ascii="仿宋_GB2312" w:hAnsi="仿宋_GB2312" w:eastAsia="仿宋_GB2312" w:cs="仿宋_GB2312"/>
              <w:lang w:val="en-US" w:eastAsia="zh-CN"/>
            </w:rPr>
            <w:t>6.2位于城市道路上的桥梁、隧道、人行天桥及地下通道等结构性设施</w:t>
          </w:r>
          <w:r>
            <w:tab/>
          </w:r>
          <w:r>
            <w:fldChar w:fldCharType="begin"/>
          </w:r>
          <w:r>
            <w:instrText xml:space="preserve"> PAGEREF _Toc9992 \h </w:instrText>
          </w:r>
          <w:r>
            <w:fldChar w:fldCharType="separate"/>
          </w:r>
          <w:r>
            <w:t>26</w:t>
          </w:r>
          <w:r>
            <w:fldChar w:fldCharType="end"/>
          </w:r>
          <w:r>
            <w:fldChar w:fldCharType="end"/>
          </w:r>
        </w:p>
        <w:p w14:paraId="5236F037">
          <w:pPr>
            <w:pStyle w:val="13"/>
            <w:tabs>
              <w:tab w:val="right" w:leader="middleDot" w:pos="8845"/>
            </w:tabs>
          </w:pPr>
          <w:r>
            <w:fldChar w:fldCharType="begin"/>
          </w:r>
          <w:r>
            <w:instrText xml:space="preserve"> HYPERLINK \l _Toc27956 </w:instrText>
          </w:r>
          <w:r>
            <w:fldChar w:fldCharType="separate"/>
          </w:r>
          <w:r>
            <w:rPr>
              <w:rFonts w:hint="eastAsia" w:ascii="仿宋_GB2312" w:hAnsi="仿宋_GB2312" w:eastAsia="仿宋_GB2312" w:cs="仿宋_GB2312"/>
              <w:lang w:val="en-US" w:eastAsia="zh-CN"/>
            </w:rPr>
            <w:t>6.3占道施工作业</w:t>
          </w:r>
          <w:r>
            <w:tab/>
          </w:r>
          <w:r>
            <w:fldChar w:fldCharType="begin"/>
          </w:r>
          <w:r>
            <w:instrText xml:space="preserve"> PAGEREF _Toc27956 \h </w:instrText>
          </w:r>
          <w:r>
            <w:fldChar w:fldCharType="separate"/>
          </w:r>
          <w:r>
            <w:t>29</w:t>
          </w:r>
          <w:r>
            <w:fldChar w:fldCharType="end"/>
          </w:r>
          <w:r>
            <w:fldChar w:fldCharType="end"/>
          </w:r>
        </w:p>
        <w:p w14:paraId="39547AAF">
          <w:pPr>
            <w:pStyle w:val="13"/>
            <w:tabs>
              <w:tab w:val="right" w:leader="middleDot" w:pos="8845"/>
            </w:tabs>
          </w:pPr>
          <w:r>
            <w:fldChar w:fldCharType="begin"/>
          </w:r>
          <w:r>
            <w:instrText xml:space="preserve"> HYPERLINK \l _Toc21440 </w:instrText>
          </w:r>
          <w:r>
            <w:fldChar w:fldCharType="separate"/>
          </w:r>
          <w:r>
            <w:rPr>
              <w:rFonts w:hint="eastAsia" w:ascii="仿宋_GB2312" w:hAnsi="仿宋_GB2312" w:eastAsia="仿宋_GB2312" w:cs="仿宋_GB2312"/>
              <w:lang w:val="en-US" w:eastAsia="zh-CN"/>
            </w:rPr>
            <w:t>6.4架空管线</w:t>
          </w:r>
          <w:r>
            <w:tab/>
          </w:r>
          <w:r>
            <w:fldChar w:fldCharType="begin"/>
          </w:r>
          <w:r>
            <w:instrText xml:space="preserve"> PAGEREF _Toc21440 \h </w:instrText>
          </w:r>
          <w:r>
            <w:fldChar w:fldCharType="separate"/>
          </w:r>
          <w:r>
            <w:t>30</w:t>
          </w:r>
          <w:r>
            <w:fldChar w:fldCharType="end"/>
          </w:r>
          <w:r>
            <w:fldChar w:fldCharType="end"/>
          </w:r>
        </w:p>
        <w:p w14:paraId="32012320">
          <w:pPr>
            <w:pStyle w:val="12"/>
            <w:tabs>
              <w:tab w:val="right" w:leader="middleDot" w:pos="8845"/>
            </w:tabs>
          </w:pPr>
          <w:r>
            <w:fldChar w:fldCharType="begin"/>
          </w:r>
          <w:r>
            <w:instrText xml:space="preserve"> HYPERLINK \l _Toc4663 </w:instrText>
          </w:r>
          <w:r>
            <w:fldChar w:fldCharType="separate"/>
          </w:r>
          <w:r>
            <w:rPr>
              <w:rFonts w:hint="eastAsia" w:ascii="黑体" w:hAnsi="黑体" w:eastAsia="黑体" w:cs="黑体"/>
              <w:bCs w:val="0"/>
              <w:kern w:val="2"/>
              <w:szCs w:val="36"/>
              <w:highlight w:val="none"/>
              <w:lang w:val="en-US" w:eastAsia="zh-CN" w:bidi="ar-SA"/>
            </w:rPr>
            <w:t>7公共设施</w:t>
          </w:r>
          <w:r>
            <w:tab/>
          </w:r>
          <w:r>
            <w:fldChar w:fldCharType="begin"/>
          </w:r>
          <w:r>
            <w:instrText xml:space="preserve"> PAGEREF _Toc4663 \h </w:instrText>
          </w:r>
          <w:r>
            <w:fldChar w:fldCharType="separate"/>
          </w:r>
          <w:r>
            <w:t>31</w:t>
          </w:r>
          <w:r>
            <w:fldChar w:fldCharType="end"/>
          </w:r>
          <w:r>
            <w:fldChar w:fldCharType="end"/>
          </w:r>
        </w:p>
        <w:p w14:paraId="65683B88">
          <w:pPr>
            <w:pStyle w:val="13"/>
            <w:tabs>
              <w:tab w:val="right" w:leader="middleDot" w:pos="8845"/>
            </w:tabs>
          </w:pPr>
          <w:r>
            <w:fldChar w:fldCharType="begin"/>
          </w:r>
          <w:r>
            <w:instrText xml:space="preserve"> HYPERLINK \l _Toc26797 </w:instrText>
          </w:r>
          <w:r>
            <w:fldChar w:fldCharType="separate"/>
          </w:r>
          <w:r>
            <w:rPr>
              <w:rFonts w:hint="eastAsia" w:ascii="仿宋_GB2312" w:hAnsi="仿宋_GB2312" w:eastAsia="仿宋_GB2312" w:cs="仿宋_GB2312"/>
              <w:bCs/>
              <w:kern w:val="2"/>
              <w:szCs w:val="32"/>
              <w:highlight w:val="none"/>
              <w:lang w:val="en-US" w:eastAsia="zh-CN" w:bidi="ar-SA"/>
            </w:rPr>
            <w:t>7</w:t>
          </w:r>
          <w:r>
            <w:rPr>
              <w:rFonts w:hint="default" w:ascii="仿宋_GB2312" w:hAnsi="仿宋_GB2312" w:eastAsia="仿宋_GB2312" w:cs="仿宋_GB2312"/>
              <w:bCs/>
              <w:kern w:val="2"/>
              <w:szCs w:val="32"/>
              <w:highlight w:val="none"/>
              <w:lang w:val="en-US" w:eastAsia="zh-CN" w:bidi="ar-SA"/>
            </w:rPr>
            <w:t>.1</w:t>
          </w:r>
          <w:r>
            <w:rPr>
              <w:rFonts w:hint="eastAsia" w:ascii="仿宋_GB2312" w:hAnsi="仿宋_GB2312" w:eastAsia="仿宋_GB2312" w:cs="仿宋_GB2312"/>
              <w:bCs/>
              <w:kern w:val="2"/>
              <w:szCs w:val="32"/>
              <w:highlight w:val="none"/>
              <w:lang w:val="en-US" w:eastAsia="zh-CN" w:bidi="ar-SA"/>
            </w:rPr>
            <w:t>城市</w:t>
          </w:r>
          <w:r>
            <w:rPr>
              <w:rFonts w:hint="default" w:ascii="仿宋_GB2312" w:hAnsi="仿宋_GB2312" w:eastAsia="仿宋_GB2312" w:cs="仿宋_GB2312"/>
              <w:bCs/>
              <w:kern w:val="2"/>
              <w:szCs w:val="32"/>
              <w:highlight w:val="none"/>
              <w:lang w:val="en-US" w:eastAsia="zh-CN" w:bidi="ar-SA"/>
            </w:rPr>
            <w:t>照明</w:t>
          </w:r>
          <w:r>
            <w:tab/>
          </w:r>
          <w:r>
            <w:fldChar w:fldCharType="begin"/>
          </w:r>
          <w:r>
            <w:instrText xml:space="preserve"> PAGEREF _Toc26797 \h </w:instrText>
          </w:r>
          <w:r>
            <w:fldChar w:fldCharType="separate"/>
          </w:r>
          <w:r>
            <w:t>31</w:t>
          </w:r>
          <w:r>
            <w:fldChar w:fldCharType="end"/>
          </w:r>
          <w:r>
            <w:fldChar w:fldCharType="end"/>
          </w:r>
        </w:p>
        <w:p w14:paraId="695B54FC">
          <w:pPr>
            <w:pStyle w:val="13"/>
            <w:tabs>
              <w:tab w:val="right" w:leader="middleDot" w:pos="8845"/>
            </w:tabs>
          </w:pPr>
          <w:r>
            <w:fldChar w:fldCharType="begin"/>
          </w:r>
          <w:r>
            <w:instrText xml:space="preserve"> HYPERLINK \l _Toc14122 </w:instrText>
          </w:r>
          <w:r>
            <w:fldChar w:fldCharType="separate"/>
          </w:r>
          <w:r>
            <w:rPr>
              <w:rFonts w:hint="eastAsia" w:ascii="仿宋_GB2312" w:hAnsi="仿宋_GB2312" w:eastAsia="仿宋_GB2312" w:cs="仿宋_GB2312"/>
              <w:bCs/>
              <w:kern w:val="2"/>
              <w:szCs w:val="32"/>
              <w:highlight w:val="none"/>
              <w:lang w:val="en-US" w:eastAsia="zh-CN" w:bidi="ar-SA"/>
            </w:rPr>
            <w:t>7</w:t>
          </w:r>
          <w:r>
            <w:rPr>
              <w:rFonts w:hint="default" w:ascii="仿宋_GB2312" w:hAnsi="仿宋_GB2312" w:eastAsia="仿宋_GB2312" w:cs="仿宋_GB2312"/>
              <w:bCs/>
              <w:kern w:val="2"/>
              <w:szCs w:val="32"/>
              <w:highlight w:val="none"/>
              <w:lang w:val="en-US" w:eastAsia="zh-CN" w:bidi="ar-SA"/>
            </w:rPr>
            <w:t>.</w:t>
          </w:r>
          <w:r>
            <w:rPr>
              <w:rFonts w:hint="eastAsia" w:ascii="仿宋_GB2312" w:hAnsi="仿宋_GB2312" w:eastAsia="仿宋_GB2312" w:cs="仿宋_GB2312"/>
              <w:bCs/>
              <w:kern w:val="2"/>
              <w:szCs w:val="32"/>
              <w:highlight w:val="none"/>
              <w:lang w:val="en-US" w:eastAsia="zh-CN" w:bidi="ar-SA"/>
            </w:rPr>
            <w:t>2</w:t>
          </w:r>
          <w:r>
            <w:rPr>
              <w:rFonts w:hint="default" w:ascii="仿宋_GB2312" w:hAnsi="仿宋_GB2312" w:eastAsia="仿宋_GB2312" w:cs="仿宋_GB2312"/>
              <w:bCs/>
              <w:kern w:val="2"/>
              <w:szCs w:val="32"/>
              <w:highlight w:val="none"/>
              <w:lang w:val="en-US" w:eastAsia="zh-CN" w:bidi="ar-SA"/>
            </w:rPr>
            <w:t>交通设施</w:t>
          </w:r>
          <w:r>
            <w:tab/>
          </w:r>
          <w:r>
            <w:fldChar w:fldCharType="begin"/>
          </w:r>
          <w:r>
            <w:instrText xml:space="preserve"> PAGEREF _Toc14122 \h </w:instrText>
          </w:r>
          <w:r>
            <w:fldChar w:fldCharType="separate"/>
          </w:r>
          <w:r>
            <w:t>33</w:t>
          </w:r>
          <w:r>
            <w:fldChar w:fldCharType="end"/>
          </w:r>
          <w:r>
            <w:fldChar w:fldCharType="end"/>
          </w:r>
        </w:p>
        <w:p w14:paraId="6EDD39CA">
          <w:pPr>
            <w:pStyle w:val="13"/>
            <w:tabs>
              <w:tab w:val="right" w:leader="middleDot" w:pos="8845"/>
            </w:tabs>
          </w:pPr>
          <w:r>
            <w:fldChar w:fldCharType="begin"/>
          </w:r>
          <w:r>
            <w:instrText xml:space="preserve"> HYPERLINK \l _Toc32710 </w:instrText>
          </w:r>
          <w:r>
            <w:fldChar w:fldCharType="separate"/>
          </w:r>
          <w:r>
            <w:rPr>
              <w:rFonts w:hint="eastAsia" w:ascii="仿宋_GB2312" w:hAnsi="仿宋_GB2312" w:eastAsia="仿宋_GB2312" w:cs="仿宋_GB2312"/>
              <w:bCs/>
              <w:kern w:val="2"/>
              <w:szCs w:val="32"/>
              <w:highlight w:val="none"/>
              <w:lang w:val="en-US" w:eastAsia="zh-CN" w:bidi="ar-SA"/>
            </w:rPr>
            <w:t>7</w:t>
          </w:r>
          <w:r>
            <w:rPr>
              <w:rFonts w:hint="default" w:ascii="仿宋_GB2312" w:hAnsi="仿宋_GB2312" w:eastAsia="仿宋_GB2312" w:cs="仿宋_GB2312"/>
              <w:bCs/>
              <w:kern w:val="2"/>
              <w:szCs w:val="32"/>
              <w:highlight w:val="none"/>
              <w:lang w:val="en-US" w:eastAsia="zh-CN" w:bidi="ar-SA"/>
            </w:rPr>
            <w:t>.</w:t>
          </w:r>
          <w:r>
            <w:rPr>
              <w:rFonts w:hint="eastAsia" w:ascii="仿宋_GB2312" w:hAnsi="仿宋_GB2312" w:eastAsia="仿宋_GB2312" w:cs="仿宋_GB2312"/>
              <w:bCs/>
              <w:kern w:val="2"/>
              <w:szCs w:val="32"/>
              <w:highlight w:val="none"/>
              <w:lang w:val="en-US" w:eastAsia="zh-CN" w:bidi="ar-SA"/>
            </w:rPr>
            <w:t>3</w:t>
          </w:r>
          <w:r>
            <w:rPr>
              <w:rFonts w:hint="default" w:ascii="仿宋_GB2312" w:hAnsi="仿宋_GB2312" w:eastAsia="仿宋_GB2312" w:cs="仿宋_GB2312"/>
              <w:bCs/>
              <w:kern w:val="2"/>
              <w:szCs w:val="32"/>
              <w:highlight w:val="none"/>
              <w:lang w:val="en-US" w:eastAsia="zh-CN" w:bidi="ar-SA"/>
            </w:rPr>
            <w:t>公共亭棚</w:t>
          </w:r>
          <w:r>
            <w:tab/>
          </w:r>
          <w:r>
            <w:fldChar w:fldCharType="begin"/>
          </w:r>
          <w:r>
            <w:instrText xml:space="preserve"> PAGEREF _Toc32710 \h </w:instrText>
          </w:r>
          <w:r>
            <w:fldChar w:fldCharType="separate"/>
          </w:r>
          <w:r>
            <w:t>35</w:t>
          </w:r>
          <w:r>
            <w:fldChar w:fldCharType="end"/>
          </w:r>
          <w:r>
            <w:fldChar w:fldCharType="end"/>
          </w:r>
        </w:p>
        <w:p w14:paraId="02D79A96">
          <w:pPr>
            <w:pStyle w:val="12"/>
            <w:tabs>
              <w:tab w:val="right" w:leader="middleDot" w:pos="8845"/>
            </w:tabs>
          </w:pPr>
          <w:r>
            <w:fldChar w:fldCharType="begin"/>
          </w:r>
          <w:r>
            <w:instrText xml:space="preserve"> HYPERLINK \l _Toc19624 </w:instrText>
          </w:r>
          <w:r>
            <w:fldChar w:fldCharType="separate"/>
          </w:r>
          <w:r>
            <w:rPr>
              <w:rFonts w:hint="eastAsia" w:ascii="黑体" w:hAnsi="黑体" w:eastAsia="黑体" w:cs="黑体"/>
              <w:bCs w:val="0"/>
              <w:kern w:val="2"/>
              <w:szCs w:val="36"/>
              <w:highlight w:val="none"/>
              <w:lang w:val="en-US" w:eastAsia="zh-CN" w:bidi="ar-SA"/>
            </w:rPr>
            <w:t>8</w:t>
          </w:r>
          <w:r>
            <w:rPr>
              <w:rFonts w:hint="default" w:ascii="黑体" w:hAnsi="黑体" w:eastAsia="黑体" w:cs="黑体"/>
              <w:bCs w:val="0"/>
              <w:kern w:val="2"/>
              <w:szCs w:val="36"/>
              <w:highlight w:val="none"/>
              <w:lang w:val="en-US" w:eastAsia="zh-CN" w:bidi="ar-SA"/>
            </w:rPr>
            <w:t>园林绿化</w:t>
          </w:r>
          <w:r>
            <w:tab/>
          </w:r>
          <w:r>
            <w:fldChar w:fldCharType="begin"/>
          </w:r>
          <w:r>
            <w:instrText xml:space="preserve"> PAGEREF _Toc19624 \h </w:instrText>
          </w:r>
          <w:r>
            <w:fldChar w:fldCharType="separate"/>
          </w:r>
          <w:r>
            <w:t>35</w:t>
          </w:r>
          <w:r>
            <w:fldChar w:fldCharType="end"/>
          </w:r>
          <w:r>
            <w:fldChar w:fldCharType="end"/>
          </w:r>
        </w:p>
        <w:p w14:paraId="594E16F6">
          <w:pPr>
            <w:pStyle w:val="13"/>
            <w:tabs>
              <w:tab w:val="right" w:leader="middleDot" w:pos="8845"/>
            </w:tabs>
          </w:pPr>
          <w:r>
            <w:fldChar w:fldCharType="begin"/>
          </w:r>
          <w:r>
            <w:instrText xml:space="preserve"> HYPERLINK \l _Toc26900 </w:instrText>
          </w:r>
          <w:r>
            <w:fldChar w:fldCharType="separate"/>
          </w:r>
          <w:r>
            <w:rPr>
              <w:rFonts w:hint="eastAsia" w:ascii="仿宋_GB2312" w:hAnsi="仿宋_GB2312" w:eastAsia="仿宋_GB2312" w:cs="仿宋_GB2312"/>
              <w:bCs/>
              <w:kern w:val="2"/>
              <w:szCs w:val="32"/>
              <w:highlight w:val="none"/>
              <w:lang w:val="en-US" w:eastAsia="zh-CN" w:bidi="ar-SA"/>
            </w:rPr>
            <w:t>8.1城镇绿化</w:t>
          </w:r>
          <w:r>
            <w:tab/>
          </w:r>
          <w:r>
            <w:fldChar w:fldCharType="begin"/>
          </w:r>
          <w:r>
            <w:instrText xml:space="preserve"> PAGEREF _Toc26900 \h </w:instrText>
          </w:r>
          <w:r>
            <w:fldChar w:fldCharType="separate"/>
          </w:r>
          <w:r>
            <w:t>35</w:t>
          </w:r>
          <w:r>
            <w:fldChar w:fldCharType="end"/>
          </w:r>
          <w:r>
            <w:fldChar w:fldCharType="end"/>
          </w:r>
        </w:p>
        <w:p w14:paraId="426300B1">
          <w:pPr>
            <w:pStyle w:val="13"/>
            <w:tabs>
              <w:tab w:val="right" w:leader="middleDot" w:pos="8845"/>
            </w:tabs>
          </w:pPr>
          <w:r>
            <w:fldChar w:fldCharType="begin"/>
          </w:r>
          <w:r>
            <w:instrText xml:space="preserve"> HYPERLINK \l _Toc25861 </w:instrText>
          </w:r>
          <w:r>
            <w:fldChar w:fldCharType="separate"/>
          </w:r>
          <w:r>
            <w:rPr>
              <w:rFonts w:hint="eastAsia" w:ascii="仿宋_GB2312" w:hAnsi="仿宋_GB2312" w:eastAsia="仿宋_GB2312" w:cs="仿宋_GB2312"/>
              <w:bCs/>
              <w:szCs w:val="32"/>
              <w:highlight w:val="none"/>
              <w:lang w:val="en-US" w:eastAsia="zh-CN"/>
            </w:rPr>
            <w:t>8.2公园绿地</w:t>
          </w:r>
          <w:r>
            <w:tab/>
          </w:r>
          <w:r>
            <w:fldChar w:fldCharType="begin"/>
          </w:r>
          <w:r>
            <w:instrText xml:space="preserve"> PAGEREF _Toc25861 \h </w:instrText>
          </w:r>
          <w:r>
            <w:fldChar w:fldCharType="separate"/>
          </w:r>
          <w:r>
            <w:t>38</w:t>
          </w:r>
          <w:r>
            <w:fldChar w:fldCharType="end"/>
          </w:r>
          <w:r>
            <w:fldChar w:fldCharType="end"/>
          </w:r>
        </w:p>
        <w:p w14:paraId="2851AEB5">
          <w:pPr>
            <w:pStyle w:val="13"/>
            <w:tabs>
              <w:tab w:val="right" w:leader="middleDot" w:pos="8845"/>
            </w:tabs>
          </w:pPr>
          <w:r>
            <w:fldChar w:fldCharType="begin"/>
          </w:r>
          <w:r>
            <w:instrText xml:space="preserve"> HYPERLINK \l _Toc18745 </w:instrText>
          </w:r>
          <w:r>
            <w:fldChar w:fldCharType="separate"/>
          </w:r>
          <w:r>
            <w:rPr>
              <w:rFonts w:hint="eastAsia" w:ascii="仿宋_GB2312" w:hAnsi="仿宋_GB2312" w:eastAsia="仿宋_GB2312" w:cs="仿宋_GB2312"/>
              <w:bCs/>
              <w:szCs w:val="32"/>
              <w:highlight w:val="none"/>
              <w:lang w:val="en-US" w:eastAsia="zh-CN"/>
            </w:rPr>
            <w:t>8.3广场用地</w:t>
          </w:r>
          <w:r>
            <w:tab/>
          </w:r>
          <w:r>
            <w:fldChar w:fldCharType="begin"/>
          </w:r>
          <w:r>
            <w:instrText xml:space="preserve"> PAGEREF _Toc18745 \h </w:instrText>
          </w:r>
          <w:r>
            <w:fldChar w:fldCharType="separate"/>
          </w:r>
          <w:r>
            <w:t>40</w:t>
          </w:r>
          <w:r>
            <w:fldChar w:fldCharType="end"/>
          </w:r>
          <w:r>
            <w:fldChar w:fldCharType="end"/>
          </w:r>
        </w:p>
        <w:p w14:paraId="1CBC8111">
          <w:pPr>
            <w:pStyle w:val="13"/>
            <w:tabs>
              <w:tab w:val="right" w:leader="middleDot" w:pos="8845"/>
            </w:tabs>
          </w:pPr>
          <w:r>
            <w:fldChar w:fldCharType="begin"/>
          </w:r>
          <w:r>
            <w:instrText xml:space="preserve"> HYPERLINK \l _Toc19050 </w:instrText>
          </w:r>
          <w:r>
            <w:fldChar w:fldCharType="separate"/>
          </w:r>
          <w:r>
            <w:rPr>
              <w:rFonts w:hint="eastAsia" w:ascii="仿宋_GB2312" w:hAnsi="仿宋_GB2312" w:eastAsia="仿宋_GB2312" w:cs="仿宋_GB2312"/>
              <w:bCs/>
              <w:szCs w:val="32"/>
              <w:highlight w:val="none"/>
              <w:lang w:val="en-US" w:eastAsia="zh-CN"/>
            </w:rPr>
            <w:t>8.4防护绿地和附属绿地</w:t>
          </w:r>
          <w:r>
            <w:tab/>
          </w:r>
          <w:r>
            <w:fldChar w:fldCharType="begin"/>
          </w:r>
          <w:r>
            <w:instrText xml:space="preserve"> PAGEREF _Toc19050 \h </w:instrText>
          </w:r>
          <w:r>
            <w:fldChar w:fldCharType="separate"/>
          </w:r>
          <w:r>
            <w:t>41</w:t>
          </w:r>
          <w:r>
            <w:fldChar w:fldCharType="end"/>
          </w:r>
          <w:r>
            <w:fldChar w:fldCharType="end"/>
          </w:r>
        </w:p>
        <w:p w14:paraId="7F680AAF">
          <w:pPr>
            <w:pStyle w:val="13"/>
            <w:tabs>
              <w:tab w:val="right" w:leader="middleDot" w:pos="8845"/>
            </w:tabs>
          </w:pPr>
          <w:r>
            <w:fldChar w:fldCharType="begin"/>
          </w:r>
          <w:r>
            <w:instrText xml:space="preserve"> HYPERLINK \l _Toc28204 </w:instrText>
          </w:r>
          <w:r>
            <w:fldChar w:fldCharType="separate"/>
          </w:r>
          <w:r>
            <w:rPr>
              <w:rFonts w:hint="eastAsia" w:ascii="仿宋_GB2312" w:hAnsi="仿宋_GB2312" w:eastAsia="仿宋_GB2312" w:cs="仿宋_GB2312"/>
              <w:bCs/>
              <w:szCs w:val="32"/>
              <w:highlight w:val="none"/>
              <w:lang w:val="en-US" w:eastAsia="zh-CN"/>
            </w:rPr>
            <w:t>8.5古树名木大树</w:t>
          </w:r>
          <w:r>
            <w:tab/>
          </w:r>
          <w:r>
            <w:fldChar w:fldCharType="begin"/>
          </w:r>
          <w:r>
            <w:instrText xml:space="preserve"> PAGEREF _Toc28204 \h </w:instrText>
          </w:r>
          <w:r>
            <w:fldChar w:fldCharType="separate"/>
          </w:r>
          <w:r>
            <w:t>42</w:t>
          </w:r>
          <w:r>
            <w:fldChar w:fldCharType="end"/>
          </w:r>
          <w:r>
            <w:fldChar w:fldCharType="end"/>
          </w:r>
        </w:p>
        <w:p w14:paraId="325B69BA">
          <w:pPr>
            <w:pStyle w:val="12"/>
            <w:tabs>
              <w:tab w:val="right" w:leader="middleDot" w:pos="8845"/>
            </w:tabs>
          </w:pPr>
          <w:r>
            <w:fldChar w:fldCharType="begin"/>
          </w:r>
          <w:r>
            <w:instrText xml:space="preserve"> HYPERLINK \l _Toc29845 </w:instrText>
          </w:r>
          <w:r>
            <w:fldChar w:fldCharType="separate"/>
          </w:r>
          <w:r>
            <w:rPr>
              <w:rFonts w:hint="eastAsia" w:ascii="黑体" w:hAnsi="黑体" w:eastAsia="黑体" w:cs="黑体"/>
              <w:bCs w:val="0"/>
              <w:kern w:val="2"/>
              <w:szCs w:val="36"/>
              <w:highlight w:val="none"/>
              <w:lang w:val="en-US" w:eastAsia="zh-CN" w:bidi="ar-SA"/>
            </w:rPr>
            <w:t>9</w:t>
          </w:r>
          <w:r>
            <w:rPr>
              <w:rFonts w:hint="default" w:ascii="黑体" w:hAnsi="黑体" w:eastAsia="黑体" w:cs="黑体"/>
              <w:bCs w:val="0"/>
              <w:kern w:val="2"/>
              <w:szCs w:val="36"/>
              <w:highlight w:val="none"/>
              <w:lang w:val="en-US" w:eastAsia="zh-CN" w:bidi="ar-SA"/>
            </w:rPr>
            <w:t>公共场所</w:t>
          </w:r>
          <w:r>
            <w:tab/>
          </w:r>
          <w:r>
            <w:fldChar w:fldCharType="begin"/>
          </w:r>
          <w:r>
            <w:instrText xml:space="preserve"> PAGEREF _Toc29845 \h </w:instrText>
          </w:r>
          <w:r>
            <w:fldChar w:fldCharType="separate"/>
          </w:r>
          <w:r>
            <w:t>43</w:t>
          </w:r>
          <w:r>
            <w:fldChar w:fldCharType="end"/>
          </w:r>
          <w:r>
            <w:fldChar w:fldCharType="end"/>
          </w:r>
        </w:p>
        <w:p w14:paraId="189B092E">
          <w:pPr>
            <w:pStyle w:val="13"/>
            <w:tabs>
              <w:tab w:val="right" w:leader="middleDot" w:pos="8845"/>
            </w:tabs>
          </w:pPr>
          <w:r>
            <w:fldChar w:fldCharType="begin"/>
          </w:r>
          <w:r>
            <w:instrText xml:space="preserve"> HYPERLINK \l _Toc5439 </w:instrText>
          </w:r>
          <w:r>
            <w:fldChar w:fldCharType="separate"/>
          </w:r>
          <w:r>
            <w:rPr>
              <w:rFonts w:hint="eastAsia" w:ascii="仿宋_GB2312" w:hAnsi="仿宋_GB2312" w:eastAsia="仿宋_GB2312" w:cs="仿宋_GB2312"/>
              <w:bCs/>
              <w:kern w:val="2"/>
              <w:szCs w:val="32"/>
              <w:highlight w:val="none"/>
              <w:lang w:val="en-US" w:eastAsia="zh-CN" w:bidi="ar-SA"/>
            </w:rPr>
            <w:t>9.1公共停车场</w:t>
          </w:r>
          <w:r>
            <w:tab/>
          </w:r>
          <w:r>
            <w:fldChar w:fldCharType="begin"/>
          </w:r>
          <w:r>
            <w:instrText xml:space="preserve"> PAGEREF _Toc5439 \h </w:instrText>
          </w:r>
          <w:r>
            <w:fldChar w:fldCharType="separate"/>
          </w:r>
          <w:r>
            <w:t>43</w:t>
          </w:r>
          <w:r>
            <w:fldChar w:fldCharType="end"/>
          </w:r>
          <w:r>
            <w:fldChar w:fldCharType="end"/>
          </w:r>
        </w:p>
        <w:p w14:paraId="4C712D75">
          <w:pPr>
            <w:pStyle w:val="13"/>
            <w:tabs>
              <w:tab w:val="right" w:leader="middleDot" w:pos="8845"/>
            </w:tabs>
          </w:pPr>
          <w:r>
            <w:fldChar w:fldCharType="begin"/>
          </w:r>
          <w:r>
            <w:instrText xml:space="preserve"> HYPERLINK \l _Toc15547 </w:instrText>
          </w:r>
          <w:r>
            <w:fldChar w:fldCharType="separate"/>
          </w:r>
          <w:r>
            <w:rPr>
              <w:rFonts w:hint="eastAsia" w:ascii="仿宋_GB2312" w:hAnsi="仿宋_GB2312" w:eastAsia="仿宋_GB2312" w:cs="仿宋_GB2312"/>
              <w:bCs/>
              <w:kern w:val="2"/>
              <w:szCs w:val="32"/>
              <w:highlight w:val="none"/>
              <w:lang w:val="en-US" w:eastAsia="zh-CN" w:bidi="ar-SA"/>
            </w:rPr>
            <w:t>9.2公交、轨道站点</w:t>
          </w:r>
          <w:r>
            <w:tab/>
          </w:r>
          <w:r>
            <w:fldChar w:fldCharType="begin"/>
          </w:r>
          <w:r>
            <w:instrText xml:space="preserve"> PAGEREF _Toc15547 \h </w:instrText>
          </w:r>
          <w:r>
            <w:fldChar w:fldCharType="separate"/>
          </w:r>
          <w:r>
            <w:t>44</w:t>
          </w:r>
          <w:r>
            <w:fldChar w:fldCharType="end"/>
          </w:r>
          <w:r>
            <w:fldChar w:fldCharType="end"/>
          </w:r>
        </w:p>
        <w:p w14:paraId="765D27D5">
          <w:pPr>
            <w:pStyle w:val="12"/>
            <w:tabs>
              <w:tab w:val="right" w:leader="middleDot" w:pos="8845"/>
            </w:tabs>
          </w:pPr>
          <w:r>
            <w:fldChar w:fldCharType="begin"/>
          </w:r>
          <w:r>
            <w:instrText xml:space="preserve"> HYPERLINK \l _Toc31308 </w:instrText>
          </w:r>
          <w:r>
            <w:fldChar w:fldCharType="separate"/>
          </w:r>
          <w:r>
            <w:rPr>
              <w:rFonts w:hint="eastAsia" w:ascii="黑体" w:hAnsi="黑体" w:eastAsia="黑体" w:cs="黑体"/>
              <w:bCs w:val="0"/>
              <w:kern w:val="2"/>
              <w:szCs w:val="36"/>
              <w:highlight w:val="none"/>
              <w:lang w:val="en-US" w:eastAsia="zh-CN" w:bidi="ar-SA"/>
            </w:rPr>
            <w:t>10</w:t>
          </w:r>
          <w:r>
            <w:rPr>
              <w:rFonts w:hint="default" w:ascii="黑体" w:hAnsi="黑体" w:eastAsia="黑体" w:cs="黑体"/>
              <w:bCs w:val="0"/>
              <w:strike w:val="0"/>
              <w:dstrike w:val="0"/>
              <w:kern w:val="2"/>
              <w:szCs w:val="36"/>
              <w:highlight w:val="none"/>
              <w:lang w:val="en-US" w:eastAsia="zh-CN" w:bidi="ar-SA"/>
            </w:rPr>
            <w:t>水域环境</w:t>
          </w:r>
          <w:r>
            <w:tab/>
          </w:r>
          <w:r>
            <w:fldChar w:fldCharType="begin"/>
          </w:r>
          <w:r>
            <w:instrText xml:space="preserve"> PAGEREF _Toc31308 \h </w:instrText>
          </w:r>
          <w:r>
            <w:fldChar w:fldCharType="separate"/>
          </w:r>
          <w:r>
            <w:t>45</w:t>
          </w:r>
          <w:r>
            <w:fldChar w:fldCharType="end"/>
          </w:r>
          <w:r>
            <w:fldChar w:fldCharType="end"/>
          </w:r>
        </w:p>
        <w:p w14:paraId="5FDF3727">
          <w:pPr>
            <w:pStyle w:val="12"/>
            <w:tabs>
              <w:tab w:val="right" w:leader="middleDot" w:pos="8845"/>
            </w:tabs>
          </w:pPr>
          <w:r>
            <w:fldChar w:fldCharType="begin"/>
          </w:r>
          <w:r>
            <w:instrText xml:space="preserve"> HYPERLINK \l _Toc29756 </w:instrText>
          </w:r>
          <w:r>
            <w:fldChar w:fldCharType="separate"/>
          </w:r>
          <w:r>
            <w:rPr>
              <w:rFonts w:hint="eastAsia" w:ascii="黑体" w:hAnsi="黑体" w:eastAsia="黑体" w:cs="黑体"/>
              <w:bCs w:val="0"/>
              <w:kern w:val="2"/>
              <w:szCs w:val="32"/>
              <w:highlight w:val="none"/>
              <w:lang w:val="en-US" w:eastAsia="zh-CN" w:bidi="ar-SA"/>
            </w:rPr>
            <w:t>附录1道路保洁分级管理指标</w:t>
          </w:r>
          <w:r>
            <w:tab/>
          </w:r>
          <w:r>
            <w:fldChar w:fldCharType="begin"/>
          </w:r>
          <w:r>
            <w:instrText xml:space="preserve"> PAGEREF _Toc29756 \h </w:instrText>
          </w:r>
          <w:r>
            <w:fldChar w:fldCharType="separate"/>
          </w:r>
          <w:r>
            <w:t>47</w:t>
          </w:r>
          <w:r>
            <w:fldChar w:fldCharType="end"/>
          </w:r>
          <w:r>
            <w:fldChar w:fldCharType="end"/>
          </w:r>
        </w:p>
        <w:p w14:paraId="4FBC1E43">
          <w:pPr>
            <w:pStyle w:val="12"/>
            <w:tabs>
              <w:tab w:val="right" w:leader="middleDot" w:pos="8845"/>
            </w:tabs>
          </w:pPr>
          <w:r>
            <w:fldChar w:fldCharType="begin"/>
          </w:r>
          <w:r>
            <w:instrText xml:space="preserve"> HYPERLINK \l _Toc17008 </w:instrText>
          </w:r>
          <w:r>
            <w:fldChar w:fldCharType="separate"/>
          </w:r>
          <w:r>
            <w:rPr>
              <w:rFonts w:hint="eastAsia" w:ascii="黑体" w:hAnsi="黑体" w:eastAsia="黑体" w:cs="黑体"/>
              <w:bCs w:val="0"/>
              <w:kern w:val="2"/>
              <w:szCs w:val="28"/>
              <w:highlight w:val="none"/>
              <w:lang w:val="en-US" w:eastAsia="zh-CN" w:bidi="ar-SA"/>
            </w:rPr>
            <w:t>附表1.1城市道路清扫保洁等级</w:t>
          </w:r>
          <w:r>
            <w:tab/>
          </w:r>
          <w:r>
            <w:fldChar w:fldCharType="begin"/>
          </w:r>
          <w:r>
            <w:instrText xml:space="preserve"> PAGEREF _Toc17008 \h </w:instrText>
          </w:r>
          <w:r>
            <w:fldChar w:fldCharType="separate"/>
          </w:r>
          <w:r>
            <w:t>47</w:t>
          </w:r>
          <w:r>
            <w:fldChar w:fldCharType="end"/>
          </w:r>
          <w:r>
            <w:fldChar w:fldCharType="end"/>
          </w:r>
        </w:p>
        <w:p w14:paraId="1AEFE90E">
          <w:pPr>
            <w:pStyle w:val="12"/>
            <w:tabs>
              <w:tab w:val="right" w:leader="middleDot" w:pos="8845"/>
            </w:tabs>
          </w:pPr>
          <w:r>
            <w:fldChar w:fldCharType="begin"/>
          </w:r>
          <w:r>
            <w:instrText xml:space="preserve"> HYPERLINK \l _Toc26618 </w:instrText>
          </w:r>
          <w:r>
            <w:fldChar w:fldCharType="separate"/>
          </w:r>
          <w:r>
            <w:rPr>
              <w:rFonts w:hint="eastAsia" w:ascii="黑体" w:hAnsi="黑体" w:eastAsia="黑体" w:cs="黑体"/>
              <w:bCs w:val="0"/>
              <w:kern w:val="2"/>
              <w:szCs w:val="28"/>
              <w:highlight w:val="none"/>
              <w:lang w:val="en-US" w:eastAsia="zh-CN" w:bidi="ar-SA"/>
            </w:rPr>
            <w:t>附表1.2</w:t>
          </w:r>
          <w:r>
            <w:rPr>
              <w:rFonts w:hint="eastAsia" w:ascii="黑体" w:hAnsi="黑体" w:eastAsia="黑体" w:cs="黑体"/>
              <w:szCs w:val="32"/>
              <w:highlight w:val="none"/>
              <w:lang w:eastAsia="zh-CN"/>
            </w:rPr>
            <w:t>城市道路清扫保洁作业内容及频次</w:t>
          </w:r>
          <w:r>
            <w:tab/>
          </w:r>
          <w:r>
            <w:fldChar w:fldCharType="begin"/>
          </w:r>
          <w:r>
            <w:instrText xml:space="preserve"> PAGEREF _Toc26618 \h </w:instrText>
          </w:r>
          <w:r>
            <w:fldChar w:fldCharType="separate"/>
          </w:r>
          <w:r>
            <w:t>48</w:t>
          </w:r>
          <w:r>
            <w:fldChar w:fldCharType="end"/>
          </w:r>
          <w:r>
            <w:fldChar w:fldCharType="end"/>
          </w:r>
        </w:p>
        <w:p w14:paraId="1338E5BD">
          <w:pPr>
            <w:pStyle w:val="12"/>
            <w:tabs>
              <w:tab w:val="right" w:leader="middleDot" w:pos="8845"/>
            </w:tabs>
          </w:pPr>
          <w:r>
            <w:fldChar w:fldCharType="begin"/>
          </w:r>
          <w:r>
            <w:instrText xml:space="preserve"> HYPERLINK \l _Toc14939 </w:instrText>
          </w:r>
          <w:r>
            <w:fldChar w:fldCharType="separate"/>
          </w:r>
          <w:r>
            <w:rPr>
              <w:rFonts w:hint="eastAsia" w:ascii="黑体" w:hAnsi="黑体" w:eastAsia="黑体" w:cs="黑体"/>
              <w:bCs w:val="0"/>
              <w:kern w:val="2"/>
              <w:szCs w:val="32"/>
              <w:highlight w:val="none"/>
              <w:lang w:val="en-US" w:eastAsia="zh-CN" w:bidi="ar-SA"/>
            </w:rPr>
            <w:t>附录2</w:t>
          </w:r>
          <w:r>
            <w:tab/>
          </w:r>
          <w:r>
            <w:fldChar w:fldCharType="begin"/>
          </w:r>
          <w:r>
            <w:instrText xml:space="preserve"> PAGEREF _Toc14939 \h </w:instrText>
          </w:r>
          <w:r>
            <w:fldChar w:fldCharType="separate"/>
          </w:r>
          <w:r>
            <w:t>49</w:t>
          </w:r>
          <w:r>
            <w:fldChar w:fldCharType="end"/>
          </w:r>
          <w:r>
            <w:fldChar w:fldCharType="end"/>
          </w:r>
        </w:p>
        <w:p w14:paraId="4BCAAD53">
          <w:pPr>
            <w:pStyle w:val="12"/>
            <w:tabs>
              <w:tab w:val="right" w:leader="middleDot" w:pos="8845"/>
            </w:tabs>
          </w:pPr>
          <w:r>
            <w:fldChar w:fldCharType="begin"/>
          </w:r>
          <w:r>
            <w:instrText xml:space="preserve"> HYPERLINK \l _Toc24558 </w:instrText>
          </w:r>
          <w:r>
            <w:fldChar w:fldCharType="separate"/>
          </w:r>
          <w:r>
            <w:rPr>
              <w:rFonts w:hint="eastAsia" w:ascii="黑体" w:hAnsi="黑体" w:eastAsia="黑体" w:cs="黑体"/>
              <w:bCs w:val="0"/>
              <w:kern w:val="2"/>
              <w:szCs w:val="28"/>
              <w:highlight w:val="none"/>
              <w:lang w:val="en-US" w:eastAsia="zh-CN" w:bidi="ar-SA"/>
            </w:rPr>
            <w:t>附表2居民小区垃圾收集房设置面积标准</w:t>
          </w:r>
          <w:r>
            <w:tab/>
          </w:r>
          <w:r>
            <w:fldChar w:fldCharType="begin"/>
          </w:r>
          <w:r>
            <w:instrText xml:space="preserve"> PAGEREF _Toc24558 \h </w:instrText>
          </w:r>
          <w:r>
            <w:fldChar w:fldCharType="separate"/>
          </w:r>
          <w:r>
            <w:t>49</w:t>
          </w:r>
          <w:r>
            <w:fldChar w:fldCharType="end"/>
          </w:r>
          <w:r>
            <w:fldChar w:fldCharType="end"/>
          </w:r>
        </w:p>
        <w:p w14:paraId="6D5B20ED">
          <w:pPr>
            <w:pStyle w:val="12"/>
            <w:tabs>
              <w:tab w:val="right" w:leader="middleDot" w:pos="8845"/>
            </w:tabs>
          </w:pPr>
          <w:r>
            <w:fldChar w:fldCharType="begin"/>
          </w:r>
          <w:r>
            <w:instrText xml:space="preserve"> HYPERLINK \l _Toc10241 </w:instrText>
          </w:r>
          <w:r>
            <w:fldChar w:fldCharType="separate"/>
          </w:r>
          <w:r>
            <w:rPr>
              <w:rFonts w:hint="eastAsia" w:ascii="黑体" w:hAnsi="黑体" w:eastAsia="黑体" w:cs="黑体"/>
              <w:bCs w:val="0"/>
              <w:kern w:val="2"/>
              <w:szCs w:val="32"/>
              <w:highlight w:val="none"/>
              <w:lang w:val="en-US" w:eastAsia="zh-CN" w:bidi="ar-SA"/>
            </w:rPr>
            <w:t>附录3绿地容貌分级管护质量要求</w:t>
          </w:r>
          <w:r>
            <w:tab/>
          </w:r>
          <w:r>
            <w:fldChar w:fldCharType="begin"/>
          </w:r>
          <w:r>
            <w:instrText xml:space="preserve"> PAGEREF _Toc10241 \h </w:instrText>
          </w:r>
          <w:r>
            <w:fldChar w:fldCharType="separate"/>
          </w:r>
          <w:r>
            <w:t>50</w:t>
          </w:r>
          <w:r>
            <w:fldChar w:fldCharType="end"/>
          </w:r>
          <w:r>
            <w:fldChar w:fldCharType="end"/>
          </w:r>
        </w:p>
        <w:p w14:paraId="188FECC4">
          <w:pPr>
            <w:pStyle w:val="12"/>
            <w:tabs>
              <w:tab w:val="right" w:leader="middleDot" w:pos="8845"/>
            </w:tabs>
          </w:pPr>
          <w:r>
            <w:fldChar w:fldCharType="begin"/>
          </w:r>
          <w:r>
            <w:instrText xml:space="preserve"> HYPERLINK \l _Toc14487 </w:instrText>
          </w:r>
          <w:r>
            <w:fldChar w:fldCharType="separate"/>
          </w:r>
          <w:r>
            <w:rPr>
              <w:rFonts w:hint="eastAsia" w:ascii="黑体" w:hAnsi="黑体" w:eastAsia="黑体" w:cs="黑体"/>
              <w:bCs w:val="0"/>
              <w:kern w:val="2"/>
              <w:szCs w:val="32"/>
              <w:highlight w:val="none"/>
              <w:lang w:val="en-US" w:eastAsia="zh-CN" w:bidi="ar-SA"/>
            </w:rPr>
            <w:t>附录4规范性引用文件</w:t>
          </w:r>
          <w:r>
            <w:tab/>
          </w:r>
          <w:r>
            <w:fldChar w:fldCharType="begin"/>
          </w:r>
          <w:r>
            <w:instrText xml:space="preserve"> PAGEREF _Toc14487 \h </w:instrText>
          </w:r>
          <w:r>
            <w:fldChar w:fldCharType="separate"/>
          </w:r>
          <w:r>
            <w:t>52</w:t>
          </w:r>
          <w:r>
            <w:fldChar w:fldCharType="end"/>
          </w:r>
          <w:r>
            <w:fldChar w:fldCharType="end"/>
          </w:r>
        </w:p>
        <w:p w14:paraId="2E4BB5BB">
          <w:r>
            <w:fldChar w:fldCharType="end"/>
          </w:r>
        </w:p>
        <w:p w14:paraId="50464EC5">
          <w:pPr>
            <w:rPr>
              <w:szCs w:val="22"/>
            </w:rPr>
          </w:pPr>
        </w:p>
      </w:sdtContent>
    </w:sdt>
    <w:p w14:paraId="5B78CC96">
      <w:pPr>
        <w:rPr>
          <w:szCs w:val="22"/>
        </w:rPr>
      </w:pPr>
    </w:p>
    <w:p w14:paraId="51AF595B">
      <w:pPr>
        <w:rPr>
          <w:rFonts w:hint="eastAsia" w:ascii="宋体" w:hAnsi="宋体" w:eastAsia="宋体" w:cs="宋体"/>
          <w:b w:val="0"/>
          <w:bCs w:val="0"/>
          <w:color w:val="auto"/>
          <w:sz w:val="32"/>
          <w:szCs w:val="32"/>
          <w:highlight w:val="none"/>
          <w:u w:val="none"/>
          <w:lang w:val="en-US" w:eastAsia="zh-CN"/>
        </w:rPr>
      </w:pPr>
      <w:bookmarkStart w:id="2" w:name="_Toc22531"/>
      <w:r>
        <w:rPr>
          <w:rFonts w:hint="eastAsia" w:ascii="宋体" w:hAnsi="宋体" w:eastAsia="宋体" w:cs="宋体"/>
          <w:b w:val="0"/>
          <w:bCs w:val="0"/>
          <w:color w:val="auto"/>
          <w:sz w:val="32"/>
          <w:szCs w:val="32"/>
          <w:highlight w:val="none"/>
          <w:u w:val="none"/>
          <w:lang w:val="en-US" w:eastAsia="zh-CN"/>
        </w:rPr>
        <w:br w:type="page"/>
      </w:r>
    </w:p>
    <w:p w14:paraId="0EC62328">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0" w:firstLineChars="0"/>
        <w:jc w:val="both"/>
        <w:textAlignment w:val="auto"/>
        <w:rPr>
          <w:rFonts w:hint="eastAsia" w:ascii="宋体" w:hAnsi="宋体" w:eastAsia="宋体" w:cs="宋体"/>
          <w:b w:val="0"/>
          <w:bCs w:val="0"/>
          <w:color w:val="auto"/>
          <w:sz w:val="24"/>
          <w:szCs w:val="24"/>
          <w:highlight w:val="none"/>
          <w:u w:val="none"/>
          <w:lang w:val="en-US" w:eastAsia="zh-CN"/>
        </w:rPr>
      </w:pPr>
    </w:p>
    <w:p w14:paraId="5F6F1B16">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黑体" w:hAnsi="黑体" w:eastAsia="黑体" w:cs="黑体"/>
          <w:b w:val="0"/>
          <w:bCs/>
          <w:color w:val="auto"/>
          <w:kern w:val="44"/>
          <w:sz w:val="36"/>
          <w:szCs w:val="36"/>
          <w:highlight w:val="none"/>
          <w:u w:val="none"/>
          <w:lang w:val="en-US" w:eastAsia="zh-CN" w:bidi="ar-SA"/>
        </w:rPr>
      </w:pPr>
      <w:bookmarkStart w:id="3" w:name="_Toc28694"/>
      <w:bookmarkStart w:id="4" w:name="_Toc22417"/>
      <w:bookmarkStart w:id="5" w:name="_Toc6931"/>
      <w:r>
        <w:rPr>
          <w:rFonts w:hint="eastAsia" w:ascii="黑体" w:hAnsi="黑体" w:eastAsia="黑体" w:cs="黑体"/>
          <w:b w:val="0"/>
          <w:bCs/>
          <w:color w:val="auto"/>
          <w:kern w:val="44"/>
          <w:sz w:val="36"/>
          <w:szCs w:val="36"/>
          <w:highlight w:val="none"/>
          <w:u w:val="none"/>
          <w:lang w:val="en-US" w:eastAsia="zh-CN" w:bidi="ar-SA"/>
        </w:rPr>
        <w:t>1总则</w:t>
      </w:r>
      <w:bookmarkEnd w:id="2"/>
      <w:bookmarkEnd w:id="3"/>
      <w:bookmarkEnd w:id="4"/>
      <w:bookmarkEnd w:id="5"/>
    </w:p>
    <w:p w14:paraId="14219E96">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default" w:ascii="仿宋_GB2312" w:hAnsi="仿宋_GB2312" w:eastAsia="仿宋_GB2312" w:cs="仿宋_GB2312"/>
          <w:b/>
          <w:bCs/>
          <w:color w:val="auto"/>
          <w:kern w:val="2"/>
          <w:sz w:val="32"/>
          <w:szCs w:val="32"/>
          <w:highlight w:val="none"/>
          <w:u w:val="none"/>
          <w:lang w:val="en-US" w:eastAsia="zh-CN" w:bidi="ar-SA"/>
        </w:rPr>
        <w:t>1.1</w:t>
      </w:r>
      <w:r>
        <w:rPr>
          <w:rFonts w:hint="eastAsia" w:ascii="仿宋_GB2312" w:hAnsi="仿宋_GB2312" w:eastAsia="仿宋_GB2312" w:cs="仿宋_GB2312"/>
          <w:color w:val="auto"/>
          <w:sz w:val="32"/>
          <w:szCs w:val="32"/>
          <w:highlight w:val="none"/>
          <w:u w:val="none"/>
        </w:rPr>
        <w:t>为</w:t>
      </w:r>
      <w:r>
        <w:rPr>
          <w:rFonts w:hint="eastAsia" w:ascii="仿宋_GB2312" w:hAnsi="仿宋_GB2312" w:eastAsia="仿宋_GB2312" w:cs="仿宋_GB2312"/>
          <w:color w:val="auto"/>
          <w:sz w:val="32"/>
          <w:szCs w:val="32"/>
          <w:highlight w:val="none"/>
          <w:u w:val="none"/>
          <w:lang w:eastAsia="zh-CN"/>
        </w:rPr>
        <w:t>进一步</w:t>
      </w:r>
      <w:r>
        <w:rPr>
          <w:rFonts w:hint="eastAsia" w:ascii="仿宋_GB2312" w:hAnsi="仿宋_GB2312" w:eastAsia="仿宋_GB2312" w:cs="仿宋_GB2312"/>
          <w:color w:val="auto"/>
          <w:sz w:val="32"/>
          <w:szCs w:val="32"/>
          <w:highlight w:val="none"/>
          <w:u w:val="none"/>
        </w:rPr>
        <w:t>加强</w:t>
      </w:r>
      <w:r>
        <w:rPr>
          <w:rFonts w:hint="eastAsia" w:ascii="仿宋_GB2312" w:hAnsi="仿宋_GB2312" w:eastAsia="仿宋_GB2312" w:cs="仿宋_GB2312"/>
          <w:color w:val="auto"/>
          <w:sz w:val="32"/>
          <w:szCs w:val="32"/>
          <w:highlight w:val="none"/>
          <w:u w:val="none"/>
          <w:lang w:eastAsia="zh-CN"/>
        </w:rPr>
        <w:t>贵阳贵安城镇</w:t>
      </w:r>
      <w:r>
        <w:rPr>
          <w:rFonts w:hint="eastAsia" w:ascii="仿宋_GB2312" w:hAnsi="仿宋_GB2312" w:eastAsia="仿宋_GB2312" w:cs="仿宋_GB2312"/>
          <w:color w:val="auto"/>
          <w:sz w:val="32"/>
          <w:szCs w:val="32"/>
          <w:highlight w:val="none"/>
          <w:u w:val="none"/>
        </w:rPr>
        <w:t>容貌建设与管理</w:t>
      </w:r>
      <w:r>
        <w:rPr>
          <w:rFonts w:hint="eastAsia" w:ascii="仿宋_GB2312" w:hAnsi="仿宋_GB2312" w:eastAsia="仿宋_GB2312" w:cs="仿宋_GB2312"/>
          <w:color w:val="auto"/>
          <w:sz w:val="32"/>
          <w:szCs w:val="32"/>
          <w:highlight w:val="none"/>
          <w:u w:val="none"/>
          <w:lang w:eastAsia="zh-CN"/>
        </w:rPr>
        <w:t>，创建和维护更加干净、整洁、有序、宜居</w:t>
      </w:r>
      <w:r>
        <w:rPr>
          <w:rFonts w:hint="eastAsia" w:ascii="仿宋_GB2312" w:hAnsi="仿宋_GB2312" w:eastAsia="仿宋_GB2312" w:cs="仿宋_GB2312"/>
          <w:color w:val="auto"/>
          <w:sz w:val="32"/>
          <w:szCs w:val="32"/>
          <w:highlight w:val="none"/>
          <w:u w:val="none"/>
        </w:rPr>
        <w:t>的城</w:t>
      </w:r>
      <w:r>
        <w:rPr>
          <w:rFonts w:hint="eastAsia" w:ascii="仿宋_GB2312" w:hAnsi="仿宋_GB2312" w:eastAsia="仿宋_GB2312" w:cs="仿宋_GB2312"/>
          <w:color w:val="auto"/>
          <w:sz w:val="32"/>
          <w:szCs w:val="32"/>
          <w:highlight w:val="none"/>
          <w:u w:val="none"/>
          <w:lang w:eastAsia="zh-CN"/>
        </w:rPr>
        <w:t>镇生活</w:t>
      </w:r>
      <w:r>
        <w:rPr>
          <w:rFonts w:hint="eastAsia" w:ascii="仿宋_GB2312" w:hAnsi="仿宋_GB2312" w:eastAsia="仿宋_GB2312" w:cs="仿宋_GB2312"/>
          <w:color w:val="auto"/>
          <w:sz w:val="32"/>
          <w:szCs w:val="32"/>
          <w:highlight w:val="none"/>
          <w:u w:val="none"/>
        </w:rPr>
        <w:t>环境</w:t>
      </w:r>
      <w:r>
        <w:rPr>
          <w:rFonts w:hint="eastAsia" w:ascii="仿宋_GB2312" w:hAnsi="仿宋_GB2312" w:eastAsia="仿宋_GB2312" w:cs="仿宋_GB2312"/>
          <w:color w:val="auto"/>
          <w:sz w:val="32"/>
          <w:szCs w:val="32"/>
          <w:highlight w:val="none"/>
          <w:u w:val="none"/>
          <w:lang w:eastAsia="zh-CN"/>
        </w:rPr>
        <w:t>，</w:t>
      </w:r>
      <w:bookmarkStart w:id="227" w:name="_GoBack"/>
      <w:bookmarkEnd w:id="227"/>
      <w:r>
        <w:rPr>
          <w:rFonts w:hint="eastAsia" w:ascii="仿宋_GB2312" w:hAnsi="仿宋_GB2312" w:eastAsia="仿宋_GB2312" w:cs="仿宋_GB2312"/>
          <w:color w:val="auto"/>
          <w:sz w:val="32"/>
          <w:szCs w:val="32"/>
          <w:highlight w:val="none"/>
          <w:u w:val="none"/>
        </w:rPr>
        <w:t>根据</w:t>
      </w:r>
      <w:r>
        <w:rPr>
          <w:rFonts w:hint="eastAsia" w:ascii="仿宋_GB2312" w:hAnsi="仿宋_GB2312" w:eastAsia="仿宋_GB2312" w:cs="仿宋_GB2312"/>
          <w:color w:val="auto"/>
          <w:sz w:val="32"/>
          <w:szCs w:val="32"/>
          <w:highlight w:val="none"/>
          <w:u w:val="none"/>
          <w:lang w:eastAsia="zh-CN"/>
        </w:rPr>
        <w:t>《城市市容和环境卫生管理条例》等法规和</w:t>
      </w:r>
      <w:r>
        <w:rPr>
          <w:rFonts w:hint="default" w:ascii="仿宋_GB2312" w:hAnsi="仿宋_GB2312" w:eastAsia="仿宋_GB2312" w:cs="仿宋_GB2312"/>
          <w:color w:val="auto"/>
          <w:sz w:val="32"/>
          <w:szCs w:val="32"/>
          <w:highlight w:val="none"/>
          <w:u w:val="none"/>
          <w:lang w:val="en-US" w:eastAsia="zh-CN"/>
        </w:rPr>
        <w:t>《城市容貌标准》GB50449</w:t>
      </w:r>
      <w:r>
        <w:rPr>
          <w:rFonts w:hint="eastAsia" w:ascii="仿宋_GB2312" w:hAnsi="仿宋_GB2312" w:eastAsia="仿宋_GB2312" w:cs="仿宋_GB2312"/>
          <w:color w:val="auto"/>
          <w:sz w:val="32"/>
          <w:szCs w:val="32"/>
          <w:highlight w:val="none"/>
          <w:u w:val="none"/>
          <w:lang w:val="en-US" w:eastAsia="zh-CN"/>
        </w:rPr>
        <w:t>-2008《</w:t>
      </w:r>
      <w:r>
        <w:rPr>
          <w:rFonts w:hint="eastAsia" w:ascii="仿宋_GB2312" w:hAnsi="仿宋_GB2312" w:eastAsia="仿宋_GB2312" w:cs="仿宋_GB2312"/>
          <w:color w:val="auto"/>
          <w:kern w:val="2"/>
          <w:sz w:val="32"/>
          <w:szCs w:val="32"/>
          <w:highlight w:val="none"/>
          <w:u w:val="none"/>
          <w:lang w:val="en-US" w:eastAsia="zh-CN" w:bidi="ar-SA"/>
        </w:rPr>
        <w:t>贵州省城镇容貌标准》DBJ52/T98—2020等标准制定本导则。</w:t>
      </w:r>
    </w:p>
    <w:p w14:paraId="28935B45">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default" w:ascii="仿宋_GB2312" w:hAnsi="仿宋_GB2312" w:eastAsia="仿宋_GB2312" w:cs="仿宋_GB2312"/>
          <w:b/>
          <w:bCs/>
          <w:color w:val="auto"/>
          <w:kern w:val="2"/>
          <w:sz w:val="32"/>
          <w:szCs w:val="32"/>
          <w:highlight w:val="none"/>
          <w:u w:val="none"/>
          <w:lang w:val="en-US" w:eastAsia="zh-CN" w:bidi="ar-SA"/>
        </w:rPr>
        <w:t>1.2</w:t>
      </w:r>
      <w:r>
        <w:rPr>
          <w:rFonts w:hint="eastAsia" w:ascii="仿宋_GB2312" w:hAnsi="仿宋_GB2312" w:eastAsia="仿宋_GB2312" w:cs="仿宋_GB2312"/>
          <w:color w:val="auto"/>
          <w:kern w:val="2"/>
          <w:sz w:val="32"/>
          <w:szCs w:val="32"/>
          <w:highlight w:val="none"/>
          <w:u w:val="none"/>
          <w:lang w:val="en-US" w:eastAsia="zh-CN" w:bidi="ar-SA"/>
        </w:rPr>
        <w:t>本导则适用于贵阳贵安城镇（设市城市和县人民政府所在地镇）的容貌建设与管理，建制镇和乡可参照执行。</w:t>
      </w:r>
    </w:p>
    <w:p w14:paraId="06A53095">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1.3</w:t>
      </w:r>
      <w:r>
        <w:rPr>
          <w:rFonts w:hint="eastAsia" w:ascii="仿宋_GB2312" w:hAnsi="仿宋_GB2312" w:eastAsia="仿宋_GB2312" w:cs="仿宋_GB2312"/>
          <w:color w:val="auto"/>
          <w:kern w:val="2"/>
          <w:sz w:val="32"/>
          <w:szCs w:val="32"/>
          <w:highlight w:val="none"/>
          <w:u w:val="none"/>
          <w:lang w:val="en-US" w:eastAsia="zh-CN" w:bidi="ar-SA"/>
        </w:rPr>
        <w:t>本导则包括总则、术语、市容秩序、广告设施与标识、环境卫生、城镇道路、公共设施、园林绿化、公共场所、公共设施以及附录等内容。</w:t>
      </w:r>
    </w:p>
    <w:p w14:paraId="2B08A700">
      <w:pPr>
        <w:pStyle w:val="22"/>
        <w:keepNext w:val="0"/>
        <w:keepLines w:val="0"/>
        <w:pageBreakBefore w:val="0"/>
        <w:widowControl w:val="0"/>
        <w:kinsoku/>
        <w:wordWrap/>
        <w:overflowPunct/>
        <w:topLinePunct w:val="0"/>
        <w:bidi w:val="0"/>
        <w:spacing w:before="0" w:after="0" w:line="560" w:lineRule="exact"/>
        <w:ind w:left="0" w:leftChars="0" w:firstLine="0" w:firstLineChars="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kern w:val="2"/>
          <w:sz w:val="32"/>
          <w:szCs w:val="32"/>
          <w:highlight w:val="none"/>
          <w:u w:val="none"/>
          <w:lang w:val="en-US" w:eastAsia="zh-CN" w:bidi="ar-SA"/>
        </w:rPr>
        <w:t>1.4</w:t>
      </w:r>
      <w:r>
        <w:rPr>
          <w:rFonts w:hint="eastAsia" w:ascii="仿宋_GB2312" w:hAnsi="仿宋_GB2312" w:eastAsia="仿宋_GB2312" w:cs="仿宋_GB2312"/>
          <w:color w:val="auto"/>
          <w:kern w:val="2"/>
          <w:sz w:val="32"/>
          <w:szCs w:val="32"/>
          <w:highlight w:val="none"/>
          <w:u w:val="none"/>
          <w:lang w:val="en-US" w:eastAsia="zh-CN" w:bidi="ar-SA"/>
        </w:rPr>
        <w:t>城镇容貌建设与管理应符合当地城镇总体规划和详细规划的要求，应与城镇社会经济发展和生态环境保护相协调。城镇容貌建设应充分体现地域特点、时代特征、民族特色，城镇容貌管理应使</w:t>
      </w:r>
      <w:r>
        <w:rPr>
          <w:rFonts w:hint="eastAsia" w:ascii="仿宋_GB2312" w:hAnsi="仿宋_GB2312" w:eastAsia="仿宋_GB2312" w:cs="仿宋_GB2312"/>
          <w:color w:val="auto"/>
          <w:sz w:val="32"/>
          <w:szCs w:val="32"/>
          <w:highlight w:val="none"/>
          <w:u w:val="none"/>
          <w:lang w:val="en-US" w:eastAsia="zh-CN"/>
        </w:rPr>
        <w:t>城镇环境保持整洁、美观。城镇容貌的建设与管理，除应符合本导则外，尚应符合国家及地方现行有关标准的规定。</w:t>
      </w:r>
    </w:p>
    <w:p w14:paraId="3C447329">
      <w:pPr>
        <w:pStyle w:val="22"/>
        <w:keepNext w:val="0"/>
        <w:keepLines w:val="0"/>
        <w:pageBreakBefore w:val="0"/>
        <w:widowControl w:val="0"/>
        <w:kinsoku/>
        <w:wordWrap/>
        <w:overflowPunct/>
        <w:topLinePunct w:val="0"/>
        <w:bidi w:val="0"/>
        <w:spacing w:before="0" w:after="0" w:line="560" w:lineRule="exact"/>
        <w:ind w:left="0" w:leftChars="0" w:firstLine="0" w:firstLineChars="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br w:type="page"/>
      </w:r>
    </w:p>
    <w:p w14:paraId="13B384F7">
      <w:pPr>
        <w:pStyle w:val="22"/>
        <w:keepNext w:val="0"/>
        <w:keepLines w:val="0"/>
        <w:pageBreakBefore w:val="0"/>
        <w:widowControl w:val="0"/>
        <w:kinsoku/>
        <w:wordWrap/>
        <w:overflowPunct/>
        <w:topLinePunct w:val="0"/>
        <w:bidi w:val="0"/>
        <w:spacing w:before="0" w:after="0" w:line="560" w:lineRule="exact"/>
        <w:ind w:left="0" w:leftChars="0" w:firstLine="0" w:firstLineChars="0"/>
        <w:textAlignment w:val="auto"/>
        <w:rPr>
          <w:rFonts w:hint="eastAsia" w:ascii="黑体" w:hAnsi="黑体" w:eastAsia="黑体" w:cs="黑体"/>
          <w:color w:val="auto"/>
          <w:sz w:val="32"/>
          <w:szCs w:val="32"/>
          <w:highlight w:val="none"/>
          <w:u w:val="none"/>
          <w:lang w:val="en-US" w:eastAsia="zh-CN"/>
        </w:rPr>
      </w:pPr>
    </w:p>
    <w:p w14:paraId="186F26CE">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 w:val="0"/>
          <w:bCs/>
          <w:color w:val="auto"/>
          <w:kern w:val="44"/>
          <w:sz w:val="36"/>
          <w:szCs w:val="36"/>
          <w:highlight w:val="none"/>
          <w:u w:val="none"/>
          <w:lang w:val="en-US" w:eastAsia="zh-CN" w:bidi="ar-SA"/>
        </w:rPr>
      </w:pPr>
      <w:bookmarkStart w:id="6" w:name="_Toc3367"/>
      <w:bookmarkStart w:id="7" w:name="_Toc25282"/>
      <w:bookmarkStart w:id="8" w:name="_Toc32264"/>
      <w:r>
        <w:rPr>
          <w:rFonts w:hint="eastAsia" w:ascii="黑体" w:hAnsi="黑体" w:eastAsia="黑体" w:cs="黑体"/>
          <w:b w:val="0"/>
          <w:bCs/>
          <w:color w:val="auto"/>
          <w:kern w:val="44"/>
          <w:sz w:val="36"/>
          <w:szCs w:val="36"/>
          <w:highlight w:val="none"/>
          <w:u w:val="none"/>
          <w:lang w:val="en-US" w:eastAsia="zh-CN" w:bidi="ar-SA"/>
        </w:rPr>
        <w:t>2术语</w:t>
      </w:r>
      <w:bookmarkEnd w:id="6"/>
      <w:bookmarkEnd w:id="7"/>
      <w:bookmarkEnd w:id="8"/>
    </w:p>
    <w:p w14:paraId="40AD37EF">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default" w:ascii="仿宋_GB2312" w:hAnsi="仿宋_GB2312" w:eastAsia="仿宋_GB2312" w:cs="仿宋_GB2312"/>
          <w:b/>
          <w:bCs/>
          <w:color w:val="auto"/>
          <w:sz w:val="32"/>
          <w:szCs w:val="32"/>
          <w:highlight w:val="none"/>
          <w:u w:val="none"/>
          <w:lang w:val="en-US" w:eastAsia="zh-CN"/>
        </w:rPr>
      </w:pPr>
      <w:bookmarkStart w:id="9" w:name="_Toc22324"/>
      <w:bookmarkStart w:id="10" w:name="_Toc17038"/>
      <w:bookmarkStart w:id="11" w:name="_Toc7782"/>
      <w:r>
        <w:rPr>
          <w:rFonts w:hint="eastAsia" w:ascii="仿宋_GB2312" w:hAnsi="仿宋_GB2312" w:eastAsia="仿宋_GB2312" w:cs="仿宋_GB2312"/>
          <w:b/>
          <w:bCs/>
          <w:color w:val="auto"/>
          <w:sz w:val="32"/>
          <w:szCs w:val="32"/>
          <w:highlight w:val="none"/>
          <w:u w:val="none"/>
          <w:lang w:val="en-US" w:eastAsia="zh-CN"/>
        </w:rPr>
        <w:t>2.</w:t>
      </w:r>
      <w:r>
        <w:rPr>
          <w:rFonts w:hint="default" w:ascii="仿宋_GB2312" w:hAnsi="仿宋_GB2312" w:eastAsia="仿宋_GB2312" w:cs="仿宋_GB2312"/>
          <w:b/>
          <w:bCs/>
          <w:color w:val="auto"/>
          <w:sz w:val="32"/>
          <w:szCs w:val="32"/>
          <w:highlight w:val="none"/>
          <w:u w:val="none"/>
          <w:lang w:val="en-US" w:eastAsia="zh-CN"/>
        </w:rPr>
        <w:t>1</w:t>
      </w:r>
      <w:r>
        <w:rPr>
          <w:rFonts w:hint="eastAsia" w:ascii="仿宋_GB2312" w:hAnsi="仿宋_GB2312" w:eastAsia="仿宋_GB2312" w:cs="仿宋_GB2312"/>
          <w:b/>
          <w:bCs/>
          <w:color w:val="auto"/>
          <w:sz w:val="32"/>
          <w:szCs w:val="32"/>
          <w:highlight w:val="none"/>
          <w:u w:val="none"/>
          <w:lang w:val="en-US" w:eastAsia="zh-CN"/>
        </w:rPr>
        <w:t>城镇容貌</w:t>
      </w:r>
      <w:bookmarkEnd w:id="9"/>
      <w:bookmarkEnd w:id="10"/>
      <w:bookmarkEnd w:id="11"/>
    </w:p>
    <w:p w14:paraId="0FC1604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城镇外观的综合反映，是与城镇环境密切相关的城镇建（构）筑物、城镇道路、园林绿化、公共设施和公共场所、广告设施与标识、城镇照明、城镇水域等构成的城镇局部或整体景观。</w:t>
      </w:r>
    </w:p>
    <w:p w14:paraId="3EBB0B93">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default" w:ascii="仿宋_GB2312" w:hAnsi="仿宋_GB2312" w:eastAsia="仿宋_GB2312" w:cs="仿宋_GB2312"/>
          <w:b/>
          <w:bCs/>
          <w:color w:val="auto"/>
          <w:sz w:val="32"/>
          <w:szCs w:val="32"/>
          <w:highlight w:val="none"/>
          <w:u w:val="none"/>
          <w:lang w:val="en-US" w:eastAsia="zh-CN"/>
        </w:rPr>
      </w:pPr>
      <w:bookmarkStart w:id="12" w:name="_Toc13655"/>
      <w:bookmarkStart w:id="13" w:name="_Toc18894"/>
      <w:bookmarkStart w:id="14" w:name="_Toc14425"/>
      <w:r>
        <w:rPr>
          <w:rFonts w:hint="eastAsia" w:ascii="仿宋_GB2312" w:hAnsi="仿宋_GB2312" w:eastAsia="仿宋_GB2312" w:cs="仿宋_GB2312"/>
          <w:b/>
          <w:bCs/>
          <w:color w:val="auto"/>
          <w:sz w:val="32"/>
          <w:szCs w:val="32"/>
          <w:highlight w:val="none"/>
          <w:u w:val="none"/>
          <w:lang w:val="en-US" w:eastAsia="zh-CN"/>
        </w:rPr>
        <w:t>2</w:t>
      </w:r>
      <w:r>
        <w:rPr>
          <w:rFonts w:hint="default" w:ascii="仿宋_GB2312" w:hAnsi="仿宋_GB2312" w:eastAsia="仿宋_GB2312" w:cs="仿宋_GB2312"/>
          <w:b/>
          <w:bCs/>
          <w:color w:val="auto"/>
          <w:sz w:val="32"/>
          <w:szCs w:val="32"/>
          <w:highlight w:val="none"/>
          <w:u w:val="none"/>
          <w:lang w:val="en-US" w:eastAsia="zh-CN"/>
        </w:rPr>
        <w:t>.2</w:t>
      </w:r>
      <w:r>
        <w:rPr>
          <w:rFonts w:hint="eastAsia" w:ascii="仿宋_GB2312" w:hAnsi="仿宋_GB2312" w:eastAsia="仿宋_GB2312" w:cs="仿宋_GB2312"/>
          <w:b/>
          <w:bCs/>
          <w:color w:val="auto"/>
          <w:sz w:val="32"/>
          <w:szCs w:val="32"/>
          <w:highlight w:val="none"/>
          <w:u w:val="none"/>
          <w:lang w:val="en-US" w:eastAsia="zh-CN"/>
        </w:rPr>
        <w:t>建（构）筑物</w:t>
      </w:r>
      <w:bookmarkEnd w:id="12"/>
      <w:bookmarkEnd w:id="13"/>
      <w:bookmarkEnd w:id="14"/>
    </w:p>
    <w:p w14:paraId="46F6198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本导则中建筑物指房屋。房屋是指有基础、墙、顶、门、窗，能够遮风避雨，供人在内居住、工作、学习、娱乐、储藏物品或进行其他活动的空间场所。构筑物是指房屋以外的建筑物，人们一般不直接在内进行生产和生活活动，如烟囱、水塔、桥梁、水坝等。</w:t>
      </w:r>
    </w:p>
    <w:p w14:paraId="27BC27E5">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default" w:ascii="仿宋_GB2312" w:hAnsi="仿宋_GB2312" w:eastAsia="仿宋_GB2312" w:cs="仿宋_GB2312"/>
          <w:b/>
          <w:bCs/>
          <w:color w:val="auto"/>
          <w:sz w:val="32"/>
          <w:szCs w:val="32"/>
          <w:highlight w:val="none"/>
          <w:u w:val="none"/>
          <w:lang w:val="en-US" w:eastAsia="zh-CN"/>
        </w:rPr>
      </w:pPr>
      <w:bookmarkStart w:id="15" w:name="_Toc11739"/>
      <w:bookmarkStart w:id="16" w:name="_Toc11878"/>
      <w:bookmarkStart w:id="17" w:name="_Toc7824"/>
      <w:r>
        <w:rPr>
          <w:rFonts w:hint="eastAsia" w:ascii="仿宋_GB2312" w:hAnsi="仿宋_GB2312" w:eastAsia="仿宋_GB2312" w:cs="仿宋_GB2312"/>
          <w:b/>
          <w:bCs/>
          <w:color w:val="auto"/>
          <w:sz w:val="32"/>
          <w:szCs w:val="32"/>
          <w:highlight w:val="none"/>
          <w:u w:val="none"/>
          <w:lang w:val="en-US" w:eastAsia="zh-CN"/>
        </w:rPr>
        <w:t>2</w:t>
      </w:r>
      <w:r>
        <w:rPr>
          <w:rFonts w:hint="default" w:ascii="仿宋_GB2312" w:hAnsi="仿宋_GB2312" w:eastAsia="仿宋_GB2312" w:cs="仿宋_GB2312"/>
          <w:b/>
          <w:bCs/>
          <w:color w:val="auto"/>
          <w:sz w:val="32"/>
          <w:szCs w:val="32"/>
          <w:highlight w:val="none"/>
          <w:u w:val="none"/>
          <w:lang w:val="en-US" w:eastAsia="zh-CN"/>
        </w:rPr>
        <w:t>.</w:t>
      </w:r>
      <w:r>
        <w:rPr>
          <w:rFonts w:hint="eastAsia" w:ascii="仿宋_GB2312" w:hAnsi="仿宋_GB2312" w:eastAsia="仿宋_GB2312" w:cs="仿宋_GB2312"/>
          <w:b/>
          <w:bCs/>
          <w:color w:val="auto"/>
          <w:sz w:val="32"/>
          <w:szCs w:val="32"/>
          <w:highlight w:val="none"/>
          <w:u w:val="none"/>
          <w:lang w:val="en-US" w:eastAsia="zh-CN"/>
        </w:rPr>
        <w:t>3园林绿化</w:t>
      </w:r>
      <w:bookmarkEnd w:id="15"/>
      <w:bookmarkEnd w:id="16"/>
      <w:bookmarkEnd w:id="17"/>
    </w:p>
    <w:p w14:paraId="10309FE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绿化是栽种植物以改善环境的活动，园林绿化是运用工程技术和艺术手段，以栽种植物为主体，营造建（构）筑物，配置水景、动物、园路等措施，建造生态良好，环境优美的游憩环境的活动。</w:t>
      </w:r>
    </w:p>
    <w:p w14:paraId="795FED01">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default" w:ascii="仿宋_GB2312" w:hAnsi="仿宋_GB2312" w:eastAsia="仿宋_GB2312" w:cs="仿宋_GB2312"/>
          <w:b/>
          <w:bCs/>
          <w:color w:val="auto"/>
          <w:sz w:val="32"/>
          <w:szCs w:val="32"/>
          <w:highlight w:val="none"/>
          <w:u w:val="none"/>
          <w:lang w:val="en-US" w:eastAsia="zh-CN"/>
        </w:rPr>
      </w:pPr>
      <w:bookmarkStart w:id="18" w:name="_Toc1399"/>
      <w:bookmarkStart w:id="19" w:name="_Toc28607"/>
      <w:bookmarkStart w:id="20" w:name="_Toc9656"/>
      <w:r>
        <w:rPr>
          <w:rFonts w:hint="eastAsia" w:ascii="仿宋_GB2312" w:hAnsi="仿宋_GB2312" w:eastAsia="仿宋_GB2312" w:cs="仿宋_GB2312"/>
          <w:b/>
          <w:bCs/>
          <w:color w:val="auto"/>
          <w:sz w:val="32"/>
          <w:szCs w:val="32"/>
          <w:highlight w:val="none"/>
          <w:u w:val="none"/>
          <w:lang w:val="en-US" w:eastAsia="zh-CN"/>
        </w:rPr>
        <w:t>2</w:t>
      </w:r>
      <w:r>
        <w:rPr>
          <w:rFonts w:hint="default" w:ascii="仿宋_GB2312" w:hAnsi="仿宋_GB2312" w:eastAsia="仿宋_GB2312" w:cs="仿宋_GB2312"/>
          <w:b/>
          <w:bCs/>
          <w:color w:val="auto"/>
          <w:sz w:val="32"/>
          <w:szCs w:val="32"/>
          <w:highlight w:val="none"/>
          <w:u w:val="none"/>
          <w:lang w:val="en-US" w:eastAsia="zh-CN"/>
        </w:rPr>
        <w:t>.</w:t>
      </w:r>
      <w:r>
        <w:rPr>
          <w:rFonts w:hint="eastAsia" w:ascii="仿宋_GB2312" w:hAnsi="仿宋_GB2312" w:eastAsia="仿宋_GB2312" w:cs="仿宋_GB2312"/>
          <w:b/>
          <w:bCs/>
          <w:color w:val="auto"/>
          <w:sz w:val="32"/>
          <w:szCs w:val="32"/>
          <w:highlight w:val="none"/>
          <w:u w:val="none"/>
          <w:lang w:val="en-US" w:eastAsia="zh-CN"/>
        </w:rPr>
        <w:t>4城镇绿道</w:t>
      </w:r>
      <w:bookmarkEnd w:id="18"/>
      <w:bookmarkEnd w:id="19"/>
      <w:bookmarkEnd w:id="20"/>
    </w:p>
    <w:p w14:paraId="145F4FE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eastAsia="zh-CN"/>
          <w:woUserID w:val="1"/>
        </w:rPr>
      </w:pPr>
      <w:r>
        <w:rPr>
          <w:rFonts w:hint="eastAsia" w:ascii="仿宋_GB2312" w:hAnsi="仿宋_GB2312" w:eastAsia="仿宋_GB2312" w:cs="仿宋_GB2312"/>
          <w:color w:val="auto"/>
          <w:sz w:val="32"/>
          <w:szCs w:val="32"/>
          <w:highlight w:val="none"/>
          <w:u w:val="none"/>
          <w:lang w:val="en-US" w:eastAsia="zh-CN"/>
        </w:rPr>
        <w:t>城镇绿道</w:t>
      </w:r>
      <w:r>
        <w:rPr>
          <w:rFonts w:hint="default" w:ascii="仿宋_GB2312" w:hAnsi="仿宋_GB2312" w:eastAsia="仿宋_GB2312" w:cs="仿宋_GB2312"/>
          <w:color w:val="auto"/>
          <w:sz w:val="32"/>
          <w:szCs w:val="32"/>
          <w:highlight w:val="none"/>
          <w:u w:val="none"/>
          <w:lang w:eastAsia="zh-CN"/>
          <w:woUserID w:val="1"/>
        </w:rPr>
        <w:t>是一种位于城镇规划区内，以绿色生态空间为基底，串联自然景观（如公园、湿地、河岸）与人文节点（如历史建筑、社区中心），具备步行、骑行等慢行功能的线性绿色开放空间。</w:t>
      </w:r>
    </w:p>
    <w:p w14:paraId="622A045D">
      <w:pPr>
        <w:rPr>
          <w:rFonts w:hint="default" w:ascii="仿宋_GB2312" w:hAnsi="仿宋_GB2312" w:eastAsia="仿宋_GB2312" w:cs="仿宋_GB2312"/>
          <w:color w:val="auto"/>
          <w:sz w:val="32"/>
          <w:szCs w:val="32"/>
          <w:highlight w:val="none"/>
          <w:u w:val="none"/>
          <w:lang w:eastAsia="zh-CN"/>
          <w:woUserID w:val="1"/>
        </w:rPr>
      </w:pPr>
      <w:r>
        <w:rPr>
          <w:rFonts w:hint="default" w:ascii="仿宋_GB2312" w:hAnsi="仿宋_GB2312" w:eastAsia="仿宋_GB2312" w:cs="仿宋_GB2312"/>
          <w:color w:val="auto"/>
          <w:sz w:val="32"/>
          <w:szCs w:val="32"/>
          <w:highlight w:val="none"/>
          <w:u w:val="none"/>
          <w:lang w:eastAsia="zh-CN"/>
          <w:woUserID w:val="1"/>
        </w:rPr>
        <w:br w:type="page"/>
      </w:r>
    </w:p>
    <w:p w14:paraId="17D8B14D">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21" w:name="_Toc2918"/>
      <w:bookmarkStart w:id="22" w:name="_Toc29486"/>
      <w:bookmarkStart w:id="23" w:name="_Toc13208"/>
      <w:r>
        <w:rPr>
          <w:rFonts w:hint="eastAsia" w:ascii="仿宋_GB2312" w:hAnsi="仿宋_GB2312" w:eastAsia="仿宋_GB2312" w:cs="仿宋_GB2312"/>
          <w:b/>
          <w:bCs/>
          <w:color w:val="auto"/>
          <w:sz w:val="32"/>
          <w:szCs w:val="32"/>
          <w:highlight w:val="none"/>
          <w:u w:val="none"/>
          <w:lang w:val="en-US" w:eastAsia="zh-CN"/>
        </w:rPr>
        <w:t>2</w:t>
      </w:r>
      <w:r>
        <w:rPr>
          <w:rFonts w:hint="default" w:ascii="仿宋_GB2312" w:hAnsi="仿宋_GB2312" w:eastAsia="仿宋_GB2312" w:cs="仿宋_GB2312"/>
          <w:b/>
          <w:bCs/>
          <w:color w:val="auto"/>
          <w:sz w:val="32"/>
          <w:szCs w:val="32"/>
          <w:highlight w:val="none"/>
          <w:u w:val="none"/>
          <w:lang w:val="en-US" w:eastAsia="zh-CN"/>
        </w:rPr>
        <w:t>.5</w:t>
      </w:r>
      <w:r>
        <w:rPr>
          <w:rFonts w:hint="eastAsia" w:ascii="仿宋_GB2312" w:hAnsi="仿宋_GB2312" w:eastAsia="仿宋_GB2312" w:cs="仿宋_GB2312"/>
          <w:b/>
          <w:bCs/>
          <w:color w:val="auto"/>
          <w:sz w:val="32"/>
          <w:szCs w:val="32"/>
          <w:highlight w:val="none"/>
          <w:u w:val="none"/>
          <w:lang w:val="en-US" w:eastAsia="zh-CN"/>
        </w:rPr>
        <w:t>城市森林花园住宅</w:t>
      </w:r>
      <w:bookmarkEnd w:id="21"/>
      <w:bookmarkEnd w:id="22"/>
      <w:bookmarkEnd w:id="23"/>
    </w:p>
    <w:p w14:paraId="5B6856E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eastAsia="zh-CN"/>
          <w:woUserID w:val="2"/>
        </w:rPr>
        <w:t xml:space="preserve">   </w:t>
      </w:r>
      <w:r>
        <w:rPr>
          <w:rFonts w:hint="eastAsia" w:ascii="仿宋_GB2312" w:hAnsi="仿宋_GB2312" w:eastAsia="仿宋_GB2312" w:cs="仿宋_GB2312"/>
          <w:color w:val="auto"/>
          <w:sz w:val="32"/>
          <w:szCs w:val="32"/>
          <w:highlight w:val="none"/>
          <w:u w:val="none"/>
          <w:lang w:val="en-US" w:eastAsia="zh-CN"/>
        </w:rPr>
        <w:t>特指在住宅建筑的阳台或露台等空间，通过系统性规划与分</w:t>
      </w:r>
    </w:p>
    <w:p w14:paraId="6AEAF1C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层设计，构建乔、灌、草复层配置的植物群落，使建筑整体呈现</w:t>
      </w:r>
    </w:p>
    <w:p w14:paraId="7BECEB7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“空中森林”的景观形态，让每户拥有开敞式户属空中花园的住</w:t>
      </w:r>
    </w:p>
    <w:p w14:paraId="2A0307B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宅。</w:t>
      </w:r>
    </w:p>
    <w:p w14:paraId="46DC02FB">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default" w:ascii="仿宋_GB2312" w:hAnsi="仿宋_GB2312" w:eastAsia="仿宋_GB2312" w:cs="仿宋_GB2312"/>
          <w:b/>
          <w:bCs/>
          <w:color w:val="auto"/>
          <w:sz w:val="32"/>
          <w:szCs w:val="32"/>
          <w:highlight w:val="none"/>
          <w:u w:val="none"/>
          <w:lang w:val="en-US" w:eastAsia="zh-CN"/>
        </w:rPr>
      </w:pPr>
      <w:bookmarkStart w:id="24" w:name="_Toc26646"/>
      <w:bookmarkStart w:id="25" w:name="_Toc3315"/>
      <w:bookmarkStart w:id="26" w:name="_Toc12087"/>
      <w:r>
        <w:rPr>
          <w:rFonts w:hint="eastAsia" w:ascii="仿宋_GB2312" w:hAnsi="仿宋_GB2312" w:eastAsia="仿宋_GB2312" w:cs="仿宋_GB2312"/>
          <w:b/>
          <w:bCs/>
          <w:color w:val="auto"/>
          <w:sz w:val="32"/>
          <w:szCs w:val="32"/>
          <w:highlight w:val="none"/>
          <w:u w:val="none"/>
          <w:lang w:val="en-US" w:eastAsia="zh-CN"/>
        </w:rPr>
        <w:t>2</w:t>
      </w:r>
      <w:r>
        <w:rPr>
          <w:rFonts w:hint="default" w:ascii="仿宋_GB2312" w:hAnsi="仿宋_GB2312" w:eastAsia="仿宋_GB2312" w:cs="仿宋_GB2312"/>
          <w:b/>
          <w:bCs/>
          <w:color w:val="auto"/>
          <w:sz w:val="32"/>
          <w:szCs w:val="32"/>
          <w:highlight w:val="none"/>
          <w:u w:val="none"/>
          <w:lang w:val="en-US" w:eastAsia="zh-CN"/>
        </w:rPr>
        <w:t>.6</w:t>
      </w:r>
      <w:r>
        <w:rPr>
          <w:rFonts w:hint="eastAsia" w:ascii="仿宋_GB2312" w:hAnsi="仿宋_GB2312" w:eastAsia="仿宋_GB2312" w:cs="仿宋_GB2312"/>
          <w:b/>
          <w:bCs/>
          <w:color w:val="auto"/>
          <w:sz w:val="32"/>
          <w:szCs w:val="32"/>
          <w:highlight w:val="none"/>
          <w:u w:val="none"/>
          <w:lang w:val="en-US" w:eastAsia="zh-CN"/>
        </w:rPr>
        <w:t>公共场所</w:t>
      </w:r>
      <w:bookmarkEnd w:id="24"/>
      <w:bookmarkEnd w:id="25"/>
      <w:bookmarkEnd w:id="26"/>
    </w:p>
    <w:p w14:paraId="12F5FB2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机场、车站、港口、码头、影剧院、体育场（馆）、公园、广场、城市综合体等供公众从事社会活动的各类场所。</w:t>
      </w:r>
    </w:p>
    <w:p w14:paraId="369C9F26">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default" w:ascii="仿宋_GB2312" w:hAnsi="仿宋_GB2312" w:eastAsia="仿宋_GB2312" w:cs="仿宋_GB2312"/>
          <w:b/>
          <w:bCs/>
          <w:color w:val="auto"/>
          <w:sz w:val="32"/>
          <w:szCs w:val="32"/>
          <w:highlight w:val="none"/>
          <w:u w:val="none"/>
          <w:lang w:val="en-US" w:eastAsia="zh-CN"/>
        </w:rPr>
      </w:pPr>
      <w:bookmarkStart w:id="27" w:name="_Toc20263"/>
      <w:bookmarkStart w:id="28" w:name="_Toc30809"/>
      <w:bookmarkStart w:id="29" w:name="_Toc17263"/>
      <w:r>
        <w:rPr>
          <w:rFonts w:hint="eastAsia" w:ascii="仿宋_GB2312" w:hAnsi="仿宋_GB2312" w:eastAsia="仿宋_GB2312" w:cs="仿宋_GB2312"/>
          <w:b/>
          <w:bCs/>
          <w:color w:val="auto"/>
          <w:sz w:val="32"/>
          <w:szCs w:val="32"/>
          <w:highlight w:val="none"/>
          <w:u w:val="none"/>
          <w:lang w:val="en-US" w:eastAsia="zh-CN"/>
        </w:rPr>
        <w:t>2</w:t>
      </w:r>
      <w:r>
        <w:rPr>
          <w:rFonts w:hint="default" w:ascii="仿宋_GB2312" w:hAnsi="仿宋_GB2312" w:eastAsia="仿宋_GB2312" w:cs="仿宋_GB2312"/>
          <w:b/>
          <w:bCs/>
          <w:color w:val="auto"/>
          <w:sz w:val="32"/>
          <w:szCs w:val="32"/>
          <w:highlight w:val="none"/>
          <w:u w:val="none"/>
          <w:lang w:val="en-US" w:eastAsia="zh-CN"/>
        </w:rPr>
        <w:t>.7</w:t>
      </w:r>
      <w:r>
        <w:rPr>
          <w:rFonts w:hint="eastAsia" w:ascii="仿宋_GB2312" w:hAnsi="仿宋_GB2312" w:eastAsia="仿宋_GB2312" w:cs="仿宋_GB2312"/>
          <w:b/>
          <w:bCs/>
          <w:color w:val="auto"/>
          <w:sz w:val="32"/>
          <w:szCs w:val="32"/>
          <w:highlight w:val="none"/>
          <w:u w:val="none"/>
          <w:lang w:val="en-US" w:eastAsia="zh-CN"/>
        </w:rPr>
        <w:t>公共设施</w:t>
      </w:r>
      <w:bookmarkEnd w:id="27"/>
      <w:bookmarkEnd w:id="28"/>
      <w:bookmarkEnd w:id="29"/>
    </w:p>
    <w:p w14:paraId="0EE058A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设置在道路和公共场所的交通、电力、通讯、邮政、消防、环卫、生活服务、文体休闲等设施。</w:t>
      </w:r>
    </w:p>
    <w:p w14:paraId="265C0C02">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30" w:name="_Toc9635"/>
      <w:bookmarkStart w:id="31" w:name="_Toc4715"/>
      <w:bookmarkStart w:id="32" w:name="_Toc12733"/>
      <w:r>
        <w:rPr>
          <w:rFonts w:hint="eastAsia" w:ascii="仿宋_GB2312" w:hAnsi="仿宋_GB2312" w:eastAsia="仿宋_GB2312" w:cs="仿宋_GB2312"/>
          <w:b/>
          <w:bCs/>
          <w:color w:val="auto"/>
          <w:sz w:val="32"/>
          <w:szCs w:val="32"/>
          <w:highlight w:val="none"/>
          <w:u w:val="none"/>
          <w:lang w:val="en-US" w:eastAsia="zh-CN"/>
        </w:rPr>
        <w:t>2.8口袋公园</w:t>
      </w:r>
      <w:bookmarkEnd w:id="30"/>
      <w:bookmarkEnd w:id="31"/>
      <w:bookmarkEnd w:id="32"/>
    </w:p>
    <w:p w14:paraId="5730285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口袋公园是面向公众开放、规模较小、形式多样、具有一定游憩功能的公园绿化活动场地，面积一般在400—10000平方米之间；具有选址灵活、简洁实用、环境友好等特点。</w:t>
      </w:r>
    </w:p>
    <w:p w14:paraId="7846A47A">
      <w:pPr>
        <w:rPr>
          <w:rFonts w:hint="eastAsia" w:ascii="仿宋_GB2312" w:hAnsi="仿宋_GB2312" w:eastAsia="仿宋_GB2312" w:cs="仿宋_GB2312"/>
          <w:b/>
          <w:bCs/>
          <w:color w:val="auto"/>
          <w:sz w:val="32"/>
          <w:szCs w:val="32"/>
          <w:highlight w:val="none"/>
          <w:u w:val="none"/>
          <w:lang w:val="en-US" w:eastAsia="zh-CN"/>
        </w:rPr>
      </w:pPr>
      <w:bookmarkStart w:id="33" w:name="_Toc6891"/>
      <w:bookmarkStart w:id="34" w:name="_Toc11574"/>
      <w:bookmarkStart w:id="35" w:name="_Toc17511"/>
      <w:r>
        <w:rPr>
          <w:rFonts w:hint="eastAsia" w:ascii="仿宋_GB2312" w:hAnsi="仿宋_GB2312" w:eastAsia="仿宋_GB2312" w:cs="仿宋_GB2312"/>
          <w:b/>
          <w:bCs/>
          <w:color w:val="auto"/>
          <w:sz w:val="32"/>
          <w:szCs w:val="32"/>
          <w:highlight w:val="none"/>
          <w:u w:val="none"/>
          <w:lang w:val="en-US" w:eastAsia="zh-CN"/>
        </w:rPr>
        <w:t>2.9城镇照明</w:t>
      </w:r>
      <w:bookmarkEnd w:id="33"/>
      <w:bookmarkEnd w:id="34"/>
      <w:bookmarkEnd w:id="35"/>
    </w:p>
    <w:p w14:paraId="0C01855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城镇功能照明和夜景照明的总称，主要指在城（镇）区内道路、街巷、住宅区、桥梁、隧道、广场、公园、公共绿地和建（构）筑物的功能照明、景观照明。</w:t>
      </w:r>
    </w:p>
    <w:p w14:paraId="36917573">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36" w:name="_Toc10115"/>
      <w:bookmarkStart w:id="37" w:name="_Toc572"/>
      <w:bookmarkStart w:id="38" w:name="_Toc20185"/>
      <w:r>
        <w:rPr>
          <w:rFonts w:hint="eastAsia" w:ascii="仿宋_GB2312" w:hAnsi="仿宋_GB2312" w:eastAsia="仿宋_GB2312" w:cs="仿宋_GB2312"/>
          <w:b/>
          <w:bCs/>
          <w:color w:val="auto"/>
          <w:sz w:val="32"/>
          <w:szCs w:val="32"/>
          <w:highlight w:val="none"/>
          <w:u w:val="none"/>
          <w:lang w:val="en-US" w:eastAsia="zh-CN"/>
        </w:rPr>
        <w:t>2.10景观照明</w:t>
      </w:r>
      <w:bookmarkEnd w:id="36"/>
      <w:bookmarkEnd w:id="37"/>
      <w:bookmarkEnd w:id="38"/>
    </w:p>
    <w:p w14:paraId="45DA62D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泛指除体育场场地、建筑工地和道路照明等功能性照明以外，所有室外公共活动空间或景物的夜间景观的照明，亦称夜景照明。</w:t>
      </w:r>
    </w:p>
    <w:p w14:paraId="34AC572B">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bCs/>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2.11绿色照明</w:t>
      </w:r>
    </w:p>
    <w:p w14:paraId="155157F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泛指节约资源、保护环境、有益于提高人们的学习、工作效率和生活质量以及保障身心健康的照明。</w:t>
      </w:r>
    </w:p>
    <w:p w14:paraId="0DE70F79">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39" w:name="_Toc10976"/>
      <w:bookmarkStart w:id="40" w:name="_Toc19646"/>
      <w:bookmarkStart w:id="41" w:name="_Toc17214"/>
      <w:r>
        <w:rPr>
          <w:rFonts w:hint="eastAsia" w:ascii="仿宋_GB2312" w:hAnsi="仿宋_GB2312" w:eastAsia="仿宋_GB2312" w:cs="仿宋_GB2312"/>
          <w:b/>
          <w:bCs/>
          <w:color w:val="auto"/>
          <w:sz w:val="32"/>
          <w:szCs w:val="32"/>
          <w:highlight w:val="none"/>
          <w:u w:val="none"/>
          <w:lang w:val="en-US" w:eastAsia="zh-CN"/>
        </w:rPr>
        <w:t>2.12光污染</w:t>
      </w:r>
      <w:bookmarkEnd w:id="39"/>
      <w:bookmarkEnd w:id="40"/>
      <w:bookmarkEnd w:id="41"/>
    </w:p>
    <w:p w14:paraId="3D86913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指干扰光或过量的光辐射（含可见光、紫外和红外光辐射）对人、生态环境和天文观测等造成的负面影响的总称。</w:t>
      </w:r>
    </w:p>
    <w:p w14:paraId="31E16B09">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42" w:name="_Toc1047"/>
      <w:bookmarkStart w:id="43" w:name="_Toc30211"/>
      <w:bookmarkStart w:id="44" w:name="_Toc7333"/>
      <w:r>
        <w:rPr>
          <w:rFonts w:hint="eastAsia" w:ascii="仿宋_GB2312" w:hAnsi="仿宋_GB2312" w:eastAsia="仿宋_GB2312" w:cs="仿宋_GB2312"/>
          <w:b/>
          <w:bCs/>
          <w:color w:val="auto"/>
          <w:sz w:val="32"/>
          <w:szCs w:val="32"/>
          <w:highlight w:val="none"/>
          <w:u w:val="none"/>
          <w:lang w:val="en-US" w:eastAsia="zh-CN"/>
        </w:rPr>
        <w:t>2.13环境卫生</w:t>
      </w:r>
      <w:bookmarkEnd w:id="42"/>
      <w:bookmarkEnd w:id="43"/>
      <w:bookmarkEnd w:id="44"/>
    </w:p>
    <w:p w14:paraId="47169E9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环境卫生是指城镇空间环境的卫生，主要包括街巷、道路、公共场所、水域等区域的环境整洁。</w:t>
      </w:r>
    </w:p>
    <w:p w14:paraId="12A00DA5">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45" w:name="_Toc3579"/>
      <w:bookmarkStart w:id="46" w:name="_Toc11331"/>
      <w:bookmarkStart w:id="47" w:name="_Toc32416"/>
      <w:r>
        <w:rPr>
          <w:rFonts w:hint="eastAsia" w:ascii="仿宋_GB2312" w:hAnsi="仿宋_GB2312" w:eastAsia="仿宋_GB2312" w:cs="仿宋_GB2312"/>
          <w:b/>
          <w:bCs/>
          <w:color w:val="auto"/>
          <w:sz w:val="32"/>
          <w:szCs w:val="32"/>
          <w:highlight w:val="none"/>
          <w:u w:val="none"/>
          <w:lang w:val="en-US" w:eastAsia="zh-CN"/>
        </w:rPr>
        <w:t>2.14生活垃圾</w:t>
      </w:r>
      <w:bookmarkEnd w:id="45"/>
      <w:bookmarkEnd w:id="46"/>
      <w:bookmarkEnd w:id="47"/>
    </w:p>
    <w:p w14:paraId="569D324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人们在日常生活中或者为日常生活提供服务的活动中产生的固体废物，以及法律、行政法规规定视为生活垃圾的固体废物。主要包括居民生活垃圾、集市贸易与商业垃圾、公共场所垃圾、街道清扫垃圾及企事业单位垃圾等。</w:t>
      </w:r>
    </w:p>
    <w:p w14:paraId="4EE879AC">
      <w:pPr>
        <w:rPr>
          <w:rFonts w:hint="eastAsia" w:ascii="仿宋_GB2312" w:hAnsi="仿宋_GB2312" w:eastAsia="仿宋_GB2312" w:cs="仿宋_GB2312"/>
          <w:b/>
          <w:bCs/>
          <w:color w:val="auto"/>
          <w:sz w:val="32"/>
          <w:szCs w:val="32"/>
          <w:highlight w:val="none"/>
          <w:u w:val="none"/>
          <w:lang w:val="en-US" w:eastAsia="zh-CN"/>
        </w:rPr>
      </w:pPr>
      <w:bookmarkStart w:id="48" w:name="_Toc11324"/>
      <w:bookmarkStart w:id="49" w:name="_Toc7541"/>
      <w:bookmarkStart w:id="50" w:name="_Toc19977"/>
      <w:r>
        <w:rPr>
          <w:rFonts w:hint="eastAsia" w:ascii="仿宋_GB2312" w:hAnsi="仿宋_GB2312" w:eastAsia="仿宋_GB2312" w:cs="仿宋_GB2312"/>
          <w:b/>
          <w:bCs/>
          <w:color w:val="auto"/>
          <w:sz w:val="32"/>
          <w:szCs w:val="32"/>
          <w:highlight w:val="none"/>
          <w:u w:val="none"/>
          <w:lang w:val="en-US" w:eastAsia="zh-CN"/>
        </w:rPr>
        <w:t>2.15建筑垃圾</w:t>
      </w:r>
      <w:bookmarkEnd w:id="48"/>
      <w:bookmarkEnd w:id="49"/>
      <w:bookmarkEnd w:id="50"/>
    </w:p>
    <w:p w14:paraId="16CC99AE">
      <w:pPr>
        <w:keepNext w:val="0"/>
        <w:keepLines w:val="0"/>
        <w:pageBreakBefore w:val="0"/>
        <w:widowControl w:val="0"/>
        <w:kinsoku/>
        <w:wordWrap/>
        <w:overflowPunct/>
        <w:topLinePunct w:val="0"/>
        <w:bidi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
        </w:rPr>
        <w:t>建筑垃圾是指建设、施工单位或个人对各类建筑物、构筑物、管网等进行建设、铺设或拆除、修缮过程中所产生的渣土、弃土、弃料、淤泥及其他废弃物。</w:t>
      </w:r>
    </w:p>
    <w:p w14:paraId="4390CB47">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51" w:name="_Toc16644"/>
      <w:bookmarkStart w:id="52" w:name="_Toc6816"/>
      <w:bookmarkStart w:id="53" w:name="_Toc24824"/>
      <w:r>
        <w:rPr>
          <w:rFonts w:hint="eastAsia" w:ascii="仿宋_GB2312" w:hAnsi="仿宋_GB2312" w:eastAsia="仿宋_GB2312" w:cs="仿宋_GB2312"/>
          <w:b/>
          <w:bCs/>
          <w:color w:val="auto"/>
          <w:sz w:val="32"/>
          <w:szCs w:val="32"/>
          <w:highlight w:val="none"/>
          <w:u w:val="none"/>
          <w:lang w:val="en-US" w:eastAsia="zh-CN"/>
        </w:rPr>
        <w:t>2.16垃圾收集点</w:t>
      </w:r>
      <w:bookmarkEnd w:id="51"/>
      <w:bookmarkEnd w:id="52"/>
      <w:bookmarkEnd w:id="53"/>
    </w:p>
    <w:p w14:paraId="5B4CB837">
      <w:pPr>
        <w:keepNext w:val="0"/>
        <w:keepLines w:val="0"/>
        <w:pageBreakBefore w:val="0"/>
        <w:kinsoku/>
        <w:wordWrap/>
        <w:overflowPunct/>
        <w:topLinePunct w:val="0"/>
        <w:bidi w:val="0"/>
        <w:spacing w:line="560" w:lineRule="exact"/>
        <w:ind w:firstLine="640"/>
        <w:textAlignment w:val="auto"/>
        <w:rPr>
          <w:rFonts w:hint="default"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在居民小区、公共机构、公共场所、公共区域等场所按照垃圾种类、居民投放距离、占地面积等条件设置的收集垃圾的地点，用于垃圾集中收集、暂时存放、等待装车运输的环卫设施，包括垃圾收集房或收集亭。</w:t>
      </w:r>
    </w:p>
    <w:p w14:paraId="06888AA0">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54" w:name="_Toc9374"/>
      <w:bookmarkStart w:id="55" w:name="_Toc14553"/>
      <w:bookmarkStart w:id="56" w:name="_Toc4201"/>
      <w:r>
        <w:rPr>
          <w:rFonts w:hint="eastAsia" w:ascii="仿宋_GB2312" w:hAnsi="仿宋_GB2312" w:eastAsia="仿宋_GB2312" w:cs="仿宋_GB2312"/>
          <w:b/>
          <w:bCs/>
          <w:color w:val="auto"/>
          <w:sz w:val="32"/>
          <w:szCs w:val="32"/>
          <w:highlight w:val="none"/>
          <w:u w:val="none"/>
          <w:lang w:val="en-US" w:eastAsia="zh-CN"/>
        </w:rPr>
        <w:t>2.17门前三包</w:t>
      </w:r>
      <w:bookmarkEnd w:id="54"/>
      <w:bookmarkEnd w:id="55"/>
      <w:bookmarkEnd w:id="56"/>
    </w:p>
    <w:p w14:paraId="15B32912">
      <w:pPr>
        <w:keepNext w:val="0"/>
        <w:keepLines w:val="0"/>
        <w:pageBreakBefore w:val="0"/>
        <w:kinsoku/>
        <w:wordWrap/>
        <w:overflowPunct/>
        <w:topLinePunct w:val="0"/>
        <w:bidi w:val="0"/>
        <w:spacing w:line="560" w:lineRule="exact"/>
        <w:ind w:firstLine="640" w:firstLineChars="200"/>
        <w:textAlignment w:val="auto"/>
        <w:rPr>
          <w:rFonts w:hint="default"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门前三包责任制是指责任单位负责其责任范围内的环境卫生、绿化和市容环境秩序的维护与管理，及时劝阻、制止损害环境卫生、绿化和市容环境秩序的行为。</w:t>
      </w:r>
    </w:p>
    <w:p w14:paraId="09493026">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57" w:name="_Toc1162"/>
      <w:bookmarkStart w:id="58" w:name="_Toc17867"/>
      <w:bookmarkStart w:id="59" w:name="_Toc17496"/>
      <w:r>
        <w:rPr>
          <w:rFonts w:hint="eastAsia" w:ascii="仿宋_GB2312" w:hAnsi="仿宋_GB2312" w:eastAsia="仿宋_GB2312" w:cs="仿宋_GB2312"/>
          <w:b/>
          <w:bCs/>
          <w:color w:val="auto"/>
          <w:sz w:val="32"/>
          <w:szCs w:val="32"/>
          <w:highlight w:val="none"/>
          <w:u w:val="none"/>
          <w:lang w:val="en-US" w:eastAsia="zh-CN"/>
        </w:rPr>
        <w:t>2.18户外广告设施</w:t>
      </w:r>
      <w:bookmarkEnd w:id="57"/>
      <w:bookmarkEnd w:id="58"/>
      <w:bookmarkEnd w:id="59"/>
    </w:p>
    <w:p w14:paraId="05A02E19">
      <w:pPr>
        <w:keepNext w:val="0"/>
        <w:keepLines w:val="0"/>
        <w:pageBreakBefore w:val="0"/>
        <w:kinsoku/>
        <w:wordWrap/>
        <w:overflowPunct/>
        <w:topLinePunct w:val="0"/>
        <w:bidi w:val="0"/>
        <w:spacing w:line="560" w:lineRule="exact"/>
        <w:ind w:firstLine="640"/>
        <w:textAlignment w:val="auto"/>
        <w:rPr>
          <w:rFonts w:hint="default"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是指利用建（构）筑物、场地、设施、交通工具等设置的灯箱、霓虹灯、电子显示装置、展示牌、实物造型或以其他形式向户外发布广告信息的设施。</w:t>
      </w:r>
    </w:p>
    <w:p w14:paraId="1A9FDFE3">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60" w:name="_Toc13399"/>
      <w:bookmarkStart w:id="61" w:name="_Toc29585"/>
      <w:bookmarkStart w:id="62" w:name="_Toc22027"/>
      <w:r>
        <w:rPr>
          <w:rFonts w:hint="eastAsia" w:ascii="仿宋_GB2312" w:hAnsi="仿宋_GB2312" w:eastAsia="仿宋_GB2312" w:cs="仿宋_GB2312"/>
          <w:b/>
          <w:bCs/>
          <w:color w:val="auto"/>
          <w:sz w:val="32"/>
          <w:szCs w:val="32"/>
          <w:highlight w:val="none"/>
          <w:u w:val="none"/>
          <w:lang w:val="en-US" w:eastAsia="zh-CN"/>
        </w:rPr>
        <w:t>2.19公共停车场</w:t>
      </w:r>
      <w:bookmarkEnd w:id="60"/>
      <w:bookmarkEnd w:id="61"/>
      <w:bookmarkEnd w:id="62"/>
    </w:p>
    <w:p w14:paraId="403848A0">
      <w:pPr>
        <w:keepNext w:val="0"/>
        <w:keepLines w:val="0"/>
        <w:pageBreakBefore w:val="0"/>
        <w:kinsoku/>
        <w:wordWrap/>
        <w:overflowPunct/>
        <w:topLinePunct w:val="0"/>
        <w:bidi w:val="0"/>
        <w:spacing w:line="560" w:lineRule="exact"/>
        <w:ind w:firstLine="640" w:firstLineChars="200"/>
        <w:textAlignment w:val="auto"/>
        <w:rPr>
          <w:rFonts w:hint="default"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是指为社会公众提供车辆停放服务的场所和道路停车泊位</w:t>
      </w:r>
      <w:r>
        <w:rPr>
          <w:rFonts w:ascii="微软雅黑" w:hAnsi="微软雅黑" w:eastAsia="微软雅黑" w:cs="微软雅黑"/>
          <w:i w:val="0"/>
          <w:iCs w:val="0"/>
          <w:caps w:val="0"/>
          <w:color w:val="auto"/>
          <w:spacing w:val="0"/>
          <w:sz w:val="24"/>
          <w:szCs w:val="24"/>
          <w:highlight w:val="none"/>
          <w:u w:val="none"/>
          <w:shd w:val="clear" w:fill="FFFFFF"/>
        </w:rPr>
        <w:t>。</w:t>
      </w:r>
    </w:p>
    <w:p w14:paraId="029579E9">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63" w:name="_Toc18720"/>
      <w:bookmarkStart w:id="64" w:name="_Toc8313"/>
      <w:bookmarkStart w:id="65" w:name="_Toc22829"/>
      <w:r>
        <w:rPr>
          <w:rFonts w:hint="eastAsia" w:ascii="仿宋_GB2312" w:hAnsi="仿宋_GB2312" w:eastAsia="仿宋_GB2312" w:cs="仿宋_GB2312"/>
          <w:b/>
          <w:bCs/>
          <w:color w:val="auto"/>
          <w:sz w:val="32"/>
          <w:szCs w:val="32"/>
          <w:highlight w:val="none"/>
          <w:u w:val="none"/>
          <w:lang w:val="en-US" w:eastAsia="zh-CN"/>
        </w:rPr>
        <w:t>2.20城市公园</w:t>
      </w:r>
      <w:bookmarkEnd w:id="63"/>
      <w:bookmarkEnd w:id="64"/>
      <w:bookmarkEnd w:id="65"/>
    </w:p>
    <w:p w14:paraId="1CB02791">
      <w:pPr>
        <w:keepNext w:val="0"/>
        <w:keepLines w:val="0"/>
        <w:pageBreakBefore w:val="0"/>
        <w:widowControl w:val="0"/>
        <w:kinsoku/>
        <w:wordWrap/>
        <w:overflowPunct/>
        <w:topLinePunct w:val="0"/>
        <w:autoSpaceDE/>
        <w:autoSpaceDN/>
        <w:bidi w:val="0"/>
        <w:adjustRightInd w:val="0"/>
        <w:snapToGrid/>
        <w:spacing w:line="560" w:lineRule="exact"/>
        <w:ind w:firstLine="704" w:firstLineChars="220"/>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eastAsia="zh-CN"/>
        </w:rPr>
        <w:t>城市公园是指城市内具备园林景观和服务设施，具有改善生态、美化环境、休闲游憩、健身娱乐、传承文化、保护资源、科普教育和应急避难等功能，向公众开放的场所，包括利用公园绿地建设的公园和其他纳入城市公园名录的公园。</w:t>
      </w:r>
      <w:bookmarkStart w:id="66" w:name="OLE_LINK1"/>
    </w:p>
    <w:bookmarkEnd w:id="66"/>
    <w:p w14:paraId="2386694F">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67" w:name="_Toc17247"/>
      <w:bookmarkStart w:id="68" w:name="_Toc20837"/>
      <w:bookmarkStart w:id="69" w:name="_Toc17975"/>
      <w:r>
        <w:rPr>
          <w:rFonts w:hint="eastAsia" w:ascii="仿宋_GB2312" w:hAnsi="仿宋_GB2312" w:eastAsia="仿宋_GB2312" w:cs="仿宋_GB2312"/>
          <w:b/>
          <w:bCs/>
          <w:color w:val="auto"/>
          <w:sz w:val="32"/>
          <w:szCs w:val="32"/>
          <w:highlight w:val="none"/>
          <w:u w:val="none"/>
          <w:lang w:val="en-US" w:eastAsia="zh-CN"/>
        </w:rPr>
        <w:t>2.21架空管线</w:t>
      </w:r>
      <w:bookmarkEnd w:id="67"/>
      <w:bookmarkEnd w:id="68"/>
      <w:bookmarkEnd w:id="69"/>
    </w:p>
    <w:p w14:paraId="1FCFA400">
      <w:pPr>
        <w:keepNext w:val="0"/>
        <w:keepLines w:val="0"/>
        <w:pageBreakBefore w:val="0"/>
        <w:kinsoku/>
        <w:wordWrap/>
        <w:overflowPunct/>
        <w:topLinePunct w:val="0"/>
        <w:bidi w:val="0"/>
        <w:spacing w:line="240" w:lineRule="auto"/>
        <w:ind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lang w:val="en-US" w:eastAsia="zh-CN"/>
        </w:rPr>
        <w:t>指</w:t>
      </w:r>
      <w:r>
        <w:rPr>
          <w:rFonts w:hint="default" w:ascii="仿宋_GB2312" w:hAnsi="仿宋_GB2312" w:eastAsia="仿宋_GB2312" w:cs="仿宋_GB2312"/>
          <w:color w:val="auto"/>
          <w:sz w:val="32"/>
          <w:szCs w:val="32"/>
          <w:highlight w:val="none"/>
          <w:lang w:eastAsia="zh-CN"/>
          <w:woUserID w:val="1"/>
        </w:rPr>
        <w:t>架设</w:t>
      </w:r>
      <w:r>
        <w:rPr>
          <w:rFonts w:hint="eastAsia" w:ascii="仿宋_GB2312" w:hAnsi="仿宋_GB2312" w:eastAsia="仿宋_GB2312" w:cs="仿宋_GB2312"/>
          <w:color w:val="auto"/>
          <w:sz w:val="32"/>
          <w:szCs w:val="32"/>
          <w:highlight w:val="none"/>
          <w:lang w:val="en-US" w:eastAsia="zh-CN"/>
        </w:rPr>
        <w:t>在城市道路上空的线缆，包括信息传输</w:t>
      </w:r>
      <w:r>
        <w:rPr>
          <w:rFonts w:hint="default" w:ascii="仿宋_GB2312" w:hAnsi="仿宋_GB2312" w:eastAsia="仿宋_GB2312" w:cs="仿宋_GB2312"/>
          <w:color w:val="auto"/>
          <w:sz w:val="32"/>
          <w:szCs w:val="32"/>
          <w:highlight w:val="none"/>
          <w:lang w:eastAsia="zh-CN"/>
          <w:woUserID w:val="1"/>
        </w:rPr>
        <w:t>线路</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eastAsia="zh-CN"/>
          <w:woUserID w:val="1"/>
        </w:rPr>
        <w:t>高（低）压输配电线路</w:t>
      </w:r>
      <w:r>
        <w:rPr>
          <w:rFonts w:hint="eastAsia" w:ascii="仿宋_GB2312" w:hAnsi="仿宋_GB2312" w:eastAsia="仿宋_GB2312" w:cs="仿宋_GB2312"/>
          <w:color w:val="auto"/>
          <w:sz w:val="32"/>
          <w:szCs w:val="32"/>
          <w:highlight w:val="none"/>
          <w:lang w:val="en-US" w:eastAsia="zh-CN"/>
        </w:rPr>
        <w:t>、城市道路照明供电</w:t>
      </w:r>
      <w:r>
        <w:rPr>
          <w:rFonts w:hint="default" w:ascii="仿宋_GB2312" w:hAnsi="仿宋_GB2312" w:eastAsia="仿宋_GB2312" w:cs="仿宋_GB2312"/>
          <w:color w:val="auto"/>
          <w:sz w:val="32"/>
          <w:szCs w:val="32"/>
          <w:highlight w:val="none"/>
          <w:lang w:eastAsia="zh-CN"/>
          <w:woUserID w:val="1"/>
        </w:rPr>
        <w:t>线路</w:t>
      </w:r>
      <w:r>
        <w:rPr>
          <w:rFonts w:hint="eastAsia" w:ascii="仿宋_GB2312" w:hAnsi="仿宋_GB2312" w:eastAsia="仿宋_GB2312" w:cs="仿宋_GB2312"/>
          <w:color w:val="auto"/>
          <w:sz w:val="32"/>
          <w:szCs w:val="32"/>
          <w:highlight w:val="none"/>
          <w:lang w:val="en-US" w:eastAsia="zh-CN"/>
        </w:rPr>
        <w:t>及其杆架等。</w:t>
      </w:r>
    </w:p>
    <w:p w14:paraId="4665D771">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70" w:name="_Toc5628"/>
      <w:bookmarkStart w:id="71" w:name="_Toc25389"/>
      <w:bookmarkStart w:id="72" w:name="_Toc29555"/>
      <w:r>
        <w:rPr>
          <w:rFonts w:hint="eastAsia" w:ascii="仿宋_GB2312" w:hAnsi="仿宋_GB2312" w:eastAsia="仿宋_GB2312" w:cs="仿宋_GB2312"/>
          <w:b/>
          <w:bCs/>
          <w:color w:val="auto"/>
          <w:sz w:val="32"/>
          <w:szCs w:val="32"/>
          <w:highlight w:val="none"/>
          <w:u w:val="none"/>
          <w:lang w:val="en-US" w:eastAsia="zh-CN"/>
        </w:rPr>
        <w:t>2.22公共厕所</w:t>
      </w:r>
      <w:bookmarkEnd w:id="70"/>
      <w:bookmarkEnd w:id="71"/>
      <w:bookmarkEnd w:id="72"/>
      <w:r>
        <w:rPr>
          <w:rFonts w:hint="eastAsia" w:ascii="仿宋_GB2312" w:hAnsi="仿宋_GB2312" w:eastAsia="仿宋_GB2312" w:cs="仿宋_GB2312"/>
          <w:b/>
          <w:bCs/>
          <w:color w:val="auto"/>
          <w:sz w:val="32"/>
          <w:szCs w:val="32"/>
          <w:highlight w:val="none"/>
          <w:u w:val="none"/>
          <w:lang w:val="en-US" w:eastAsia="zh-CN"/>
        </w:rPr>
        <w:tab/>
      </w:r>
    </w:p>
    <w:p w14:paraId="40E653FE">
      <w:pPr>
        <w:keepNext w:val="0"/>
        <w:keepLines w:val="0"/>
        <w:pageBreakBefore w:val="0"/>
        <w:kinsoku/>
        <w:wordWrap/>
        <w:overflowPunct/>
        <w:topLinePunct w:val="0"/>
        <w:bidi w:val="0"/>
        <w:spacing w:line="560" w:lineRule="exact"/>
        <w:ind w:firstLine="640"/>
        <w:textAlignment w:val="auto"/>
        <w:rPr>
          <w:rFonts w:hint="default"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是指供城市居民和流动人口共同使用的厕所，包括公共建筑（如车站、码头、商店、饭店、影剧院、体育场馆、展览馆、办公楼等）附设的公厕。</w:t>
      </w:r>
      <w:r>
        <w:rPr>
          <w:rFonts w:hint="default" w:ascii="仿宋_GB2312" w:hAnsi="仿宋_GB2312" w:eastAsia="仿宋_GB2312" w:cs="仿宋_GB2312"/>
          <w:color w:val="auto"/>
          <w:sz w:val="32"/>
          <w:szCs w:val="32"/>
          <w:highlight w:val="none"/>
          <w:u w:val="none"/>
          <w:lang w:val="en-US" w:eastAsia="zh-CN"/>
        </w:rPr>
        <w:br w:type="page"/>
      </w:r>
    </w:p>
    <w:p w14:paraId="649F0215">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0"/>
        <w:rPr>
          <w:rFonts w:hint="eastAsia" w:ascii="黑体" w:hAnsi="黑体" w:eastAsia="黑体" w:cs="黑体"/>
          <w:b w:val="0"/>
          <w:bCs/>
          <w:color w:val="auto"/>
          <w:kern w:val="44"/>
          <w:sz w:val="36"/>
          <w:szCs w:val="36"/>
          <w:highlight w:val="none"/>
          <w:u w:val="none"/>
          <w:lang w:val="en-US" w:eastAsia="zh-CN" w:bidi="ar-SA"/>
        </w:rPr>
      </w:pPr>
      <w:bookmarkStart w:id="73" w:name="_Toc18340"/>
      <w:bookmarkStart w:id="74" w:name="_Toc7614"/>
      <w:bookmarkStart w:id="75" w:name="_Toc22693"/>
      <w:r>
        <w:rPr>
          <w:rFonts w:hint="eastAsia" w:ascii="黑体" w:hAnsi="黑体" w:eastAsia="黑体" w:cs="黑体"/>
          <w:b w:val="0"/>
          <w:bCs/>
          <w:color w:val="auto"/>
          <w:kern w:val="44"/>
          <w:sz w:val="36"/>
          <w:szCs w:val="36"/>
          <w:highlight w:val="none"/>
          <w:u w:val="none"/>
          <w:lang w:val="en-US" w:eastAsia="zh-CN" w:bidi="ar-SA"/>
        </w:rPr>
        <w:t>3市容秩序</w:t>
      </w:r>
      <w:bookmarkEnd w:id="73"/>
      <w:bookmarkEnd w:id="74"/>
      <w:bookmarkEnd w:id="75"/>
    </w:p>
    <w:p w14:paraId="78A1CDEA">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default" w:ascii="仿宋_GB2312" w:hAnsi="仿宋_GB2312" w:eastAsia="仿宋_GB2312" w:cs="仿宋_GB2312"/>
          <w:b/>
          <w:bCs/>
          <w:color w:val="auto"/>
          <w:kern w:val="2"/>
          <w:sz w:val="32"/>
          <w:szCs w:val="32"/>
          <w:highlight w:val="none"/>
          <w:u w:val="none"/>
          <w:lang w:val="en-US" w:eastAsia="zh-CN" w:bidi="ar-SA"/>
        </w:rPr>
      </w:pPr>
      <w:bookmarkStart w:id="76" w:name="_Toc23519"/>
      <w:bookmarkStart w:id="77" w:name="_Toc3908"/>
      <w:bookmarkStart w:id="78" w:name="_Toc19607"/>
      <w:r>
        <w:rPr>
          <w:rFonts w:hint="eastAsia" w:ascii="仿宋_GB2312" w:hAnsi="仿宋_GB2312" w:eastAsia="仿宋_GB2312" w:cs="仿宋_GB2312"/>
          <w:b/>
          <w:bCs/>
          <w:color w:val="auto"/>
          <w:kern w:val="2"/>
          <w:sz w:val="32"/>
          <w:szCs w:val="32"/>
          <w:highlight w:val="none"/>
          <w:u w:val="none"/>
          <w:lang w:val="en-US" w:eastAsia="zh-CN" w:bidi="ar-SA"/>
        </w:rPr>
        <w:t>3</w:t>
      </w:r>
      <w:r>
        <w:rPr>
          <w:rFonts w:hint="default" w:ascii="仿宋_GB2312" w:hAnsi="仿宋_GB2312" w:eastAsia="仿宋_GB2312" w:cs="仿宋_GB2312"/>
          <w:b/>
          <w:bCs/>
          <w:color w:val="auto"/>
          <w:kern w:val="2"/>
          <w:sz w:val="32"/>
          <w:szCs w:val="32"/>
          <w:highlight w:val="none"/>
          <w:u w:val="none"/>
          <w:lang w:val="en-US" w:eastAsia="zh-CN" w:bidi="ar-SA"/>
        </w:rPr>
        <w:t>.1门前三包</w:t>
      </w:r>
      <w:bookmarkEnd w:id="76"/>
      <w:bookmarkEnd w:id="77"/>
      <w:bookmarkEnd w:id="78"/>
    </w:p>
    <w:p w14:paraId="4F34A873">
      <w:pPr>
        <w:pStyle w:val="24"/>
        <w:keepNext w:val="0"/>
        <w:keepLines w:val="0"/>
        <w:pageBreakBefore w:val="0"/>
        <w:tabs>
          <w:tab w:val="right" w:leader="dot" w:pos="8845"/>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3</w:t>
      </w:r>
      <w:r>
        <w:rPr>
          <w:rFonts w:hint="default" w:ascii="仿宋_GB2312" w:hAnsi="仿宋_GB2312" w:eastAsia="仿宋_GB2312" w:cs="仿宋_GB2312"/>
          <w:b/>
          <w:bCs/>
          <w:color w:val="auto"/>
          <w:kern w:val="2"/>
          <w:sz w:val="32"/>
          <w:szCs w:val="32"/>
          <w:highlight w:val="none"/>
          <w:u w:val="none"/>
          <w:lang w:val="en-US" w:eastAsia="zh-CN" w:bidi="ar-SA"/>
        </w:rPr>
        <w:t>.1</w:t>
      </w:r>
      <w:r>
        <w:rPr>
          <w:rFonts w:hint="eastAsia" w:ascii="仿宋_GB2312" w:hAnsi="仿宋_GB2312" w:eastAsia="仿宋_GB2312" w:cs="仿宋_GB2312"/>
          <w:b/>
          <w:bCs/>
          <w:color w:val="auto"/>
          <w:kern w:val="2"/>
          <w:sz w:val="32"/>
          <w:szCs w:val="32"/>
          <w:highlight w:val="none"/>
          <w:u w:val="none"/>
          <w:lang w:val="en-US" w:eastAsia="zh-CN" w:bidi="ar-SA"/>
        </w:rPr>
        <w:t>.1</w:t>
      </w:r>
      <w:r>
        <w:rPr>
          <w:rFonts w:hint="eastAsia" w:ascii="仿宋_GB2312" w:hAnsi="仿宋_GB2312" w:eastAsia="仿宋_GB2312" w:cs="仿宋_GB2312"/>
          <w:b w:val="0"/>
          <w:bCs w:val="0"/>
          <w:color w:val="auto"/>
          <w:kern w:val="2"/>
          <w:sz w:val="32"/>
          <w:szCs w:val="32"/>
          <w:highlight w:val="none"/>
          <w:u w:val="none"/>
          <w:lang w:val="en-US" w:eastAsia="zh-CN" w:bidi="ar-SA"/>
        </w:rPr>
        <w:t>实行环境卫生、市容秩序、绿化维护“门前三包”责任制度，应符合相关法规规章的要求。</w:t>
      </w:r>
    </w:p>
    <w:p w14:paraId="378AAF7A">
      <w:pPr>
        <w:pStyle w:val="24"/>
        <w:keepNext w:val="0"/>
        <w:keepLines w:val="0"/>
        <w:pageBreakBefore w:val="0"/>
        <w:tabs>
          <w:tab w:val="right" w:leader="dot" w:pos="8845"/>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3.1.2</w:t>
      </w:r>
      <w:r>
        <w:rPr>
          <w:rFonts w:hint="eastAsia" w:ascii="仿宋_GB2312" w:hAnsi="仿宋_GB2312" w:eastAsia="仿宋_GB2312" w:cs="仿宋_GB2312"/>
          <w:b w:val="0"/>
          <w:bCs w:val="0"/>
          <w:color w:val="auto"/>
          <w:kern w:val="2"/>
          <w:sz w:val="32"/>
          <w:szCs w:val="32"/>
          <w:highlight w:val="none"/>
          <w:u w:val="none"/>
          <w:lang w:val="en-US" w:eastAsia="zh-CN" w:bidi="ar-SA"/>
        </w:rPr>
        <w:t>“门前三包”责任范围，包括责任单位产权所有和租赁承包经营管理场所（地）的临街建筑物外立面和相应的人行道及其边沿的台阶、水沟、绿化地、空地等区域。</w:t>
      </w:r>
    </w:p>
    <w:p w14:paraId="6F92C0F5">
      <w:pPr>
        <w:pStyle w:val="24"/>
        <w:keepNext w:val="0"/>
        <w:keepLines w:val="0"/>
        <w:pageBreakBefore w:val="0"/>
        <w:tabs>
          <w:tab w:val="right" w:leader="dot" w:pos="8845"/>
        </w:tabs>
        <w:kinsoku/>
        <w:wordWrap/>
        <w:overflowPunct/>
        <w:topLinePunct w:val="0"/>
        <w:bidi w:val="0"/>
        <w:spacing w:line="560" w:lineRule="exact"/>
        <w:ind w:left="0" w:leftChars="0" w:firstLine="640" w:firstLineChars="200"/>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包卫生：负责责任范围内地面、墙面及绿化带的日常保洁，保持无垃圾散落、无污水积存、无污渍残留，门前垃圾收集设施应摆放整齐、规范有序；及时清理极端天气产生的积雪、积水等；主动劝阻不文明卫生行为，维护区域整体环境卫生秩序。</w:t>
      </w:r>
    </w:p>
    <w:p w14:paraId="614AA70A">
      <w:pPr>
        <w:pStyle w:val="24"/>
        <w:keepNext w:val="0"/>
        <w:keepLines w:val="0"/>
        <w:pageBreakBefore w:val="0"/>
        <w:tabs>
          <w:tab w:val="right" w:leader="dot" w:pos="8845"/>
        </w:tabs>
        <w:kinsoku/>
        <w:wordWrap/>
        <w:overflowPunct/>
        <w:topLinePunct w:val="0"/>
        <w:bidi w:val="0"/>
        <w:spacing w:line="560" w:lineRule="exact"/>
        <w:ind w:left="0" w:leftChars="0" w:firstLine="640" w:firstLineChars="200"/>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包绿化：负责保护责任范围的绿化带、树木、花坛等绿化植物及设施，保持整洁，无垃圾、无杂物。主动劝阻制止向绿化植物倾倒有毒有害物质、践踏草坪、攀折花木等行为；发现绿化设施损坏，绿化植物病虫害等情况及时报告相关部门。</w:t>
      </w:r>
    </w:p>
    <w:p w14:paraId="1E459872">
      <w:pPr>
        <w:pStyle w:val="22"/>
        <w:keepNext w:val="0"/>
        <w:keepLines w:val="0"/>
        <w:pageBreakBefore w:val="0"/>
        <w:kinsoku/>
        <w:wordWrap/>
        <w:overflowPunct/>
        <w:topLinePunct w:val="0"/>
        <w:bidi w:val="0"/>
        <w:spacing w:before="0" w:after="0" w:line="560" w:lineRule="exact"/>
        <w:ind w:left="0" w:leftChars="0" w:firstLine="420" w:firstLineChars="0"/>
        <w:jc w:val="left"/>
        <w:textAlignment w:val="auto"/>
        <w:outlineLvl w:val="9"/>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包秩序：负责责任范围内的市容秩序维护。除指定划线区域外，不得乱堆乱放及延伸占道经营；非机动车应在划线区域内有序停放；不在门窗及玻璃幕墙乱贴乱画、张贴广告；及时劝阻损害市容秩序的行为。</w:t>
      </w:r>
    </w:p>
    <w:p w14:paraId="58CDCE73">
      <w:pPr>
        <w:rPr>
          <w:rFonts w:hint="eastAsia" w:ascii="仿宋_GB2312" w:hAnsi="仿宋_GB2312" w:eastAsia="仿宋_GB2312" w:cs="仿宋_GB2312"/>
          <w:b/>
          <w:bCs/>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br w:type="page"/>
      </w:r>
    </w:p>
    <w:p w14:paraId="5B616B04">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default" w:ascii="仿宋_GB2312" w:hAnsi="仿宋_GB2312" w:eastAsia="仿宋_GB2312" w:cs="仿宋_GB2312"/>
          <w:b/>
          <w:bCs/>
          <w:color w:val="auto"/>
          <w:kern w:val="2"/>
          <w:sz w:val="32"/>
          <w:szCs w:val="32"/>
          <w:highlight w:val="none"/>
          <w:u w:val="none"/>
          <w:lang w:val="en-US" w:eastAsia="zh-CN" w:bidi="ar-SA"/>
        </w:rPr>
      </w:pPr>
      <w:bookmarkStart w:id="79" w:name="_Toc17460"/>
      <w:bookmarkStart w:id="80" w:name="_Toc16518"/>
      <w:bookmarkStart w:id="81" w:name="_Toc14748"/>
      <w:r>
        <w:rPr>
          <w:rFonts w:hint="eastAsia" w:ascii="仿宋_GB2312" w:hAnsi="仿宋_GB2312" w:eastAsia="仿宋_GB2312" w:cs="仿宋_GB2312"/>
          <w:b/>
          <w:bCs/>
          <w:color w:val="auto"/>
          <w:kern w:val="2"/>
          <w:sz w:val="32"/>
          <w:szCs w:val="32"/>
          <w:highlight w:val="none"/>
          <w:u w:val="none"/>
          <w:lang w:val="en-US" w:eastAsia="zh-CN" w:bidi="ar-SA"/>
        </w:rPr>
        <w:t>3</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2占道经营</w:t>
      </w:r>
      <w:bookmarkEnd w:id="79"/>
      <w:bookmarkEnd w:id="80"/>
      <w:bookmarkEnd w:id="81"/>
    </w:p>
    <w:p w14:paraId="2209D498">
      <w:pPr>
        <w:pStyle w:val="24"/>
        <w:keepNext w:val="0"/>
        <w:keepLines w:val="0"/>
        <w:pageBreakBefore w:val="0"/>
        <w:tabs>
          <w:tab w:val="right" w:leader="dot" w:pos="8845"/>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宋体" w:eastAsia="仿宋_GB2312" w:cs="宋体"/>
          <w:b/>
          <w:bCs/>
          <w:color w:val="auto"/>
          <w:kern w:val="0"/>
          <w:sz w:val="32"/>
          <w:szCs w:val="32"/>
          <w:highlight w:val="none"/>
          <w:u w:val="none"/>
          <w:lang w:val="en-US" w:eastAsia="zh-CN"/>
        </w:rPr>
        <w:t>3.2.1</w:t>
      </w:r>
      <w:r>
        <w:rPr>
          <w:rFonts w:hint="eastAsia" w:ascii="仿宋_GB2312" w:hAnsi="宋体" w:eastAsia="仿宋_GB2312" w:cs="宋体"/>
          <w:color w:val="auto"/>
          <w:kern w:val="0"/>
          <w:sz w:val="32"/>
          <w:szCs w:val="32"/>
          <w:highlight w:val="none"/>
          <w:u w:val="none"/>
        </w:rPr>
        <w:t>临时摊区按照“四不三无”</w:t>
      </w:r>
      <w:r>
        <w:rPr>
          <w:rFonts w:hint="eastAsia" w:ascii="仿宋_GB2312" w:eastAsia="仿宋_GB2312"/>
          <w:color w:val="auto"/>
          <w:sz w:val="32"/>
          <w:szCs w:val="32"/>
          <w:highlight w:val="none"/>
          <w:u w:val="none"/>
        </w:rPr>
        <w:t>原则，即</w:t>
      </w:r>
      <w:r>
        <w:rPr>
          <w:rFonts w:hint="eastAsia" w:ascii="仿宋_GB2312" w:hAnsi="宋体" w:eastAsia="仿宋_GB2312" w:cs="宋体"/>
          <w:color w:val="auto"/>
          <w:kern w:val="0"/>
          <w:sz w:val="32"/>
          <w:szCs w:val="32"/>
          <w:highlight w:val="none"/>
          <w:u w:val="none"/>
        </w:rPr>
        <w:t>“不影响市容环境、</w:t>
      </w:r>
      <w:r>
        <w:rPr>
          <w:rFonts w:hint="eastAsia" w:ascii="仿宋_GB2312" w:hAnsi="宋体" w:eastAsia="仿宋_GB2312" w:cs="宋体"/>
          <w:bCs/>
          <w:color w:val="auto"/>
          <w:kern w:val="0"/>
          <w:sz w:val="32"/>
          <w:szCs w:val="32"/>
          <w:highlight w:val="none"/>
          <w:u w:val="none"/>
        </w:rPr>
        <w:t>不影响消防安全、不影响道路交通</w:t>
      </w:r>
      <w:r>
        <w:rPr>
          <w:rFonts w:hint="eastAsia" w:ascii="仿宋_GB2312" w:hAnsi="宋体" w:eastAsia="仿宋_GB2312" w:cs="宋体"/>
          <w:bCs/>
          <w:color w:val="auto"/>
          <w:kern w:val="0"/>
          <w:sz w:val="32"/>
          <w:szCs w:val="32"/>
          <w:highlight w:val="none"/>
          <w:u w:val="none"/>
          <w:lang w:val="en-US" w:eastAsia="zh-CN"/>
        </w:rPr>
        <w:t>安全</w:t>
      </w:r>
      <w:r>
        <w:rPr>
          <w:rFonts w:hint="eastAsia" w:ascii="仿宋_GB2312" w:hAnsi="宋体" w:eastAsia="仿宋_GB2312" w:cs="宋体"/>
          <w:bCs/>
          <w:color w:val="auto"/>
          <w:kern w:val="0"/>
          <w:sz w:val="32"/>
          <w:szCs w:val="32"/>
          <w:highlight w:val="none"/>
          <w:u w:val="none"/>
        </w:rPr>
        <w:t>、不影响市民生活，无安全隐患、无油烟污染、无噪声污染</w:t>
      </w:r>
      <w:r>
        <w:rPr>
          <w:rFonts w:hint="eastAsia" w:ascii="仿宋_GB2312" w:hAnsi="宋体" w:eastAsia="仿宋_GB2312" w:cs="宋体"/>
          <w:color w:val="auto"/>
          <w:kern w:val="0"/>
          <w:sz w:val="32"/>
          <w:szCs w:val="32"/>
          <w:highlight w:val="none"/>
          <w:u w:val="none"/>
        </w:rPr>
        <w:t>”的原则，相对集中规范设置</w:t>
      </w:r>
      <w:r>
        <w:rPr>
          <w:rFonts w:hint="eastAsia" w:ascii="仿宋_GB2312" w:hAnsi="宋体" w:eastAsia="仿宋_GB2312" w:cs="宋体"/>
          <w:color w:val="auto"/>
          <w:kern w:val="0"/>
          <w:sz w:val="32"/>
          <w:szCs w:val="32"/>
          <w:highlight w:val="none"/>
          <w:u w:val="none"/>
          <w:lang w:eastAsia="zh-CN"/>
        </w:rPr>
        <w:t>。</w:t>
      </w:r>
    </w:p>
    <w:p w14:paraId="6BBE3ED1">
      <w:pPr>
        <w:pStyle w:val="24"/>
        <w:keepNext w:val="0"/>
        <w:keepLines w:val="0"/>
        <w:pageBreakBefore w:val="0"/>
        <w:tabs>
          <w:tab w:val="right" w:leader="dot" w:pos="8845"/>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3.2.2</w:t>
      </w:r>
      <w:r>
        <w:rPr>
          <w:rFonts w:hint="eastAsia" w:ascii="仿宋_GB2312" w:hAnsi="仿宋_GB2312" w:eastAsia="仿宋_GB2312" w:cs="仿宋_GB2312"/>
          <w:color w:val="auto"/>
          <w:kern w:val="0"/>
          <w:sz w:val="32"/>
          <w:szCs w:val="32"/>
          <w:highlight w:val="none"/>
          <w:u w:val="none"/>
          <w:lang w:val="en-US" w:eastAsia="zh-CN" w:bidi="ar"/>
        </w:rPr>
        <w:t>在不占用盲道、消防通道以及不影响交通安全的前提下，可规定时段和区域允许占道经营、店外经营以及“摆地摊”等市场经营行为。</w:t>
      </w:r>
    </w:p>
    <w:p w14:paraId="62DC8E79">
      <w:pPr>
        <w:pStyle w:val="24"/>
        <w:keepNext w:val="0"/>
        <w:keepLines w:val="0"/>
        <w:pageBreakBefore w:val="0"/>
        <w:tabs>
          <w:tab w:val="right" w:leader="dot" w:pos="8845"/>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3.2.3</w:t>
      </w:r>
      <w:r>
        <w:rPr>
          <w:rFonts w:hint="eastAsia" w:ascii="仿宋_GB2312" w:hAnsi="仿宋_GB2312" w:eastAsia="仿宋_GB2312" w:cs="仿宋_GB2312"/>
          <w:color w:val="auto"/>
          <w:kern w:val="0"/>
          <w:sz w:val="32"/>
          <w:szCs w:val="32"/>
          <w:highlight w:val="none"/>
          <w:u w:val="none"/>
          <w:lang w:val="en-US" w:eastAsia="zh-CN" w:bidi="ar"/>
        </w:rPr>
        <w:t>临时便民摊点在经营过程中应配备垃圾收集容器，做好经营区域环境卫生，防止油渍污染地面，污水外溢。在人员聚集区内避免使用高音喇叭等扩音设备招揽顾客、宣传等影响他人正常生活行为；餐饮油烟类临时便民摊点还应使用油烟收集设施设备，避免污染大气环境。</w:t>
      </w:r>
    </w:p>
    <w:p w14:paraId="76BCF244">
      <w:pPr>
        <w:pStyle w:val="24"/>
        <w:keepNext w:val="0"/>
        <w:keepLines w:val="0"/>
        <w:pageBreakBefore w:val="0"/>
        <w:tabs>
          <w:tab w:val="right" w:leader="dot" w:pos="8845"/>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3.2.4</w:t>
      </w:r>
      <w:r>
        <w:rPr>
          <w:rFonts w:hint="eastAsia" w:ascii="仿宋_GB2312" w:hAnsi="仿宋_GB2312" w:eastAsia="仿宋_GB2312" w:cs="仿宋_GB2312"/>
          <w:color w:val="auto"/>
          <w:kern w:val="0"/>
          <w:sz w:val="32"/>
          <w:szCs w:val="32"/>
          <w:highlight w:val="none"/>
          <w:u w:val="none"/>
          <w:lang w:val="en-US" w:eastAsia="zh-CN" w:bidi="ar"/>
        </w:rPr>
        <w:t>不得在人行天桥、地下通道或者擅自占用城市道路以及其他公共场地设摊经营、兜售物品。</w:t>
      </w:r>
    </w:p>
    <w:p w14:paraId="6A3BA951">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outlineLvl w:val="9"/>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3.2.5</w:t>
      </w:r>
      <w:r>
        <w:rPr>
          <w:rFonts w:hint="eastAsia" w:ascii="仿宋_GB2312" w:hAnsi="仿宋_GB2312" w:eastAsia="仿宋_GB2312" w:cs="仿宋_GB2312"/>
          <w:color w:val="auto"/>
          <w:kern w:val="0"/>
          <w:sz w:val="32"/>
          <w:szCs w:val="32"/>
          <w:highlight w:val="none"/>
          <w:u w:val="none"/>
          <w:lang w:val="en-US" w:eastAsia="zh-CN" w:bidi="ar"/>
        </w:rPr>
        <w:t>城市道路两侧和景观区域内的建筑物、构筑物内的经营者，未经允许不得超越建筑物、构筑物门窗和外墙占道经营或展示商品。</w:t>
      </w:r>
    </w:p>
    <w:p w14:paraId="20AF2B27">
      <w:pPr>
        <w:rPr>
          <w:rFonts w:hint="eastAsia" w:ascii="仿宋_GB2312" w:hAnsi="仿宋_GB2312" w:eastAsia="仿宋_GB2312" w:cs="仿宋_GB2312"/>
          <w:b/>
          <w:bCs/>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br w:type="page"/>
      </w:r>
    </w:p>
    <w:p w14:paraId="2F6AFE71">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eastAsia" w:ascii="仿宋_GB2312" w:hAnsi="仿宋_GB2312" w:eastAsia="仿宋_GB2312" w:cs="仿宋_GB2312"/>
          <w:b/>
          <w:bCs/>
          <w:color w:val="auto"/>
          <w:kern w:val="2"/>
          <w:sz w:val="32"/>
          <w:szCs w:val="32"/>
          <w:highlight w:val="none"/>
          <w:u w:val="none"/>
          <w:lang w:val="en-US" w:eastAsia="zh-CN" w:bidi="ar-SA"/>
        </w:rPr>
      </w:pPr>
      <w:bookmarkStart w:id="82" w:name="_Toc6076"/>
      <w:bookmarkStart w:id="83" w:name="_Toc330"/>
      <w:bookmarkStart w:id="84" w:name="_Toc15774"/>
      <w:r>
        <w:rPr>
          <w:rFonts w:hint="eastAsia" w:ascii="仿宋_GB2312" w:hAnsi="仿宋_GB2312" w:eastAsia="仿宋_GB2312" w:cs="仿宋_GB2312"/>
          <w:b/>
          <w:bCs/>
          <w:color w:val="auto"/>
          <w:kern w:val="2"/>
          <w:sz w:val="32"/>
          <w:szCs w:val="32"/>
          <w:highlight w:val="none"/>
          <w:u w:val="none"/>
          <w:lang w:val="en-US" w:eastAsia="zh-CN" w:bidi="ar-SA"/>
        </w:rPr>
        <w:t>3</w:t>
      </w:r>
      <w:r>
        <w:rPr>
          <w:rFonts w:hint="default" w:ascii="仿宋_GB2312" w:hAnsi="仿宋_GB2312" w:eastAsia="仿宋_GB2312" w:cs="仿宋_GB2312"/>
          <w:b/>
          <w:bCs/>
          <w:color w:val="auto"/>
          <w:kern w:val="2"/>
          <w:sz w:val="32"/>
          <w:szCs w:val="32"/>
          <w:highlight w:val="none"/>
          <w:u w:val="none"/>
          <w:lang w:val="en-US" w:eastAsia="zh-CN" w:bidi="ar-SA"/>
        </w:rPr>
        <w:t>.3建（构）筑物</w:t>
      </w:r>
      <w:r>
        <w:rPr>
          <w:rFonts w:hint="eastAsia" w:ascii="仿宋_GB2312" w:hAnsi="仿宋_GB2312" w:eastAsia="仿宋_GB2312" w:cs="仿宋_GB2312"/>
          <w:b/>
          <w:bCs/>
          <w:color w:val="auto"/>
          <w:kern w:val="2"/>
          <w:sz w:val="32"/>
          <w:szCs w:val="32"/>
          <w:highlight w:val="none"/>
          <w:u w:val="none"/>
          <w:lang w:val="en-US" w:eastAsia="zh-CN" w:bidi="ar-SA"/>
        </w:rPr>
        <w:t>外立面</w:t>
      </w:r>
      <w:bookmarkEnd w:id="82"/>
      <w:bookmarkEnd w:id="83"/>
      <w:bookmarkEnd w:id="84"/>
    </w:p>
    <w:p w14:paraId="4E2CB9E5">
      <w:pPr>
        <w:pStyle w:val="24"/>
        <w:tabs>
          <w:tab w:val="right" w:leader="dot" w:pos="8845"/>
        </w:tabs>
        <w:spacing w:line="560" w:lineRule="exact"/>
        <w:ind w:left="0" w:leftChars="0"/>
        <w:rPr>
          <w:rFonts w:ascii="仿宋_GB2312" w:hAnsi="仿宋_GB2312" w:eastAsia="仿宋_GB2312" w:cs="仿宋_GB2312"/>
          <w:color w:val="auto"/>
          <w:sz w:val="32"/>
          <w:szCs w:val="32"/>
          <w:highlight w:val="none"/>
          <w:lang w:bidi="ar"/>
        </w:rPr>
      </w:pPr>
      <w:r>
        <w:rPr>
          <w:rFonts w:hint="eastAsia" w:ascii="仿宋_GB2312" w:hAnsi="仿宋_GB2312" w:eastAsia="仿宋_GB2312" w:cs="仿宋_GB2312"/>
          <w:b/>
          <w:bCs/>
          <w:color w:val="auto"/>
          <w:sz w:val="32"/>
          <w:szCs w:val="32"/>
          <w:highlight w:val="none"/>
          <w:lang w:val="en-US" w:eastAsia="zh-CN" w:bidi="ar"/>
        </w:rPr>
        <w:t>3</w:t>
      </w:r>
      <w:r>
        <w:rPr>
          <w:rFonts w:hint="eastAsia" w:ascii="仿宋_GB2312" w:hAnsi="仿宋_GB2312" w:eastAsia="仿宋_GB2312" w:cs="仿宋_GB2312"/>
          <w:b/>
          <w:bCs/>
          <w:color w:val="auto"/>
          <w:sz w:val="32"/>
          <w:szCs w:val="32"/>
          <w:highlight w:val="none"/>
          <w:lang w:bidi="ar"/>
        </w:rPr>
        <w:t>.3.1</w:t>
      </w:r>
      <w:r>
        <w:rPr>
          <w:rFonts w:hint="eastAsia" w:ascii="仿宋_GB2312" w:hAnsi="仿宋_GB2312" w:eastAsia="仿宋_GB2312" w:cs="仿宋_GB2312"/>
          <w:color w:val="auto"/>
          <w:sz w:val="32"/>
          <w:szCs w:val="32"/>
          <w:highlight w:val="none"/>
          <w:lang w:bidi="ar"/>
        </w:rPr>
        <w:t>建（构）筑物外立面造型、色彩和风格应与周围景观协调一致，不得擅自改变原设计色调、风格，符合环保、节能、安全等</w:t>
      </w:r>
      <w:r>
        <w:rPr>
          <w:rFonts w:hint="eastAsia" w:ascii="仿宋_GB2312" w:hAnsi="仿宋_GB2312" w:eastAsia="仿宋_GB2312" w:cs="仿宋_GB2312"/>
          <w:color w:val="auto"/>
          <w:sz w:val="32"/>
          <w:szCs w:val="32"/>
          <w:highlight w:val="none"/>
          <w:lang w:eastAsia="zh-CN" w:bidi="ar"/>
        </w:rPr>
        <w:t>要</w:t>
      </w:r>
      <w:r>
        <w:rPr>
          <w:rFonts w:hint="eastAsia" w:ascii="仿宋_GB2312" w:hAnsi="仿宋_GB2312" w:eastAsia="仿宋_GB2312" w:cs="仿宋_GB2312"/>
          <w:color w:val="auto"/>
          <w:sz w:val="32"/>
          <w:szCs w:val="32"/>
          <w:highlight w:val="none"/>
          <w:lang w:bidi="ar"/>
        </w:rPr>
        <w:t>求。</w:t>
      </w:r>
    </w:p>
    <w:p w14:paraId="52D5E842">
      <w:pPr>
        <w:pStyle w:val="24"/>
        <w:tabs>
          <w:tab w:val="right" w:leader="dot" w:pos="8845"/>
        </w:tabs>
        <w:spacing w:line="560" w:lineRule="exact"/>
        <w:ind w:left="0" w:leftChars="0"/>
        <w:rPr>
          <w:rFonts w:ascii="仿宋_GB2312" w:hAnsi="仿宋_GB2312" w:eastAsia="仿宋_GB2312" w:cs="仿宋_GB2312"/>
          <w:color w:val="auto"/>
          <w:sz w:val="32"/>
          <w:szCs w:val="32"/>
          <w:highlight w:val="none"/>
          <w:lang w:bidi="ar"/>
        </w:rPr>
      </w:pPr>
      <w:r>
        <w:rPr>
          <w:rFonts w:hint="eastAsia" w:ascii="仿宋_GB2312" w:hAnsi="仿宋_GB2312" w:eastAsia="仿宋_GB2312" w:cs="仿宋_GB2312"/>
          <w:b/>
          <w:bCs/>
          <w:color w:val="auto"/>
          <w:sz w:val="32"/>
          <w:szCs w:val="32"/>
          <w:highlight w:val="none"/>
          <w:lang w:val="en-US" w:eastAsia="zh-CN" w:bidi="ar"/>
        </w:rPr>
        <w:t>3</w:t>
      </w:r>
      <w:r>
        <w:rPr>
          <w:rFonts w:hint="eastAsia" w:ascii="仿宋_GB2312" w:hAnsi="仿宋_GB2312" w:eastAsia="仿宋_GB2312" w:cs="仿宋_GB2312"/>
          <w:b/>
          <w:bCs/>
          <w:color w:val="auto"/>
          <w:sz w:val="32"/>
          <w:szCs w:val="32"/>
          <w:highlight w:val="none"/>
          <w:lang w:bidi="ar"/>
        </w:rPr>
        <w:t>.3.2</w:t>
      </w:r>
      <w:r>
        <w:rPr>
          <w:rFonts w:ascii="仿宋_GB2312" w:hAnsi="仿宋_GB2312" w:eastAsia="仿宋_GB2312" w:cs="仿宋_GB2312"/>
          <w:color w:val="auto"/>
          <w:sz w:val="32"/>
          <w:szCs w:val="32"/>
          <w:highlight w:val="none"/>
          <w:lang w:bidi="ar"/>
        </w:rPr>
        <w:t>与城市主干</w:t>
      </w:r>
      <w:r>
        <w:rPr>
          <w:rFonts w:hint="eastAsia" w:ascii="仿宋_GB2312" w:hAnsi="仿宋_GB2312" w:eastAsia="仿宋_GB2312" w:cs="仿宋_GB2312"/>
          <w:color w:val="auto"/>
          <w:sz w:val="32"/>
          <w:szCs w:val="32"/>
          <w:highlight w:val="none"/>
          <w:lang w:eastAsia="zh-CN" w:bidi="ar"/>
        </w:rPr>
        <w:t>道</w:t>
      </w:r>
      <w:r>
        <w:rPr>
          <w:rFonts w:hint="eastAsia" w:ascii="仿宋_GB2312" w:hAnsi="仿宋_GB2312" w:eastAsia="仿宋_GB2312" w:cs="仿宋_GB2312"/>
          <w:color w:val="auto"/>
          <w:sz w:val="32"/>
          <w:szCs w:val="32"/>
          <w:highlight w:val="none"/>
          <w:lang w:bidi="ar"/>
        </w:rPr>
        <w:t>、</w:t>
      </w:r>
      <w:r>
        <w:rPr>
          <w:rFonts w:ascii="仿宋_GB2312" w:hAnsi="仿宋_GB2312" w:eastAsia="仿宋_GB2312" w:cs="仿宋_GB2312"/>
          <w:color w:val="auto"/>
          <w:sz w:val="32"/>
          <w:szCs w:val="32"/>
          <w:highlight w:val="none"/>
          <w:lang w:bidi="ar"/>
        </w:rPr>
        <w:t>重要水体</w:t>
      </w:r>
      <w:r>
        <w:rPr>
          <w:rFonts w:hint="eastAsia" w:ascii="仿宋_GB2312" w:hAnsi="仿宋_GB2312" w:eastAsia="仿宋_GB2312" w:cs="仿宋_GB2312"/>
          <w:color w:val="auto"/>
          <w:sz w:val="32"/>
          <w:szCs w:val="32"/>
          <w:highlight w:val="none"/>
          <w:lang w:bidi="ar"/>
        </w:rPr>
        <w:t>、</w:t>
      </w:r>
      <w:r>
        <w:rPr>
          <w:rFonts w:ascii="仿宋_GB2312" w:hAnsi="仿宋_GB2312" w:eastAsia="仿宋_GB2312" w:cs="仿宋_GB2312"/>
          <w:color w:val="auto"/>
          <w:sz w:val="32"/>
          <w:szCs w:val="32"/>
          <w:highlight w:val="none"/>
          <w:lang w:bidi="ar"/>
        </w:rPr>
        <w:t>大型城市广场</w:t>
      </w:r>
      <w:r>
        <w:rPr>
          <w:rFonts w:hint="eastAsia" w:ascii="仿宋_GB2312" w:hAnsi="仿宋_GB2312" w:eastAsia="仿宋_GB2312" w:cs="仿宋_GB2312"/>
          <w:color w:val="auto"/>
          <w:sz w:val="32"/>
          <w:szCs w:val="32"/>
          <w:highlight w:val="none"/>
          <w:lang w:bidi="ar"/>
        </w:rPr>
        <w:t>、</w:t>
      </w:r>
      <w:r>
        <w:rPr>
          <w:rFonts w:ascii="仿宋_GB2312" w:hAnsi="仿宋_GB2312" w:eastAsia="仿宋_GB2312" w:cs="仿宋_GB2312"/>
          <w:color w:val="auto"/>
          <w:sz w:val="32"/>
          <w:szCs w:val="32"/>
          <w:highlight w:val="none"/>
          <w:lang w:bidi="ar"/>
        </w:rPr>
        <w:t>公园绿地等相邻的首排高层建筑</w:t>
      </w:r>
      <w:r>
        <w:rPr>
          <w:rFonts w:hint="eastAsia" w:ascii="仿宋_GB2312" w:hAnsi="仿宋_GB2312" w:eastAsia="仿宋_GB2312" w:cs="仿宋_GB2312"/>
          <w:color w:val="auto"/>
          <w:sz w:val="32"/>
          <w:szCs w:val="32"/>
          <w:highlight w:val="none"/>
          <w:lang w:bidi="ar"/>
        </w:rPr>
        <w:t>，</w:t>
      </w:r>
      <w:r>
        <w:rPr>
          <w:rFonts w:ascii="仿宋_GB2312" w:hAnsi="仿宋_GB2312" w:eastAsia="仿宋_GB2312" w:cs="仿宋_GB2312"/>
          <w:color w:val="auto"/>
          <w:sz w:val="32"/>
          <w:szCs w:val="32"/>
          <w:highlight w:val="none"/>
          <w:lang w:bidi="ar"/>
        </w:rPr>
        <w:t>其外立面应当采用公共建筑风格设计</w:t>
      </w:r>
      <w:r>
        <w:rPr>
          <w:rFonts w:hint="eastAsia" w:ascii="仿宋_GB2312" w:hAnsi="仿宋_GB2312" w:eastAsia="仿宋_GB2312" w:cs="仿宋_GB2312"/>
          <w:color w:val="auto"/>
          <w:sz w:val="32"/>
          <w:szCs w:val="32"/>
          <w:highlight w:val="none"/>
          <w:lang w:bidi="ar"/>
        </w:rPr>
        <w:t>，</w:t>
      </w:r>
      <w:r>
        <w:rPr>
          <w:rFonts w:ascii="仿宋_GB2312" w:hAnsi="仿宋_GB2312" w:eastAsia="仿宋_GB2312" w:cs="仿宋_GB2312"/>
          <w:color w:val="auto"/>
          <w:sz w:val="32"/>
          <w:szCs w:val="32"/>
          <w:highlight w:val="none"/>
          <w:lang w:bidi="ar"/>
        </w:rPr>
        <w:t>不宜设置开敞式阳台</w:t>
      </w:r>
      <w:r>
        <w:rPr>
          <w:rFonts w:hint="eastAsia" w:ascii="仿宋_GB2312" w:hAnsi="仿宋_GB2312" w:eastAsia="仿宋_GB2312" w:cs="仿宋_GB2312"/>
          <w:color w:val="auto"/>
          <w:sz w:val="32"/>
          <w:szCs w:val="32"/>
          <w:highlight w:val="none"/>
          <w:lang w:bidi="ar"/>
        </w:rPr>
        <w:t>，</w:t>
      </w:r>
      <w:r>
        <w:rPr>
          <w:rFonts w:ascii="仿宋_GB2312" w:hAnsi="仿宋_GB2312" w:eastAsia="仿宋_GB2312" w:cs="仿宋_GB2312"/>
          <w:color w:val="auto"/>
          <w:sz w:val="32"/>
          <w:szCs w:val="32"/>
          <w:highlight w:val="none"/>
          <w:lang w:bidi="ar"/>
        </w:rPr>
        <w:t>搁板</w:t>
      </w:r>
      <w:r>
        <w:rPr>
          <w:rFonts w:hint="eastAsia" w:ascii="仿宋_GB2312" w:hAnsi="仿宋_GB2312" w:eastAsia="仿宋_GB2312" w:cs="仿宋_GB2312"/>
          <w:color w:val="auto"/>
          <w:sz w:val="32"/>
          <w:szCs w:val="32"/>
          <w:highlight w:val="none"/>
          <w:lang w:bidi="ar"/>
        </w:rPr>
        <w:t>、</w:t>
      </w:r>
      <w:r>
        <w:rPr>
          <w:rFonts w:ascii="仿宋_GB2312" w:hAnsi="仿宋_GB2312" w:eastAsia="仿宋_GB2312" w:cs="仿宋_GB2312"/>
          <w:color w:val="auto"/>
          <w:sz w:val="32"/>
          <w:szCs w:val="32"/>
          <w:highlight w:val="none"/>
          <w:lang w:bidi="ar"/>
        </w:rPr>
        <w:t>空调室外机位和各类管线应当遮蔽处理</w:t>
      </w:r>
      <w:r>
        <w:rPr>
          <w:rFonts w:hint="eastAsia" w:ascii="仿宋_GB2312" w:hAnsi="仿宋_GB2312" w:eastAsia="仿宋_GB2312" w:cs="仿宋_GB2312"/>
          <w:color w:val="auto"/>
          <w:sz w:val="32"/>
          <w:szCs w:val="32"/>
          <w:highlight w:val="none"/>
          <w:lang w:bidi="ar"/>
        </w:rPr>
        <w:t>。</w:t>
      </w:r>
      <w:r>
        <w:rPr>
          <w:rFonts w:hint="eastAsia" w:ascii="仿宋_GB2312" w:hAnsi="仿宋_GB2312" w:eastAsia="仿宋_GB2312" w:cs="仿宋_GB2312"/>
          <w:b/>
          <w:bCs/>
          <w:color w:val="auto"/>
          <w:sz w:val="32"/>
          <w:szCs w:val="32"/>
          <w:highlight w:val="none"/>
          <w:lang w:val="en-US" w:eastAsia="zh-CN" w:bidi="ar"/>
        </w:rPr>
        <w:t>3</w:t>
      </w:r>
      <w:r>
        <w:rPr>
          <w:rFonts w:hint="eastAsia" w:ascii="仿宋_GB2312" w:hAnsi="仿宋_GB2312" w:eastAsia="仿宋_GB2312" w:cs="仿宋_GB2312"/>
          <w:b/>
          <w:bCs/>
          <w:color w:val="auto"/>
          <w:sz w:val="32"/>
          <w:szCs w:val="32"/>
          <w:highlight w:val="none"/>
          <w:lang w:bidi="ar"/>
        </w:rPr>
        <w:t>.3.3</w:t>
      </w:r>
      <w:r>
        <w:rPr>
          <w:rFonts w:hint="eastAsia" w:ascii="仿宋_GB2312" w:hAnsi="仿宋_GB2312" w:eastAsia="仿宋_GB2312" w:cs="仿宋_GB2312"/>
          <w:color w:val="auto"/>
          <w:sz w:val="32"/>
          <w:szCs w:val="32"/>
          <w:highlight w:val="none"/>
          <w:lang w:bidi="ar"/>
        </w:rPr>
        <w:t>建</w:t>
      </w:r>
      <w:r>
        <w:rPr>
          <w:rFonts w:ascii="仿宋_GB2312" w:hAnsi="仿宋_GB2312" w:eastAsia="仿宋_GB2312" w:cs="仿宋_GB2312"/>
          <w:color w:val="auto"/>
          <w:sz w:val="32"/>
          <w:szCs w:val="32"/>
          <w:highlight w:val="none"/>
          <w:lang w:bidi="ar"/>
        </w:rPr>
        <w:t>（构）筑物外立面保持整洁、完好和安全，无破损和表面脱落现象，无明显污迹，无乱张贴、乱涂写、乱刻画、乱悬挂，并按照有关规定定期粉刷、清洗和维护。</w:t>
      </w:r>
    </w:p>
    <w:p w14:paraId="3384870D">
      <w:pPr>
        <w:pStyle w:val="24"/>
        <w:tabs>
          <w:tab w:val="right" w:leader="dot" w:pos="8845"/>
        </w:tabs>
        <w:spacing w:line="560" w:lineRule="exact"/>
        <w:ind w:left="0" w:leftChars="0"/>
        <w:rPr>
          <w:rFonts w:ascii="仿宋_GB2312" w:hAnsi="仿宋_GB2312" w:eastAsia="仿宋_GB2312" w:cs="仿宋_GB2312"/>
          <w:color w:val="auto"/>
          <w:sz w:val="32"/>
          <w:szCs w:val="32"/>
          <w:highlight w:val="none"/>
          <w:lang w:bidi="ar"/>
        </w:rPr>
      </w:pPr>
      <w:r>
        <w:rPr>
          <w:rFonts w:hint="eastAsia" w:ascii="仿宋_GB2312" w:hAnsi="仿宋_GB2312" w:eastAsia="仿宋_GB2312" w:cs="仿宋_GB2312"/>
          <w:b/>
          <w:bCs/>
          <w:color w:val="auto"/>
          <w:sz w:val="32"/>
          <w:szCs w:val="32"/>
          <w:highlight w:val="none"/>
          <w:lang w:val="en-US" w:eastAsia="zh-CN" w:bidi="ar"/>
        </w:rPr>
        <w:t>3</w:t>
      </w:r>
      <w:r>
        <w:rPr>
          <w:rFonts w:hint="eastAsia" w:ascii="仿宋_GB2312" w:hAnsi="仿宋_GB2312" w:eastAsia="仿宋_GB2312" w:cs="仿宋_GB2312"/>
          <w:b/>
          <w:bCs/>
          <w:color w:val="auto"/>
          <w:sz w:val="32"/>
          <w:szCs w:val="32"/>
          <w:highlight w:val="none"/>
          <w:lang w:bidi="ar"/>
        </w:rPr>
        <w:t>.3.4</w:t>
      </w:r>
      <w:r>
        <w:rPr>
          <w:rFonts w:hint="eastAsia" w:ascii="仿宋_GB2312" w:hAnsi="仿宋_GB2312" w:eastAsia="仿宋_GB2312" w:cs="仿宋_GB2312"/>
          <w:color w:val="auto"/>
          <w:sz w:val="32"/>
          <w:szCs w:val="32"/>
          <w:highlight w:val="none"/>
          <w:lang w:bidi="ar"/>
        </w:rPr>
        <w:t>建（构）筑物顶部、平台、外走廊、外墙等保持整洁，不得堆放（悬挂）杂物、违法搭建附属设施。</w:t>
      </w:r>
    </w:p>
    <w:p w14:paraId="654FFF47">
      <w:pPr>
        <w:pStyle w:val="24"/>
        <w:tabs>
          <w:tab w:val="right" w:leader="dot" w:pos="8845"/>
        </w:tabs>
        <w:spacing w:line="560" w:lineRule="exact"/>
        <w:ind w:left="0" w:leftChars="0"/>
        <w:rPr>
          <w:rFonts w:ascii="仿宋_GB2312" w:hAnsi="仿宋_GB2312" w:eastAsia="仿宋_GB2312" w:cs="仿宋_GB2312"/>
          <w:color w:val="auto"/>
          <w:sz w:val="32"/>
          <w:szCs w:val="32"/>
          <w:highlight w:val="none"/>
          <w:lang w:bidi="ar"/>
        </w:rPr>
      </w:pPr>
      <w:r>
        <w:rPr>
          <w:rFonts w:hint="eastAsia" w:ascii="仿宋_GB2312" w:hAnsi="仿宋_GB2312" w:eastAsia="仿宋_GB2312" w:cs="仿宋_GB2312"/>
          <w:b/>
          <w:bCs/>
          <w:color w:val="auto"/>
          <w:sz w:val="32"/>
          <w:szCs w:val="32"/>
          <w:highlight w:val="none"/>
          <w:lang w:val="en-US" w:eastAsia="zh-CN" w:bidi="ar"/>
        </w:rPr>
        <w:t>3</w:t>
      </w:r>
      <w:r>
        <w:rPr>
          <w:rFonts w:hint="eastAsia" w:ascii="仿宋_GB2312" w:hAnsi="仿宋_GB2312" w:eastAsia="仿宋_GB2312" w:cs="仿宋_GB2312"/>
          <w:b/>
          <w:bCs/>
          <w:color w:val="auto"/>
          <w:sz w:val="32"/>
          <w:szCs w:val="32"/>
          <w:highlight w:val="none"/>
          <w:lang w:bidi="ar"/>
        </w:rPr>
        <w:t>.3.5</w:t>
      </w:r>
      <w:r>
        <w:rPr>
          <w:rFonts w:hint="eastAsia" w:ascii="仿宋_GB2312" w:hAnsi="仿宋_GB2312" w:eastAsia="仿宋_GB2312" w:cs="仿宋_GB2312"/>
          <w:color w:val="auto"/>
          <w:sz w:val="32"/>
          <w:szCs w:val="32"/>
          <w:highlight w:val="none"/>
          <w:lang w:bidi="ar"/>
        </w:rPr>
        <w:t>新（改、扩）</w:t>
      </w:r>
      <w:r>
        <w:rPr>
          <w:rFonts w:hint="eastAsia" w:ascii="仿宋_GB2312" w:hAnsi="仿宋_GB2312" w:eastAsia="仿宋_GB2312" w:cs="仿宋_GB2312"/>
          <w:color w:val="auto"/>
          <w:sz w:val="32"/>
          <w:szCs w:val="32"/>
          <w:highlight w:val="none"/>
          <w:lang w:eastAsia="zh-CN" w:bidi="ar"/>
        </w:rPr>
        <w:t>建</w:t>
      </w:r>
      <w:r>
        <w:rPr>
          <w:rFonts w:hint="eastAsia" w:ascii="仿宋_GB2312" w:hAnsi="仿宋_GB2312" w:eastAsia="仿宋_GB2312" w:cs="仿宋_GB2312"/>
          <w:color w:val="auto"/>
          <w:sz w:val="32"/>
          <w:szCs w:val="32"/>
          <w:highlight w:val="none"/>
          <w:lang w:bidi="ar"/>
        </w:rPr>
        <w:t>建（构）筑物，按照设计标准统一设置阳台和窗户护栏、空调设备托架等设施。</w:t>
      </w:r>
    </w:p>
    <w:p w14:paraId="7DD97649">
      <w:pPr>
        <w:pStyle w:val="24"/>
        <w:tabs>
          <w:tab w:val="right" w:leader="dot" w:pos="8845"/>
        </w:tabs>
        <w:spacing w:line="560" w:lineRule="exact"/>
        <w:ind w:left="0" w:leftChars="0"/>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b/>
          <w:bCs/>
          <w:color w:val="auto"/>
          <w:sz w:val="32"/>
          <w:szCs w:val="32"/>
          <w:highlight w:val="none"/>
          <w:lang w:val="en-US" w:eastAsia="zh-CN" w:bidi="ar"/>
        </w:rPr>
        <w:t>3</w:t>
      </w:r>
      <w:r>
        <w:rPr>
          <w:rFonts w:hint="eastAsia" w:ascii="仿宋_GB2312" w:hAnsi="仿宋_GB2312" w:eastAsia="仿宋_GB2312" w:cs="仿宋_GB2312"/>
          <w:b/>
          <w:bCs/>
          <w:color w:val="auto"/>
          <w:sz w:val="32"/>
          <w:szCs w:val="32"/>
          <w:highlight w:val="none"/>
          <w:lang w:bidi="ar"/>
        </w:rPr>
        <w:t>.3.6</w:t>
      </w:r>
      <w:r>
        <w:rPr>
          <w:rFonts w:ascii="仿宋_GB2312" w:hAnsi="仿宋_GB2312" w:eastAsia="仿宋_GB2312" w:cs="仿宋_GB2312"/>
          <w:color w:val="auto"/>
          <w:sz w:val="32"/>
          <w:szCs w:val="32"/>
          <w:highlight w:val="none"/>
          <w:lang w:bidi="ar"/>
        </w:rPr>
        <w:t>新建住宅建筑底部设置商业的，应按照相关规范要求设置专用烟道或排油烟井，其颜色、形态等应与住宅建筑立面相契合。</w:t>
      </w:r>
    </w:p>
    <w:p w14:paraId="427A29BC">
      <w:pPr>
        <w:pStyle w:val="24"/>
        <w:tabs>
          <w:tab w:val="right" w:leader="dot" w:pos="8845"/>
        </w:tabs>
        <w:spacing w:line="560" w:lineRule="exact"/>
        <w:ind w:left="0" w:leftChars="0"/>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b/>
          <w:bCs/>
          <w:color w:val="auto"/>
          <w:sz w:val="32"/>
          <w:szCs w:val="32"/>
          <w:highlight w:val="none"/>
          <w:lang w:val="en-US" w:eastAsia="zh-CN" w:bidi="ar"/>
        </w:rPr>
        <w:t>3</w:t>
      </w:r>
      <w:r>
        <w:rPr>
          <w:rFonts w:hint="eastAsia" w:ascii="仿宋_GB2312" w:hAnsi="仿宋_GB2312" w:eastAsia="仿宋_GB2312" w:cs="仿宋_GB2312"/>
          <w:b/>
          <w:bCs/>
          <w:color w:val="auto"/>
          <w:sz w:val="32"/>
          <w:szCs w:val="32"/>
          <w:highlight w:val="none"/>
          <w:lang w:bidi="ar"/>
        </w:rPr>
        <w:t>.3.7</w:t>
      </w:r>
      <w:r>
        <w:rPr>
          <w:rFonts w:hint="eastAsia" w:ascii="仿宋_GB2312" w:hAnsi="仿宋_GB2312" w:eastAsia="仿宋_GB2312" w:cs="仿宋_GB2312"/>
          <w:color w:val="auto"/>
          <w:sz w:val="32"/>
          <w:szCs w:val="32"/>
          <w:highlight w:val="none"/>
          <w:lang w:bidi="ar"/>
        </w:rPr>
        <w:t>在建</w:t>
      </w:r>
      <w:r>
        <w:rPr>
          <w:rFonts w:ascii="仿宋_GB2312" w:hAnsi="仿宋_GB2312" w:eastAsia="仿宋_GB2312" w:cs="仿宋_GB2312"/>
          <w:color w:val="auto"/>
          <w:sz w:val="32"/>
          <w:szCs w:val="32"/>
          <w:highlight w:val="none"/>
          <w:lang w:bidi="ar"/>
        </w:rPr>
        <w:t>（构）筑物外立面</w:t>
      </w:r>
      <w:r>
        <w:rPr>
          <w:rFonts w:hint="eastAsia" w:ascii="仿宋_GB2312" w:hAnsi="仿宋_GB2312" w:eastAsia="仿宋_GB2312" w:cs="仿宋_GB2312"/>
          <w:color w:val="auto"/>
          <w:sz w:val="32"/>
          <w:szCs w:val="32"/>
          <w:highlight w:val="none"/>
          <w:lang w:bidi="ar"/>
        </w:rPr>
        <w:t>户外广告设置中，不宜采用悬挂式；不得妨碍生产或者人民生活；不得损害市容市貌；不得影响市政公共设施、交通安全设施、交通标志、消防设施、消防安全标志使用。</w:t>
      </w:r>
    </w:p>
    <w:p w14:paraId="6C2DA64C">
      <w:pPr>
        <w:pStyle w:val="24"/>
        <w:tabs>
          <w:tab w:val="right" w:leader="dot" w:pos="8845"/>
        </w:tabs>
        <w:spacing w:line="560" w:lineRule="exact"/>
        <w:ind w:left="0" w:leftChars="0"/>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b/>
          <w:bCs/>
          <w:color w:val="auto"/>
          <w:sz w:val="32"/>
          <w:szCs w:val="32"/>
          <w:highlight w:val="none"/>
          <w:lang w:val="en-US" w:eastAsia="zh-CN" w:bidi="ar"/>
        </w:rPr>
        <w:t>3</w:t>
      </w:r>
      <w:r>
        <w:rPr>
          <w:rFonts w:hint="eastAsia" w:ascii="仿宋_GB2312" w:hAnsi="仿宋_GB2312" w:eastAsia="仿宋_GB2312" w:cs="仿宋_GB2312"/>
          <w:b/>
          <w:bCs/>
          <w:color w:val="auto"/>
          <w:sz w:val="32"/>
          <w:szCs w:val="32"/>
          <w:highlight w:val="none"/>
          <w:lang w:bidi="ar"/>
        </w:rPr>
        <w:t>.3.8</w:t>
      </w:r>
      <w:r>
        <w:rPr>
          <w:rFonts w:hint="eastAsia" w:ascii="仿宋_GB2312" w:hAnsi="仿宋_GB2312" w:eastAsia="仿宋_GB2312" w:cs="仿宋_GB2312"/>
          <w:color w:val="auto"/>
          <w:sz w:val="32"/>
          <w:szCs w:val="32"/>
          <w:highlight w:val="none"/>
          <w:lang w:bidi="ar"/>
        </w:rPr>
        <w:t>对于新建建</w:t>
      </w:r>
      <w:r>
        <w:rPr>
          <w:rFonts w:ascii="仿宋_GB2312" w:hAnsi="仿宋_GB2312" w:eastAsia="仿宋_GB2312" w:cs="仿宋_GB2312"/>
          <w:color w:val="auto"/>
          <w:sz w:val="32"/>
          <w:szCs w:val="32"/>
          <w:highlight w:val="none"/>
          <w:lang w:bidi="ar"/>
        </w:rPr>
        <w:t>（构）筑物中，商务商业建筑及居住建筑应</w:t>
      </w:r>
      <w:r>
        <w:rPr>
          <w:rFonts w:hint="eastAsia" w:ascii="仿宋_GB2312" w:hAnsi="仿宋_GB2312" w:eastAsia="仿宋_GB2312" w:cs="仿宋_GB2312"/>
          <w:color w:val="auto"/>
          <w:sz w:val="32"/>
          <w:szCs w:val="32"/>
          <w:highlight w:val="none"/>
          <w:lang w:bidi="ar"/>
        </w:rPr>
        <w:t>鼓励结合现代技术融入钢材、铝合金、混凝土、人造石等材质，建筑立面不宜出现大面积玻璃幕墙。建筑应凸显其现代、时尚、稳重、端庄、秀丽的形象。</w:t>
      </w:r>
    </w:p>
    <w:p w14:paraId="50B9038A">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outlineLvl w:val="9"/>
        <w:rPr>
          <w:rFonts w:hint="eastAsia" w:ascii="仿宋_GB2312" w:hAnsi="仿宋_GB2312" w:eastAsia="仿宋_GB2312" w:cs="仿宋_GB2312"/>
          <w:color w:val="auto"/>
          <w:sz w:val="32"/>
          <w:szCs w:val="32"/>
          <w:highlight w:val="none"/>
          <w:lang w:eastAsia="zh-CN" w:bidi="ar"/>
        </w:rPr>
      </w:pPr>
      <w:r>
        <w:rPr>
          <w:rFonts w:hint="eastAsia" w:ascii="仿宋_GB2312" w:hAnsi="仿宋_GB2312" w:eastAsia="仿宋_GB2312" w:cs="仿宋_GB2312"/>
          <w:b/>
          <w:bCs/>
          <w:color w:val="auto"/>
          <w:sz w:val="32"/>
          <w:szCs w:val="32"/>
          <w:highlight w:val="none"/>
          <w:lang w:val="en-US" w:eastAsia="zh-CN" w:bidi="ar"/>
        </w:rPr>
        <w:t>3</w:t>
      </w:r>
      <w:r>
        <w:rPr>
          <w:rFonts w:hint="eastAsia" w:ascii="仿宋_GB2312" w:hAnsi="仿宋_GB2312" w:eastAsia="仿宋_GB2312" w:cs="仿宋_GB2312"/>
          <w:b/>
          <w:bCs/>
          <w:color w:val="auto"/>
          <w:sz w:val="32"/>
          <w:szCs w:val="32"/>
          <w:highlight w:val="none"/>
          <w:lang w:bidi="ar"/>
        </w:rPr>
        <w:t>.3.9</w:t>
      </w:r>
      <w:r>
        <w:rPr>
          <w:rFonts w:hint="eastAsia" w:ascii="仿宋_GB2312" w:hAnsi="仿宋_GB2312" w:eastAsia="仿宋_GB2312" w:cs="仿宋_GB2312"/>
          <w:color w:val="auto"/>
          <w:sz w:val="32"/>
          <w:szCs w:val="32"/>
          <w:highlight w:val="none"/>
          <w:lang w:bidi="ar"/>
        </w:rPr>
        <w:t>保护城建、山水、阳明、红色、移民与三线等多元历史文化资源。历史街区建</w:t>
      </w:r>
      <w:r>
        <w:rPr>
          <w:rFonts w:ascii="仿宋_GB2312" w:hAnsi="仿宋_GB2312" w:eastAsia="仿宋_GB2312" w:cs="仿宋_GB2312"/>
          <w:color w:val="auto"/>
          <w:sz w:val="32"/>
          <w:szCs w:val="32"/>
          <w:highlight w:val="none"/>
          <w:lang w:bidi="ar"/>
        </w:rPr>
        <w:t>（构）筑物外立面</w:t>
      </w:r>
      <w:r>
        <w:rPr>
          <w:rFonts w:hint="eastAsia" w:ascii="仿宋_GB2312" w:hAnsi="仿宋_GB2312" w:eastAsia="仿宋_GB2312" w:cs="仿宋_GB2312"/>
          <w:color w:val="auto"/>
          <w:sz w:val="32"/>
          <w:szCs w:val="32"/>
          <w:highlight w:val="none"/>
          <w:lang w:bidi="ar"/>
        </w:rPr>
        <w:t>色彩及材质采用延续历史建筑的材质、色彩、构造做法等形式，不应采用中西对比的建筑风格，同时新旧建筑色彩应协调，不应过于强化对比；历史建筑周边地块的建筑立面风貌及材料应与历史街区相协调。</w:t>
      </w:r>
    </w:p>
    <w:p w14:paraId="023BD9D8">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eastAsia" w:ascii="仿宋_GB2312" w:hAnsi="仿宋_GB2312" w:eastAsia="仿宋_GB2312" w:cs="仿宋_GB2312"/>
          <w:b/>
          <w:bCs/>
          <w:color w:val="auto"/>
          <w:kern w:val="2"/>
          <w:sz w:val="32"/>
          <w:szCs w:val="32"/>
          <w:highlight w:val="none"/>
          <w:u w:val="none"/>
          <w:lang w:val="en-US" w:eastAsia="zh-CN" w:bidi="ar-SA"/>
        </w:rPr>
      </w:pPr>
      <w:bookmarkStart w:id="85" w:name="_Toc21591"/>
      <w:bookmarkStart w:id="86" w:name="_Toc3335"/>
      <w:bookmarkStart w:id="87" w:name="_Toc20996"/>
      <w:r>
        <w:rPr>
          <w:rFonts w:hint="eastAsia" w:ascii="仿宋_GB2312" w:hAnsi="仿宋_GB2312" w:eastAsia="仿宋_GB2312" w:cs="仿宋_GB2312"/>
          <w:b/>
          <w:bCs/>
          <w:color w:val="auto"/>
          <w:kern w:val="2"/>
          <w:sz w:val="32"/>
          <w:szCs w:val="32"/>
          <w:highlight w:val="none"/>
          <w:u w:val="none"/>
          <w:lang w:val="en-US" w:eastAsia="zh-CN" w:bidi="ar-SA"/>
        </w:rPr>
        <w:t>3</w:t>
      </w:r>
      <w:r>
        <w:rPr>
          <w:rFonts w:hint="default" w:ascii="仿宋_GB2312" w:hAnsi="仿宋_GB2312" w:eastAsia="仿宋_GB2312" w:cs="仿宋_GB2312"/>
          <w:b/>
          <w:bCs/>
          <w:color w:val="auto"/>
          <w:kern w:val="2"/>
          <w:sz w:val="32"/>
          <w:szCs w:val="32"/>
          <w:highlight w:val="none"/>
          <w:u w:val="none"/>
          <w:lang w:val="en-US" w:eastAsia="zh-CN" w:bidi="ar-SA"/>
        </w:rPr>
        <w:t>.4建筑工地</w:t>
      </w:r>
      <w:bookmarkEnd w:id="85"/>
      <w:bookmarkEnd w:id="86"/>
      <w:bookmarkEnd w:id="87"/>
    </w:p>
    <w:p w14:paraId="02044362">
      <w:pPr>
        <w:keepNext w:val="0"/>
        <w:keepLines w:val="0"/>
        <w:pageBreakBefore w:val="0"/>
        <w:widowControl w:val="0"/>
        <w:kinsoku/>
        <w:wordWrap/>
        <w:overflowPunct/>
        <w:topLinePunct w:val="0"/>
        <w:bidi w:val="0"/>
        <w:spacing w:line="600" w:lineRule="exact"/>
        <w:ind w:firstLine="0" w:firstLineChars="0"/>
        <w:textAlignment w:val="auto"/>
        <w:outlineLvl w:val="9"/>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3.4.1</w:t>
      </w:r>
      <w:r>
        <w:rPr>
          <w:rFonts w:hint="eastAsia" w:ascii="仿宋_GB2312" w:hAnsi="仿宋_GB2312" w:eastAsia="仿宋_GB2312" w:cs="仿宋_GB2312"/>
          <w:b w:val="0"/>
          <w:bCs w:val="0"/>
          <w:color w:val="auto"/>
          <w:kern w:val="2"/>
          <w:sz w:val="32"/>
          <w:szCs w:val="32"/>
          <w:highlight w:val="none"/>
          <w:u w:val="none"/>
          <w:lang w:val="en-US" w:eastAsia="zh-CN" w:bidi="ar-SA"/>
        </w:rPr>
        <w:t>建筑工地应设置封闭围挡，做到应坚固、稳定、整洁、美观，宜采用钢围挡、装配式围挡、砖砌围墙等硬质材料，禁止使用彩条布、竹笆等临时性材料。</w:t>
      </w:r>
    </w:p>
    <w:p w14:paraId="55CE703E">
      <w:pPr>
        <w:keepNext w:val="0"/>
        <w:keepLines w:val="0"/>
        <w:pageBreakBefore w:val="0"/>
        <w:widowControl w:val="0"/>
        <w:kinsoku/>
        <w:wordWrap/>
        <w:overflowPunct/>
        <w:topLinePunct w:val="0"/>
        <w:bidi w:val="0"/>
        <w:spacing w:line="600" w:lineRule="exact"/>
        <w:ind w:firstLine="0" w:firstLineChars="0"/>
        <w:textAlignment w:val="auto"/>
        <w:outlineLvl w:val="9"/>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3.4.2</w:t>
      </w:r>
      <w:r>
        <w:rPr>
          <w:rFonts w:hint="eastAsia" w:ascii="仿宋_GB2312" w:hAnsi="仿宋_GB2312" w:eastAsia="仿宋_GB2312" w:cs="仿宋_GB2312"/>
          <w:b w:val="0"/>
          <w:bCs w:val="0"/>
          <w:color w:val="auto"/>
          <w:kern w:val="2"/>
          <w:sz w:val="32"/>
          <w:szCs w:val="32"/>
          <w:highlight w:val="none"/>
          <w:u w:val="none"/>
          <w:lang w:val="en-US" w:eastAsia="zh-CN" w:bidi="ar-SA"/>
        </w:rPr>
        <w:t>施工现场实行封闭管理，进出口应设置大门，建立门卫职守管理制度，并配备门卫值守人员。出入口应标有企业名称或标识，设置车辆冲洗设施。</w:t>
      </w:r>
    </w:p>
    <w:p w14:paraId="52113112">
      <w:pPr>
        <w:keepNext w:val="0"/>
        <w:keepLines w:val="0"/>
        <w:pageBreakBefore w:val="0"/>
        <w:widowControl w:val="0"/>
        <w:kinsoku/>
        <w:wordWrap/>
        <w:overflowPunct/>
        <w:topLinePunct w:val="0"/>
        <w:bidi w:val="0"/>
        <w:spacing w:line="600" w:lineRule="exact"/>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3.4.3</w:t>
      </w:r>
      <w:r>
        <w:rPr>
          <w:rFonts w:hint="eastAsia" w:ascii="仿宋_GB2312" w:hAnsi="仿宋_GB2312" w:eastAsia="仿宋_GB2312" w:cs="仿宋_GB2312"/>
          <w:b w:val="0"/>
          <w:bCs w:val="0"/>
          <w:color w:val="auto"/>
          <w:kern w:val="2"/>
          <w:sz w:val="32"/>
          <w:szCs w:val="32"/>
          <w:highlight w:val="none"/>
          <w:u w:val="none"/>
          <w:lang w:val="en-US" w:eastAsia="zh-CN" w:bidi="ar-SA"/>
        </w:rPr>
        <w:t>施工现场出入口区域的主要道路应进行硬化处理，采取扬尘措施。应设置排水设施，确保排水通畅，采取防止泥浆、污水、废水污染环境的措施。</w:t>
      </w:r>
    </w:p>
    <w:p w14:paraId="2AD97757">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outlineLvl w:val="9"/>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3.4.4</w:t>
      </w:r>
      <w:r>
        <w:rPr>
          <w:rFonts w:hint="eastAsia" w:ascii="仿宋_GB2312" w:hAnsi="仿宋_GB2312" w:eastAsia="仿宋_GB2312" w:cs="仿宋_GB2312"/>
          <w:b w:val="0"/>
          <w:bCs w:val="0"/>
          <w:color w:val="auto"/>
          <w:kern w:val="2"/>
          <w:sz w:val="32"/>
          <w:szCs w:val="32"/>
          <w:highlight w:val="none"/>
          <w:u w:val="none"/>
          <w:lang w:val="en-US" w:eastAsia="zh-CN" w:bidi="ar-SA"/>
        </w:rPr>
        <w:t>施工现场建筑材料、构件应分类堆放整齐，砂石、水泥等易产生扬尘的建筑材料应覆盖防尘网。建筑物内施工垃圾的清运，应采用器具或管道运输，严禁随意抛掷。</w:t>
      </w:r>
    </w:p>
    <w:p w14:paraId="79A295FA">
      <w:pPr>
        <w:rPr>
          <w:rFonts w:hint="eastAsia" w:ascii="黑体" w:hAnsi="黑体" w:eastAsia="黑体" w:cs="黑体"/>
          <w:b w:val="0"/>
          <w:bCs/>
          <w:color w:val="auto"/>
          <w:kern w:val="44"/>
          <w:sz w:val="36"/>
          <w:szCs w:val="36"/>
          <w:highlight w:val="none"/>
          <w:u w:val="none"/>
          <w:lang w:val="en-US" w:eastAsia="zh-CN" w:bidi="ar-SA"/>
        </w:rPr>
      </w:pPr>
      <w:r>
        <w:rPr>
          <w:rFonts w:hint="eastAsia" w:ascii="黑体" w:hAnsi="黑体" w:eastAsia="黑体" w:cs="黑体"/>
          <w:b w:val="0"/>
          <w:bCs/>
          <w:color w:val="auto"/>
          <w:kern w:val="44"/>
          <w:sz w:val="36"/>
          <w:szCs w:val="36"/>
          <w:highlight w:val="none"/>
          <w:u w:val="none"/>
          <w:lang w:val="en-US" w:eastAsia="zh-CN" w:bidi="ar-SA"/>
        </w:rPr>
        <w:br w:type="page"/>
      </w:r>
    </w:p>
    <w:p w14:paraId="0B9B5963">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0"/>
        <w:rPr>
          <w:rFonts w:hint="default" w:ascii="黑体" w:hAnsi="黑体" w:eastAsia="黑体" w:cs="黑体"/>
          <w:b w:val="0"/>
          <w:bCs/>
          <w:color w:val="auto"/>
          <w:kern w:val="44"/>
          <w:sz w:val="36"/>
          <w:szCs w:val="36"/>
          <w:highlight w:val="none"/>
          <w:u w:val="none"/>
          <w:lang w:val="en-US" w:eastAsia="zh-CN" w:bidi="ar-SA"/>
        </w:rPr>
      </w:pPr>
      <w:bookmarkStart w:id="88" w:name="_Toc23583"/>
      <w:bookmarkStart w:id="89" w:name="_Toc23750"/>
      <w:bookmarkStart w:id="90" w:name="_Toc13603"/>
      <w:r>
        <w:rPr>
          <w:rFonts w:hint="eastAsia" w:ascii="黑体" w:hAnsi="黑体" w:eastAsia="黑体" w:cs="黑体"/>
          <w:b w:val="0"/>
          <w:bCs/>
          <w:color w:val="auto"/>
          <w:kern w:val="44"/>
          <w:sz w:val="36"/>
          <w:szCs w:val="36"/>
          <w:highlight w:val="none"/>
          <w:u w:val="none"/>
          <w:lang w:val="en-US" w:eastAsia="zh-CN" w:bidi="ar-SA"/>
        </w:rPr>
        <w:t>4</w:t>
      </w:r>
      <w:r>
        <w:rPr>
          <w:rFonts w:hint="default" w:ascii="黑体" w:hAnsi="黑体" w:eastAsia="黑体" w:cs="黑体"/>
          <w:b w:val="0"/>
          <w:bCs/>
          <w:color w:val="auto"/>
          <w:kern w:val="44"/>
          <w:sz w:val="36"/>
          <w:szCs w:val="36"/>
          <w:highlight w:val="none"/>
          <w:u w:val="none"/>
          <w:lang w:val="en-US" w:eastAsia="zh-CN" w:bidi="ar-SA"/>
        </w:rPr>
        <w:t>广告设施与标识</w:t>
      </w:r>
      <w:bookmarkEnd w:id="88"/>
      <w:bookmarkEnd w:id="89"/>
      <w:bookmarkEnd w:id="90"/>
    </w:p>
    <w:p w14:paraId="01BC37A8">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default" w:ascii="仿宋_GB2312" w:hAnsi="仿宋_GB2312" w:eastAsia="仿宋_GB2312" w:cs="仿宋_GB2312"/>
          <w:b/>
          <w:bCs/>
          <w:color w:val="auto"/>
          <w:kern w:val="2"/>
          <w:sz w:val="32"/>
          <w:szCs w:val="32"/>
          <w:highlight w:val="none"/>
          <w:u w:val="none"/>
          <w:lang w:val="en-US" w:eastAsia="zh-CN" w:bidi="ar-SA"/>
        </w:rPr>
      </w:pPr>
      <w:bookmarkStart w:id="91" w:name="_Toc8404"/>
      <w:bookmarkStart w:id="92" w:name="_Toc1121"/>
      <w:bookmarkStart w:id="93" w:name="_Toc8409"/>
      <w:r>
        <w:rPr>
          <w:rFonts w:hint="eastAsia" w:ascii="仿宋_GB2312" w:hAnsi="仿宋_GB2312" w:eastAsia="仿宋_GB2312" w:cs="仿宋_GB2312"/>
          <w:b/>
          <w:bCs/>
          <w:color w:val="auto"/>
          <w:kern w:val="2"/>
          <w:sz w:val="32"/>
          <w:szCs w:val="32"/>
          <w:highlight w:val="none"/>
          <w:u w:val="none"/>
          <w:lang w:val="en-US" w:eastAsia="zh-CN" w:bidi="ar-SA"/>
        </w:rPr>
        <w:t>4.1户外广告和招牌</w:t>
      </w:r>
      <w:bookmarkEnd w:id="91"/>
      <w:bookmarkEnd w:id="92"/>
      <w:bookmarkEnd w:id="93"/>
    </w:p>
    <w:p w14:paraId="7A55C64A">
      <w:pPr>
        <w:keepNext w:val="0"/>
        <w:keepLines w:val="0"/>
        <w:pageBreakBefore w:val="0"/>
        <w:widowControl/>
        <w:suppressLineNumbers w:val="0"/>
        <w:kinsoku/>
        <w:wordWrap/>
        <w:overflowPunct/>
        <w:topLinePunct w:val="0"/>
        <w:bidi w:val="0"/>
        <w:spacing w:line="560" w:lineRule="exact"/>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2"/>
          <w:sz w:val="32"/>
          <w:szCs w:val="32"/>
          <w:highlight w:val="none"/>
          <w:u w:val="none"/>
          <w:lang w:val="en-US" w:eastAsia="zh-CN" w:bidi="ar-SA"/>
        </w:rPr>
        <w:t>4.1</w:t>
      </w:r>
      <w:r>
        <w:rPr>
          <w:rFonts w:hint="eastAsia" w:ascii="仿宋_GB2312" w:hAnsi="仿宋_GB2312" w:eastAsia="仿宋_GB2312" w:cs="仿宋_GB2312"/>
          <w:b/>
          <w:bCs/>
          <w:color w:val="auto"/>
          <w:kern w:val="0"/>
          <w:sz w:val="32"/>
          <w:szCs w:val="32"/>
          <w:highlight w:val="none"/>
          <w:u w:val="none"/>
          <w:lang w:val="en-US" w:eastAsia="zh-CN" w:bidi="ar"/>
        </w:rPr>
        <w:t>.1</w:t>
      </w:r>
      <w:r>
        <w:rPr>
          <w:rFonts w:hint="eastAsia" w:ascii="仿宋_GB2312" w:hAnsi="仿宋_GB2312" w:eastAsia="仿宋_GB2312" w:cs="仿宋_GB2312"/>
          <w:color w:val="auto"/>
          <w:kern w:val="0"/>
          <w:sz w:val="32"/>
          <w:szCs w:val="32"/>
          <w:highlight w:val="none"/>
          <w:u w:val="none"/>
          <w:lang w:val="en-US" w:eastAsia="zh-CN" w:bidi="ar"/>
        </w:rPr>
        <w:t>户外广告和招牌设施使用的文字、商标、图案应准确规范。</w:t>
      </w:r>
    </w:p>
    <w:p w14:paraId="5EC209D3">
      <w:pPr>
        <w:keepNext w:val="0"/>
        <w:keepLines w:val="0"/>
        <w:pageBreakBefore w:val="0"/>
        <w:widowControl/>
        <w:suppressLineNumbers w:val="0"/>
        <w:kinsoku/>
        <w:wordWrap/>
        <w:overflowPunct/>
        <w:topLinePunct w:val="0"/>
        <w:bidi w:val="0"/>
        <w:spacing w:line="560" w:lineRule="exact"/>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sz w:val="32"/>
          <w:szCs w:val="32"/>
          <w:highlight w:val="none"/>
          <w:u w:val="none"/>
          <w:lang w:val="en-US" w:eastAsia="zh-CN"/>
        </w:rPr>
        <w:t>4.1.2</w:t>
      </w:r>
      <w:r>
        <w:rPr>
          <w:rFonts w:hint="eastAsia" w:ascii="仿宋_GB2312" w:hAnsi="仿宋_GB2312" w:eastAsia="仿宋_GB2312" w:cs="仿宋_GB2312"/>
          <w:color w:val="auto"/>
          <w:sz w:val="32"/>
          <w:szCs w:val="32"/>
          <w:highlight w:val="none"/>
          <w:u w:val="none"/>
          <w:lang w:val="en-US" w:eastAsia="zh-CN"/>
        </w:rPr>
        <w:t>户外</w:t>
      </w:r>
      <w:r>
        <w:rPr>
          <w:rFonts w:hint="eastAsia" w:ascii="仿宋_GB2312" w:hAnsi="仿宋_GB2312" w:eastAsia="仿宋_GB2312" w:cs="仿宋_GB2312"/>
          <w:color w:val="auto"/>
          <w:kern w:val="0"/>
          <w:sz w:val="32"/>
          <w:szCs w:val="32"/>
          <w:highlight w:val="none"/>
          <w:u w:val="none"/>
          <w:lang w:val="en-US" w:eastAsia="zh-CN" w:bidi="ar"/>
        </w:rPr>
        <w:t>广告和招牌设施的设置不得影响被依附载体的使用功能，不得侵占道路建筑限界，不得影响建筑物安全，不得影响消防逃生通道。</w:t>
      </w:r>
    </w:p>
    <w:p w14:paraId="75A723DE">
      <w:pPr>
        <w:keepNext w:val="0"/>
        <w:keepLines w:val="0"/>
        <w:pageBreakBefore w:val="0"/>
        <w:widowControl/>
        <w:suppressLineNumbers w:val="0"/>
        <w:kinsoku/>
        <w:wordWrap/>
        <w:overflowPunct/>
        <w:topLinePunct w:val="0"/>
        <w:bidi w:val="0"/>
        <w:spacing w:line="560" w:lineRule="exact"/>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4.1.3</w:t>
      </w:r>
      <w:r>
        <w:rPr>
          <w:rFonts w:hint="eastAsia" w:ascii="仿宋_GB2312" w:hAnsi="仿宋_GB2312" w:eastAsia="仿宋_GB2312" w:cs="仿宋_GB2312"/>
          <w:color w:val="auto"/>
          <w:kern w:val="0"/>
          <w:sz w:val="32"/>
          <w:szCs w:val="32"/>
          <w:highlight w:val="none"/>
          <w:u w:val="none"/>
          <w:lang w:val="en-US" w:eastAsia="zh-CN" w:bidi="ar"/>
        </w:rPr>
        <w:t>大型户外广告设施的单位（个人）在设置期内应加强对广告设施的维护保养工作，每年进行安全检测；未经检测合格的广告设施，不得继续使用；对设置期内的广告设施的结构进行变动后，设置者应重新进行安全检测；设置者应及时拆除不合格的户外广告设施。</w:t>
      </w:r>
    </w:p>
    <w:p w14:paraId="24A3AFBE">
      <w:pPr>
        <w:keepNext w:val="0"/>
        <w:keepLines w:val="0"/>
        <w:pageBreakBefore w:val="0"/>
        <w:widowControl/>
        <w:suppressLineNumbers w:val="0"/>
        <w:kinsoku/>
        <w:wordWrap/>
        <w:overflowPunct/>
        <w:topLinePunct w:val="0"/>
        <w:bidi w:val="0"/>
        <w:spacing w:line="560" w:lineRule="exact"/>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4.1.4</w:t>
      </w:r>
      <w:r>
        <w:rPr>
          <w:rFonts w:hint="eastAsia" w:ascii="仿宋_GB2312" w:hAnsi="仿宋_GB2312" w:eastAsia="仿宋_GB2312" w:cs="仿宋_GB2312"/>
          <w:color w:val="auto"/>
          <w:kern w:val="0"/>
          <w:sz w:val="32"/>
          <w:szCs w:val="32"/>
          <w:highlight w:val="none"/>
          <w:u w:val="none"/>
          <w:lang w:val="en-US" w:eastAsia="zh-CN" w:bidi="ar"/>
        </w:rPr>
        <w:t>公共汽（电）车、地铁车辆、出租汽车等公共交通工具上的车载广告，应当简洁明快，色彩与车辆底色相协调，保持完好、整洁。</w:t>
      </w:r>
      <w:r>
        <w:rPr>
          <w:rFonts w:hint="default" w:ascii="仿宋_GB2312" w:hAnsi="仿宋_GB2312" w:eastAsia="仿宋_GB2312" w:cs="仿宋_GB2312"/>
          <w:color w:val="auto"/>
          <w:kern w:val="0"/>
          <w:sz w:val="32"/>
          <w:szCs w:val="32"/>
          <w:highlight w:val="none"/>
          <w:u w:val="none"/>
          <w:lang w:val="en-US" w:eastAsia="zh-CN" w:bidi="ar"/>
        </w:rPr>
        <w:t>设置的车身广告不得使用布幅形式。</w:t>
      </w:r>
      <w:r>
        <w:rPr>
          <w:rFonts w:hint="eastAsia" w:ascii="仿宋_GB2312" w:hAnsi="仿宋_GB2312" w:eastAsia="仿宋_GB2312" w:cs="仿宋_GB2312"/>
          <w:color w:val="auto"/>
          <w:kern w:val="0"/>
          <w:sz w:val="32"/>
          <w:szCs w:val="32"/>
          <w:highlight w:val="none"/>
          <w:u w:val="none"/>
          <w:lang w:val="en-US" w:eastAsia="zh-CN" w:bidi="ar"/>
        </w:rPr>
        <w:t>广告制作不得使用反光等影响交通视线的材料，不得影响识别和乘坐。</w:t>
      </w:r>
    </w:p>
    <w:p w14:paraId="3CC907F1">
      <w:pPr>
        <w:pStyle w:val="22"/>
        <w:keepNext w:val="0"/>
        <w:keepLines w:val="0"/>
        <w:pageBreakBefore w:val="0"/>
        <w:kinsoku/>
        <w:wordWrap/>
        <w:overflowPunct/>
        <w:topLinePunct w:val="0"/>
        <w:bidi w:val="0"/>
        <w:spacing w:before="0" w:after="0" w:line="560" w:lineRule="exact"/>
        <w:ind w:left="0" w:leftChars="0" w:firstLine="0" w:firstLineChars="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b/>
          <w:bCs/>
          <w:color w:val="auto"/>
          <w:sz w:val="32"/>
          <w:szCs w:val="32"/>
          <w:highlight w:val="none"/>
          <w:u w:val="none"/>
          <w:lang w:val="en-US" w:eastAsia="zh-CN"/>
        </w:rPr>
        <w:t>4.1.5</w:t>
      </w:r>
      <w:r>
        <w:rPr>
          <w:rFonts w:hint="eastAsia" w:ascii="仿宋_GB2312" w:hAnsi="仿宋_GB2312" w:eastAsia="仿宋_GB2312" w:cs="仿宋_GB2312"/>
          <w:color w:val="auto"/>
          <w:sz w:val="32"/>
          <w:szCs w:val="32"/>
          <w:highlight w:val="none"/>
          <w:u w:val="none"/>
        </w:rPr>
        <w:t>禁止设置跨街横幅、建（构）筑物外墙条幅、机动车与非机动车隔离栏条幅等布幅。经批准设置的各类布幅宣传品的语言用字应当规范、工整，无错别字，字体无残缺，并应按照批准的时间、地点设置，按时撤除。在国家法定节日或者为大型活动张挂、张贴庆祝标语的，节日过后或者活动结束后应当及时撤除。</w:t>
      </w:r>
    </w:p>
    <w:p w14:paraId="7D681E87">
      <w:pPr>
        <w:pStyle w:val="22"/>
        <w:keepNext w:val="0"/>
        <w:keepLines w:val="0"/>
        <w:pageBreakBefore w:val="0"/>
        <w:kinsoku/>
        <w:wordWrap/>
        <w:overflowPunct/>
        <w:topLinePunct w:val="0"/>
        <w:bidi w:val="0"/>
        <w:spacing w:line="520" w:lineRule="exact"/>
        <w:ind w:left="0" w:leftChars="0" w:firstLine="0" w:firstLineChars="0"/>
        <w:textAlignment w:val="auto"/>
        <w:rPr>
          <w:rFonts w:hint="eastAsia" w:ascii="仿宋_GB2312" w:hAnsi="仿宋_GB2312" w:eastAsia="仿宋_GB2312" w:cs="仿宋_GB2312"/>
          <w:color w:val="auto"/>
          <w:sz w:val="32"/>
          <w:szCs w:val="32"/>
          <w:highlight w:val="none"/>
          <w:u w:val="none"/>
          <w:lang w:val="en-US"/>
        </w:rPr>
      </w:pPr>
      <w:r>
        <w:rPr>
          <w:rFonts w:hint="eastAsia" w:ascii="仿宋_GB2312" w:hAnsi="仿宋_GB2312" w:eastAsia="仿宋_GB2312" w:cs="仿宋_GB2312"/>
          <w:b/>
          <w:bCs/>
          <w:color w:val="auto"/>
          <w:kern w:val="0"/>
          <w:sz w:val="32"/>
          <w:szCs w:val="32"/>
          <w:highlight w:val="none"/>
          <w:u w:val="none"/>
          <w:lang w:val="en-US" w:eastAsia="zh-CN" w:bidi="ar"/>
        </w:rPr>
        <w:t>4.1.6</w:t>
      </w:r>
      <w:r>
        <w:rPr>
          <w:rFonts w:hint="eastAsia" w:ascii="仿宋_GB2312" w:hAnsi="仿宋_GB2312" w:eastAsia="仿宋_GB2312" w:cs="仿宋_GB2312"/>
          <w:color w:val="auto"/>
          <w:sz w:val="32"/>
          <w:szCs w:val="32"/>
          <w:highlight w:val="none"/>
          <w:u w:val="none"/>
        </w:rPr>
        <w:t>户外招牌设置原则实行一店、一单位</w:t>
      </w:r>
      <w:r>
        <w:rPr>
          <w:rFonts w:hint="eastAsia" w:ascii="仿宋_GB2312" w:hAnsi="仿宋_GB2312" w:eastAsia="仿宋_GB2312" w:cs="仿宋_GB2312"/>
          <w:color w:val="auto"/>
          <w:sz w:val="32"/>
          <w:szCs w:val="32"/>
          <w:highlight w:val="none"/>
          <w:u w:val="none"/>
          <w:lang w:val="en-US" w:eastAsia="zh-CN"/>
        </w:rPr>
        <w:t>一招牌</w:t>
      </w:r>
      <w:r>
        <w:rPr>
          <w:rFonts w:hint="eastAsia" w:ascii="仿宋_GB2312" w:hAnsi="仿宋_GB2312" w:eastAsia="仿宋_GB2312" w:cs="仿宋_GB2312"/>
          <w:color w:val="auto"/>
          <w:sz w:val="32"/>
          <w:szCs w:val="32"/>
          <w:highlight w:val="none"/>
          <w:u w:val="none"/>
        </w:rPr>
        <w:t>。户外招牌仅限设置人在其经营地、办公地或住所地合理位置设置，设置内容仅限于市场监管部门登记、核准的单位名称、建（构）筑物名称、字号、商号、标识或简称。</w:t>
      </w:r>
    </w:p>
    <w:p w14:paraId="2958EA34">
      <w:pPr>
        <w:pStyle w:val="10"/>
        <w:keepNext w:val="0"/>
        <w:keepLines w:val="0"/>
        <w:pageBreakBefore w:val="0"/>
        <w:kinsoku/>
        <w:wordWrap/>
        <w:overflowPunct/>
        <w:topLinePunct w:val="0"/>
        <w:bidi w:val="0"/>
        <w:spacing w:line="520" w:lineRule="exact"/>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b/>
          <w:bCs/>
          <w:color w:val="auto"/>
          <w:kern w:val="2"/>
          <w:sz w:val="32"/>
          <w:szCs w:val="32"/>
          <w:highlight w:val="none"/>
          <w:u w:val="none"/>
          <w:lang w:val="en-US" w:eastAsia="zh-CN" w:bidi="ar-SA"/>
        </w:rPr>
        <w:t>4.1.7</w:t>
      </w:r>
      <w:r>
        <w:rPr>
          <w:rFonts w:hint="eastAsia" w:ascii="仿宋_GB2312" w:hAnsi="仿宋_GB2312" w:eastAsia="仿宋_GB2312" w:cs="仿宋_GB2312"/>
          <w:color w:val="auto"/>
          <w:sz w:val="32"/>
          <w:szCs w:val="32"/>
          <w:highlight w:val="none"/>
          <w:u w:val="none"/>
        </w:rPr>
        <w:t>禁止设置户外招牌的情形包括：</w:t>
      </w:r>
    </w:p>
    <w:p w14:paraId="0DE973BB">
      <w:pPr>
        <w:pStyle w:val="10"/>
        <w:keepNext w:val="0"/>
        <w:keepLines w:val="0"/>
        <w:pageBreakBefore w:val="0"/>
        <w:numPr>
          <w:ilvl w:val="0"/>
          <w:numId w:val="1"/>
        </w:numPr>
        <w:kinsoku/>
        <w:wordWrap/>
        <w:overflowPunct/>
        <w:topLinePunct w:val="0"/>
        <w:bidi w:val="0"/>
        <w:spacing w:line="520" w:lineRule="exact"/>
        <w:ind w:left="1055" w:leftChars="0" w:hanging="425" w:firstLineChars="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ab/>
      </w:r>
      <w:r>
        <w:rPr>
          <w:rFonts w:hint="eastAsia" w:ascii="仿宋_GB2312" w:hAnsi="仿宋_GB2312" w:eastAsia="仿宋_GB2312" w:cs="仿宋_GB2312"/>
          <w:color w:val="auto"/>
          <w:sz w:val="32"/>
          <w:szCs w:val="32"/>
          <w:highlight w:val="none"/>
          <w:u w:val="none"/>
        </w:rPr>
        <w:t>超出本单位自有/租赁建（构）筑物、场地及土地使用权限范围设置的；</w:t>
      </w:r>
    </w:p>
    <w:p w14:paraId="71BB7607">
      <w:pPr>
        <w:pStyle w:val="10"/>
        <w:keepNext w:val="0"/>
        <w:keepLines w:val="0"/>
        <w:pageBreakBefore w:val="0"/>
        <w:numPr>
          <w:ilvl w:val="0"/>
          <w:numId w:val="1"/>
        </w:numPr>
        <w:kinsoku/>
        <w:wordWrap/>
        <w:overflowPunct/>
        <w:topLinePunct w:val="0"/>
        <w:bidi w:val="0"/>
        <w:spacing w:line="520" w:lineRule="exact"/>
        <w:ind w:left="1055" w:leftChars="0" w:hanging="425" w:firstLineChars="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ab/>
      </w:r>
      <w:r>
        <w:rPr>
          <w:rFonts w:hint="eastAsia" w:ascii="仿宋_GB2312" w:hAnsi="仿宋_GB2312" w:eastAsia="仿宋_GB2312" w:cs="仿宋_GB2312"/>
          <w:color w:val="auto"/>
          <w:sz w:val="32"/>
          <w:szCs w:val="32"/>
          <w:highlight w:val="none"/>
          <w:u w:val="none"/>
          <w:lang w:val="en-US" w:eastAsia="zh-CN"/>
        </w:rPr>
        <w:t>利用危房、违法“住改商”、违法建筑、建（构）筑物顶部（原则含裙房顶部）或可能危及建（构）筑物安全处设置的；</w:t>
      </w:r>
    </w:p>
    <w:p w14:paraId="5FB7848C">
      <w:pPr>
        <w:pStyle w:val="10"/>
        <w:keepNext w:val="0"/>
        <w:keepLines w:val="0"/>
        <w:pageBreakBefore w:val="0"/>
        <w:numPr>
          <w:ilvl w:val="0"/>
          <w:numId w:val="1"/>
        </w:numPr>
        <w:kinsoku/>
        <w:wordWrap/>
        <w:overflowPunct/>
        <w:topLinePunct w:val="0"/>
        <w:bidi w:val="0"/>
        <w:spacing w:line="520" w:lineRule="exact"/>
        <w:ind w:left="1055" w:leftChars="0" w:hanging="425" w:firstLineChars="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占用道路交通安全设施、交通标志，遮挡交通信号灯、安全视距，或影响市政公用设施、消防设施及标志正常使用的；</w:t>
      </w:r>
    </w:p>
    <w:p w14:paraId="23AC0344">
      <w:pPr>
        <w:pStyle w:val="10"/>
        <w:keepNext w:val="0"/>
        <w:keepLines w:val="0"/>
        <w:pageBreakBefore w:val="0"/>
        <w:numPr>
          <w:ilvl w:val="0"/>
          <w:numId w:val="1"/>
        </w:numPr>
        <w:kinsoku/>
        <w:wordWrap/>
        <w:overflowPunct/>
        <w:topLinePunct w:val="0"/>
        <w:bidi w:val="0"/>
        <w:spacing w:line="520" w:lineRule="exact"/>
        <w:ind w:left="1055" w:leftChars="0" w:hanging="425" w:firstLineChars="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占用消防扑救面、阻碍火灾扑救救援，或超出建筑外轮廓、遮挡窗户影响通风采光及逃生的；</w:t>
      </w:r>
    </w:p>
    <w:p w14:paraId="685450D3">
      <w:pPr>
        <w:pStyle w:val="10"/>
        <w:keepNext w:val="0"/>
        <w:keepLines w:val="0"/>
        <w:pageBreakBefore w:val="0"/>
        <w:numPr>
          <w:ilvl w:val="0"/>
          <w:numId w:val="1"/>
        </w:numPr>
        <w:kinsoku/>
        <w:wordWrap/>
        <w:overflowPunct/>
        <w:topLinePunct w:val="0"/>
        <w:bidi w:val="0"/>
        <w:spacing w:line="520" w:lineRule="exact"/>
        <w:ind w:left="1055" w:leftChars="0" w:hanging="425" w:firstLineChars="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设置跨街式、临街户外公共空间可移动式招牌，或在大量车流人流公共建筑出入口周边5米内设置独立式招牌的；</w:t>
      </w:r>
    </w:p>
    <w:p w14:paraId="75B508D3">
      <w:pPr>
        <w:pStyle w:val="10"/>
        <w:keepNext w:val="0"/>
        <w:keepLines w:val="0"/>
        <w:pageBreakBefore w:val="0"/>
        <w:numPr>
          <w:ilvl w:val="0"/>
          <w:numId w:val="1"/>
        </w:numPr>
        <w:kinsoku/>
        <w:wordWrap/>
        <w:overflowPunct/>
        <w:topLinePunct w:val="0"/>
        <w:bidi w:val="0"/>
        <w:spacing w:line="520" w:lineRule="exact"/>
        <w:ind w:left="1055" w:leftChars="0" w:hanging="425" w:firstLineChars="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使用动态视频（电子显示屏、走字屏）、音频形式，或利用室外楼梯扶手、台阶，及无内部结构固定的玻璃幕墙（含内透）、玻璃门（窗）设置的；</w:t>
      </w:r>
    </w:p>
    <w:p w14:paraId="200D7D8D">
      <w:pPr>
        <w:pStyle w:val="10"/>
        <w:keepNext w:val="0"/>
        <w:keepLines w:val="0"/>
        <w:pageBreakBefore w:val="0"/>
        <w:numPr>
          <w:ilvl w:val="0"/>
          <w:numId w:val="1"/>
        </w:numPr>
        <w:kinsoku/>
        <w:wordWrap/>
        <w:overflowPunct/>
        <w:topLinePunct w:val="0"/>
        <w:bidi w:val="0"/>
        <w:spacing w:line="520" w:lineRule="exact"/>
        <w:ind w:left="1055" w:leftChars="0" w:hanging="425" w:firstLineChars="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利用城市道路、公共绿地等公共空间，或高压电力架、路灯灯杆等专用设施，以及利用、破坏树木植物设置的；</w:t>
      </w:r>
    </w:p>
    <w:p w14:paraId="51E0CCB0">
      <w:pPr>
        <w:pStyle w:val="10"/>
        <w:keepNext w:val="0"/>
        <w:keepLines w:val="0"/>
        <w:pageBreakBefore w:val="0"/>
        <w:numPr>
          <w:ilvl w:val="0"/>
          <w:numId w:val="1"/>
        </w:numPr>
        <w:kinsoku/>
        <w:wordWrap/>
        <w:overflowPunct/>
        <w:topLinePunct w:val="0"/>
        <w:bidi w:val="0"/>
        <w:spacing w:line="520" w:lineRule="exact"/>
        <w:ind w:left="1055" w:leftChars="0" w:hanging="425" w:firstLineChars="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超出建筑檐口或女儿墙上沿设置的；</w:t>
      </w:r>
    </w:p>
    <w:p w14:paraId="722153A0">
      <w:pPr>
        <w:pStyle w:val="10"/>
        <w:keepNext w:val="0"/>
        <w:keepLines w:val="0"/>
        <w:pageBreakBefore w:val="0"/>
        <w:numPr>
          <w:ilvl w:val="0"/>
          <w:numId w:val="1"/>
        </w:numPr>
        <w:kinsoku/>
        <w:wordWrap/>
        <w:overflowPunct/>
        <w:topLinePunct w:val="0"/>
        <w:bidi w:val="0"/>
        <w:spacing w:line="520" w:lineRule="exact"/>
        <w:ind w:left="1055" w:leftChars="0" w:hanging="425" w:firstLineChars="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rPr>
        <w:t>法律、法规、规章及行业标准、技术规范规定的其他禁止情形。</w:t>
      </w:r>
    </w:p>
    <w:p w14:paraId="6872C00D">
      <w:pPr>
        <w:pStyle w:val="10"/>
        <w:keepNext w:val="0"/>
        <w:keepLines w:val="0"/>
        <w:pageBreakBefore w:val="0"/>
        <w:kinsoku/>
        <w:wordWrap/>
        <w:overflowPunct/>
        <w:topLinePunct w:val="0"/>
        <w:bidi w:val="0"/>
        <w:spacing w:line="520" w:lineRule="exact"/>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b/>
          <w:bCs/>
          <w:color w:val="auto"/>
          <w:sz w:val="32"/>
          <w:szCs w:val="32"/>
          <w:highlight w:val="none"/>
          <w:u w:val="none"/>
          <w:lang w:val="en-US" w:eastAsia="zh-CN"/>
        </w:rPr>
        <w:t>4.1.8</w:t>
      </w:r>
      <w:r>
        <w:rPr>
          <w:rFonts w:hint="eastAsia" w:ascii="仿宋_GB2312" w:hAnsi="仿宋_GB2312" w:eastAsia="仿宋_GB2312" w:cs="仿宋_GB2312"/>
          <w:color w:val="auto"/>
          <w:sz w:val="32"/>
          <w:szCs w:val="32"/>
          <w:highlight w:val="none"/>
          <w:u w:val="none"/>
        </w:rPr>
        <w:t>国际、国内统一品牌的连锁店、专卖店、名家题字及经商务部认定的中华老字号店设置户外招牌可</w:t>
      </w:r>
      <w:r>
        <w:rPr>
          <w:rFonts w:hint="eastAsia" w:ascii="仿宋_GB2312" w:hAnsi="仿宋_GB2312" w:eastAsia="仿宋_GB2312" w:cs="仿宋_GB2312"/>
          <w:color w:val="auto"/>
          <w:sz w:val="32"/>
          <w:szCs w:val="32"/>
          <w:highlight w:val="none"/>
          <w:u w:val="none"/>
          <w:lang w:eastAsia="zh-CN"/>
        </w:rPr>
        <w:t>以</w:t>
      </w:r>
      <w:r>
        <w:rPr>
          <w:rFonts w:hint="eastAsia" w:ascii="仿宋_GB2312" w:hAnsi="仿宋_GB2312" w:eastAsia="仿宋_GB2312" w:cs="仿宋_GB2312"/>
          <w:color w:val="auto"/>
          <w:sz w:val="32"/>
          <w:szCs w:val="32"/>
          <w:highlight w:val="none"/>
          <w:u w:val="none"/>
        </w:rPr>
        <w:t>根据相关法律法规等规定及现场实际情况确定其规格和位置。中华老字号店可以设置体现历史文化的传统匾额。连锁经营的店铺可以沿用品牌统一的设计风格、色调设置户外招牌，保持与建（构）筑物外立面造型及周边景观相协调。</w:t>
      </w:r>
    </w:p>
    <w:p w14:paraId="0A473B8C">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4.1.9</w:t>
      </w:r>
      <w:r>
        <w:rPr>
          <w:rFonts w:hint="eastAsia" w:ascii="仿宋_GB2312" w:hAnsi="仿宋_GB2312" w:eastAsia="仿宋_GB2312" w:cs="仿宋_GB2312"/>
          <w:color w:val="auto"/>
          <w:sz w:val="32"/>
          <w:szCs w:val="32"/>
          <w:highlight w:val="none"/>
          <w:u w:val="none"/>
          <w:lang w:val="en-US" w:eastAsia="zh-CN"/>
        </w:rPr>
        <w:t>户外招牌的照明设计和设置不得产生光污染及影响驾驶人的正常行驶，以及干扰通信、交通等公共设施的正常使用，不得以闪烁光源影响居住建筑或城市道路的使用，避免对街道上的行人和驾驶员产生眩光。</w:t>
      </w:r>
    </w:p>
    <w:p w14:paraId="7F25DA67">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default" w:ascii="仿宋_GB2312" w:hAnsi="仿宋_GB2312" w:eastAsia="仿宋_GB2312" w:cs="仿宋_GB2312"/>
          <w:b/>
          <w:bCs/>
          <w:color w:val="auto"/>
          <w:kern w:val="2"/>
          <w:sz w:val="32"/>
          <w:szCs w:val="32"/>
          <w:highlight w:val="none"/>
          <w:u w:val="none"/>
          <w:lang w:val="en-US" w:eastAsia="zh-CN" w:bidi="ar-SA"/>
        </w:rPr>
      </w:pPr>
      <w:bookmarkStart w:id="94" w:name="_Toc8830"/>
      <w:bookmarkStart w:id="95" w:name="_Toc22047"/>
      <w:bookmarkStart w:id="96" w:name="_Toc32198"/>
      <w:r>
        <w:rPr>
          <w:rFonts w:hint="eastAsia" w:ascii="仿宋_GB2312" w:hAnsi="仿宋_GB2312" w:eastAsia="仿宋_GB2312" w:cs="仿宋_GB2312"/>
          <w:b/>
          <w:bCs/>
          <w:color w:val="auto"/>
          <w:kern w:val="2"/>
          <w:sz w:val="32"/>
          <w:szCs w:val="32"/>
          <w:highlight w:val="none"/>
          <w:u w:val="none"/>
          <w:lang w:val="en-US" w:eastAsia="zh-CN" w:bidi="ar-SA"/>
        </w:rPr>
        <w:t>4</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2</w:t>
      </w:r>
      <w:r>
        <w:rPr>
          <w:rFonts w:hint="default" w:ascii="仿宋_GB2312" w:hAnsi="仿宋_GB2312" w:eastAsia="仿宋_GB2312" w:cs="仿宋_GB2312"/>
          <w:b/>
          <w:bCs/>
          <w:color w:val="auto"/>
          <w:kern w:val="2"/>
          <w:sz w:val="32"/>
          <w:szCs w:val="32"/>
          <w:highlight w:val="none"/>
          <w:u w:val="none"/>
          <w:lang w:val="en-US" w:eastAsia="zh-CN" w:bidi="ar-SA"/>
        </w:rPr>
        <w:t>标识标志与标语</w:t>
      </w:r>
      <w:bookmarkEnd w:id="94"/>
      <w:bookmarkEnd w:id="95"/>
      <w:bookmarkEnd w:id="96"/>
    </w:p>
    <w:p w14:paraId="23693C4C">
      <w:pPr>
        <w:pStyle w:val="22"/>
        <w:keepNext w:val="0"/>
        <w:keepLines w:val="0"/>
        <w:pageBreakBefore w:val="0"/>
        <w:kinsoku/>
        <w:wordWrap/>
        <w:overflowPunct/>
        <w:topLinePunct w:val="0"/>
        <w:bidi w:val="0"/>
        <w:spacing w:before="0" w:after="0" w:line="560" w:lineRule="exact"/>
        <w:ind w:left="0" w:leftChars="0" w:firstLine="0" w:firstLineChars="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b/>
          <w:bCs/>
          <w:color w:val="auto"/>
          <w:sz w:val="32"/>
          <w:szCs w:val="32"/>
          <w:highlight w:val="none"/>
          <w:u w:val="none"/>
          <w:lang w:val="en-US" w:eastAsia="zh-CN"/>
        </w:rPr>
        <w:t>4.2.1</w:t>
      </w:r>
      <w:r>
        <w:rPr>
          <w:rFonts w:hint="eastAsia" w:ascii="仿宋_GB2312" w:hAnsi="仿宋_GB2312" w:eastAsia="仿宋_GB2312" w:cs="仿宋_GB2312"/>
          <w:color w:val="auto"/>
          <w:sz w:val="32"/>
          <w:szCs w:val="32"/>
          <w:highlight w:val="none"/>
          <w:u w:val="none"/>
        </w:rPr>
        <w:t>标志牌、</w:t>
      </w:r>
      <w:r>
        <w:rPr>
          <w:rFonts w:hint="eastAsia" w:ascii="仿宋_GB2312" w:hAnsi="仿宋_GB2312" w:eastAsia="仿宋_GB2312" w:cs="仿宋_GB2312"/>
          <w:color w:val="auto"/>
          <w:sz w:val="32"/>
          <w:szCs w:val="32"/>
          <w:highlight w:val="none"/>
          <w:lang w:eastAsia="zh-CN"/>
        </w:rPr>
        <w:t>地名标志</w:t>
      </w:r>
      <w:r>
        <w:rPr>
          <w:rFonts w:hint="eastAsia" w:ascii="仿宋_GB2312" w:hAnsi="仿宋_GB2312" w:eastAsia="仿宋_GB2312" w:cs="仿宋_GB2312"/>
          <w:color w:val="auto"/>
          <w:sz w:val="32"/>
          <w:szCs w:val="32"/>
          <w:highlight w:val="none"/>
          <w:u w:val="none"/>
        </w:rPr>
        <w:t>、门牌和交通指示牌等标志，设置地点及位置应适当，规格、色彩分类统一，形式、图案和内容与街景协调，保证文字规范、用语准确，并保持安全、整齐、醒目、完好。陈旧、被损、褪色的，应及时修复、清洗、更新。</w:t>
      </w:r>
    </w:p>
    <w:p w14:paraId="178927AB">
      <w:pPr>
        <w:pStyle w:val="22"/>
        <w:keepNext w:val="0"/>
        <w:keepLines w:val="0"/>
        <w:pageBreakBefore w:val="0"/>
        <w:widowControl w:val="0"/>
        <w:kinsoku/>
        <w:wordWrap/>
        <w:overflowPunct/>
        <w:topLinePunct w:val="0"/>
        <w:bidi w:val="0"/>
        <w:spacing w:before="0" w:after="0" w:line="560" w:lineRule="exact"/>
        <w:ind w:left="0" w:leftChars="0" w:firstLine="0" w:firstLineChars="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b/>
          <w:bCs/>
          <w:color w:val="auto"/>
          <w:sz w:val="32"/>
          <w:szCs w:val="32"/>
          <w:highlight w:val="none"/>
          <w:u w:val="none"/>
          <w:lang w:val="en-US" w:eastAsia="zh-CN"/>
        </w:rPr>
        <w:t>4.2.2</w:t>
      </w:r>
      <w:r>
        <w:rPr>
          <w:rFonts w:hint="eastAsia" w:ascii="仿宋_GB2312" w:hAnsi="仿宋_GB2312" w:eastAsia="仿宋_GB2312" w:cs="仿宋_GB2312"/>
          <w:color w:val="auto"/>
          <w:sz w:val="32"/>
          <w:szCs w:val="32"/>
          <w:highlight w:val="none"/>
          <w:u w:val="none"/>
        </w:rPr>
        <w:t>市区道路，除交通标志、</w:t>
      </w:r>
      <w:r>
        <w:rPr>
          <w:rFonts w:hint="eastAsia" w:ascii="仿宋_GB2312" w:hAnsi="仿宋_GB2312" w:eastAsia="仿宋_GB2312" w:cs="仿宋_GB2312"/>
          <w:color w:val="auto"/>
          <w:sz w:val="32"/>
          <w:szCs w:val="32"/>
          <w:highlight w:val="none"/>
          <w:lang w:eastAsia="zh-CN"/>
        </w:rPr>
        <w:t>地名标志</w:t>
      </w:r>
      <w:r>
        <w:rPr>
          <w:rFonts w:hint="eastAsia" w:ascii="仿宋_GB2312" w:hAnsi="仿宋_GB2312" w:eastAsia="仿宋_GB2312" w:cs="仿宋_GB2312"/>
          <w:color w:val="auto"/>
          <w:sz w:val="32"/>
          <w:szCs w:val="32"/>
          <w:highlight w:val="none"/>
          <w:u w:val="none"/>
        </w:rPr>
        <w:t>等用于公用管理或属于公益服务性质的标志外，不得设置其他指示标志牌。</w:t>
      </w:r>
    </w:p>
    <w:p w14:paraId="414F7F1C">
      <w:pPr>
        <w:pStyle w:val="28"/>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eastAsia" w:ascii="仿宋_GB2312" w:hAnsi="仿宋_GB2312" w:eastAsia="仿宋_GB2312" w:cs="仿宋_GB2312"/>
          <w:color w:val="auto"/>
          <w:sz w:val="32"/>
          <w:szCs w:val="32"/>
          <w:highlight w:val="none"/>
          <w:u w:val="none"/>
        </w:rPr>
        <w:sectPr>
          <w:footerReference r:id="rId4" w:type="default"/>
          <w:pgSz w:w="11906" w:h="16838"/>
          <w:pgMar w:top="2098" w:right="1474" w:bottom="1984" w:left="1587" w:header="851" w:footer="1417" w:gutter="0"/>
          <w:pgNumType w:fmt="decimal"/>
          <w:cols w:space="0" w:num="1"/>
          <w:rtlGutter w:val="0"/>
          <w:docGrid w:type="lines" w:linePitch="312" w:charSpace="0"/>
        </w:sectPr>
      </w:pPr>
      <w:r>
        <w:rPr>
          <w:rFonts w:hint="eastAsia" w:ascii="仿宋_GB2312" w:hAnsi="仿宋_GB2312" w:eastAsia="仿宋_GB2312" w:cs="仿宋_GB2312"/>
          <w:b/>
          <w:bCs/>
          <w:color w:val="auto"/>
          <w:sz w:val="32"/>
          <w:szCs w:val="32"/>
          <w:highlight w:val="none"/>
          <w:u w:val="none"/>
          <w:lang w:val="en-US" w:eastAsia="zh-CN"/>
        </w:rPr>
        <w:t>4.2.3</w:t>
      </w:r>
      <w:r>
        <w:rPr>
          <w:rFonts w:hint="eastAsia" w:ascii="仿宋_GB2312" w:hAnsi="仿宋_GB2312" w:eastAsia="仿宋_GB2312" w:cs="仿宋_GB2312"/>
          <w:color w:val="auto"/>
          <w:sz w:val="32"/>
          <w:szCs w:val="32"/>
          <w:highlight w:val="none"/>
          <w:u w:val="none"/>
        </w:rPr>
        <w:t>利用城市道路空间资源设置的各种导向牌、指路标志牌和区域地图等设施应统一设计、合理布局；</w:t>
      </w:r>
      <w:r>
        <w:rPr>
          <w:rFonts w:hint="eastAsia" w:ascii="仿宋_GB2312" w:hAnsi="仿宋_GB2312" w:eastAsia="仿宋_GB2312" w:cs="仿宋_GB2312"/>
          <w:color w:val="auto"/>
          <w:sz w:val="32"/>
          <w:szCs w:val="32"/>
          <w:highlight w:val="none"/>
          <w:lang w:eastAsia="zh-CN"/>
        </w:rPr>
        <w:t>街路巷地名标志</w:t>
      </w:r>
      <w:r>
        <w:rPr>
          <w:rFonts w:hint="eastAsia" w:ascii="仿宋_GB2312" w:hAnsi="仿宋_GB2312" w:eastAsia="仿宋_GB2312" w:cs="仿宋_GB2312"/>
          <w:color w:val="auto"/>
          <w:sz w:val="32"/>
          <w:szCs w:val="32"/>
          <w:highlight w:val="none"/>
          <w:u w:val="none"/>
        </w:rPr>
        <w:t>、楼房幢号、门牌应按相关国家标准设置，配套引用外语的应当符合</w:t>
      </w:r>
      <w:r>
        <w:rPr>
          <w:rFonts w:hint="eastAsia" w:ascii="仿宋_GB2312" w:hAnsi="仿宋_GB2312" w:eastAsia="仿宋_GB2312" w:cs="仿宋_GB2312"/>
          <w:color w:val="auto"/>
          <w:sz w:val="32"/>
          <w:szCs w:val="32"/>
          <w:highlight w:val="none"/>
          <w:u w:val="none"/>
          <w:lang w:val="en-US" w:eastAsia="zh-CN"/>
        </w:rPr>
        <w:t>地名法规统一</w:t>
      </w:r>
      <w:r>
        <w:rPr>
          <w:rFonts w:hint="eastAsia" w:ascii="仿宋_GB2312" w:hAnsi="仿宋_GB2312" w:eastAsia="仿宋_GB2312" w:cs="仿宋_GB2312"/>
          <w:color w:val="auto"/>
          <w:sz w:val="32"/>
          <w:szCs w:val="32"/>
          <w:highlight w:val="none"/>
          <w:u w:val="none"/>
        </w:rPr>
        <w:t>规范，并保持整齐、醒目和完好。</w:t>
      </w:r>
    </w:p>
    <w:p w14:paraId="533F6694">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0"/>
        <w:rPr>
          <w:rFonts w:hint="eastAsia" w:ascii="黑体" w:hAnsi="黑体" w:eastAsia="黑体" w:cs="黑体"/>
          <w:b w:val="0"/>
          <w:bCs w:val="0"/>
          <w:color w:val="auto"/>
          <w:kern w:val="2"/>
          <w:sz w:val="36"/>
          <w:szCs w:val="36"/>
          <w:highlight w:val="none"/>
          <w:u w:val="none"/>
          <w:lang w:val="en-US" w:eastAsia="zh-CN" w:bidi="ar-SA"/>
        </w:rPr>
      </w:pPr>
      <w:bookmarkStart w:id="97" w:name="_Toc8061"/>
      <w:bookmarkStart w:id="98" w:name="_Toc10574"/>
      <w:bookmarkStart w:id="99" w:name="_Toc17006"/>
      <w:r>
        <w:rPr>
          <w:rFonts w:hint="eastAsia" w:ascii="黑体" w:hAnsi="黑体" w:eastAsia="黑体" w:cs="黑体"/>
          <w:b w:val="0"/>
          <w:bCs w:val="0"/>
          <w:color w:val="auto"/>
          <w:kern w:val="2"/>
          <w:sz w:val="36"/>
          <w:szCs w:val="36"/>
          <w:highlight w:val="none"/>
          <w:u w:val="none"/>
          <w:lang w:val="en-US" w:eastAsia="zh-CN" w:bidi="ar-SA"/>
        </w:rPr>
        <w:t>5环境卫生</w:t>
      </w:r>
      <w:bookmarkEnd w:id="97"/>
      <w:bookmarkEnd w:id="98"/>
      <w:bookmarkEnd w:id="99"/>
    </w:p>
    <w:p w14:paraId="3B48B467">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default" w:ascii="仿宋_GB2312" w:hAnsi="仿宋_GB2312" w:eastAsia="仿宋_GB2312" w:cs="仿宋_GB2312"/>
          <w:b/>
          <w:bCs/>
          <w:color w:val="auto"/>
          <w:kern w:val="2"/>
          <w:sz w:val="32"/>
          <w:szCs w:val="32"/>
          <w:highlight w:val="none"/>
          <w:u w:val="none"/>
          <w:lang w:val="en-US" w:eastAsia="zh-CN" w:bidi="ar-SA"/>
        </w:rPr>
      </w:pPr>
      <w:bookmarkStart w:id="100" w:name="_Toc14412"/>
      <w:bookmarkStart w:id="101" w:name="_Toc32448"/>
      <w:bookmarkStart w:id="102" w:name="_Toc30456"/>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1</w:t>
      </w:r>
      <w:r>
        <w:rPr>
          <w:rFonts w:hint="default" w:ascii="仿宋_GB2312" w:hAnsi="仿宋_GB2312" w:eastAsia="仿宋_GB2312" w:cs="仿宋_GB2312"/>
          <w:b/>
          <w:bCs/>
          <w:color w:val="auto"/>
          <w:kern w:val="2"/>
          <w:sz w:val="32"/>
          <w:szCs w:val="32"/>
          <w:highlight w:val="none"/>
          <w:u w:val="none"/>
          <w:lang w:val="en-US" w:eastAsia="zh-CN" w:bidi="ar-SA"/>
        </w:rPr>
        <w:t>环卫设施</w:t>
      </w:r>
      <w:bookmarkEnd w:id="100"/>
      <w:bookmarkEnd w:id="101"/>
      <w:bookmarkEnd w:id="102"/>
      <w:r>
        <w:rPr>
          <w:rFonts w:hint="default" w:ascii="仿宋_GB2312" w:hAnsi="仿宋_GB2312" w:eastAsia="仿宋_GB2312" w:cs="仿宋_GB2312"/>
          <w:b/>
          <w:bCs/>
          <w:color w:val="auto"/>
          <w:kern w:val="2"/>
          <w:sz w:val="32"/>
          <w:szCs w:val="32"/>
          <w:highlight w:val="none"/>
          <w:u w:val="none"/>
          <w:lang w:val="en-US" w:eastAsia="zh-CN" w:bidi="ar-SA"/>
        </w:rPr>
        <w:tab/>
      </w:r>
    </w:p>
    <w:p w14:paraId="66C22EB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5.1.1</w:t>
      </w:r>
      <w:r>
        <w:rPr>
          <w:rFonts w:hint="eastAsia" w:ascii="仿宋_GB2312" w:hAnsi="仿宋_GB2312" w:eastAsia="仿宋_GB2312" w:cs="仿宋_GB2312"/>
          <w:color w:val="auto"/>
          <w:kern w:val="2"/>
          <w:sz w:val="32"/>
          <w:szCs w:val="32"/>
          <w:highlight w:val="none"/>
          <w:u w:val="none"/>
          <w:lang w:val="en-US" w:eastAsia="zh-CN" w:bidi="ar-SA"/>
        </w:rPr>
        <w:t>城镇环境卫生设施布局应符合城镇总体规划及环境卫生专项规划的要求，符合城市环境卫生设施规划标准，有利于环境卫生作业。</w:t>
      </w:r>
    </w:p>
    <w:p w14:paraId="4089AA6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5.1.2</w:t>
      </w:r>
      <w:r>
        <w:rPr>
          <w:rFonts w:hint="eastAsia" w:ascii="仿宋_GB2312" w:hAnsi="仿宋_GB2312" w:eastAsia="仿宋_GB2312" w:cs="仿宋_GB2312"/>
          <w:color w:val="auto"/>
          <w:kern w:val="2"/>
          <w:sz w:val="32"/>
          <w:szCs w:val="32"/>
          <w:highlight w:val="none"/>
          <w:u w:val="none"/>
          <w:lang w:val="en-US" w:eastAsia="zh-CN" w:bidi="ar-SA"/>
        </w:rPr>
        <w:t>废物箱、垃圾桶等生活垃圾收集容器应定期维护和更新，保持外观整洁;及时清运生活垃圾收集容器内垃圾，避免垃圾外溢污染环境。</w:t>
      </w:r>
    </w:p>
    <w:p w14:paraId="3486276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5.1.3</w:t>
      </w:r>
      <w:r>
        <w:rPr>
          <w:rFonts w:hint="eastAsia" w:ascii="仿宋_GB2312" w:hAnsi="仿宋_GB2312" w:eastAsia="仿宋_GB2312" w:cs="仿宋_GB2312"/>
          <w:color w:val="auto"/>
          <w:kern w:val="2"/>
          <w:sz w:val="32"/>
          <w:szCs w:val="32"/>
          <w:highlight w:val="none"/>
          <w:u w:val="none"/>
          <w:lang w:val="en-US" w:eastAsia="zh-CN" w:bidi="ar-SA"/>
        </w:rPr>
        <w:t>应规范生活垃圾收集站（点）、分拣中心及转运站等设施作业，避免垃圾、污水外溢；及时清洗地面、墙面等，保持安全、干净、整洁；及时除臭、消毒，定时喷洒灭蚊蝇药物。</w:t>
      </w:r>
    </w:p>
    <w:p w14:paraId="034229F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5.1.4</w:t>
      </w:r>
      <w:r>
        <w:rPr>
          <w:rFonts w:hint="eastAsia" w:ascii="仿宋_GB2312" w:hAnsi="仿宋_GB2312" w:eastAsia="仿宋_GB2312" w:cs="仿宋_GB2312"/>
          <w:color w:val="auto"/>
          <w:kern w:val="2"/>
          <w:sz w:val="32"/>
          <w:szCs w:val="32"/>
          <w:highlight w:val="none"/>
          <w:u w:val="none"/>
          <w:lang w:val="en-US" w:eastAsia="zh-CN" w:bidi="ar-SA"/>
        </w:rPr>
        <w:t>生活垃圾收集点应按照“方便保洁员快速收集、方便收运车辆运输、规避邻避效应的要求设置，收集点内规范设置分类收集容器。</w:t>
      </w:r>
    </w:p>
    <w:p w14:paraId="3C2518A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5.1.5</w:t>
      </w:r>
      <w:r>
        <w:rPr>
          <w:rFonts w:hint="eastAsia" w:ascii="仿宋_GB2312" w:hAnsi="仿宋_GB2312" w:eastAsia="仿宋_GB2312" w:cs="仿宋_GB2312"/>
          <w:color w:val="auto"/>
          <w:kern w:val="2"/>
          <w:sz w:val="32"/>
          <w:szCs w:val="32"/>
          <w:highlight w:val="none"/>
          <w:u w:val="none"/>
          <w:lang w:val="en-US" w:eastAsia="zh-CN" w:bidi="ar-SA"/>
        </w:rPr>
        <w:t>在居民小区，应结合实际设置收集房或收集亭，满足其他垃圾、厨余垃圾的收集和可回收物、有害垃圾的暂存，</w:t>
      </w:r>
      <w:r>
        <w:rPr>
          <w:rFonts w:hint="eastAsia" w:ascii="仿宋_GB2312" w:hAnsi="仿宋_GB2312" w:eastAsia="仿宋_GB2312" w:cs="仿宋_GB2312"/>
          <w:b w:val="0"/>
          <w:bCs w:val="0"/>
          <w:color w:val="auto"/>
          <w:kern w:val="2"/>
          <w:sz w:val="32"/>
          <w:szCs w:val="32"/>
          <w:highlight w:val="none"/>
          <w:u w:val="none"/>
          <w:lang w:val="en-US" w:eastAsia="zh-CN" w:bidi="ar-SA"/>
        </w:rPr>
        <w:t>收集房应</w:t>
      </w:r>
      <w:r>
        <w:rPr>
          <w:rFonts w:hint="eastAsia" w:ascii="仿宋_GB2312" w:hAnsi="仿宋_GB2312" w:eastAsia="仿宋_GB2312" w:cs="仿宋_GB2312"/>
          <w:color w:val="auto"/>
          <w:spacing w:val="0"/>
          <w:sz w:val="32"/>
          <w:szCs w:val="32"/>
          <w:highlight w:val="none"/>
          <w:u w:val="none"/>
        </w:rPr>
        <w:t>设置</w:t>
      </w:r>
      <w:r>
        <w:rPr>
          <w:rFonts w:hint="eastAsia" w:ascii="仿宋_GB2312" w:hAnsi="仿宋_GB2312" w:eastAsia="仿宋_GB2312" w:cs="仿宋_GB2312"/>
          <w:color w:val="auto"/>
          <w:spacing w:val="0"/>
          <w:sz w:val="32"/>
          <w:szCs w:val="32"/>
          <w:highlight w:val="none"/>
          <w:u w:val="none"/>
          <w:lang w:val="en-US" w:eastAsia="zh-CN"/>
        </w:rPr>
        <w:t>门锁、称重设施、</w:t>
      </w:r>
      <w:r>
        <w:rPr>
          <w:rFonts w:hint="eastAsia" w:ascii="仿宋_GB2312" w:hAnsi="仿宋_GB2312" w:eastAsia="仿宋_GB2312" w:cs="仿宋_GB2312"/>
          <w:color w:val="auto"/>
          <w:spacing w:val="0"/>
          <w:sz w:val="32"/>
          <w:szCs w:val="32"/>
          <w:highlight w:val="none"/>
          <w:u w:val="none"/>
        </w:rPr>
        <w:t>洗手台、洗桶池、通风、除尘、除臭等设施，满足给水排水、遮雨照明、消毒杀虫等功能需求</w:t>
      </w:r>
      <w:r>
        <w:rPr>
          <w:rFonts w:hint="eastAsia" w:ascii="仿宋_GB2312" w:hAnsi="仿宋_GB2312" w:eastAsia="仿宋_GB2312" w:cs="仿宋_GB2312"/>
          <w:b w:val="0"/>
          <w:bCs w:val="0"/>
          <w:color w:val="auto"/>
          <w:kern w:val="2"/>
          <w:sz w:val="32"/>
          <w:szCs w:val="32"/>
          <w:highlight w:val="none"/>
          <w:u w:val="none"/>
          <w:lang w:val="en-US" w:eastAsia="zh-CN" w:bidi="ar-SA"/>
        </w:rPr>
        <w:t>；</w:t>
      </w:r>
      <w:r>
        <w:rPr>
          <w:rFonts w:hint="eastAsia" w:ascii="仿宋_GB2312" w:hAnsi="仿宋_GB2312" w:eastAsia="仿宋_GB2312" w:cs="仿宋_GB2312"/>
          <w:b w:val="0"/>
          <w:bCs w:val="0"/>
          <w:color w:val="auto"/>
          <w:spacing w:val="0"/>
          <w:kern w:val="2"/>
          <w:sz w:val="32"/>
          <w:szCs w:val="32"/>
          <w:highlight w:val="none"/>
          <w:u w:val="none"/>
          <w:lang w:val="en-US" w:eastAsia="zh-CN" w:bidi="ar-SA"/>
        </w:rPr>
        <w:t>收集亭应设置称重设施，</w:t>
      </w:r>
      <w:r>
        <w:rPr>
          <w:rFonts w:hint="eastAsia" w:ascii="仿宋_GB2312" w:hAnsi="仿宋_GB2312" w:eastAsia="仿宋_GB2312" w:cs="仿宋_GB2312"/>
          <w:color w:val="auto"/>
          <w:spacing w:val="0"/>
          <w:sz w:val="32"/>
          <w:szCs w:val="32"/>
          <w:highlight w:val="none"/>
          <w:u w:val="none"/>
          <w:lang w:val="en-US" w:eastAsia="zh-CN"/>
        </w:rPr>
        <w:t>满足</w:t>
      </w:r>
      <w:r>
        <w:rPr>
          <w:rFonts w:hint="eastAsia" w:ascii="仿宋_GB2312" w:hAnsi="仿宋_GB2312" w:eastAsia="仿宋_GB2312" w:cs="仿宋_GB2312"/>
          <w:color w:val="auto"/>
          <w:spacing w:val="0"/>
          <w:sz w:val="32"/>
          <w:szCs w:val="32"/>
          <w:highlight w:val="none"/>
          <w:u w:val="none"/>
        </w:rPr>
        <w:t>通风、遮雨等</w:t>
      </w:r>
      <w:r>
        <w:rPr>
          <w:rFonts w:hint="eastAsia" w:ascii="仿宋_GB2312" w:hAnsi="仿宋_GB2312" w:eastAsia="仿宋_GB2312" w:cs="仿宋_GB2312"/>
          <w:color w:val="auto"/>
          <w:spacing w:val="0"/>
          <w:sz w:val="32"/>
          <w:szCs w:val="32"/>
          <w:highlight w:val="none"/>
          <w:u w:val="none"/>
          <w:lang w:val="en-US" w:eastAsia="zh-CN"/>
        </w:rPr>
        <w:t>功能</w:t>
      </w:r>
      <w:r>
        <w:rPr>
          <w:rFonts w:hint="eastAsia" w:ascii="仿宋_GB2312" w:hAnsi="仿宋_GB2312" w:eastAsia="仿宋_GB2312" w:cs="仿宋_GB2312"/>
          <w:color w:val="auto"/>
          <w:spacing w:val="0"/>
          <w:sz w:val="32"/>
          <w:szCs w:val="32"/>
          <w:highlight w:val="none"/>
          <w:u w:val="none"/>
        </w:rPr>
        <w:t>，有条件的设置洗手、洗桶池</w:t>
      </w:r>
      <w:r>
        <w:rPr>
          <w:rFonts w:hint="eastAsia" w:ascii="仿宋_GB2312" w:hAnsi="仿宋_GB2312" w:eastAsia="仿宋_GB2312" w:cs="仿宋_GB2312"/>
          <w:color w:val="auto"/>
          <w:kern w:val="2"/>
          <w:sz w:val="32"/>
          <w:szCs w:val="32"/>
          <w:highlight w:val="none"/>
          <w:u w:val="none"/>
          <w:lang w:val="en-US" w:eastAsia="zh-CN" w:bidi="ar-SA"/>
        </w:rPr>
        <w:t>。</w:t>
      </w:r>
    </w:p>
    <w:p w14:paraId="1B80F65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5.1.6</w:t>
      </w:r>
      <w:r>
        <w:rPr>
          <w:rFonts w:hint="eastAsia" w:ascii="仿宋_GB2312" w:hAnsi="仿宋_GB2312" w:eastAsia="仿宋_GB2312" w:cs="仿宋_GB2312"/>
          <w:b w:val="0"/>
          <w:bCs w:val="0"/>
          <w:color w:val="auto"/>
          <w:kern w:val="2"/>
          <w:sz w:val="32"/>
          <w:szCs w:val="32"/>
          <w:highlight w:val="none"/>
          <w:u w:val="none"/>
          <w:lang w:val="en-US" w:eastAsia="zh-CN" w:bidi="ar-SA"/>
        </w:rPr>
        <w:t>公共机构应至少设置1处可回收物、有害垃圾、厨余垃圾、其他垃圾集中存放场所，集中办公的不同单位可合并设置、共同使用。学校垃圾收集点设置应远离学校活动区域；医院生活垃圾收集点与医疗废弃物收集点分别设置。</w:t>
      </w:r>
    </w:p>
    <w:p w14:paraId="33A39FC7">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5.1.7</w:t>
      </w:r>
      <w:r>
        <w:rPr>
          <w:rFonts w:hint="eastAsia" w:ascii="仿宋_GB2312" w:hAnsi="仿宋_GB2312" w:eastAsia="仿宋_GB2312" w:cs="仿宋_GB2312"/>
          <w:b w:val="0"/>
          <w:bCs w:val="0"/>
          <w:color w:val="auto"/>
          <w:kern w:val="2"/>
          <w:sz w:val="32"/>
          <w:szCs w:val="32"/>
          <w:highlight w:val="none"/>
          <w:u w:val="none"/>
          <w:lang w:val="en-US" w:eastAsia="zh-CN" w:bidi="ar-SA"/>
        </w:rPr>
        <w:t>垃圾产生量较大的公共场所、农贸市场、农产品批发市场应至少设置1处可回收物、有害垃圾、厨余垃圾、其他垃圾集中收集点。商务写字楼、商贸综合体、大型超市、大型宾馆酒店等单位的垃圾收集点设在底层裙房、地下室货物配送区的，应配置相应的除臭或通风设施设备。</w:t>
      </w:r>
    </w:p>
    <w:p w14:paraId="3691A1A3">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9"/>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.1.8</w:t>
      </w:r>
      <w:r>
        <w:rPr>
          <w:rFonts w:hint="default" w:ascii="仿宋_GB2312" w:hAnsi="仿宋_GB2312" w:eastAsia="仿宋_GB2312" w:cs="仿宋_GB2312"/>
          <w:b w:val="0"/>
          <w:bCs w:val="0"/>
          <w:color w:val="auto"/>
          <w:kern w:val="2"/>
          <w:sz w:val="32"/>
          <w:szCs w:val="32"/>
          <w:highlight w:val="none"/>
          <w:u w:val="none"/>
          <w:lang w:val="en-US" w:eastAsia="zh-CN" w:bidi="ar-SA"/>
        </w:rPr>
        <w:t>垃圾分类收集点安排专人进行管理和垃圾分类督导，公示“管理责任、收集责任、收运责任、监管责任”四项责任制度。</w:t>
      </w:r>
    </w:p>
    <w:p w14:paraId="7F15C62E">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default" w:ascii="仿宋_GB2312" w:hAnsi="仿宋_GB2312" w:eastAsia="仿宋_GB2312" w:cs="仿宋_GB2312"/>
          <w:b/>
          <w:bCs/>
          <w:color w:val="auto"/>
          <w:kern w:val="2"/>
          <w:sz w:val="32"/>
          <w:szCs w:val="32"/>
          <w:highlight w:val="none"/>
          <w:u w:val="none"/>
          <w:lang w:val="en-US" w:eastAsia="zh-CN" w:bidi="ar-SA"/>
        </w:rPr>
      </w:pPr>
      <w:bookmarkStart w:id="103" w:name="_Toc21177"/>
      <w:bookmarkStart w:id="104" w:name="_Toc3203"/>
      <w:bookmarkStart w:id="105" w:name="_Toc2577"/>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2环卫清扫</w:t>
      </w:r>
      <w:r>
        <w:rPr>
          <w:rFonts w:hint="default" w:ascii="仿宋_GB2312" w:hAnsi="仿宋_GB2312" w:eastAsia="仿宋_GB2312" w:cs="仿宋_GB2312"/>
          <w:b/>
          <w:bCs/>
          <w:color w:val="auto"/>
          <w:kern w:val="2"/>
          <w:sz w:val="32"/>
          <w:szCs w:val="32"/>
          <w:highlight w:val="none"/>
          <w:u w:val="none"/>
          <w:lang w:val="en-US" w:eastAsia="zh-CN" w:bidi="ar-SA"/>
        </w:rPr>
        <w:t>保洁</w:t>
      </w:r>
      <w:bookmarkEnd w:id="103"/>
      <w:bookmarkEnd w:id="104"/>
      <w:bookmarkEnd w:id="105"/>
    </w:p>
    <w:p w14:paraId="5DCC6C7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5.2.1</w:t>
      </w:r>
      <w:r>
        <w:rPr>
          <w:rFonts w:hint="eastAsia" w:ascii="仿宋_GB2312" w:hAnsi="仿宋_GB2312" w:eastAsia="仿宋_GB2312" w:cs="仿宋_GB2312"/>
          <w:color w:val="auto"/>
          <w:kern w:val="2"/>
          <w:sz w:val="32"/>
          <w:szCs w:val="32"/>
          <w:highlight w:val="none"/>
          <w:u w:val="none"/>
          <w:lang w:val="en-US" w:eastAsia="zh-CN" w:bidi="ar-SA"/>
        </w:rPr>
        <w:t>城镇环境卫生作业应做到文明、清洁、卫生有序，最大限度地减少对环境的污染和对市民生活的影响;环境卫生作业质量应符合相关城市环境卫生质量标准，环境卫生作业组织、劳动力资源配置应符合城镇市容环境卫生劳动定额相关要求。</w:t>
      </w:r>
    </w:p>
    <w:p w14:paraId="489ED483">
      <w:pPr>
        <w:keepNext w:val="0"/>
        <w:keepLines w:val="0"/>
        <w:pageBreakBefore w:val="0"/>
        <w:kinsoku/>
        <w:wordWrap/>
        <w:overflowPunct/>
        <w:topLinePunct w:val="0"/>
        <w:bidi w:val="0"/>
        <w:spacing w:line="560" w:lineRule="exact"/>
        <w:textAlignment w:val="auto"/>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.2.</w:t>
      </w:r>
      <w:r>
        <w:rPr>
          <w:rFonts w:hint="eastAsia" w:ascii="仿宋_GB2312" w:hAnsi="仿宋_GB2312" w:eastAsia="仿宋_GB2312" w:cs="仿宋_GB2312"/>
          <w:b/>
          <w:bCs/>
          <w:color w:val="auto"/>
          <w:kern w:val="2"/>
          <w:sz w:val="32"/>
          <w:szCs w:val="32"/>
          <w:highlight w:val="none"/>
          <w:u w:val="none"/>
          <w:lang w:val="en-US" w:eastAsia="zh-CN" w:bidi="ar-SA"/>
        </w:rPr>
        <w:t>2</w:t>
      </w:r>
      <w:r>
        <w:rPr>
          <w:rFonts w:hint="default" w:ascii="仿宋_GB2312" w:hAnsi="仿宋_GB2312" w:eastAsia="仿宋_GB2312" w:cs="仿宋_GB2312"/>
          <w:b w:val="0"/>
          <w:bCs w:val="0"/>
          <w:color w:val="auto"/>
          <w:kern w:val="2"/>
          <w:sz w:val="32"/>
          <w:szCs w:val="32"/>
          <w:highlight w:val="none"/>
          <w:u w:val="none"/>
          <w:lang w:val="en-US" w:eastAsia="zh-CN" w:bidi="ar-SA"/>
        </w:rPr>
        <w:t>城镇道路清扫保洁范围</w:t>
      </w:r>
      <w:r>
        <w:rPr>
          <w:rFonts w:hint="eastAsia" w:ascii="仿宋_GB2312" w:hAnsi="仿宋_GB2312" w:eastAsia="仿宋_GB2312" w:cs="仿宋_GB2312"/>
          <w:b w:val="0"/>
          <w:bCs w:val="0"/>
          <w:color w:val="auto"/>
          <w:kern w:val="2"/>
          <w:sz w:val="32"/>
          <w:szCs w:val="32"/>
          <w:highlight w:val="none"/>
          <w:u w:val="none"/>
          <w:lang w:val="en-US" w:eastAsia="zh-CN" w:bidi="ar-SA"/>
        </w:rPr>
        <w:t>包含</w:t>
      </w:r>
      <w:r>
        <w:rPr>
          <w:rFonts w:hint="default" w:ascii="仿宋_GB2312" w:hAnsi="仿宋_GB2312" w:eastAsia="仿宋_GB2312" w:cs="仿宋_GB2312"/>
          <w:b w:val="0"/>
          <w:bCs w:val="0"/>
          <w:color w:val="auto"/>
          <w:kern w:val="2"/>
          <w:sz w:val="32"/>
          <w:szCs w:val="32"/>
          <w:highlight w:val="none"/>
          <w:u w:val="none"/>
          <w:lang w:val="en-US" w:eastAsia="zh-CN" w:bidi="ar-SA"/>
        </w:rPr>
        <w:t>车行道、人行道、车行隧道、人行过街地下通道、高架路、人行过街天桥、立交桥、广场及其他道路附属设施。</w:t>
      </w:r>
      <w:r>
        <w:rPr>
          <w:rFonts w:hint="eastAsia" w:ascii="仿宋_GB2312" w:hAnsi="仿宋_GB2312" w:eastAsia="仿宋_GB2312" w:cs="仿宋_GB2312"/>
          <w:b w:val="0"/>
          <w:bCs w:val="0"/>
          <w:color w:val="auto"/>
          <w:kern w:val="2"/>
          <w:sz w:val="32"/>
          <w:szCs w:val="32"/>
          <w:highlight w:val="none"/>
          <w:u w:val="none"/>
          <w:lang w:val="en-US" w:eastAsia="zh-CN" w:bidi="ar-SA"/>
        </w:rPr>
        <w:t>应按</w:t>
      </w:r>
      <w:r>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t>城市道路清扫保洁与质量评价标准</w:t>
      </w:r>
      <w:r>
        <w:rPr>
          <w:rFonts w:hint="eastAsia" w:ascii="仿宋_GB2312" w:hAnsi="仿宋_GB2312" w:eastAsia="仿宋_GB2312" w:cs="仿宋_GB2312"/>
          <w:b w:val="0"/>
          <w:bCs w:val="0"/>
          <w:color w:val="auto"/>
          <w:kern w:val="2"/>
          <w:sz w:val="32"/>
          <w:szCs w:val="32"/>
          <w:highlight w:val="none"/>
          <w:u w:val="none"/>
          <w:lang w:val="en-US" w:eastAsia="zh-CN" w:bidi="ar-SA"/>
        </w:rPr>
        <w:t>划分道路及其附属设施清扫保洁等级，实施</w:t>
      </w:r>
      <w:r>
        <w:rPr>
          <w:rFonts w:hint="default" w:ascii="仿宋_GB2312" w:hAnsi="仿宋_GB2312" w:eastAsia="仿宋_GB2312" w:cs="仿宋_GB2312"/>
          <w:b w:val="0"/>
          <w:bCs w:val="0"/>
          <w:color w:val="auto"/>
          <w:kern w:val="2"/>
          <w:sz w:val="32"/>
          <w:szCs w:val="32"/>
          <w:highlight w:val="none"/>
          <w:u w:val="none"/>
          <w:lang w:val="en-US" w:eastAsia="zh-CN" w:bidi="ar-SA"/>
        </w:rPr>
        <w:t>清扫、冲洗、洒水、保洁</w:t>
      </w:r>
      <w:r>
        <w:rPr>
          <w:rFonts w:hint="eastAsia" w:ascii="仿宋_GB2312" w:hAnsi="仿宋_GB2312" w:eastAsia="仿宋_GB2312" w:cs="仿宋_GB2312"/>
          <w:b w:val="0"/>
          <w:bCs w:val="0"/>
          <w:color w:val="auto"/>
          <w:kern w:val="2"/>
          <w:sz w:val="32"/>
          <w:szCs w:val="32"/>
          <w:highlight w:val="none"/>
          <w:u w:val="none"/>
          <w:lang w:val="en-US" w:eastAsia="zh-CN" w:bidi="ar-SA"/>
        </w:rPr>
        <w:t>作业，</w:t>
      </w:r>
      <w:r>
        <w:rPr>
          <w:rFonts w:hint="default" w:ascii="仿宋_GB2312" w:hAnsi="仿宋_GB2312" w:eastAsia="仿宋_GB2312" w:cs="仿宋_GB2312"/>
          <w:b w:val="0"/>
          <w:bCs w:val="0"/>
          <w:color w:val="auto"/>
          <w:kern w:val="2"/>
          <w:sz w:val="32"/>
          <w:szCs w:val="32"/>
          <w:highlight w:val="none"/>
          <w:u w:val="none"/>
          <w:lang w:val="en-US" w:eastAsia="zh-CN" w:bidi="ar-SA"/>
        </w:rPr>
        <w:t>保持整洁卫生，无成片垃圾、污渍、积水等</w:t>
      </w:r>
      <w:r>
        <w:rPr>
          <w:rFonts w:hint="eastAsia" w:ascii="仿宋_GB2312" w:hAnsi="仿宋_GB2312" w:eastAsia="仿宋_GB2312" w:cs="仿宋_GB2312"/>
          <w:b w:val="0"/>
          <w:bCs w:val="0"/>
          <w:color w:val="auto"/>
          <w:kern w:val="2"/>
          <w:sz w:val="32"/>
          <w:szCs w:val="32"/>
          <w:highlight w:val="none"/>
          <w:u w:val="none"/>
          <w:lang w:val="en-US" w:eastAsia="zh-CN" w:bidi="ar-SA"/>
        </w:rPr>
        <w:t>；推行</w:t>
      </w:r>
      <w:r>
        <w:rPr>
          <w:rFonts w:hint="default" w:ascii="仿宋_GB2312" w:hAnsi="仿宋_GB2312" w:eastAsia="仿宋_GB2312" w:cs="仿宋_GB2312"/>
          <w:b w:val="0"/>
          <w:bCs w:val="0"/>
          <w:color w:val="auto"/>
          <w:kern w:val="2"/>
          <w:sz w:val="32"/>
          <w:szCs w:val="32"/>
          <w:highlight w:val="none"/>
          <w:u w:val="none"/>
          <w:lang w:val="en-US" w:eastAsia="zh-CN" w:bidi="ar-SA"/>
        </w:rPr>
        <w:t>高效清洁的清扫作业方式，提高机械化作业面积。</w:t>
      </w:r>
    </w:p>
    <w:p w14:paraId="41080EBF">
      <w:pPr>
        <w:keepNext w:val="0"/>
        <w:keepLines w:val="0"/>
        <w:pageBreakBefore w:val="0"/>
        <w:kinsoku/>
        <w:wordWrap/>
        <w:overflowPunct/>
        <w:topLinePunct w:val="0"/>
        <w:bidi w:val="0"/>
        <w:spacing w:line="560" w:lineRule="exact"/>
        <w:jc w:val="left"/>
        <w:textAlignment w:val="auto"/>
        <w:outlineLvl w:val="9"/>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5.2.3</w:t>
      </w:r>
      <w:r>
        <w:rPr>
          <w:rFonts w:hint="eastAsia" w:ascii="仿宋_GB2312" w:hAnsi="仿宋_GB2312" w:eastAsia="仿宋_GB2312" w:cs="仿宋_GB2312"/>
          <w:b w:val="0"/>
          <w:bCs w:val="0"/>
          <w:color w:val="auto"/>
          <w:kern w:val="2"/>
          <w:sz w:val="32"/>
          <w:szCs w:val="32"/>
          <w:highlight w:val="none"/>
          <w:u w:val="none"/>
          <w:lang w:val="en-US" w:eastAsia="zh-CN" w:bidi="ar-SA"/>
        </w:rPr>
        <w:t>文化、娱乐、景点、游览区，比赛场地、交通集散地，购物展销商场以及广场、停车场、车站码头等公共场所区域的清扫保洁由其管理单位负责，清扫保洁作业质量应符合城市环境卫生质量标准</w:t>
      </w:r>
      <w:r>
        <w:rPr>
          <w:rFonts w:hint="default" w:ascii="仿宋_GB2312" w:hAnsi="仿宋_GB2312" w:eastAsia="仿宋_GB2312" w:cs="仿宋_GB2312"/>
          <w:b w:val="0"/>
          <w:bCs w:val="0"/>
          <w:color w:val="auto"/>
          <w:kern w:val="2"/>
          <w:sz w:val="32"/>
          <w:szCs w:val="32"/>
          <w:highlight w:val="none"/>
          <w:u w:val="none"/>
          <w:lang w:val="en-US" w:eastAsia="zh-CN" w:bidi="ar-SA"/>
        </w:rPr>
        <w:t>。</w:t>
      </w:r>
      <w:r>
        <w:rPr>
          <w:rFonts w:hint="eastAsia" w:ascii="仿宋_GB2312" w:hAnsi="仿宋_GB2312" w:eastAsia="仿宋_GB2312" w:cs="仿宋_GB2312"/>
          <w:b w:val="0"/>
          <w:bCs w:val="0"/>
          <w:color w:val="auto"/>
          <w:kern w:val="2"/>
          <w:sz w:val="32"/>
          <w:szCs w:val="32"/>
          <w:highlight w:val="none"/>
          <w:u w:val="none"/>
          <w:lang w:val="en-US" w:eastAsia="zh-CN" w:bidi="ar-SA"/>
        </w:rPr>
        <w:t>路边音乐会、网红打卡点、夜间消费集聚区等区域，举办单位应结合开放时段、人流量等因素</w:t>
      </w:r>
      <w:r>
        <w:rPr>
          <w:rFonts w:hint="default" w:ascii="仿宋_GB2312" w:hAnsi="仿宋_GB2312" w:eastAsia="仿宋_GB2312" w:cs="仿宋_GB2312"/>
          <w:b w:val="0"/>
          <w:bCs w:val="0"/>
          <w:color w:val="auto"/>
          <w:kern w:val="2"/>
          <w:sz w:val="32"/>
          <w:szCs w:val="32"/>
          <w:highlight w:val="none"/>
          <w:u w:val="none"/>
          <w:lang w:val="en-US" w:eastAsia="zh-CN" w:bidi="ar-SA"/>
        </w:rPr>
        <w:t>加</w:t>
      </w:r>
      <w:r>
        <w:rPr>
          <w:rFonts w:hint="eastAsia" w:ascii="仿宋_GB2312" w:hAnsi="仿宋_GB2312" w:eastAsia="仿宋_GB2312" w:cs="仿宋_GB2312"/>
          <w:b w:val="0"/>
          <w:bCs w:val="0"/>
          <w:color w:val="auto"/>
          <w:kern w:val="2"/>
          <w:sz w:val="32"/>
          <w:szCs w:val="32"/>
          <w:highlight w:val="none"/>
          <w:u w:val="none"/>
          <w:lang w:val="en-US" w:eastAsia="zh-CN" w:bidi="ar-SA"/>
        </w:rPr>
        <w:t>强</w:t>
      </w:r>
      <w:r>
        <w:rPr>
          <w:rFonts w:hint="default" w:ascii="仿宋_GB2312" w:hAnsi="仿宋_GB2312" w:eastAsia="仿宋_GB2312" w:cs="仿宋_GB2312"/>
          <w:b w:val="0"/>
          <w:bCs w:val="0"/>
          <w:color w:val="auto"/>
          <w:kern w:val="2"/>
          <w:sz w:val="32"/>
          <w:szCs w:val="32"/>
          <w:highlight w:val="none"/>
          <w:u w:val="none"/>
          <w:lang w:val="en-US" w:eastAsia="zh-CN" w:bidi="ar-SA"/>
        </w:rPr>
        <w:t>保洁力度</w:t>
      </w:r>
      <w:r>
        <w:rPr>
          <w:rFonts w:hint="eastAsia" w:ascii="仿宋_GB2312" w:hAnsi="仿宋_GB2312" w:eastAsia="仿宋_GB2312" w:cs="仿宋_GB2312"/>
          <w:b w:val="0"/>
          <w:bCs w:val="0"/>
          <w:color w:val="auto"/>
          <w:kern w:val="2"/>
          <w:sz w:val="32"/>
          <w:szCs w:val="32"/>
          <w:highlight w:val="none"/>
          <w:u w:val="none"/>
          <w:lang w:val="en-US" w:eastAsia="zh-CN" w:bidi="ar-SA"/>
        </w:rPr>
        <w:t>，保持环境整洁；市容环境卫生部门</w:t>
      </w:r>
      <w:r>
        <w:rPr>
          <w:rFonts w:hint="default" w:ascii="仿宋_GB2312" w:hAnsi="仿宋_GB2312" w:eastAsia="仿宋_GB2312" w:cs="仿宋_GB2312"/>
          <w:b w:val="0"/>
          <w:bCs w:val="0"/>
          <w:color w:val="auto"/>
          <w:kern w:val="2"/>
          <w:sz w:val="32"/>
          <w:szCs w:val="32"/>
          <w:highlight w:val="none"/>
          <w:u w:val="none"/>
          <w:lang w:val="en-US" w:eastAsia="zh-CN" w:bidi="ar-SA"/>
        </w:rPr>
        <w:t>保持</w:t>
      </w:r>
      <w:r>
        <w:rPr>
          <w:rFonts w:hint="eastAsia" w:ascii="仿宋_GB2312" w:hAnsi="仿宋_GB2312" w:eastAsia="仿宋_GB2312" w:cs="仿宋_GB2312"/>
          <w:b w:val="0"/>
          <w:bCs w:val="0"/>
          <w:color w:val="auto"/>
          <w:kern w:val="2"/>
          <w:sz w:val="32"/>
          <w:szCs w:val="32"/>
          <w:highlight w:val="none"/>
          <w:u w:val="none"/>
          <w:lang w:val="en-US" w:eastAsia="zh-CN" w:bidi="ar-SA"/>
        </w:rPr>
        <w:t>周边区域及</w:t>
      </w:r>
      <w:r>
        <w:rPr>
          <w:rFonts w:hint="default" w:ascii="仿宋_GB2312" w:hAnsi="仿宋_GB2312" w:eastAsia="仿宋_GB2312" w:cs="仿宋_GB2312"/>
          <w:b w:val="0"/>
          <w:bCs w:val="0"/>
          <w:color w:val="auto"/>
          <w:kern w:val="2"/>
          <w:sz w:val="32"/>
          <w:szCs w:val="32"/>
          <w:highlight w:val="none"/>
          <w:u w:val="none"/>
          <w:lang w:val="en-US" w:eastAsia="zh-CN" w:bidi="ar-SA"/>
        </w:rPr>
        <w:t>道路干净整洁，无积存、暴露垃圾</w:t>
      </w:r>
      <w:r>
        <w:rPr>
          <w:rFonts w:hint="eastAsia" w:ascii="仿宋_GB2312" w:hAnsi="仿宋_GB2312" w:eastAsia="仿宋_GB2312" w:cs="仿宋_GB2312"/>
          <w:b w:val="0"/>
          <w:bCs w:val="0"/>
          <w:color w:val="auto"/>
          <w:kern w:val="2"/>
          <w:sz w:val="32"/>
          <w:szCs w:val="32"/>
          <w:highlight w:val="none"/>
          <w:u w:val="none"/>
          <w:lang w:val="en-US" w:eastAsia="zh-CN" w:bidi="ar-SA"/>
        </w:rPr>
        <w:t>。</w:t>
      </w:r>
    </w:p>
    <w:p w14:paraId="1E1B58C5">
      <w:pPr>
        <w:keepNext w:val="0"/>
        <w:keepLines w:val="0"/>
        <w:pageBreakBefore w:val="0"/>
        <w:kinsoku/>
        <w:wordWrap/>
        <w:overflowPunct/>
        <w:topLinePunct w:val="0"/>
        <w:bidi w:val="0"/>
        <w:spacing w:line="560" w:lineRule="exact"/>
        <w:jc w:val="center"/>
        <w:textAlignment w:val="auto"/>
        <w:outlineLvl w:val="1"/>
        <w:rPr>
          <w:rFonts w:hint="default" w:ascii="仿宋_GB2312" w:hAnsi="仿宋_GB2312" w:eastAsia="仿宋_GB2312" w:cs="仿宋_GB2312"/>
          <w:b/>
          <w:bCs/>
          <w:color w:val="auto"/>
          <w:kern w:val="2"/>
          <w:sz w:val="32"/>
          <w:szCs w:val="32"/>
          <w:highlight w:val="none"/>
          <w:u w:val="none"/>
          <w:lang w:val="en-US" w:eastAsia="zh-CN" w:bidi="ar-SA"/>
        </w:rPr>
      </w:pPr>
      <w:bookmarkStart w:id="106" w:name="_Toc28680"/>
      <w:bookmarkStart w:id="107" w:name="_Toc6977"/>
      <w:bookmarkStart w:id="108" w:name="_Toc10872"/>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3</w:t>
      </w:r>
      <w:r>
        <w:rPr>
          <w:rFonts w:hint="default" w:ascii="仿宋_GB2312" w:hAnsi="仿宋_GB2312" w:eastAsia="仿宋_GB2312" w:cs="仿宋_GB2312"/>
          <w:b/>
          <w:bCs/>
          <w:color w:val="auto"/>
          <w:kern w:val="2"/>
          <w:sz w:val="32"/>
          <w:szCs w:val="32"/>
          <w:highlight w:val="none"/>
          <w:u w:val="none"/>
          <w:lang w:val="en-US" w:eastAsia="zh-CN" w:bidi="ar-SA"/>
        </w:rPr>
        <w:t>生活垃圾</w:t>
      </w:r>
      <w:r>
        <w:rPr>
          <w:rFonts w:hint="eastAsia" w:ascii="仿宋_GB2312" w:hAnsi="仿宋_GB2312" w:eastAsia="仿宋_GB2312" w:cs="仿宋_GB2312"/>
          <w:b/>
          <w:bCs/>
          <w:color w:val="auto"/>
          <w:kern w:val="2"/>
          <w:sz w:val="32"/>
          <w:szCs w:val="32"/>
          <w:highlight w:val="none"/>
          <w:u w:val="none"/>
          <w:lang w:val="en-US" w:eastAsia="zh-CN" w:bidi="ar-SA"/>
        </w:rPr>
        <w:t>收集、</w:t>
      </w:r>
      <w:r>
        <w:rPr>
          <w:rFonts w:hint="default" w:ascii="仿宋_GB2312" w:hAnsi="仿宋_GB2312" w:eastAsia="仿宋_GB2312" w:cs="仿宋_GB2312"/>
          <w:b/>
          <w:bCs/>
          <w:color w:val="auto"/>
          <w:kern w:val="2"/>
          <w:sz w:val="32"/>
          <w:szCs w:val="32"/>
          <w:highlight w:val="none"/>
          <w:u w:val="none"/>
          <w:lang w:val="en-US" w:eastAsia="zh-CN" w:bidi="ar-SA"/>
        </w:rPr>
        <w:t>运输</w:t>
      </w:r>
      <w:bookmarkEnd w:id="106"/>
      <w:bookmarkEnd w:id="107"/>
      <w:bookmarkEnd w:id="108"/>
    </w:p>
    <w:p w14:paraId="12488C65">
      <w:pPr>
        <w:keepNext w:val="0"/>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5.3.1</w:t>
      </w:r>
      <w:r>
        <w:rPr>
          <w:rFonts w:hint="eastAsia" w:ascii="仿宋_GB2312" w:hAnsi="仿宋_GB2312" w:eastAsia="仿宋_GB2312" w:cs="仿宋_GB2312"/>
          <w:b w:val="0"/>
          <w:bCs w:val="0"/>
          <w:color w:val="auto"/>
          <w:kern w:val="2"/>
          <w:sz w:val="32"/>
          <w:szCs w:val="32"/>
          <w:highlight w:val="none"/>
          <w:u w:val="none"/>
          <w:lang w:val="en-US" w:eastAsia="zh-CN" w:bidi="ar-SA"/>
        </w:rPr>
        <w:t>从事城市生活垃圾经营性收集、运输服务的企业，应当依法取得城市生活垃圾经营性收集、运输服务许可。并根据服务区域生活垃圾的类别、数量，配备具有分类收集、密闭运输功能的作业车辆，按规定喷涂标志、配备作业人员。</w:t>
      </w:r>
    </w:p>
    <w:p w14:paraId="41B22C7E">
      <w:pPr>
        <w:keepNext w:val="0"/>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5.3.2</w:t>
      </w:r>
      <w:r>
        <w:rPr>
          <w:rFonts w:hint="eastAsia" w:ascii="仿宋_GB2312" w:hAnsi="仿宋_GB2312" w:eastAsia="仿宋_GB2312" w:cs="仿宋_GB2312"/>
          <w:b w:val="0"/>
          <w:bCs w:val="0"/>
          <w:color w:val="auto"/>
          <w:kern w:val="2"/>
          <w:sz w:val="32"/>
          <w:szCs w:val="32"/>
          <w:highlight w:val="none"/>
          <w:u w:val="none"/>
          <w:lang w:val="en-US" w:eastAsia="zh-CN" w:bidi="ar-SA"/>
        </w:rPr>
        <w:t>其他垃圾每日定时收集，日产日清。其他垃圾运输车辆应保持密闭，不超载，装车、压实、卸车过程应符合相关规范，避免垃圾和渗滤液落地，杜绝运输除生活垃圾以外的固体废物。</w:t>
      </w:r>
    </w:p>
    <w:p w14:paraId="362B6EF6">
      <w:pPr>
        <w:keepNext w:val="0"/>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5.3.3</w:t>
      </w:r>
      <w:r>
        <w:rPr>
          <w:rFonts w:hint="eastAsia" w:ascii="仿宋_GB2312" w:hAnsi="仿宋_GB2312" w:eastAsia="仿宋_GB2312" w:cs="仿宋_GB2312"/>
          <w:b w:val="0"/>
          <w:bCs w:val="0"/>
          <w:color w:val="auto"/>
          <w:kern w:val="2"/>
          <w:sz w:val="32"/>
          <w:szCs w:val="32"/>
          <w:highlight w:val="none"/>
          <w:u w:val="none"/>
          <w:lang w:val="en-US" w:eastAsia="zh-CN" w:bidi="ar-SA"/>
        </w:rPr>
        <w:t>有害垃圾按照相关规定和要求定期收集。有害垃圾应由受委托的具备相应资质的企业定期转运至有害垃圾处置中心处理。</w:t>
      </w:r>
    </w:p>
    <w:p w14:paraId="35BF6210">
      <w:pPr>
        <w:keepNext w:val="0"/>
        <w:keepLines w:val="0"/>
        <w:pageBreakBefore w:val="0"/>
        <w:kinsoku/>
        <w:wordWrap/>
        <w:overflowPunct/>
        <w:topLinePunct w:val="0"/>
        <w:bidi w:val="0"/>
        <w:spacing w:line="560" w:lineRule="exact"/>
        <w:jc w:val="left"/>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5.3.4</w:t>
      </w:r>
      <w:r>
        <w:rPr>
          <w:rFonts w:hint="eastAsia" w:ascii="仿宋_GB2312" w:hAnsi="仿宋_GB2312" w:eastAsia="仿宋_GB2312" w:cs="仿宋_GB2312"/>
          <w:b w:val="0"/>
          <w:bCs w:val="0"/>
          <w:color w:val="auto"/>
          <w:kern w:val="2"/>
          <w:sz w:val="32"/>
          <w:szCs w:val="32"/>
          <w:highlight w:val="none"/>
          <w:u w:val="none"/>
          <w:lang w:val="en-US" w:eastAsia="zh-CN" w:bidi="ar-SA"/>
        </w:rPr>
        <w:t>厨余垃圾每日定时收集，日产日清，严格执行“定人，定车，定时，定点，定路线，定范围”要求快收快运。厨余垃圾收集车的装载机构应与厨余（含餐厨）垃圾收集容器相匹配，收集过程中不得倾倒、堆放，不得排入雨水、污水管道、河道和公共厕所中，运输过程中无滴漏、无洒落。</w:t>
      </w:r>
    </w:p>
    <w:p w14:paraId="1B30ACA7">
      <w:pPr>
        <w:keepNext w:val="0"/>
        <w:keepLines w:val="0"/>
        <w:pageBreakBefore w:val="0"/>
        <w:kinsoku/>
        <w:wordWrap/>
        <w:overflowPunct/>
        <w:topLinePunct w:val="0"/>
        <w:bidi w:val="0"/>
        <w:spacing w:line="560" w:lineRule="exact"/>
        <w:jc w:val="left"/>
        <w:textAlignment w:val="auto"/>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5.3.5</w:t>
      </w:r>
      <w:r>
        <w:rPr>
          <w:rFonts w:hint="eastAsia" w:ascii="仿宋_GB2312" w:hAnsi="仿宋_GB2312" w:eastAsia="仿宋_GB2312" w:cs="仿宋_GB2312"/>
          <w:b w:val="0"/>
          <w:bCs w:val="0"/>
          <w:color w:val="auto"/>
          <w:kern w:val="2"/>
          <w:sz w:val="32"/>
          <w:szCs w:val="32"/>
          <w:highlight w:val="none"/>
          <w:u w:val="none"/>
          <w:lang w:val="en-US" w:eastAsia="zh-CN" w:bidi="ar-SA"/>
        </w:rPr>
        <w:t>可回收物按照相关规定和要求定期收集。可回收物运输车辆应配备厢式货车，外观统一标识，装载时不超重、超高；运输过程中无渗漏、无各类废弃物飞扬洒落。</w:t>
      </w:r>
    </w:p>
    <w:p w14:paraId="7353F386">
      <w:pPr>
        <w:keepNext w:val="0"/>
        <w:keepLines w:val="0"/>
        <w:pageBreakBefore w:val="0"/>
        <w:kinsoku/>
        <w:wordWrap/>
        <w:overflowPunct/>
        <w:topLinePunct w:val="0"/>
        <w:bidi w:val="0"/>
        <w:spacing w:line="560" w:lineRule="exact"/>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5.3.6</w:t>
      </w:r>
      <w:r>
        <w:rPr>
          <w:rFonts w:hint="eastAsia" w:ascii="仿宋_GB2312" w:hAnsi="仿宋_GB2312" w:eastAsia="仿宋_GB2312" w:cs="仿宋_GB2312"/>
          <w:b w:val="0"/>
          <w:bCs w:val="0"/>
          <w:color w:val="auto"/>
          <w:kern w:val="2"/>
          <w:sz w:val="32"/>
          <w:szCs w:val="32"/>
          <w:highlight w:val="none"/>
          <w:u w:val="none"/>
          <w:lang w:val="en-US" w:eastAsia="zh-CN" w:bidi="ar-SA"/>
        </w:rPr>
        <w:t>生活垃圾的清运工作应当避开工作日早晚高峰交通流量较大的时段。</w:t>
      </w:r>
    </w:p>
    <w:p w14:paraId="41270321">
      <w:pPr>
        <w:keepNext w:val="0"/>
        <w:keepLines w:val="0"/>
        <w:pageBreakBefore w:val="0"/>
        <w:kinsoku/>
        <w:wordWrap/>
        <w:overflowPunct/>
        <w:topLinePunct w:val="0"/>
        <w:bidi w:val="0"/>
        <w:spacing w:line="560" w:lineRule="exact"/>
        <w:jc w:val="center"/>
        <w:textAlignment w:val="auto"/>
        <w:outlineLvl w:val="1"/>
        <w:rPr>
          <w:rFonts w:hint="default" w:ascii="仿宋_GB2312" w:hAnsi="仿宋_GB2312" w:eastAsia="仿宋_GB2312" w:cs="仿宋_GB2312"/>
          <w:b/>
          <w:bCs/>
          <w:color w:val="auto"/>
          <w:kern w:val="2"/>
          <w:sz w:val="32"/>
          <w:szCs w:val="32"/>
          <w:highlight w:val="none"/>
          <w:u w:val="none"/>
          <w:lang w:val="en-US" w:eastAsia="zh-CN" w:bidi="ar-SA"/>
        </w:rPr>
      </w:pPr>
      <w:bookmarkStart w:id="109" w:name="_Toc28759"/>
      <w:bookmarkStart w:id="110" w:name="_Toc26170"/>
      <w:bookmarkStart w:id="111" w:name="_Toc753"/>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4</w:t>
      </w:r>
      <w:r>
        <w:rPr>
          <w:rFonts w:hint="default" w:ascii="仿宋_GB2312" w:hAnsi="仿宋_GB2312" w:eastAsia="仿宋_GB2312" w:cs="仿宋_GB2312"/>
          <w:b/>
          <w:bCs/>
          <w:color w:val="auto"/>
          <w:kern w:val="2"/>
          <w:sz w:val="32"/>
          <w:szCs w:val="32"/>
          <w:highlight w:val="none"/>
          <w:u w:val="none"/>
          <w:lang w:val="en-US" w:eastAsia="zh-CN" w:bidi="ar-SA"/>
        </w:rPr>
        <w:t>公共厕所管理</w:t>
      </w:r>
      <w:bookmarkEnd w:id="109"/>
      <w:bookmarkEnd w:id="110"/>
      <w:bookmarkEnd w:id="111"/>
    </w:p>
    <w:p w14:paraId="717529B5">
      <w:pPr>
        <w:keepNext w:val="0"/>
        <w:keepLines w:val="0"/>
        <w:pageBreakBefore w:val="0"/>
        <w:kinsoku/>
        <w:wordWrap/>
        <w:overflowPunct/>
        <w:topLinePunct w:val="0"/>
        <w:autoSpaceDE/>
        <w:autoSpaceDN/>
        <w:bidi w:val="0"/>
        <w:adjustRightInd/>
        <w:snapToGrid/>
        <w:spacing w:beforeAutospacing="0" w:afterAutospacing="0" w:line="600" w:lineRule="exact"/>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4</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1</w:t>
      </w:r>
      <w:r>
        <w:rPr>
          <w:rFonts w:hint="eastAsia" w:ascii="仿宋_GB2312" w:hAnsi="仿宋_GB2312" w:eastAsia="仿宋_GB2312" w:cs="仿宋_GB2312"/>
          <w:b w:val="0"/>
          <w:bCs w:val="0"/>
          <w:color w:val="auto"/>
          <w:sz w:val="32"/>
          <w:szCs w:val="32"/>
          <w:highlight w:val="none"/>
          <w:u w:val="none"/>
        </w:rPr>
        <w:t>公共厕所</w:t>
      </w:r>
      <w:r>
        <w:rPr>
          <w:rFonts w:hint="eastAsia" w:ascii="仿宋_GB2312" w:hAnsi="仿宋_GB2312" w:eastAsia="仿宋_GB2312" w:cs="仿宋_GB2312"/>
          <w:b w:val="0"/>
          <w:bCs w:val="0"/>
          <w:color w:val="auto"/>
          <w:sz w:val="32"/>
          <w:szCs w:val="32"/>
          <w:highlight w:val="none"/>
          <w:u w:val="none"/>
          <w:lang w:eastAsia="zh-CN"/>
        </w:rPr>
        <w:t>按照</w:t>
      </w:r>
      <w:r>
        <w:rPr>
          <w:rFonts w:hint="eastAsia" w:ascii="仿宋_GB2312" w:hAnsi="仿宋_GB2312" w:eastAsia="仿宋_GB2312" w:cs="仿宋_GB2312"/>
          <w:b w:val="0"/>
          <w:bCs w:val="0"/>
          <w:color w:val="auto"/>
          <w:sz w:val="32"/>
          <w:szCs w:val="32"/>
          <w:highlight w:val="none"/>
          <w:u w:val="none"/>
        </w:rPr>
        <w:t>环境卫生设施设置标准</w:t>
      </w:r>
      <w:r>
        <w:rPr>
          <w:rFonts w:hint="eastAsia" w:ascii="仿宋_GB2312" w:hAnsi="仿宋_GB2312" w:eastAsia="仿宋_GB2312" w:cs="仿宋_GB2312"/>
          <w:b w:val="0"/>
          <w:bCs w:val="0"/>
          <w:color w:val="auto"/>
          <w:sz w:val="32"/>
          <w:szCs w:val="32"/>
          <w:highlight w:val="none"/>
          <w:u w:val="none"/>
          <w:lang w:eastAsia="zh-CN"/>
        </w:rPr>
        <w:t>划</w:t>
      </w:r>
      <w:r>
        <w:rPr>
          <w:rFonts w:hint="eastAsia" w:ascii="仿宋_GB2312" w:hAnsi="仿宋_GB2312" w:eastAsia="仿宋_GB2312" w:cs="仿宋_GB2312"/>
          <w:b w:val="0"/>
          <w:bCs w:val="0"/>
          <w:color w:val="auto"/>
          <w:sz w:val="32"/>
          <w:szCs w:val="32"/>
          <w:highlight w:val="none"/>
          <w:u w:val="none"/>
        </w:rPr>
        <w:t>分为环卫公共厕所、配套公共厕所、对外开放公共厕所（卫生间）</w:t>
      </w:r>
      <w:r>
        <w:rPr>
          <w:rFonts w:hint="eastAsia" w:ascii="仿宋_GB2312" w:hAnsi="仿宋_GB2312" w:eastAsia="仿宋_GB2312" w:cs="仿宋_GB2312"/>
          <w:b w:val="0"/>
          <w:bCs w:val="0"/>
          <w:color w:val="auto"/>
          <w:sz w:val="32"/>
          <w:szCs w:val="32"/>
          <w:highlight w:val="none"/>
          <w:u w:val="none"/>
          <w:lang w:eastAsia="zh-CN"/>
        </w:rPr>
        <w:t>，</w:t>
      </w:r>
      <w:r>
        <w:rPr>
          <w:rFonts w:hint="eastAsia" w:ascii="仿宋_GB2312" w:hAnsi="仿宋_GB2312" w:eastAsia="仿宋_GB2312" w:cs="仿宋_GB2312"/>
          <w:b w:val="0"/>
          <w:bCs w:val="0"/>
          <w:color w:val="auto"/>
          <w:kern w:val="2"/>
          <w:sz w:val="32"/>
          <w:szCs w:val="32"/>
          <w:highlight w:val="none"/>
          <w:u w:val="none"/>
          <w:lang w:val="en-US" w:eastAsia="zh-CN" w:bidi="ar-SA"/>
        </w:rPr>
        <w:t>实行分区分类管理。</w:t>
      </w:r>
    </w:p>
    <w:p w14:paraId="057C0D46">
      <w:pPr>
        <w:keepNext w:val="0"/>
        <w:keepLines w:val="0"/>
        <w:pageBreakBefore w:val="0"/>
        <w:numPr>
          <w:ilvl w:val="0"/>
          <w:numId w:val="2"/>
        </w:numPr>
        <w:kinsoku/>
        <w:wordWrap/>
        <w:overflowPunct/>
        <w:topLinePunct w:val="0"/>
        <w:autoSpaceDE/>
        <w:autoSpaceDN/>
        <w:bidi w:val="0"/>
        <w:adjustRightInd/>
        <w:snapToGrid/>
        <w:spacing w:beforeAutospacing="0" w:afterAutospacing="0" w:line="600" w:lineRule="exact"/>
        <w:ind w:left="1055" w:leftChars="0" w:hanging="425" w:firstLineChars="0"/>
        <w:textAlignment w:val="auto"/>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rPr>
        <w:t>城市道路、市政广场、公共绿地等人流通行区域建造的环卫公共厕所</w:t>
      </w:r>
      <w:r>
        <w:rPr>
          <w:rFonts w:hint="eastAsia" w:ascii="仿宋_GB2312" w:hAnsi="仿宋_GB2312" w:eastAsia="仿宋_GB2312" w:cs="仿宋_GB2312"/>
          <w:b w:val="0"/>
          <w:bCs w:val="0"/>
          <w:color w:val="auto"/>
          <w:sz w:val="32"/>
          <w:szCs w:val="32"/>
          <w:highlight w:val="none"/>
          <w:u w:val="none"/>
          <w:lang w:eastAsia="zh-CN"/>
        </w:rPr>
        <w:t>，由</w:t>
      </w:r>
      <w:r>
        <w:rPr>
          <w:rFonts w:hint="eastAsia" w:ascii="仿宋_GB2312" w:hAnsi="仿宋_GB2312" w:eastAsia="仿宋_GB2312" w:cs="仿宋_GB2312"/>
          <w:b w:val="0"/>
          <w:bCs w:val="0"/>
          <w:color w:val="auto"/>
          <w:kern w:val="2"/>
          <w:sz w:val="32"/>
          <w:szCs w:val="32"/>
          <w:highlight w:val="none"/>
          <w:u w:val="none"/>
          <w:lang w:val="en-US" w:eastAsia="zh-CN" w:bidi="ar-SA"/>
        </w:rPr>
        <w:t>市容环境卫生管理</w:t>
      </w:r>
      <w:r>
        <w:rPr>
          <w:rFonts w:hint="eastAsia" w:ascii="仿宋_GB2312" w:hAnsi="仿宋_GB2312" w:eastAsia="仿宋_GB2312" w:cs="仿宋_GB2312"/>
          <w:b w:val="0"/>
          <w:bCs w:val="0"/>
          <w:color w:val="auto"/>
          <w:sz w:val="32"/>
          <w:szCs w:val="32"/>
          <w:highlight w:val="none"/>
          <w:u w:val="none"/>
        </w:rPr>
        <w:t>部门</w:t>
      </w:r>
      <w:r>
        <w:rPr>
          <w:rFonts w:hint="eastAsia" w:ascii="仿宋_GB2312" w:hAnsi="仿宋_GB2312" w:eastAsia="仿宋_GB2312" w:cs="仿宋_GB2312"/>
          <w:b w:val="0"/>
          <w:bCs w:val="0"/>
          <w:color w:val="auto"/>
          <w:sz w:val="32"/>
          <w:szCs w:val="32"/>
          <w:highlight w:val="none"/>
          <w:u w:val="none"/>
          <w:lang w:eastAsia="zh-CN"/>
        </w:rPr>
        <w:t>负责管理维护；</w:t>
      </w:r>
    </w:p>
    <w:p w14:paraId="3C5AAE98">
      <w:pPr>
        <w:keepNext w:val="0"/>
        <w:keepLines w:val="0"/>
        <w:pageBreakBefore w:val="0"/>
        <w:numPr>
          <w:ilvl w:val="0"/>
          <w:numId w:val="2"/>
        </w:numPr>
        <w:kinsoku/>
        <w:wordWrap/>
        <w:overflowPunct/>
        <w:topLinePunct w:val="0"/>
        <w:autoSpaceDE/>
        <w:autoSpaceDN/>
        <w:bidi w:val="0"/>
        <w:adjustRightInd/>
        <w:snapToGrid/>
        <w:spacing w:beforeAutospacing="0" w:afterAutospacing="0" w:line="600" w:lineRule="exact"/>
        <w:ind w:left="1055" w:leftChars="0" w:hanging="425" w:firstLineChars="0"/>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sz w:val="32"/>
          <w:szCs w:val="32"/>
          <w:highlight w:val="none"/>
          <w:u w:val="none"/>
        </w:rPr>
        <w:t>居住区内部公共活动区、商业街、文化街、</w:t>
      </w:r>
      <w:r>
        <w:rPr>
          <w:rFonts w:hint="eastAsia" w:ascii="仿宋_GB2312" w:hAnsi="仿宋_GB2312" w:eastAsia="仿宋_GB2312" w:cs="仿宋_GB2312"/>
          <w:b w:val="0"/>
          <w:bCs w:val="0"/>
          <w:color w:val="auto"/>
          <w:kern w:val="2"/>
          <w:sz w:val="32"/>
          <w:szCs w:val="32"/>
          <w:highlight w:val="none"/>
          <w:u w:val="none"/>
          <w:lang w:val="en-US" w:eastAsia="zh-CN" w:bidi="ar-SA"/>
        </w:rPr>
        <w:t>景区景点、交通场站、</w:t>
      </w:r>
      <w:r>
        <w:rPr>
          <w:rFonts w:hint="eastAsia" w:ascii="仿宋_GB2312" w:hAnsi="仿宋_GB2312" w:eastAsia="仿宋_GB2312" w:cs="仿宋_GB2312"/>
          <w:b w:val="0"/>
          <w:bCs w:val="0"/>
          <w:color w:val="auto"/>
          <w:sz w:val="32"/>
          <w:szCs w:val="32"/>
          <w:highlight w:val="none"/>
          <w:u w:val="none"/>
        </w:rPr>
        <w:t>展览馆、公园、</w:t>
      </w:r>
      <w:r>
        <w:rPr>
          <w:rFonts w:hint="default" w:ascii="仿宋_GB2312" w:hAnsi="仿宋_GB2312" w:eastAsia="仿宋_GB2312" w:cs="仿宋_GB2312"/>
          <w:b w:val="0"/>
          <w:bCs w:val="0"/>
          <w:color w:val="auto"/>
          <w:kern w:val="2"/>
          <w:sz w:val="32"/>
          <w:szCs w:val="32"/>
          <w:highlight w:val="none"/>
          <w:u w:val="none"/>
          <w:lang w:val="en-US" w:eastAsia="zh-CN" w:bidi="ar-SA"/>
        </w:rPr>
        <w:t>集贸市场</w:t>
      </w:r>
      <w:r>
        <w:rPr>
          <w:rFonts w:hint="eastAsia" w:ascii="仿宋_GB2312" w:hAnsi="仿宋_GB2312" w:eastAsia="仿宋_GB2312" w:cs="仿宋_GB2312"/>
          <w:b w:val="0"/>
          <w:bCs w:val="0"/>
          <w:color w:val="auto"/>
          <w:kern w:val="2"/>
          <w:sz w:val="32"/>
          <w:szCs w:val="32"/>
          <w:highlight w:val="none"/>
          <w:u w:val="none"/>
          <w:lang w:val="en-US" w:eastAsia="zh-CN" w:bidi="ar-SA"/>
        </w:rPr>
        <w:t>等区域建设的配套公共厕所，由其经营管理单位或主管部门负责管理维护；</w:t>
      </w:r>
    </w:p>
    <w:p w14:paraId="6452B31D">
      <w:pPr>
        <w:keepNext w:val="0"/>
        <w:keepLines w:val="0"/>
        <w:pageBreakBefore w:val="0"/>
        <w:numPr>
          <w:ilvl w:val="0"/>
          <w:numId w:val="2"/>
        </w:numPr>
        <w:kinsoku/>
        <w:wordWrap/>
        <w:overflowPunct/>
        <w:topLinePunct w:val="0"/>
        <w:autoSpaceDE/>
        <w:autoSpaceDN/>
        <w:bidi w:val="0"/>
        <w:adjustRightInd/>
        <w:snapToGrid/>
        <w:spacing w:beforeAutospacing="0" w:afterAutospacing="0" w:line="600" w:lineRule="exact"/>
        <w:ind w:left="1055" w:leftChars="0" w:hanging="425" w:firstLineChars="0"/>
        <w:textAlignment w:val="auto"/>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b w:val="0"/>
          <w:bCs w:val="0"/>
          <w:color w:val="auto"/>
          <w:sz w:val="32"/>
          <w:szCs w:val="32"/>
          <w:highlight w:val="none"/>
          <w:u w:val="none"/>
        </w:rPr>
        <w:t>酒店、宾馆、餐馆、饭店、商场、茶馆、咖啡馆、</w:t>
      </w:r>
      <w:r>
        <w:rPr>
          <w:rFonts w:hint="eastAsia" w:ascii="仿宋_GB2312" w:hAnsi="仿宋_GB2312" w:eastAsia="仿宋_GB2312" w:cs="仿宋_GB2312"/>
          <w:b w:val="0"/>
          <w:bCs w:val="0"/>
          <w:color w:val="auto"/>
          <w:sz w:val="32"/>
          <w:szCs w:val="32"/>
          <w:highlight w:val="none"/>
          <w:u w:val="none"/>
          <w:lang w:eastAsia="zh-CN"/>
        </w:rPr>
        <w:t>写字楼、办公楼、</w:t>
      </w:r>
      <w:r>
        <w:rPr>
          <w:rFonts w:hint="eastAsia" w:ascii="仿宋_GB2312" w:hAnsi="仿宋_GB2312" w:eastAsia="仿宋_GB2312" w:cs="仿宋_GB2312"/>
          <w:b w:val="0"/>
          <w:bCs w:val="0"/>
          <w:color w:val="auto"/>
          <w:sz w:val="32"/>
          <w:szCs w:val="32"/>
          <w:highlight w:val="none"/>
          <w:u w:val="none"/>
        </w:rPr>
        <w:t>网吧等向外部人群开放的</w:t>
      </w:r>
      <w:r>
        <w:rPr>
          <w:rFonts w:hint="eastAsia" w:ascii="仿宋_GB2312" w:hAnsi="仿宋_GB2312" w:eastAsia="仿宋_GB2312" w:cs="仿宋_GB2312"/>
          <w:b w:val="0"/>
          <w:bCs w:val="0"/>
          <w:color w:val="auto"/>
          <w:sz w:val="32"/>
          <w:szCs w:val="32"/>
          <w:highlight w:val="none"/>
          <w:u w:val="none"/>
          <w:lang w:eastAsia="zh-CN"/>
        </w:rPr>
        <w:t>公共厕所</w:t>
      </w:r>
      <w:r>
        <w:rPr>
          <w:rFonts w:hint="eastAsia" w:ascii="仿宋_GB2312" w:hAnsi="仿宋_GB2312" w:eastAsia="仿宋_GB2312" w:cs="仿宋_GB2312"/>
          <w:b w:val="0"/>
          <w:bCs w:val="0"/>
          <w:color w:val="auto"/>
          <w:sz w:val="32"/>
          <w:szCs w:val="32"/>
          <w:highlight w:val="none"/>
          <w:u w:val="none"/>
        </w:rPr>
        <w:t>（卫生间）</w:t>
      </w:r>
      <w:r>
        <w:rPr>
          <w:rFonts w:hint="eastAsia" w:ascii="仿宋_GB2312" w:hAnsi="仿宋_GB2312" w:eastAsia="仿宋_GB2312" w:cs="仿宋_GB2312"/>
          <w:b w:val="0"/>
          <w:bCs w:val="0"/>
          <w:color w:val="auto"/>
          <w:sz w:val="32"/>
          <w:szCs w:val="32"/>
          <w:highlight w:val="none"/>
          <w:u w:val="none"/>
          <w:lang w:eastAsia="zh-CN"/>
        </w:rPr>
        <w:t>，由权属单位或主管部门负责管理维护。</w:t>
      </w:r>
    </w:p>
    <w:p w14:paraId="63FE7717">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textAlignment w:val="auto"/>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4</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2</w:t>
      </w:r>
      <w:r>
        <w:rPr>
          <w:rFonts w:hint="default" w:ascii="仿宋_GB2312" w:hAnsi="仿宋_GB2312" w:eastAsia="仿宋_GB2312" w:cs="仿宋_GB2312"/>
          <w:b w:val="0"/>
          <w:bCs w:val="0"/>
          <w:color w:val="auto"/>
          <w:kern w:val="2"/>
          <w:sz w:val="32"/>
          <w:szCs w:val="32"/>
          <w:highlight w:val="none"/>
          <w:u w:val="none"/>
          <w:lang w:val="en-US" w:eastAsia="zh-CN" w:bidi="ar-SA"/>
        </w:rPr>
        <w:t>公共厕所应合理布局，外观和色彩设计应与周边环境协调</w:t>
      </w:r>
      <w:r>
        <w:rPr>
          <w:rFonts w:hint="eastAsia" w:ascii="仿宋_GB2312" w:hAnsi="仿宋_GB2312" w:eastAsia="仿宋_GB2312" w:cs="仿宋_GB2312"/>
          <w:b w:val="0"/>
          <w:bCs w:val="0"/>
          <w:color w:val="auto"/>
          <w:kern w:val="2"/>
          <w:sz w:val="32"/>
          <w:szCs w:val="32"/>
          <w:highlight w:val="none"/>
          <w:u w:val="none"/>
          <w:lang w:val="en-US" w:eastAsia="zh-CN" w:bidi="ar-SA"/>
        </w:rPr>
        <w:t>，符合城市公共厕所设计标准，避免邻避效应</w:t>
      </w:r>
      <w:r>
        <w:rPr>
          <w:rFonts w:hint="default" w:ascii="仿宋_GB2312" w:hAnsi="仿宋_GB2312" w:eastAsia="仿宋_GB2312" w:cs="仿宋_GB2312"/>
          <w:b w:val="0"/>
          <w:bCs w:val="0"/>
          <w:color w:val="auto"/>
          <w:kern w:val="2"/>
          <w:sz w:val="32"/>
          <w:szCs w:val="32"/>
          <w:highlight w:val="none"/>
          <w:u w:val="none"/>
          <w:lang w:val="en-US" w:eastAsia="zh-CN" w:bidi="ar-SA"/>
        </w:rPr>
        <w:t>。</w:t>
      </w:r>
    </w:p>
    <w:p w14:paraId="70B5E197">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4</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3</w:t>
      </w:r>
      <w:r>
        <w:rPr>
          <w:rFonts w:hint="eastAsia" w:ascii="仿宋_GB2312" w:hAnsi="仿宋_GB2312" w:eastAsia="仿宋_GB2312" w:cs="仿宋_GB2312"/>
          <w:b w:val="0"/>
          <w:bCs w:val="0"/>
          <w:color w:val="auto"/>
          <w:kern w:val="2"/>
          <w:sz w:val="32"/>
          <w:szCs w:val="32"/>
          <w:highlight w:val="none"/>
          <w:u w:val="none"/>
          <w:lang w:val="en-US" w:eastAsia="zh-CN" w:bidi="ar-SA"/>
        </w:rPr>
        <w:t>公共厕所按照场所和周边环境、建筑设计要求分为一类、二类、三类。</w:t>
      </w:r>
      <w:r>
        <w:rPr>
          <w:rFonts w:hint="default" w:ascii="仿宋_GB2312" w:hAnsi="仿宋_GB2312" w:eastAsia="仿宋_GB2312" w:cs="仿宋_GB2312"/>
          <w:b w:val="0"/>
          <w:bCs w:val="0"/>
          <w:color w:val="auto"/>
          <w:kern w:val="2"/>
          <w:sz w:val="32"/>
          <w:szCs w:val="32"/>
          <w:highlight w:val="none"/>
          <w:u w:val="none"/>
          <w:lang w:val="en-US" w:eastAsia="zh-CN" w:bidi="ar-SA"/>
        </w:rPr>
        <w:t>商业街区、重要公共设施、重要交通客运设施、公共绿地及其他环境要求高的区域的公共厕所建筑标准不应低于一类标准；主、次</w:t>
      </w:r>
      <w:r>
        <w:rPr>
          <w:rFonts w:hint="eastAsia" w:ascii="仿宋_GB2312" w:hAnsi="仿宋_GB2312" w:eastAsia="仿宋_GB2312" w:cs="仿宋_GB2312"/>
          <w:b w:val="0"/>
          <w:bCs w:val="0"/>
          <w:color w:val="auto"/>
          <w:kern w:val="2"/>
          <w:sz w:val="32"/>
          <w:szCs w:val="32"/>
          <w:highlight w:val="none"/>
          <w:u w:val="none"/>
          <w:lang w:val="en-US" w:eastAsia="zh-CN" w:bidi="ar-SA"/>
        </w:rPr>
        <w:t>干</w:t>
      </w:r>
      <w:r>
        <w:rPr>
          <w:rFonts w:hint="default" w:ascii="仿宋_GB2312" w:hAnsi="仿宋_GB2312" w:eastAsia="仿宋_GB2312" w:cs="仿宋_GB2312"/>
          <w:b w:val="0"/>
          <w:bCs w:val="0"/>
          <w:color w:val="auto"/>
          <w:kern w:val="2"/>
          <w:sz w:val="32"/>
          <w:szCs w:val="32"/>
          <w:highlight w:val="none"/>
          <w:u w:val="none"/>
          <w:lang w:val="en-US" w:eastAsia="zh-CN" w:bidi="ar-SA"/>
        </w:rPr>
        <w:t>道</w:t>
      </w:r>
      <w:r>
        <w:rPr>
          <w:rFonts w:hint="eastAsia" w:ascii="仿宋_GB2312" w:hAnsi="仿宋_GB2312" w:eastAsia="仿宋_GB2312" w:cs="仿宋_GB2312"/>
          <w:b w:val="0"/>
          <w:bCs w:val="0"/>
          <w:color w:val="auto"/>
          <w:kern w:val="2"/>
          <w:sz w:val="32"/>
          <w:szCs w:val="32"/>
          <w:highlight w:val="none"/>
          <w:u w:val="none"/>
          <w:lang w:val="en-US" w:eastAsia="zh-CN" w:bidi="ar-SA"/>
        </w:rPr>
        <w:t>及行人</w:t>
      </w:r>
      <w:r>
        <w:rPr>
          <w:rFonts w:hint="default" w:ascii="仿宋_GB2312" w:hAnsi="仿宋_GB2312" w:eastAsia="仿宋_GB2312" w:cs="仿宋_GB2312"/>
          <w:b w:val="0"/>
          <w:bCs w:val="0"/>
          <w:color w:val="auto"/>
          <w:kern w:val="2"/>
          <w:sz w:val="32"/>
          <w:szCs w:val="32"/>
          <w:highlight w:val="none"/>
          <w:u w:val="none"/>
          <w:lang w:val="en-US" w:eastAsia="zh-CN" w:bidi="ar-SA"/>
        </w:rPr>
        <w:t>交通量较大的道路沿线公共厕所建筑标准不应低于二类标准</w:t>
      </w:r>
      <w:r>
        <w:rPr>
          <w:rFonts w:hint="eastAsia" w:ascii="仿宋_GB2312" w:hAnsi="仿宋_GB2312" w:eastAsia="仿宋_GB2312" w:cs="仿宋_GB2312"/>
          <w:b w:val="0"/>
          <w:bCs w:val="0"/>
          <w:color w:val="auto"/>
          <w:kern w:val="2"/>
          <w:sz w:val="32"/>
          <w:szCs w:val="32"/>
          <w:highlight w:val="none"/>
          <w:u w:val="none"/>
          <w:lang w:val="en-US" w:eastAsia="zh-CN" w:bidi="ar-SA"/>
        </w:rPr>
        <w:t>。</w:t>
      </w:r>
    </w:p>
    <w:p w14:paraId="738FC6BE">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4</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4</w:t>
      </w:r>
      <w:r>
        <w:rPr>
          <w:rFonts w:hint="eastAsia" w:ascii="仿宋_GB2312" w:hAnsi="仿宋_GB2312" w:eastAsia="仿宋_GB2312" w:cs="仿宋_GB2312"/>
          <w:b w:val="0"/>
          <w:bCs w:val="0"/>
          <w:color w:val="auto"/>
          <w:kern w:val="2"/>
          <w:sz w:val="32"/>
          <w:szCs w:val="32"/>
          <w:highlight w:val="none"/>
          <w:u w:val="none"/>
          <w:lang w:val="en-US" w:eastAsia="zh-CN" w:bidi="ar-SA"/>
        </w:rPr>
        <w:t>景区景点、商业街区（步行街、特色街）、交通车站等区域应结合人流情况增加公共厕所设置密度，鼓励其周边区域商场、酒吧、酒店、旅馆、饭店等对外开放公共厕所（卫生间）。</w:t>
      </w:r>
    </w:p>
    <w:p w14:paraId="4732C49F">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textAlignment w:val="auto"/>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4</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5</w:t>
      </w:r>
      <w:r>
        <w:rPr>
          <w:rFonts w:hint="eastAsia" w:ascii="仿宋_GB2312" w:hAnsi="仿宋_GB2312" w:eastAsia="仿宋_GB2312" w:cs="仿宋_GB2312"/>
          <w:b w:val="0"/>
          <w:bCs w:val="0"/>
          <w:color w:val="auto"/>
          <w:kern w:val="2"/>
          <w:sz w:val="32"/>
          <w:szCs w:val="32"/>
          <w:highlight w:val="none"/>
          <w:u w:val="none"/>
          <w:lang w:val="en-US" w:eastAsia="zh-CN" w:bidi="ar-SA"/>
        </w:rPr>
        <w:t>公共厕所应充分考虑设置无障碍设施、第三卫生间，并与公共厕所同步设计建设；</w:t>
      </w:r>
      <w:r>
        <w:rPr>
          <w:rFonts w:hint="default" w:ascii="仿宋_GB2312" w:hAnsi="仿宋_GB2312" w:eastAsia="仿宋_GB2312" w:cs="仿宋_GB2312"/>
          <w:b w:val="0"/>
          <w:bCs w:val="0"/>
          <w:color w:val="auto"/>
          <w:kern w:val="2"/>
          <w:sz w:val="32"/>
          <w:szCs w:val="32"/>
          <w:highlight w:val="none"/>
          <w:u w:val="none"/>
          <w:lang w:val="en-US" w:eastAsia="zh-CN" w:bidi="ar-SA"/>
        </w:rPr>
        <w:t>设置</w:t>
      </w:r>
      <w:r>
        <w:rPr>
          <w:rFonts w:hint="eastAsia" w:ascii="仿宋_GB2312" w:hAnsi="仿宋_GB2312" w:eastAsia="仿宋_GB2312" w:cs="仿宋_GB2312"/>
          <w:b w:val="0"/>
          <w:bCs w:val="0"/>
          <w:color w:val="auto"/>
          <w:kern w:val="2"/>
          <w:sz w:val="32"/>
          <w:szCs w:val="32"/>
          <w:highlight w:val="none"/>
          <w:u w:val="none"/>
          <w:lang w:val="en-US" w:eastAsia="zh-CN" w:bidi="ar-SA"/>
        </w:rPr>
        <w:t>明显的</w:t>
      </w:r>
      <w:r>
        <w:rPr>
          <w:rFonts w:hint="default" w:ascii="仿宋_GB2312" w:hAnsi="仿宋_GB2312" w:eastAsia="仿宋_GB2312" w:cs="仿宋_GB2312"/>
          <w:b w:val="0"/>
          <w:bCs w:val="0"/>
          <w:color w:val="auto"/>
          <w:kern w:val="2"/>
          <w:sz w:val="32"/>
          <w:szCs w:val="32"/>
          <w:highlight w:val="none"/>
          <w:u w:val="none"/>
          <w:lang w:val="en-US" w:eastAsia="zh-CN" w:bidi="ar-SA"/>
        </w:rPr>
        <w:t>公共厕所标志及相应的指引标志</w:t>
      </w:r>
      <w:r>
        <w:rPr>
          <w:rFonts w:hint="eastAsia" w:ascii="仿宋_GB2312" w:hAnsi="仿宋_GB2312" w:eastAsia="仿宋_GB2312" w:cs="仿宋_GB2312"/>
          <w:b w:val="0"/>
          <w:bCs w:val="0"/>
          <w:color w:val="auto"/>
          <w:kern w:val="2"/>
          <w:sz w:val="32"/>
          <w:szCs w:val="32"/>
          <w:highlight w:val="none"/>
          <w:u w:val="none"/>
          <w:lang w:val="en-US" w:eastAsia="zh-CN" w:bidi="ar-SA"/>
        </w:rPr>
        <w:t>，设置倡导“文明如厕”等公益宣传；按照公厕设计标准配置洗手台、照明等配套设施。</w:t>
      </w:r>
    </w:p>
    <w:p w14:paraId="5095EAD7">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outlineLvl w:val="9"/>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4</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6</w:t>
      </w:r>
      <w:r>
        <w:rPr>
          <w:rFonts w:hint="eastAsia" w:ascii="仿宋_GB2312" w:hAnsi="仿宋_GB2312" w:eastAsia="仿宋_GB2312" w:cs="仿宋_GB2312"/>
          <w:b w:val="0"/>
          <w:bCs w:val="0"/>
          <w:color w:val="auto"/>
          <w:kern w:val="2"/>
          <w:sz w:val="32"/>
          <w:szCs w:val="32"/>
          <w:highlight w:val="none"/>
          <w:u w:val="none"/>
          <w:lang w:val="en-US" w:eastAsia="zh-CN" w:bidi="ar-SA"/>
        </w:rPr>
        <w:t>公厕的</w:t>
      </w:r>
      <w:r>
        <w:rPr>
          <w:rFonts w:hint="default" w:ascii="仿宋_GB2312" w:hAnsi="仿宋_GB2312" w:eastAsia="仿宋_GB2312" w:cs="仿宋_GB2312"/>
          <w:color w:val="auto"/>
          <w:kern w:val="2"/>
          <w:sz w:val="32"/>
          <w:szCs w:val="32"/>
          <w:highlight w:val="none"/>
          <w:u w:val="none"/>
          <w:lang w:val="en-US" w:eastAsia="zh-CN" w:bidi="ar-SA"/>
        </w:rPr>
        <w:t>日常卫生保洁和</w:t>
      </w:r>
      <w:r>
        <w:rPr>
          <w:rFonts w:hint="eastAsia" w:ascii="仿宋_GB2312" w:hAnsi="仿宋_GB2312" w:eastAsia="仿宋_GB2312" w:cs="仿宋_GB2312"/>
          <w:color w:val="auto"/>
          <w:kern w:val="2"/>
          <w:sz w:val="32"/>
          <w:szCs w:val="32"/>
          <w:highlight w:val="none"/>
          <w:u w:val="none"/>
          <w:lang w:val="en-US" w:eastAsia="zh-CN" w:bidi="ar-SA"/>
        </w:rPr>
        <w:t>维护管理</w:t>
      </w:r>
      <w:r>
        <w:rPr>
          <w:rFonts w:hint="default" w:ascii="仿宋_GB2312" w:hAnsi="仿宋_GB2312" w:eastAsia="仿宋_GB2312" w:cs="仿宋_GB2312"/>
          <w:color w:val="auto"/>
          <w:kern w:val="2"/>
          <w:sz w:val="32"/>
          <w:szCs w:val="32"/>
          <w:highlight w:val="none"/>
          <w:u w:val="none"/>
          <w:lang w:val="en-US" w:eastAsia="zh-CN" w:bidi="ar-SA"/>
        </w:rPr>
        <w:t>，</w:t>
      </w:r>
      <w:r>
        <w:rPr>
          <w:rFonts w:hint="eastAsia" w:ascii="仿宋_GB2312" w:hAnsi="仿宋_GB2312" w:eastAsia="仿宋_GB2312" w:cs="仿宋_GB2312"/>
          <w:b w:val="0"/>
          <w:bCs w:val="0"/>
          <w:color w:val="auto"/>
          <w:kern w:val="2"/>
          <w:sz w:val="32"/>
          <w:szCs w:val="32"/>
          <w:highlight w:val="none"/>
          <w:u w:val="none"/>
          <w:lang w:val="en-US" w:eastAsia="zh-CN" w:bidi="ar-SA"/>
        </w:rPr>
        <w:t>实行专人管理，</w:t>
      </w:r>
      <w:r>
        <w:rPr>
          <w:rFonts w:hint="default" w:ascii="仿宋_GB2312" w:hAnsi="仿宋_GB2312" w:eastAsia="仿宋_GB2312" w:cs="仿宋_GB2312"/>
          <w:color w:val="auto"/>
          <w:kern w:val="2"/>
          <w:sz w:val="32"/>
          <w:szCs w:val="32"/>
          <w:highlight w:val="none"/>
          <w:u w:val="none"/>
          <w:lang w:val="en-US" w:eastAsia="zh-CN" w:bidi="ar-SA"/>
        </w:rPr>
        <w:t>及时维修</w:t>
      </w:r>
      <w:r>
        <w:rPr>
          <w:rFonts w:hint="eastAsia" w:ascii="仿宋_GB2312" w:hAnsi="仿宋_GB2312" w:eastAsia="仿宋_GB2312" w:cs="仿宋_GB2312"/>
          <w:color w:val="auto"/>
          <w:kern w:val="2"/>
          <w:sz w:val="32"/>
          <w:szCs w:val="32"/>
          <w:highlight w:val="none"/>
          <w:u w:val="none"/>
          <w:lang w:val="en-US" w:eastAsia="zh-CN" w:bidi="ar-SA"/>
        </w:rPr>
        <w:t>、</w:t>
      </w:r>
      <w:r>
        <w:rPr>
          <w:rFonts w:hint="default" w:ascii="仿宋_GB2312" w:hAnsi="仿宋_GB2312" w:eastAsia="仿宋_GB2312" w:cs="仿宋_GB2312"/>
          <w:color w:val="auto"/>
          <w:kern w:val="2"/>
          <w:sz w:val="32"/>
          <w:szCs w:val="32"/>
          <w:highlight w:val="none"/>
          <w:u w:val="none"/>
          <w:lang w:val="en-US" w:eastAsia="zh-CN" w:bidi="ar-SA"/>
        </w:rPr>
        <w:t>更换损坏设施</w:t>
      </w:r>
      <w:r>
        <w:rPr>
          <w:rFonts w:hint="eastAsia" w:ascii="仿宋_GB2312" w:hAnsi="仿宋_GB2312" w:eastAsia="仿宋_GB2312" w:cs="仿宋_GB2312"/>
          <w:color w:val="auto"/>
          <w:kern w:val="2"/>
          <w:sz w:val="32"/>
          <w:szCs w:val="32"/>
          <w:highlight w:val="none"/>
          <w:u w:val="none"/>
          <w:lang w:val="en-US" w:eastAsia="zh-CN" w:bidi="ar-SA"/>
        </w:rPr>
        <w:t>设备</w:t>
      </w:r>
      <w:r>
        <w:rPr>
          <w:rFonts w:hint="default" w:ascii="仿宋_GB2312" w:hAnsi="仿宋_GB2312" w:eastAsia="仿宋_GB2312" w:cs="仿宋_GB2312"/>
          <w:color w:val="auto"/>
          <w:kern w:val="2"/>
          <w:sz w:val="32"/>
          <w:szCs w:val="32"/>
          <w:highlight w:val="none"/>
          <w:u w:val="none"/>
          <w:lang w:val="en-US" w:eastAsia="zh-CN" w:bidi="ar-SA"/>
        </w:rPr>
        <w:t>，</w:t>
      </w:r>
      <w:r>
        <w:rPr>
          <w:rFonts w:hint="eastAsia" w:ascii="仿宋_GB2312" w:hAnsi="仿宋_GB2312" w:eastAsia="仿宋_GB2312" w:cs="仿宋_GB2312"/>
          <w:b w:val="0"/>
          <w:bCs w:val="0"/>
          <w:color w:val="auto"/>
          <w:kern w:val="2"/>
          <w:sz w:val="32"/>
          <w:szCs w:val="32"/>
          <w:highlight w:val="none"/>
          <w:u w:val="none"/>
          <w:lang w:val="en-US" w:eastAsia="zh-CN" w:bidi="ar-SA"/>
        </w:rPr>
        <w:t>保持公共厕所干净整洁、无异味、无积水，</w:t>
      </w:r>
      <w:r>
        <w:rPr>
          <w:rFonts w:hint="default" w:ascii="仿宋_GB2312" w:hAnsi="仿宋_GB2312" w:eastAsia="仿宋_GB2312" w:cs="仿宋_GB2312"/>
          <w:b w:val="0"/>
          <w:bCs w:val="0"/>
          <w:color w:val="auto"/>
          <w:kern w:val="2"/>
          <w:sz w:val="32"/>
          <w:szCs w:val="32"/>
          <w:highlight w:val="none"/>
          <w:u w:val="none"/>
          <w:lang w:val="en-US" w:eastAsia="zh-CN" w:bidi="ar-SA"/>
        </w:rPr>
        <w:t>无乱</w:t>
      </w:r>
      <w:r>
        <w:rPr>
          <w:rFonts w:hint="eastAsia" w:ascii="仿宋_GB2312" w:hAnsi="仿宋_GB2312" w:eastAsia="仿宋_GB2312" w:cs="仿宋_GB2312"/>
          <w:b w:val="0"/>
          <w:bCs w:val="0"/>
          <w:color w:val="auto"/>
          <w:kern w:val="2"/>
          <w:sz w:val="32"/>
          <w:szCs w:val="32"/>
          <w:highlight w:val="none"/>
          <w:u w:val="none"/>
          <w:lang w:val="en-US" w:eastAsia="zh-CN" w:bidi="ar-SA"/>
        </w:rPr>
        <w:t>贴乱画，</w:t>
      </w:r>
      <w:r>
        <w:rPr>
          <w:rFonts w:hint="default" w:ascii="仿宋_GB2312" w:hAnsi="仿宋_GB2312" w:eastAsia="仿宋_GB2312" w:cs="仿宋_GB2312"/>
          <w:b w:val="0"/>
          <w:bCs w:val="0"/>
          <w:color w:val="auto"/>
          <w:kern w:val="2"/>
          <w:sz w:val="32"/>
          <w:szCs w:val="32"/>
          <w:highlight w:val="none"/>
          <w:u w:val="none"/>
          <w:lang w:val="en-US" w:eastAsia="zh-CN" w:bidi="ar-SA"/>
        </w:rPr>
        <w:t>无积灰、污迹、蛛网。移动公厕应合理设置、专人管理，粪便废物运输处理符合无害化要求。</w:t>
      </w:r>
    </w:p>
    <w:p w14:paraId="76572D8B">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default" w:ascii="仿宋_GB2312" w:hAnsi="仿宋_GB2312" w:eastAsia="仿宋_GB2312" w:cs="仿宋_GB2312"/>
          <w:b/>
          <w:bCs/>
          <w:color w:val="auto"/>
          <w:kern w:val="2"/>
          <w:sz w:val="32"/>
          <w:szCs w:val="32"/>
          <w:highlight w:val="none"/>
          <w:u w:val="none"/>
          <w:lang w:val="en-US" w:eastAsia="zh-CN" w:bidi="ar-SA"/>
        </w:rPr>
      </w:pPr>
      <w:bookmarkStart w:id="112" w:name="_Toc451"/>
      <w:bookmarkStart w:id="113" w:name="_Toc7187"/>
      <w:bookmarkStart w:id="114" w:name="_Toc26856"/>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.5建筑垃圾处置</w:t>
      </w:r>
      <w:bookmarkEnd w:id="112"/>
      <w:bookmarkEnd w:id="113"/>
      <w:bookmarkEnd w:id="114"/>
    </w:p>
    <w:p w14:paraId="571772E5">
      <w:pPr>
        <w:keepNext w:val="0"/>
        <w:keepLines w:val="0"/>
        <w:pageBreakBefore w:val="0"/>
        <w:kinsoku/>
        <w:wordWrap/>
        <w:overflowPunct/>
        <w:topLinePunct w:val="0"/>
        <w:bidi w:val="0"/>
        <w:spacing w:line="560" w:lineRule="exact"/>
        <w:textAlignment w:val="auto"/>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.5.1</w:t>
      </w:r>
      <w:r>
        <w:rPr>
          <w:rFonts w:hint="default" w:ascii="仿宋_GB2312" w:hAnsi="仿宋_GB2312" w:eastAsia="仿宋_GB2312" w:cs="仿宋_GB2312"/>
          <w:b w:val="0"/>
          <w:bCs w:val="0"/>
          <w:color w:val="auto"/>
          <w:kern w:val="2"/>
          <w:sz w:val="32"/>
          <w:szCs w:val="32"/>
          <w:highlight w:val="none"/>
          <w:u w:val="none"/>
          <w:lang w:val="en-US" w:eastAsia="zh-CN" w:bidi="ar-SA"/>
        </w:rPr>
        <w:t>建筑垃圾</w:t>
      </w:r>
      <w:r>
        <w:rPr>
          <w:rFonts w:hint="eastAsia" w:ascii="仿宋_GB2312" w:hAnsi="仿宋_GB2312" w:eastAsia="仿宋_GB2312" w:cs="仿宋_GB2312"/>
          <w:b w:val="0"/>
          <w:bCs w:val="0"/>
          <w:color w:val="auto"/>
          <w:kern w:val="2"/>
          <w:sz w:val="32"/>
          <w:szCs w:val="32"/>
          <w:highlight w:val="none"/>
          <w:u w:val="none"/>
          <w:lang w:val="en-US" w:eastAsia="zh-CN" w:bidi="ar-SA"/>
        </w:rPr>
        <w:t>应</w:t>
      </w:r>
      <w:r>
        <w:rPr>
          <w:rFonts w:hint="default" w:ascii="仿宋_GB2312" w:hAnsi="仿宋_GB2312" w:eastAsia="仿宋_GB2312" w:cs="仿宋_GB2312"/>
          <w:b w:val="0"/>
          <w:bCs w:val="0"/>
          <w:color w:val="auto"/>
          <w:kern w:val="2"/>
          <w:sz w:val="32"/>
          <w:szCs w:val="32"/>
          <w:highlight w:val="none"/>
          <w:u w:val="none"/>
          <w:lang w:val="en-US" w:eastAsia="zh-CN" w:bidi="ar-SA"/>
        </w:rPr>
        <w:t>按不同的产生源、种类、性质分类收集</w:t>
      </w:r>
      <w:r>
        <w:rPr>
          <w:rFonts w:hint="eastAsia" w:ascii="仿宋_GB2312" w:hAnsi="仿宋_GB2312" w:eastAsia="仿宋_GB2312" w:cs="仿宋_GB2312"/>
          <w:b w:val="0"/>
          <w:bCs w:val="0"/>
          <w:color w:val="auto"/>
          <w:kern w:val="2"/>
          <w:sz w:val="32"/>
          <w:szCs w:val="32"/>
          <w:highlight w:val="none"/>
          <w:u w:val="none"/>
          <w:lang w:val="en-US" w:eastAsia="zh-CN" w:bidi="ar-SA"/>
        </w:rPr>
        <w:t>、</w:t>
      </w:r>
      <w:r>
        <w:rPr>
          <w:rFonts w:hint="default" w:ascii="仿宋_GB2312" w:hAnsi="仿宋_GB2312" w:eastAsia="仿宋_GB2312" w:cs="仿宋_GB2312"/>
          <w:b w:val="0"/>
          <w:bCs w:val="0"/>
          <w:color w:val="auto"/>
          <w:kern w:val="2"/>
          <w:sz w:val="32"/>
          <w:szCs w:val="32"/>
          <w:highlight w:val="none"/>
          <w:u w:val="none"/>
          <w:lang w:val="en-US" w:eastAsia="zh-CN" w:bidi="ar-SA"/>
        </w:rPr>
        <w:t>处理</w:t>
      </w:r>
      <w:r>
        <w:rPr>
          <w:rFonts w:hint="eastAsia" w:ascii="仿宋_GB2312" w:hAnsi="仿宋_GB2312" w:eastAsia="仿宋_GB2312" w:cs="仿宋_GB2312"/>
          <w:b w:val="0"/>
          <w:bCs w:val="0"/>
          <w:color w:val="auto"/>
          <w:kern w:val="2"/>
          <w:sz w:val="32"/>
          <w:szCs w:val="32"/>
          <w:highlight w:val="none"/>
          <w:u w:val="none"/>
          <w:lang w:val="en-US" w:eastAsia="zh-CN" w:bidi="ar-SA"/>
        </w:rPr>
        <w:t>，</w:t>
      </w:r>
      <w:r>
        <w:rPr>
          <w:rFonts w:hint="eastAsia" w:ascii="仿宋_GB2312" w:hAnsi="宋体" w:eastAsia="仿宋_GB2312" w:cs="仿宋_GB2312"/>
          <w:color w:val="auto"/>
          <w:kern w:val="0"/>
          <w:sz w:val="31"/>
          <w:szCs w:val="31"/>
          <w:highlight w:val="none"/>
          <w:u w:val="none"/>
          <w:lang w:val="en-US" w:eastAsia="zh-CN" w:bidi="ar"/>
        </w:rPr>
        <w:t>建筑垃圾处置依法实行核准制度；</w:t>
      </w:r>
      <w:r>
        <w:rPr>
          <w:rFonts w:hint="eastAsia" w:ascii="仿宋_GB2312" w:hAnsi="仿宋_GB2312" w:eastAsia="仿宋_GB2312" w:cs="仿宋_GB2312"/>
          <w:b w:val="0"/>
          <w:bCs w:val="0"/>
          <w:color w:val="auto"/>
          <w:kern w:val="2"/>
          <w:sz w:val="32"/>
          <w:szCs w:val="32"/>
          <w:highlight w:val="none"/>
          <w:u w:val="none"/>
          <w:lang w:val="en-US" w:eastAsia="zh-CN" w:bidi="ar-SA"/>
        </w:rPr>
        <w:t>建筑垃圾产生、运输、处置纳入“贵阳贵安建筑垃圾管理服务平台”，推行“电子三联单”管理模式，实现全过程智能监管。</w:t>
      </w:r>
    </w:p>
    <w:p w14:paraId="2FB7B1B3">
      <w:pPr>
        <w:keepNext w:val="0"/>
        <w:keepLines w:val="0"/>
        <w:widowControl/>
        <w:suppressLineNumbers w:val="0"/>
        <w:jc w:val="left"/>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5.5.2</w:t>
      </w:r>
      <w:r>
        <w:rPr>
          <w:rFonts w:hint="eastAsia" w:ascii="仿宋_GB2312" w:hAnsi="仿宋_GB2312" w:eastAsia="仿宋_GB2312" w:cs="仿宋_GB2312"/>
          <w:b w:val="0"/>
          <w:bCs w:val="0"/>
          <w:color w:val="auto"/>
          <w:kern w:val="2"/>
          <w:sz w:val="32"/>
          <w:szCs w:val="32"/>
          <w:highlight w:val="none"/>
          <w:u w:val="none"/>
          <w:lang w:val="en-US" w:eastAsia="zh-CN" w:bidi="ar-SA"/>
        </w:rPr>
        <w:t>施工单位应按照建筑垃圾属性做好施工现场建筑垃圾分类收集和规范贮存。拆除垃圾和装修垃圾应按金属、木材、塑料、其他等分类收集贮存。施工场地、居民小区、公共机构、公共场所、经营区域等堆放建筑垃圾，应合理设置临时堆放区域并采取围挡、防尘网覆盖、洒水降尘等防尘措施。</w:t>
      </w:r>
    </w:p>
    <w:p w14:paraId="1CC76FB0">
      <w:pPr>
        <w:keepNext w:val="0"/>
        <w:keepLines w:val="0"/>
        <w:widowControl/>
        <w:suppressLineNumbers w:val="0"/>
        <w:jc w:val="left"/>
        <w:rPr>
          <w:color w:val="auto"/>
          <w:highlight w:val="none"/>
          <w:u w:val="none"/>
        </w:rPr>
      </w:pPr>
      <w:r>
        <w:rPr>
          <w:rFonts w:hint="eastAsia" w:ascii="仿宋_GB2312" w:hAnsi="仿宋_GB2312" w:eastAsia="仿宋_GB2312" w:cs="仿宋_GB2312"/>
          <w:b/>
          <w:bCs/>
          <w:color w:val="auto"/>
          <w:kern w:val="2"/>
          <w:sz w:val="32"/>
          <w:szCs w:val="32"/>
          <w:highlight w:val="none"/>
          <w:u w:val="none"/>
          <w:lang w:val="en-US" w:eastAsia="zh-CN" w:bidi="ar-SA"/>
        </w:rPr>
        <w:t>5</w:t>
      </w:r>
      <w:r>
        <w:rPr>
          <w:rFonts w:hint="default" w:ascii="仿宋_GB2312" w:hAnsi="仿宋_GB2312" w:eastAsia="仿宋_GB2312" w:cs="仿宋_GB2312"/>
          <w:b/>
          <w:bCs/>
          <w:color w:val="auto"/>
          <w:kern w:val="2"/>
          <w:sz w:val="32"/>
          <w:szCs w:val="32"/>
          <w:highlight w:val="none"/>
          <w:u w:val="none"/>
          <w:lang w:val="en-US" w:eastAsia="zh-CN" w:bidi="ar-SA"/>
        </w:rPr>
        <w:t>.5.3</w:t>
      </w:r>
      <w:r>
        <w:rPr>
          <w:rFonts w:hint="default" w:ascii="仿宋_GB2312" w:hAnsi="仿宋_GB2312" w:eastAsia="仿宋_GB2312" w:cs="仿宋_GB2312"/>
          <w:b w:val="0"/>
          <w:bCs w:val="0"/>
          <w:color w:val="auto"/>
          <w:kern w:val="2"/>
          <w:sz w:val="32"/>
          <w:szCs w:val="32"/>
          <w:highlight w:val="none"/>
          <w:u w:val="none"/>
          <w:lang w:val="en-US" w:eastAsia="zh-CN" w:bidi="ar-SA"/>
        </w:rPr>
        <w:t>建筑垃圾应采用密闭方式运输，运输车辆出场时应冲洗，</w:t>
      </w:r>
      <w:r>
        <w:rPr>
          <w:rFonts w:hint="eastAsia" w:ascii="仿宋_GB2312" w:hAnsi="仿宋_GB2312" w:eastAsia="仿宋_GB2312" w:cs="仿宋_GB2312"/>
          <w:b w:val="0"/>
          <w:bCs w:val="0"/>
          <w:color w:val="auto"/>
          <w:kern w:val="2"/>
          <w:sz w:val="32"/>
          <w:szCs w:val="32"/>
          <w:highlight w:val="none"/>
          <w:u w:val="none"/>
          <w:lang w:val="en-US" w:eastAsia="zh-CN" w:bidi="ar-SA"/>
        </w:rPr>
        <w:t>保持</w:t>
      </w:r>
      <w:r>
        <w:rPr>
          <w:rFonts w:hint="default" w:ascii="仿宋_GB2312" w:hAnsi="仿宋_GB2312" w:eastAsia="仿宋_GB2312" w:cs="仿宋_GB2312"/>
          <w:b w:val="0"/>
          <w:bCs w:val="0"/>
          <w:color w:val="auto"/>
          <w:kern w:val="2"/>
          <w:sz w:val="32"/>
          <w:szCs w:val="32"/>
          <w:highlight w:val="none"/>
          <w:u w:val="none"/>
          <w:lang w:val="en-US" w:eastAsia="zh-CN" w:bidi="ar-SA"/>
        </w:rPr>
        <w:t>车辆外观整洁、标志齐全，无大块泥沙等附着物，运输途中不得漏撒和飞扬</w:t>
      </w:r>
      <w:r>
        <w:rPr>
          <w:rFonts w:hint="eastAsia" w:ascii="仿宋_GB2312" w:hAnsi="仿宋_GB2312" w:eastAsia="仿宋_GB2312" w:cs="仿宋_GB2312"/>
          <w:b w:val="0"/>
          <w:bCs w:val="0"/>
          <w:color w:val="auto"/>
          <w:kern w:val="2"/>
          <w:sz w:val="32"/>
          <w:szCs w:val="32"/>
          <w:highlight w:val="none"/>
          <w:u w:val="none"/>
          <w:lang w:val="en-US" w:eastAsia="zh-CN" w:bidi="ar-SA"/>
        </w:rPr>
        <w:t>，</w:t>
      </w:r>
      <w:r>
        <w:rPr>
          <w:rFonts w:hint="eastAsia" w:ascii="仿宋_GB2312" w:hAnsi="宋体" w:eastAsia="仿宋_GB2312" w:cs="仿宋_GB2312"/>
          <w:color w:val="auto"/>
          <w:kern w:val="0"/>
          <w:sz w:val="31"/>
          <w:szCs w:val="31"/>
          <w:highlight w:val="none"/>
          <w:u w:val="none"/>
          <w:lang w:val="en-US" w:eastAsia="zh-CN" w:bidi="ar"/>
        </w:rPr>
        <w:t>按照规定的时间、路线行驶</w:t>
      </w:r>
      <w:r>
        <w:rPr>
          <w:rFonts w:hint="eastAsia" w:ascii="仿宋_GB2312" w:hAnsi="仿宋_GB2312" w:eastAsia="仿宋_GB2312" w:cs="仿宋_GB2312"/>
          <w:b w:val="0"/>
          <w:bCs w:val="0"/>
          <w:color w:val="auto"/>
          <w:kern w:val="2"/>
          <w:sz w:val="32"/>
          <w:szCs w:val="32"/>
          <w:highlight w:val="none"/>
          <w:u w:val="none"/>
          <w:lang w:val="en-US" w:eastAsia="zh-CN" w:bidi="ar-SA"/>
        </w:rPr>
        <w:t>；</w:t>
      </w:r>
      <w:r>
        <w:rPr>
          <w:rFonts w:hint="eastAsia" w:ascii="仿宋_GB2312" w:hAnsi="宋体" w:eastAsia="仿宋_GB2312" w:cs="仿宋_GB2312"/>
          <w:color w:val="auto"/>
          <w:kern w:val="0"/>
          <w:sz w:val="31"/>
          <w:szCs w:val="31"/>
          <w:highlight w:val="none"/>
          <w:u w:val="none"/>
          <w:lang w:val="en-US" w:eastAsia="zh-CN" w:bidi="ar"/>
        </w:rPr>
        <w:t>不得超出核准范围承运建筑垃圾，不得将建筑垃圾交给个人或者未经依法核准从事建筑垃圾运输的单位运输。</w:t>
      </w:r>
    </w:p>
    <w:p w14:paraId="2540CB19">
      <w:pPr>
        <w:keepNext w:val="0"/>
        <w:keepLines w:val="0"/>
        <w:pageBreakBefore w:val="0"/>
        <w:kinsoku/>
        <w:wordWrap/>
        <w:overflowPunct/>
        <w:topLinePunct w:val="0"/>
        <w:bidi w:val="0"/>
        <w:spacing w:line="560" w:lineRule="exact"/>
        <w:textAlignment w:val="auto"/>
        <w:rPr>
          <w:rFonts w:hint="eastAsia" w:ascii="仿宋_GB2312" w:hAnsi="宋体" w:eastAsia="仿宋_GB2312" w:cs="仿宋_GB2312"/>
          <w:color w:val="auto"/>
          <w:kern w:val="0"/>
          <w:sz w:val="31"/>
          <w:szCs w:val="31"/>
          <w:highlight w:val="none"/>
          <w:u w:val="none"/>
          <w:lang w:val="en-US" w:eastAsia="zh-CN" w:bidi="ar"/>
        </w:rPr>
      </w:pPr>
      <w:r>
        <w:rPr>
          <w:rFonts w:hint="eastAsia" w:ascii="仿宋_GB2312" w:hAnsi="仿宋_GB2312" w:eastAsia="仿宋_GB2312" w:cs="仿宋_GB2312"/>
          <w:b/>
          <w:bCs/>
          <w:color w:val="auto"/>
          <w:kern w:val="2"/>
          <w:sz w:val="32"/>
          <w:szCs w:val="32"/>
          <w:highlight w:val="none"/>
          <w:u w:val="none"/>
          <w:lang w:val="en-US" w:eastAsia="zh-CN" w:bidi="ar-SA"/>
        </w:rPr>
        <w:t>5.5.4</w:t>
      </w:r>
      <w:r>
        <w:rPr>
          <w:rFonts w:hint="eastAsia" w:ascii="仿宋_GB2312" w:hAnsi="宋体" w:eastAsia="仿宋_GB2312" w:cs="仿宋_GB2312"/>
          <w:color w:val="auto"/>
          <w:kern w:val="0"/>
          <w:sz w:val="31"/>
          <w:szCs w:val="31"/>
          <w:highlight w:val="none"/>
          <w:u w:val="none"/>
          <w:lang w:val="en-US" w:eastAsia="zh-CN" w:bidi="ar"/>
        </w:rPr>
        <w:t>工程施工单位应当编制建筑垃圾处理方案，并报县级以上地方人民政府城市市容和环境卫生主管部门备案，按照城市市容和环境卫生主管部门的规定进行利用或者处置，不得擅自倾倒、抛撒或者堆放工程施工过程中产生的建筑垃圾。</w:t>
      </w:r>
    </w:p>
    <w:p w14:paraId="63F9A5A6">
      <w:pPr>
        <w:keepNext w:val="0"/>
        <w:keepLines w:val="0"/>
        <w:pageBreakBefore w:val="0"/>
        <w:kinsoku/>
        <w:wordWrap/>
        <w:overflowPunct/>
        <w:topLinePunct w:val="0"/>
        <w:bidi w:val="0"/>
        <w:spacing w:line="560" w:lineRule="exact"/>
        <w:textAlignment w:val="auto"/>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5.5.5</w:t>
      </w:r>
      <w:r>
        <w:rPr>
          <w:rFonts w:hint="eastAsia" w:ascii="仿宋_GB2312" w:hAnsi="仿宋_GB2312" w:eastAsia="仿宋_GB2312" w:cs="仿宋_GB2312"/>
          <w:b w:val="0"/>
          <w:bCs w:val="0"/>
          <w:color w:val="auto"/>
          <w:kern w:val="2"/>
          <w:sz w:val="32"/>
          <w:szCs w:val="32"/>
          <w:highlight w:val="none"/>
          <w:u w:val="none"/>
          <w:lang w:val="en-US" w:eastAsia="zh-CN" w:bidi="ar-SA"/>
        </w:rPr>
        <w:t>建筑垃圾处置应优先资源化利用，其次堆填，最后填埋处理，处理过程中应做好防尘、防渗措施。</w:t>
      </w:r>
      <w:r>
        <w:rPr>
          <w:rFonts w:hint="default" w:ascii="仿宋_GB2312" w:hAnsi="仿宋_GB2312" w:eastAsia="仿宋_GB2312" w:cs="仿宋_GB2312"/>
          <w:b w:val="0"/>
          <w:bCs w:val="0"/>
          <w:color w:val="auto"/>
          <w:kern w:val="2"/>
          <w:sz w:val="32"/>
          <w:szCs w:val="32"/>
          <w:highlight w:val="none"/>
          <w:u w:val="none"/>
          <w:lang w:val="en-US" w:eastAsia="zh-CN" w:bidi="ar-SA"/>
        </w:rPr>
        <w:t>建筑垃圾收运、处置全过程严禁混入生活垃圾、</w:t>
      </w:r>
      <w:r>
        <w:rPr>
          <w:rFonts w:hint="eastAsia" w:ascii="仿宋_GB2312" w:hAnsi="仿宋_GB2312" w:eastAsia="仿宋_GB2312" w:cs="仿宋_GB2312"/>
          <w:b w:val="0"/>
          <w:bCs w:val="0"/>
          <w:color w:val="auto"/>
          <w:kern w:val="2"/>
          <w:sz w:val="32"/>
          <w:szCs w:val="32"/>
          <w:highlight w:val="none"/>
          <w:u w:val="none"/>
          <w:lang w:val="en-US" w:eastAsia="zh-CN" w:bidi="ar-SA"/>
        </w:rPr>
        <w:t>大件垃圾、</w:t>
      </w:r>
      <w:r>
        <w:rPr>
          <w:rFonts w:hint="default" w:ascii="仿宋_GB2312" w:hAnsi="仿宋_GB2312" w:eastAsia="仿宋_GB2312" w:cs="仿宋_GB2312"/>
          <w:b w:val="0"/>
          <w:bCs w:val="0"/>
          <w:color w:val="auto"/>
          <w:kern w:val="2"/>
          <w:sz w:val="32"/>
          <w:szCs w:val="32"/>
          <w:highlight w:val="none"/>
          <w:u w:val="none"/>
          <w:lang w:val="en-US" w:eastAsia="zh-CN" w:bidi="ar-SA"/>
        </w:rPr>
        <w:t>淤泥和危险废物。</w:t>
      </w:r>
    </w:p>
    <w:p w14:paraId="01B147C2">
      <w:pPr>
        <w:keepNext w:val="0"/>
        <w:keepLines w:val="0"/>
        <w:pageBreakBefore w:val="0"/>
        <w:kinsoku/>
        <w:wordWrap/>
        <w:overflowPunct/>
        <w:topLinePunct w:val="0"/>
        <w:bidi w:val="0"/>
        <w:spacing w:line="560" w:lineRule="exact"/>
        <w:textAlignment w:val="auto"/>
        <w:rPr>
          <w:rFonts w:hint="default" w:ascii="黑体" w:hAnsi="黑体" w:eastAsia="黑体" w:cs="黑体"/>
          <w:b w:val="0"/>
          <w:bCs/>
          <w:color w:val="auto"/>
          <w:kern w:val="44"/>
          <w:sz w:val="36"/>
          <w:szCs w:val="36"/>
          <w:highlight w:val="none"/>
          <w:u w:val="none"/>
          <w:lang w:val="en-US" w:eastAsia="zh-CN" w:bidi="ar-SA"/>
        </w:rPr>
      </w:pPr>
      <w:r>
        <w:rPr>
          <w:rFonts w:hint="default" w:ascii="黑体" w:hAnsi="黑体" w:eastAsia="黑体" w:cs="黑体"/>
          <w:b w:val="0"/>
          <w:bCs/>
          <w:color w:val="auto"/>
          <w:kern w:val="44"/>
          <w:sz w:val="36"/>
          <w:szCs w:val="36"/>
          <w:highlight w:val="none"/>
          <w:u w:val="none"/>
          <w:lang w:val="en-US" w:eastAsia="zh-CN" w:bidi="ar-SA"/>
        </w:rPr>
        <w:br w:type="page"/>
      </w:r>
    </w:p>
    <w:p w14:paraId="49445518">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黑体" w:hAnsi="黑体" w:eastAsia="黑体" w:cs="黑体"/>
          <w:b w:val="0"/>
          <w:bCs/>
          <w:color w:val="auto"/>
          <w:kern w:val="44"/>
          <w:sz w:val="36"/>
          <w:szCs w:val="36"/>
          <w:highlight w:val="none"/>
          <w:u w:val="none"/>
          <w:lang w:val="en-US" w:eastAsia="zh-CN" w:bidi="ar-SA"/>
        </w:rPr>
      </w:pPr>
      <w:bookmarkStart w:id="115" w:name="_Toc21417"/>
      <w:bookmarkStart w:id="116" w:name="_Toc14925"/>
      <w:bookmarkStart w:id="117" w:name="_Toc19496"/>
      <w:r>
        <w:rPr>
          <w:rFonts w:hint="eastAsia" w:ascii="黑体" w:hAnsi="黑体" w:eastAsia="黑体" w:cs="黑体"/>
          <w:b w:val="0"/>
          <w:bCs/>
          <w:color w:val="auto"/>
          <w:kern w:val="44"/>
          <w:sz w:val="36"/>
          <w:szCs w:val="36"/>
          <w:highlight w:val="none"/>
          <w:u w:val="none"/>
          <w:lang w:val="en-US" w:eastAsia="zh-CN" w:bidi="ar-SA"/>
        </w:rPr>
        <w:t>6城市</w:t>
      </w:r>
      <w:r>
        <w:rPr>
          <w:rFonts w:hint="default" w:ascii="黑体" w:hAnsi="黑体" w:eastAsia="黑体" w:cs="黑体"/>
          <w:b w:val="0"/>
          <w:bCs/>
          <w:color w:val="auto"/>
          <w:kern w:val="44"/>
          <w:sz w:val="36"/>
          <w:szCs w:val="36"/>
          <w:highlight w:val="none"/>
          <w:u w:val="none"/>
          <w:lang w:val="en-US" w:eastAsia="zh-CN" w:bidi="ar-SA"/>
        </w:rPr>
        <w:t>道路</w:t>
      </w:r>
      <w:bookmarkEnd w:id="115"/>
      <w:bookmarkEnd w:id="116"/>
      <w:bookmarkEnd w:id="117"/>
      <w:bookmarkStart w:id="118" w:name="OLE_LINK2"/>
    </w:p>
    <w:p w14:paraId="773D53E6">
      <w:pPr>
        <w:pStyle w:val="3"/>
        <w:bidi w:val="0"/>
        <w:jc w:val="center"/>
        <w:rPr>
          <w:rFonts w:hint="eastAsia"/>
          <w:lang w:val="en-US" w:eastAsia="zh-CN"/>
        </w:rPr>
      </w:pPr>
      <w:bookmarkStart w:id="119" w:name="_Toc20292"/>
      <w:bookmarkStart w:id="120" w:name="_Toc21558"/>
      <w:bookmarkStart w:id="121" w:name="_Toc32163"/>
      <w:r>
        <w:rPr>
          <w:rFonts w:hint="eastAsia"/>
          <w:lang w:val="en-US" w:eastAsia="zh-CN"/>
        </w:rPr>
        <w:t>6.1城市道路设施（包括车行道、人行道</w:t>
      </w:r>
      <w:bookmarkEnd w:id="119"/>
      <w:bookmarkEnd w:id="120"/>
      <w:bookmarkEnd w:id="121"/>
    </w:p>
    <w:p w14:paraId="3253005A">
      <w:pPr>
        <w:pStyle w:val="3"/>
        <w:bidi w:val="0"/>
        <w:jc w:val="center"/>
        <w:rPr>
          <w:rFonts w:hint="eastAsia"/>
          <w:lang w:val="en-US" w:eastAsia="zh-CN"/>
        </w:rPr>
      </w:pPr>
      <w:bookmarkStart w:id="122" w:name="_Toc21605"/>
      <w:bookmarkStart w:id="123" w:name="_Toc14627"/>
      <w:bookmarkStart w:id="124" w:name="_Toc17483"/>
      <w:r>
        <w:rPr>
          <w:rFonts w:hint="eastAsia"/>
          <w:lang w:val="en-US" w:eastAsia="zh-CN"/>
        </w:rPr>
        <w:t>及附属设施）</w:t>
      </w:r>
      <w:bookmarkEnd w:id="122"/>
      <w:bookmarkEnd w:id="123"/>
      <w:bookmarkEnd w:id="124"/>
    </w:p>
    <w:p w14:paraId="071EAC59">
      <w:pPr>
        <w:keepNext w:val="0"/>
        <w:keepLines w:val="0"/>
        <w:pageBreakBefore w:val="0"/>
        <w:widowControl w:val="0"/>
        <w:suppressLineNumbers w:val="0"/>
        <w:kinsoku/>
        <w:wordWrap/>
        <w:overflowPunct/>
        <w:topLinePunct w:val="0"/>
        <w:bidi w:val="0"/>
        <w:spacing w:line="560" w:lineRule="exact"/>
        <w:jc w:val="lef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6.1.1</w:t>
      </w:r>
      <w:r>
        <w:rPr>
          <w:rFonts w:hint="eastAsia" w:ascii="仿宋_GB2312" w:hAnsi="仿宋_GB2312" w:eastAsia="仿宋_GB2312" w:cs="仿宋_GB2312"/>
          <w:color w:val="auto"/>
          <w:sz w:val="32"/>
          <w:szCs w:val="32"/>
          <w:highlight w:val="none"/>
          <w:u w:val="none"/>
          <w:lang w:val="en-US" w:eastAsia="zh-CN"/>
        </w:rPr>
        <w:t>城市道路设施应保持完好、安全、畅通、整洁。</w:t>
      </w:r>
    </w:p>
    <w:p w14:paraId="121EC1C9">
      <w:pPr>
        <w:keepNext w:val="0"/>
        <w:keepLines w:val="0"/>
        <w:pageBreakBefore w:val="0"/>
        <w:widowControl w:val="0"/>
        <w:suppressLineNumbers w:val="0"/>
        <w:kinsoku/>
        <w:wordWrap/>
        <w:overflowPunct/>
        <w:topLinePunct w:val="0"/>
        <w:bidi w:val="0"/>
        <w:spacing w:line="560" w:lineRule="exact"/>
        <w:jc w:val="left"/>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6.1.2</w:t>
      </w:r>
      <w:r>
        <w:rPr>
          <w:rFonts w:hint="eastAsia" w:ascii="仿宋_GB2312" w:hAnsi="仿宋_GB2312" w:eastAsia="仿宋_GB2312" w:cs="仿宋_GB2312"/>
          <w:color w:val="auto"/>
          <w:sz w:val="32"/>
          <w:szCs w:val="32"/>
          <w:highlight w:val="none"/>
          <w:u w:val="none"/>
          <w:lang w:val="en-US" w:eastAsia="zh-CN"/>
        </w:rPr>
        <w:t>城市道路设施养护管理单位应建立城市道路设施的定期检查和评价机制，评价结果作为制定养护对策的重要手段，管理单位应根据养护对策及时开展城市道路设施养护。</w:t>
      </w:r>
    </w:p>
    <w:p w14:paraId="04682025">
      <w:pPr>
        <w:keepNext w:val="0"/>
        <w:keepLines w:val="0"/>
        <w:pageBreakBefore w:val="0"/>
        <w:widowControl w:val="0"/>
        <w:suppressLineNumbers w:val="0"/>
        <w:kinsoku/>
        <w:wordWrap/>
        <w:overflowPunct/>
        <w:topLinePunct w:val="0"/>
        <w:bidi w:val="0"/>
        <w:spacing w:line="560" w:lineRule="exact"/>
        <w:jc w:val="left"/>
        <w:textAlignment w:val="auto"/>
        <w:rPr>
          <w:rFonts w:hint="eastAsia" w:ascii="仿宋_GB2312" w:hAnsi="仿宋_GB2312" w:eastAsia="仿宋_GB2312" w:cs="仿宋_GB2312"/>
          <w:color w:val="auto"/>
          <w:sz w:val="32"/>
          <w:szCs w:val="32"/>
          <w:highlight w:val="none"/>
          <w:u w:val="none"/>
          <w:lang w:val="en-US" w:eastAsia="zh-CN"/>
        </w:rPr>
      </w:pPr>
      <w:bookmarkStart w:id="125" w:name="OLE_LINK11"/>
      <w:r>
        <w:rPr>
          <w:rFonts w:hint="eastAsia" w:ascii="仿宋_GB2312" w:hAnsi="仿宋_GB2312" w:eastAsia="仿宋_GB2312" w:cs="仿宋_GB2312"/>
          <w:b/>
          <w:bCs/>
          <w:color w:val="auto"/>
          <w:sz w:val="32"/>
          <w:szCs w:val="32"/>
          <w:highlight w:val="none"/>
          <w:u w:val="none"/>
          <w:lang w:val="en-US" w:eastAsia="zh-CN"/>
        </w:rPr>
        <w:t>6.1.3</w:t>
      </w:r>
      <w:bookmarkStart w:id="126" w:name="OLE_LINK4"/>
      <w:bookmarkStart w:id="127" w:name="OLE_LINK17"/>
      <w:r>
        <w:rPr>
          <w:rFonts w:hint="eastAsia" w:ascii="仿宋_GB2312" w:hAnsi="仿宋_GB2312" w:eastAsia="仿宋_GB2312" w:cs="仿宋_GB2312"/>
          <w:color w:val="auto"/>
          <w:sz w:val="32"/>
          <w:szCs w:val="32"/>
          <w:highlight w:val="none"/>
          <w:u w:val="none"/>
          <w:lang w:val="en-US" w:eastAsia="zh-CN"/>
        </w:rPr>
        <w:t>城市道路设施出现以下安全隐患病害时，设施管理单位</w:t>
      </w:r>
      <w:bookmarkEnd w:id="126"/>
      <w:r>
        <w:rPr>
          <w:rFonts w:hint="eastAsia" w:ascii="仿宋_GB2312" w:hAnsi="仿宋_GB2312" w:eastAsia="仿宋_GB2312" w:cs="仿宋_GB2312"/>
          <w:color w:val="auto"/>
          <w:sz w:val="32"/>
          <w:szCs w:val="32"/>
          <w:highlight w:val="none"/>
          <w:u w:val="none"/>
          <w:lang w:val="en-US" w:eastAsia="zh-CN"/>
        </w:rPr>
        <w:t>等相关单位应履行以下职责，并按时限完成处置。</w:t>
      </w:r>
      <w:bookmarkEnd w:id="127"/>
    </w:p>
    <w:bookmarkEnd w:id="125"/>
    <w:p w14:paraId="51871495">
      <w:pPr>
        <w:keepNext w:val="0"/>
        <w:keepLines w:val="0"/>
        <w:pageBreakBefore w:val="0"/>
        <w:widowControl w:val="0"/>
        <w:numPr>
          <w:ilvl w:val="0"/>
          <w:numId w:val="3"/>
        </w:numPr>
        <w:suppressLineNumbers w:val="0"/>
        <w:kinsoku/>
        <w:wordWrap/>
        <w:overflowPunct/>
        <w:topLinePunct w:val="0"/>
        <w:bidi w:val="0"/>
        <w:spacing w:line="560" w:lineRule="exact"/>
        <w:ind w:left="635" w:leftChars="0" w:hanging="425" w:firstLineChars="0"/>
        <w:jc w:val="lef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路基出现异常空洞、沉陷、塌陷，挡墙、边坡出现垮塌、位移，道路</w:t>
      </w:r>
      <w:bookmarkStart w:id="128" w:name="OLE_LINK19"/>
      <w:r>
        <w:rPr>
          <w:rFonts w:hint="eastAsia" w:ascii="仿宋_GB2312" w:hAnsi="仿宋_GB2312" w:eastAsia="仿宋_GB2312" w:cs="仿宋_GB2312"/>
          <w:color w:val="auto"/>
          <w:sz w:val="32"/>
          <w:szCs w:val="32"/>
          <w:highlight w:val="none"/>
          <w:u w:val="none"/>
          <w:lang w:val="en-US" w:eastAsia="zh-CN"/>
        </w:rPr>
        <w:t>设施管理单位应</w:t>
      </w:r>
      <w:bookmarkStart w:id="129" w:name="OLE_LINK16"/>
      <w:r>
        <w:rPr>
          <w:rFonts w:hint="eastAsia" w:ascii="仿宋_GB2312" w:hAnsi="仿宋_GB2312" w:eastAsia="仿宋_GB2312" w:cs="仿宋_GB2312"/>
          <w:color w:val="auto"/>
          <w:sz w:val="32"/>
          <w:szCs w:val="32"/>
          <w:highlight w:val="none"/>
          <w:u w:val="none"/>
          <w:lang w:val="en-US" w:eastAsia="zh-CN"/>
        </w:rPr>
        <w:t>在规定时限内完成</w:t>
      </w:r>
      <w:bookmarkStart w:id="130" w:name="OLE_LINK7"/>
      <w:r>
        <w:rPr>
          <w:rFonts w:hint="eastAsia" w:ascii="仿宋_GB2312" w:hAnsi="仿宋_GB2312" w:eastAsia="仿宋_GB2312" w:cs="仿宋_GB2312"/>
          <w:color w:val="auto"/>
          <w:sz w:val="32"/>
          <w:szCs w:val="32"/>
          <w:highlight w:val="none"/>
          <w:u w:val="none"/>
          <w:lang w:val="en-US" w:eastAsia="zh-CN"/>
        </w:rPr>
        <w:t>应急警示围挡</w:t>
      </w:r>
      <w:bookmarkEnd w:id="130"/>
      <w:bookmarkStart w:id="131" w:name="OLE_LINK5"/>
      <w:r>
        <w:rPr>
          <w:rFonts w:hint="eastAsia" w:ascii="仿宋_GB2312" w:hAnsi="仿宋_GB2312" w:eastAsia="仿宋_GB2312" w:cs="仿宋_GB2312"/>
          <w:color w:val="auto"/>
          <w:sz w:val="32"/>
          <w:szCs w:val="32"/>
          <w:highlight w:val="none"/>
          <w:u w:val="none"/>
          <w:lang w:val="en-US" w:eastAsia="zh-CN"/>
        </w:rPr>
        <w:t>（城区1小时、郊区2小时）</w:t>
      </w:r>
      <w:bookmarkEnd w:id="129"/>
      <w:bookmarkEnd w:id="131"/>
      <w:r>
        <w:rPr>
          <w:rFonts w:hint="eastAsia" w:ascii="仿宋_GB2312" w:hAnsi="仿宋_GB2312" w:eastAsia="仿宋_GB2312" w:cs="仿宋_GB2312"/>
          <w:color w:val="auto"/>
          <w:sz w:val="32"/>
          <w:szCs w:val="32"/>
          <w:highlight w:val="none"/>
          <w:u w:val="none"/>
          <w:lang w:val="en-US" w:eastAsia="zh-CN"/>
        </w:rPr>
        <w:t>，并制定整治方案予以整治。</w:t>
      </w:r>
      <w:bookmarkEnd w:id="128"/>
    </w:p>
    <w:p w14:paraId="751E7B19">
      <w:pPr>
        <w:keepNext w:val="0"/>
        <w:keepLines w:val="0"/>
        <w:pageBreakBefore w:val="0"/>
        <w:widowControl w:val="0"/>
        <w:numPr>
          <w:ilvl w:val="0"/>
          <w:numId w:val="3"/>
        </w:numPr>
        <w:suppressLineNumbers w:val="0"/>
        <w:kinsoku/>
        <w:wordWrap/>
        <w:overflowPunct/>
        <w:topLinePunct w:val="0"/>
        <w:bidi w:val="0"/>
        <w:spacing w:line="560" w:lineRule="exact"/>
        <w:ind w:left="635" w:leftChars="0" w:hanging="425" w:firstLineChars="0"/>
        <w:jc w:val="left"/>
        <w:textAlignment w:val="auto"/>
        <w:rPr>
          <w:rFonts w:hint="eastAsia" w:ascii="仿宋_GB2312" w:hAnsi="仿宋_GB2312" w:cs="仿宋_GB2312" w:eastAsiaTheme="minorEastAsia"/>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路面出现</w:t>
      </w:r>
      <w:r>
        <w:rPr>
          <w:rFonts w:hint="default" w:ascii="Arial" w:hAnsi="Arial" w:eastAsia="仿宋_GB2312" w:cs="Arial"/>
          <w:strike w:val="0"/>
          <w:dstrike w:val="0"/>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u w:val="none"/>
          <w:lang w:val="en-US" w:eastAsia="zh-CN"/>
        </w:rPr>
        <w:t>100mm的错台、路面坑槽面积大于0.2m</w:t>
      </w:r>
      <w:r>
        <w:rPr>
          <w:rFonts w:hint="eastAsia" w:ascii="仿宋_GB2312" w:hAnsi="仿宋_GB2312" w:eastAsia="仿宋_GB2312" w:cs="仿宋_GB2312"/>
          <w:color w:val="auto"/>
          <w:sz w:val="32"/>
          <w:szCs w:val="32"/>
          <w:highlight w:val="none"/>
          <w:u w:val="none"/>
          <w:vertAlign w:val="superscript"/>
          <w:lang w:val="en-US" w:eastAsia="zh-CN"/>
        </w:rPr>
        <w:t>2</w:t>
      </w:r>
      <w:r>
        <w:rPr>
          <w:rFonts w:hint="eastAsia" w:ascii="仿宋_GB2312" w:hAnsi="仿宋_GB2312" w:eastAsia="仿宋_GB2312" w:cs="仿宋_GB2312"/>
          <w:color w:val="auto"/>
          <w:sz w:val="32"/>
          <w:szCs w:val="32"/>
          <w:highlight w:val="none"/>
          <w:u w:val="none"/>
          <w:vertAlign w:val="baseline"/>
          <w:lang w:val="en-US" w:eastAsia="zh-CN"/>
        </w:rPr>
        <w:t>且</w:t>
      </w:r>
      <w:r>
        <w:rPr>
          <w:rFonts w:hint="eastAsia" w:ascii="仿宋_GB2312" w:hAnsi="仿宋_GB2312" w:eastAsia="仿宋_GB2312" w:cs="仿宋_GB2312"/>
          <w:color w:val="auto"/>
          <w:sz w:val="32"/>
          <w:szCs w:val="32"/>
          <w:highlight w:val="none"/>
          <w:u w:val="none"/>
          <w:lang w:val="en-US" w:eastAsia="zh-CN"/>
        </w:rPr>
        <w:t>深度</w:t>
      </w:r>
      <w:bookmarkStart w:id="132" w:name="OLE_LINK9"/>
      <w:r>
        <w:rPr>
          <w:rFonts w:hint="eastAsia" w:ascii="仿宋_GB2312" w:hAnsi="仿宋_GB2312" w:eastAsia="仿宋_GB2312" w:cs="仿宋_GB2312"/>
          <w:color w:val="auto"/>
          <w:sz w:val="32"/>
          <w:szCs w:val="32"/>
          <w:highlight w:val="none"/>
          <w:u w:val="none"/>
          <w:lang w:val="en-US" w:eastAsia="zh-CN"/>
        </w:rPr>
        <w:t>&gt;80mm</w:t>
      </w:r>
      <w:bookmarkEnd w:id="132"/>
      <w:r>
        <w:rPr>
          <w:rFonts w:hint="eastAsia" w:ascii="仿宋_GB2312" w:hAnsi="仿宋_GB2312" w:eastAsia="仿宋_GB2312" w:cs="仿宋_GB2312"/>
          <w:color w:val="auto"/>
          <w:sz w:val="32"/>
          <w:szCs w:val="32"/>
          <w:highlight w:val="none"/>
          <w:u w:val="none"/>
          <w:lang w:val="en-US" w:eastAsia="zh-CN"/>
        </w:rPr>
        <w:t>、检查井下凹或凸起高差&gt;50mm、高挡墙高边坡防护护栏缺失时，</w:t>
      </w:r>
      <w:bookmarkStart w:id="133" w:name="OLE_LINK6"/>
      <w:r>
        <w:rPr>
          <w:rFonts w:hint="eastAsia" w:ascii="仿宋_GB2312" w:hAnsi="仿宋_GB2312" w:eastAsia="仿宋_GB2312" w:cs="仿宋_GB2312"/>
          <w:color w:val="auto"/>
          <w:sz w:val="32"/>
          <w:szCs w:val="32"/>
          <w:highlight w:val="none"/>
          <w:u w:val="none"/>
          <w:lang w:val="en-US" w:eastAsia="zh-CN"/>
        </w:rPr>
        <w:t>道路设施管理单位应在规定时限内完成应急警示围挡（城区1小时、郊区2小时）,并于48小时内完成维修</w:t>
      </w:r>
      <w:bookmarkEnd w:id="133"/>
      <w:r>
        <w:rPr>
          <w:rFonts w:hint="eastAsia" w:ascii="仿宋_GB2312" w:hAnsi="仿宋_GB2312" w:eastAsia="仿宋_GB2312" w:cs="仿宋_GB2312"/>
          <w:color w:val="auto"/>
          <w:sz w:val="32"/>
          <w:szCs w:val="32"/>
          <w:highlight w:val="none"/>
          <w:u w:val="none"/>
          <w:lang w:val="en-US" w:eastAsia="zh-CN"/>
        </w:rPr>
        <w:t>。</w:t>
      </w:r>
      <w:bookmarkStart w:id="134" w:name="OLE_LINK29"/>
      <w:r>
        <w:rPr>
          <w:rFonts w:hint="eastAsia" w:ascii="仿宋_GB2312" w:hAnsi="仿宋_GB2312" w:eastAsia="仿宋_GB2312" w:cs="仿宋_GB2312"/>
          <w:color w:val="auto"/>
          <w:sz w:val="32"/>
          <w:szCs w:val="32"/>
          <w:highlight w:val="none"/>
          <w:u w:val="none"/>
          <w:lang w:val="en-US" w:eastAsia="zh-CN"/>
        </w:rPr>
        <w:t>设施产权单位</w:t>
      </w:r>
      <w:bookmarkEnd w:id="134"/>
      <w:r>
        <w:rPr>
          <w:rFonts w:hint="eastAsia" w:ascii="仿宋_GB2312" w:hAnsi="仿宋_GB2312" w:eastAsia="仿宋_GB2312" w:cs="仿宋_GB2312"/>
          <w:color w:val="auto"/>
          <w:sz w:val="32"/>
          <w:szCs w:val="32"/>
          <w:highlight w:val="none"/>
          <w:u w:val="none"/>
          <w:lang w:val="en-US" w:eastAsia="zh-CN"/>
        </w:rPr>
        <w:t>井盖由道路设施管理单位督促设置警示围挡及维修。</w:t>
      </w:r>
    </w:p>
    <w:p w14:paraId="2B5F4626">
      <w:pPr>
        <w:keepNext w:val="0"/>
        <w:keepLines w:val="0"/>
        <w:pageBreakBefore w:val="0"/>
        <w:widowControl w:val="0"/>
        <w:numPr>
          <w:ilvl w:val="0"/>
          <w:numId w:val="3"/>
        </w:numPr>
        <w:suppressLineNumbers w:val="0"/>
        <w:kinsoku/>
        <w:wordWrap/>
        <w:overflowPunct/>
        <w:topLinePunct w:val="0"/>
        <w:bidi w:val="0"/>
        <w:spacing w:line="560" w:lineRule="exact"/>
        <w:ind w:left="635" w:leftChars="0" w:hanging="425" w:firstLineChars="0"/>
        <w:jc w:val="left"/>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井盖、雨水口箅子丢失，设施产权单位应先行设置警示围挡并在规定时限内补齐（城区1小时、郊区2小时），</w:t>
      </w:r>
      <w:bookmarkStart w:id="135" w:name="OLE_LINK10"/>
      <w:r>
        <w:rPr>
          <w:rFonts w:hint="eastAsia" w:ascii="仿宋_GB2312" w:hAnsi="仿宋_GB2312" w:eastAsia="仿宋_GB2312" w:cs="仿宋_GB2312"/>
          <w:color w:val="auto"/>
          <w:sz w:val="32"/>
          <w:szCs w:val="32"/>
          <w:highlight w:val="none"/>
          <w:u w:val="none"/>
          <w:lang w:val="en-US" w:eastAsia="zh-CN"/>
        </w:rPr>
        <w:t>设施产权单位井盖由道路设施管理单位督促补齐</w:t>
      </w:r>
      <w:bookmarkEnd w:id="135"/>
      <w:r>
        <w:rPr>
          <w:rFonts w:hint="eastAsia" w:ascii="仿宋_GB2312" w:hAnsi="仿宋_GB2312" w:eastAsia="仿宋_GB2312" w:cs="仿宋_GB2312"/>
          <w:color w:val="auto"/>
          <w:sz w:val="32"/>
          <w:szCs w:val="32"/>
          <w:highlight w:val="none"/>
          <w:u w:val="none"/>
          <w:lang w:val="en-US" w:eastAsia="zh-CN"/>
        </w:rPr>
        <w:t>。处置时因井盖、雨水口箅子规格型号无法匹配的，应采取覆盖钢板、加装钢质井盖、设置围挡等应急措施，确保消除安全隐患。</w:t>
      </w:r>
    </w:p>
    <w:p w14:paraId="3802C2F9">
      <w:pPr>
        <w:keepNext w:val="0"/>
        <w:keepLines w:val="0"/>
        <w:pageBreakBefore w:val="0"/>
        <w:widowControl w:val="0"/>
        <w:numPr>
          <w:ilvl w:val="0"/>
          <w:numId w:val="3"/>
        </w:numPr>
        <w:suppressLineNumbers w:val="0"/>
        <w:kinsoku/>
        <w:wordWrap/>
        <w:overflowPunct/>
        <w:topLinePunct w:val="0"/>
        <w:bidi w:val="0"/>
        <w:spacing w:line="560" w:lineRule="exact"/>
        <w:ind w:left="635" w:leftChars="0" w:hanging="425" w:firstLineChars="0"/>
        <w:jc w:val="lef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道路出现严重积水、积冰等严重影响道路正常使用时，道路设施管理单位应在1小时内到达现场，并立即设置警示围挡、处置。</w:t>
      </w:r>
    </w:p>
    <w:p w14:paraId="6D8914B2">
      <w:pPr>
        <w:keepNext w:val="0"/>
        <w:keepLines w:val="0"/>
        <w:pageBreakBefore w:val="0"/>
        <w:widowControl w:val="0"/>
        <w:numPr>
          <w:ilvl w:val="0"/>
          <w:numId w:val="3"/>
        </w:numPr>
        <w:suppressLineNumbers w:val="0"/>
        <w:kinsoku/>
        <w:wordWrap/>
        <w:overflowPunct/>
        <w:topLinePunct w:val="0"/>
        <w:bidi w:val="0"/>
        <w:spacing w:line="560" w:lineRule="exact"/>
        <w:ind w:left="635" w:leftChars="0" w:hanging="425" w:firstLineChars="0"/>
        <w:jc w:val="lef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上述安全隐患病害因交通堵塞、现场存在次生灾害危险等客观因</w:t>
      </w:r>
      <w:r>
        <w:rPr>
          <w:rFonts w:hint="eastAsia" w:ascii="仿宋_GB2312" w:hAnsi="仿宋_GB2312" w:eastAsia="仿宋_GB2312" w:cs="仿宋_GB2312"/>
          <w:strike w:val="0"/>
          <w:dstrike w:val="0"/>
          <w:color w:val="auto"/>
          <w:sz w:val="32"/>
          <w:szCs w:val="32"/>
          <w:highlight w:val="none"/>
          <w:u w:val="none"/>
          <w:lang w:val="en-US" w:eastAsia="zh-CN"/>
        </w:rPr>
        <w:t>素</w:t>
      </w:r>
      <w:r>
        <w:rPr>
          <w:rFonts w:hint="eastAsia" w:ascii="仿宋_GB2312" w:hAnsi="仿宋_GB2312" w:eastAsia="仿宋_GB2312" w:cs="仿宋_GB2312"/>
          <w:color w:val="auto"/>
          <w:sz w:val="32"/>
          <w:szCs w:val="32"/>
          <w:highlight w:val="none"/>
          <w:u w:val="none"/>
          <w:lang w:val="en-US" w:eastAsia="zh-CN"/>
        </w:rPr>
        <w:t>不能按规定时限完成警示围挡或处置的，设施产权单位应立即上报主管部门，说明原因并申请延期。</w:t>
      </w:r>
    </w:p>
    <w:p w14:paraId="5E55029C">
      <w:pPr>
        <w:keepNext w:val="0"/>
        <w:keepLines w:val="0"/>
        <w:pageBreakBefore w:val="0"/>
        <w:widowControl w:val="0"/>
        <w:numPr>
          <w:ilvl w:val="0"/>
          <w:numId w:val="3"/>
        </w:numPr>
        <w:suppressLineNumbers w:val="0"/>
        <w:kinsoku/>
        <w:wordWrap/>
        <w:overflowPunct/>
        <w:topLinePunct w:val="0"/>
        <w:bidi w:val="0"/>
        <w:spacing w:line="560" w:lineRule="exact"/>
        <w:ind w:left="635" w:leftChars="0" w:hanging="425" w:firstLineChars="0"/>
        <w:jc w:val="left"/>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城市道路上无主检查井应通过12345平台或者道路设施管理单位组织相关设施产权单位现场确权，确权仍为无主检查井的，由道路设施养护管理单位通过新闻媒介予以公告，公告完成后应立即处置。确权前存在安全隐患病害时，</w:t>
      </w:r>
      <w:bookmarkStart w:id="136" w:name="OLE_LINK23"/>
      <w:r>
        <w:rPr>
          <w:rFonts w:hint="eastAsia" w:ascii="仿宋_GB2312" w:hAnsi="仿宋_GB2312" w:eastAsia="仿宋_GB2312" w:cs="仿宋_GB2312"/>
          <w:color w:val="auto"/>
          <w:sz w:val="32"/>
          <w:szCs w:val="32"/>
          <w:highlight w:val="none"/>
          <w:u w:val="none"/>
          <w:lang w:val="en-US" w:eastAsia="zh-CN"/>
        </w:rPr>
        <w:t>道路设施养护管理单位</w:t>
      </w:r>
      <w:bookmarkEnd w:id="136"/>
      <w:r>
        <w:rPr>
          <w:rFonts w:hint="eastAsia" w:ascii="仿宋_GB2312" w:hAnsi="仿宋_GB2312" w:eastAsia="仿宋_GB2312" w:cs="仿宋_GB2312"/>
          <w:color w:val="auto"/>
          <w:sz w:val="32"/>
          <w:szCs w:val="32"/>
          <w:highlight w:val="none"/>
          <w:u w:val="none"/>
          <w:lang w:val="en-US" w:eastAsia="zh-CN"/>
        </w:rPr>
        <w:t>应按照有关法律法规规定及7.1.3“第3项”作出应急处置。</w:t>
      </w:r>
    </w:p>
    <w:p w14:paraId="0354279A">
      <w:pPr>
        <w:keepNext w:val="0"/>
        <w:keepLines w:val="0"/>
        <w:pageBreakBefore w:val="0"/>
        <w:widowControl w:val="0"/>
        <w:suppressLineNumbers w:val="0"/>
        <w:kinsoku/>
        <w:wordWrap/>
        <w:overflowPunct/>
        <w:topLinePunct w:val="0"/>
        <w:bidi w:val="0"/>
        <w:spacing w:line="560" w:lineRule="exact"/>
        <w:jc w:val="lef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6.1.4</w:t>
      </w:r>
      <w:r>
        <w:rPr>
          <w:rFonts w:hint="eastAsia" w:ascii="仿宋_GB2312" w:hAnsi="仿宋_GB2312" w:eastAsia="仿宋_GB2312" w:cs="仿宋_GB2312"/>
          <w:color w:val="auto"/>
          <w:sz w:val="32"/>
          <w:szCs w:val="32"/>
          <w:highlight w:val="none"/>
          <w:u w:val="none"/>
          <w:lang w:val="en-US" w:eastAsia="zh-CN"/>
        </w:rPr>
        <w:t>城市道路设施</w:t>
      </w:r>
      <w:bookmarkStart w:id="137" w:name="OLE_LINK32"/>
      <w:r>
        <w:rPr>
          <w:rFonts w:hint="eastAsia" w:ascii="仿宋_GB2312" w:hAnsi="仿宋_GB2312" w:eastAsia="仿宋_GB2312" w:cs="仿宋_GB2312"/>
          <w:color w:val="auto"/>
          <w:sz w:val="32"/>
          <w:szCs w:val="32"/>
          <w:highlight w:val="none"/>
          <w:u w:val="none"/>
          <w:lang w:val="en-US" w:eastAsia="zh-CN"/>
        </w:rPr>
        <w:t>应分级分类开展日常巡查及维护</w:t>
      </w:r>
      <w:bookmarkStart w:id="138" w:name="OLE_LINK12"/>
      <w:r>
        <w:rPr>
          <w:rFonts w:hint="eastAsia" w:ascii="仿宋_GB2312" w:hAnsi="仿宋_GB2312" w:eastAsia="仿宋_GB2312" w:cs="仿宋_GB2312"/>
          <w:color w:val="auto"/>
          <w:sz w:val="32"/>
          <w:szCs w:val="32"/>
          <w:highlight w:val="none"/>
          <w:u w:val="none"/>
          <w:lang w:val="en-US" w:eastAsia="zh-CN"/>
        </w:rPr>
        <w:t>（非安全隐患病害的小、中修）</w:t>
      </w:r>
      <w:bookmarkEnd w:id="138"/>
      <w:r>
        <w:rPr>
          <w:rFonts w:hint="eastAsia" w:ascii="仿宋_GB2312" w:hAnsi="仿宋_GB2312" w:eastAsia="仿宋_GB2312" w:cs="仿宋_GB2312"/>
          <w:color w:val="auto"/>
          <w:sz w:val="32"/>
          <w:szCs w:val="32"/>
          <w:highlight w:val="none"/>
          <w:u w:val="none"/>
          <w:lang w:val="en-US" w:eastAsia="zh-CN"/>
        </w:rPr>
        <w:t>，大修及改扩建应制定</w:t>
      </w:r>
      <w:bookmarkEnd w:id="137"/>
      <w:r>
        <w:rPr>
          <w:rFonts w:hint="eastAsia" w:ascii="仿宋_GB2312" w:hAnsi="仿宋_GB2312" w:eastAsia="仿宋_GB2312" w:cs="仿宋_GB2312"/>
          <w:color w:val="auto"/>
          <w:sz w:val="32"/>
          <w:szCs w:val="32"/>
          <w:highlight w:val="none"/>
          <w:u w:val="none"/>
          <w:lang w:val="en-US" w:eastAsia="zh-CN"/>
        </w:rPr>
        <w:t>施工方案和交通组织方案后实施。</w:t>
      </w:r>
    </w:p>
    <w:p w14:paraId="40E14288">
      <w:pPr>
        <w:keepNext w:val="0"/>
        <w:keepLines w:val="0"/>
        <w:pageBreakBefore w:val="0"/>
        <w:widowControl w:val="0"/>
        <w:numPr>
          <w:ilvl w:val="0"/>
          <w:numId w:val="4"/>
        </w:numPr>
        <w:suppressLineNumbers w:val="0"/>
        <w:kinsoku/>
        <w:wordWrap/>
        <w:overflowPunct/>
        <w:topLinePunct w:val="0"/>
        <w:bidi w:val="0"/>
        <w:spacing w:line="560" w:lineRule="exact"/>
        <w:ind w:left="635" w:leftChars="0" w:hanging="425" w:firstLineChars="0"/>
        <w:jc w:val="left"/>
        <w:textAlignment w:val="auto"/>
        <w:rPr>
          <w:rFonts w:hint="eastAsia" w:ascii="仿宋_GB2312" w:hAnsi="仿宋_GB2312" w:eastAsia="仿宋_GB2312" w:cs="仿宋_GB2312"/>
          <w:color w:val="auto"/>
          <w:sz w:val="32"/>
          <w:szCs w:val="32"/>
          <w:highlight w:val="none"/>
          <w:u w:val="none"/>
          <w:lang w:val="en-US" w:eastAsia="zh-CN"/>
        </w:rPr>
      </w:pPr>
      <w:bookmarkStart w:id="139" w:name="OLE_LINK13"/>
      <w:r>
        <w:rPr>
          <w:rFonts w:hint="eastAsia" w:ascii="仿宋_GB2312" w:hAnsi="仿宋_GB2312" w:eastAsia="仿宋_GB2312" w:cs="仿宋_GB2312"/>
          <w:color w:val="auto"/>
          <w:sz w:val="32"/>
          <w:szCs w:val="32"/>
          <w:highlight w:val="none"/>
          <w:u w:val="none"/>
          <w:lang w:val="en-US" w:eastAsia="zh-CN"/>
        </w:rPr>
        <w:t>城市快速路、主干路、严管街、繁华商业街、重要接待线路等</w:t>
      </w:r>
      <w:bookmarkStart w:id="140" w:name="OLE_LINK15"/>
      <w:r>
        <w:rPr>
          <w:rFonts w:hint="eastAsia" w:ascii="仿宋" w:hAnsi="仿宋" w:eastAsia="仿宋" w:cs="仿宋"/>
          <w:color w:val="auto"/>
          <w:sz w:val="32"/>
          <w:szCs w:val="32"/>
          <w:highlight w:val="none"/>
          <w:u w:val="none"/>
          <w:lang w:val="en-US" w:eastAsia="zh-CN"/>
        </w:rPr>
        <w:t>Ⅰ</w:t>
      </w:r>
      <w:bookmarkEnd w:id="140"/>
      <w:r>
        <w:rPr>
          <w:rFonts w:hint="eastAsia" w:ascii="仿宋" w:hAnsi="仿宋" w:eastAsia="仿宋" w:cs="仿宋"/>
          <w:color w:val="auto"/>
          <w:sz w:val="32"/>
          <w:szCs w:val="32"/>
          <w:highlight w:val="none"/>
          <w:u w:val="none"/>
          <w:lang w:val="en-US" w:eastAsia="zh-CN"/>
        </w:rPr>
        <w:t>等养护的道路设施，其日常巡查宜每日一巡，设施的</w:t>
      </w:r>
      <w:r>
        <w:rPr>
          <w:rFonts w:hint="eastAsia" w:ascii="仿宋_GB2312" w:hAnsi="仿宋_GB2312" w:eastAsia="仿宋_GB2312" w:cs="仿宋_GB2312"/>
          <w:color w:val="auto"/>
          <w:sz w:val="32"/>
          <w:szCs w:val="32"/>
          <w:highlight w:val="none"/>
          <w:u w:val="none"/>
          <w:lang w:val="en-US" w:eastAsia="zh-CN"/>
        </w:rPr>
        <w:t>一般损坏病害（非安全隐患病害）维修时限要求如下：小修维护时限宜为2日，中修维护时限宜为7日，且应建立小修巡修机制，巡修周期宜为30日。</w:t>
      </w:r>
    </w:p>
    <w:bookmarkEnd w:id="139"/>
    <w:p w14:paraId="10E81757">
      <w:pPr>
        <w:keepNext w:val="0"/>
        <w:keepLines w:val="0"/>
        <w:pageBreakBefore w:val="0"/>
        <w:widowControl w:val="0"/>
        <w:numPr>
          <w:ilvl w:val="0"/>
          <w:numId w:val="4"/>
        </w:numPr>
        <w:suppressLineNumbers w:val="0"/>
        <w:kinsoku/>
        <w:wordWrap/>
        <w:overflowPunct/>
        <w:topLinePunct w:val="0"/>
        <w:bidi w:val="0"/>
        <w:spacing w:line="560" w:lineRule="exact"/>
        <w:ind w:left="635" w:leftChars="0" w:hanging="425" w:firstLineChars="0"/>
        <w:jc w:val="left"/>
        <w:textAlignment w:val="auto"/>
        <w:rPr>
          <w:rFonts w:hint="eastAsia" w:ascii="仿宋_GB2312" w:hAnsi="仿宋_GB2312" w:eastAsia="仿宋_GB2312" w:cs="仿宋_GB2312"/>
          <w:color w:val="auto"/>
          <w:sz w:val="32"/>
          <w:szCs w:val="32"/>
          <w:highlight w:val="none"/>
          <w:u w:val="none"/>
          <w:lang w:val="en-US" w:eastAsia="zh-CN"/>
        </w:rPr>
      </w:pPr>
      <w:bookmarkStart w:id="141" w:name="OLE_LINK14"/>
      <w:r>
        <w:rPr>
          <w:rFonts w:hint="eastAsia" w:ascii="仿宋_GB2312" w:hAnsi="仿宋_GB2312" w:eastAsia="仿宋_GB2312" w:cs="仿宋_GB2312"/>
          <w:color w:val="auto"/>
          <w:sz w:val="32"/>
          <w:szCs w:val="32"/>
          <w:highlight w:val="none"/>
          <w:u w:val="none"/>
          <w:lang w:val="en-US" w:eastAsia="zh-CN"/>
        </w:rPr>
        <w:t>次干路、步行街、支路中的商业街道等</w:t>
      </w:r>
      <w:r>
        <w:rPr>
          <w:rFonts w:hint="eastAsia" w:ascii="仿宋" w:hAnsi="仿宋" w:eastAsia="仿宋" w:cs="仿宋"/>
          <w:color w:val="auto"/>
          <w:sz w:val="32"/>
          <w:szCs w:val="32"/>
          <w:highlight w:val="none"/>
          <w:u w:val="none"/>
          <w:lang w:val="en-US" w:eastAsia="zh-CN"/>
        </w:rPr>
        <w:t>Ⅱ等养护的道路设施，其日常巡查宜三日一巡，设施的</w:t>
      </w:r>
      <w:r>
        <w:rPr>
          <w:rFonts w:hint="eastAsia" w:ascii="仿宋_GB2312" w:hAnsi="仿宋_GB2312" w:eastAsia="仿宋_GB2312" w:cs="仿宋_GB2312"/>
          <w:color w:val="auto"/>
          <w:sz w:val="32"/>
          <w:szCs w:val="32"/>
          <w:highlight w:val="none"/>
          <w:u w:val="none"/>
          <w:lang w:val="en-US" w:eastAsia="zh-CN"/>
        </w:rPr>
        <w:t>一般损坏病害（非安全隐患病害）维修时限要求如下：小修维护时限宜为7日，中修维护时限宜为14日。</w:t>
      </w:r>
      <w:bookmarkEnd w:id="141"/>
    </w:p>
    <w:p w14:paraId="4048F6EA">
      <w:pPr>
        <w:keepNext w:val="0"/>
        <w:keepLines w:val="0"/>
        <w:pageBreakBefore w:val="0"/>
        <w:widowControl w:val="0"/>
        <w:numPr>
          <w:ilvl w:val="0"/>
          <w:numId w:val="4"/>
        </w:numPr>
        <w:suppressLineNumbers w:val="0"/>
        <w:kinsoku/>
        <w:wordWrap/>
        <w:overflowPunct/>
        <w:topLinePunct w:val="0"/>
        <w:bidi w:val="0"/>
        <w:spacing w:line="560" w:lineRule="exact"/>
        <w:ind w:left="635" w:leftChars="0" w:hanging="425" w:firstLineChars="0"/>
        <w:jc w:val="lef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除</w:t>
      </w:r>
      <w:r>
        <w:rPr>
          <w:rFonts w:hint="eastAsia" w:ascii="仿宋" w:hAnsi="仿宋" w:eastAsia="仿宋" w:cs="仿宋"/>
          <w:color w:val="auto"/>
          <w:sz w:val="32"/>
          <w:szCs w:val="32"/>
          <w:highlight w:val="none"/>
          <w:u w:val="none"/>
          <w:lang w:val="en-US" w:eastAsia="zh-CN"/>
        </w:rPr>
        <w:t>Ⅰ</w:t>
      </w:r>
      <w:r>
        <w:rPr>
          <w:rFonts w:hint="eastAsia" w:ascii="仿宋_GB2312" w:hAnsi="仿宋_GB2312" w:eastAsia="仿宋_GB2312" w:cs="仿宋_GB2312"/>
          <w:color w:val="auto"/>
          <w:sz w:val="32"/>
          <w:szCs w:val="32"/>
          <w:highlight w:val="none"/>
          <w:u w:val="none"/>
          <w:lang w:val="en-US" w:eastAsia="zh-CN"/>
        </w:rPr>
        <w:t>、</w:t>
      </w:r>
      <w:r>
        <w:rPr>
          <w:rFonts w:hint="eastAsia" w:ascii="仿宋" w:hAnsi="仿宋" w:eastAsia="仿宋" w:cs="仿宋"/>
          <w:color w:val="auto"/>
          <w:sz w:val="32"/>
          <w:szCs w:val="32"/>
          <w:highlight w:val="none"/>
          <w:u w:val="none"/>
          <w:lang w:val="en-US" w:eastAsia="zh-CN"/>
        </w:rPr>
        <w:t>Ⅱ等养护以外的Ⅲ等养护的道路设施，其日常巡查宜七日一巡，设施的</w:t>
      </w:r>
      <w:r>
        <w:rPr>
          <w:rFonts w:hint="eastAsia" w:ascii="仿宋_GB2312" w:hAnsi="仿宋_GB2312" w:eastAsia="仿宋_GB2312" w:cs="仿宋_GB2312"/>
          <w:color w:val="auto"/>
          <w:sz w:val="32"/>
          <w:szCs w:val="32"/>
          <w:highlight w:val="none"/>
          <w:u w:val="none"/>
          <w:lang w:val="en-US" w:eastAsia="zh-CN"/>
        </w:rPr>
        <w:t>一般损坏病害（非安全隐患病害）维修时限要求如下：小修维护时限宜为15日，中修维护时限宜为30日。</w:t>
      </w:r>
    </w:p>
    <w:p w14:paraId="4F4F4580">
      <w:pPr>
        <w:keepNext w:val="0"/>
        <w:keepLines w:val="0"/>
        <w:pageBreakBefore w:val="0"/>
        <w:widowControl w:val="0"/>
        <w:suppressLineNumbers w:val="0"/>
        <w:kinsoku/>
        <w:wordWrap/>
        <w:overflowPunct/>
        <w:topLinePunct w:val="0"/>
        <w:bidi w:val="0"/>
        <w:spacing w:line="560" w:lineRule="exact"/>
        <w:jc w:val="left"/>
        <w:textAlignment w:val="auto"/>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sz w:val="32"/>
          <w:szCs w:val="32"/>
          <w:highlight w:val="none"/>
          <w:u w:val="none"/>
          <w:lang w:val="en-US" w:eastAsia="zh-CN"/>
        </w:rPr>
        <w:t>6.1.5</w:t>
      </w:r>
      <w:r>
        <w:rPr>
          <w:rFonts w:hint="eastAsia" w:ascii="仿宋_GB2312" w:hAnsi="仿宋_GB2312" w:eastAsia="仿宋_GB2312" w:cs="仿宋_GB2312"/>
          <w:color w:val="auto"/>
          <w:sz w:val="32"/>
          <w:szCs w:val="32"/>
          <w:highlight w:val="none"/>
          <w:u w:val="none"/>
          <w:lang w:val="en-US" w:eastAsia="zh-CN"/>
        </w:rPr>
        <w:t>城市道路设施</w:t>
      </w:r>
      <w:r>
        <w:rPr>
          <w:rFonts w:hint="eastAsia" w:ascii="仿宋_GB2312" w:hAnsi="仿宋_GB2312" w:eastAsia="仿宋_GB2312" w:cs="仿宋_GB2312"/>
          <w:b w:val="0"/>
          <w:bCs w:val="0"/>
          <w:color w:val="auto"/>
          <w:kern w:val="2"/>
          <w:sz w:val="32"/>
          <w:szCs w:val="32"/>
          <w:highlight w:val="none"/>
          <w:u w:val="none"/>
          <w:lang w:val="en-US" w:eastAsia="zh-CN" w:bidi="ar-SA"/>
        </w:rPr>
        <w:t>养护维修标准应不低于原有道路设计标准，强度控制、材料选择（材料尺寸、规格型号、色泽要求等）等应与原有结构一致。</w:t>
      </w:r>
    </w:p>
    <w:p w14:paraId="62FC8174">
      <w:pPr>
        <w:keepNext w:val="0"/>
        <w:keepLines w:val="0"/>
        <w:pageBreakBefore w:val="0"/>
        <w:widowControl w:val="0"/>
        <w:suppressLineNumbers w:val="0"/>
        <w:kinsoku/>
        <w:wordWrap/>
        <w:overflowPunct/>
        <w:topLinePunct w:val="0"/>
        <w:bidi w:val="0"/>
        <w:spacing w:line="560" w:lineRule="exact"/>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sz w:val="32"/>
          <w:szCs w:val="32"/>
          <w:highlight w:val="none"/>
          <w:u w:val="none"/>
          <w:lang w:val="en-US" w:eastAsia="zh-CN"/>
        </w:rPr>
        <w:t>6.1.6</w:t>
      </w:r>
      <w:r>
        <w:rPr>
          <w:rFonts w:hint="eastAsia" w:ascii="仿宋_GB2312" w:hAnsi="仿宋_GB2312" w:eastAsia="仿宋_GB2312" w:cs="仿宋_GB2312"/>
          <w:color w:val="auto"/>
          <w:sz w:val="32"/>
          <w:szCs w:val="32"/>
          <w:highlight w:val="none"/>
          <w:u w:val="none"/>
          <w:lang w:val="en-US" w:eastAsia="zh-CN"/>
        </w:rPr>
        <w:t>未经城市道路主管部门许可或审批，任何单位和个人</w:t>
      </w:r>
      <w:r>
        <w:rPr>
          <w:rFonts w:hint="eastAsia" w:ascii="仿宋_GB2312" w:hAnsi="仿宋_GB2312" w:eastAsia="仿宋_GB2312" w:cs="仿宋_GB2312"/>
          <w:color w:val="auto"/>
          <w:kern w:val="0"/>
          <w:sz w:val="32"/>
          <w:szCs w:val="32"/>
          <w:highlight w:val="none"/>
          <w:u w:val="none"/>
          <w:lang w:val="en-US" w:eastAsia="zh-CN" w:bidi="ar"/>
        </w:rPr>
        <w:t>不得擅自占用城市道路设施用于加工、经营、停车、堆放及搭建等，影响交通安全的，还应征得公安机关交通管理部门的同意。</w:t>
      </w:r>
    </w:p>
    <w:p w14:paraId="33F4B62A">
      <w:pPr>
        <w:keepNext w:val="0"/>
        <w:keepLines w:val="0"/>
        <w:pageBreakBefore w:val="0"/>
        <w:widowControl w:val="0"/>
        <w:suppressLineNumbers w:val="0"/>
        <w:kinsoku/>
        <w:wordWrap/>
        <w:overflowPunct/>
        <w:topLinePunct w:val="0"/>
        <w:bidi w:val="0"/>
        <w:spacing w:line="560" w:lineRule="exact"/>
        <w:jc w:val="left"/>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kern w:val="0"/>
          <w:sz w:val="32"/>
          <w:szCs w:val="32"/>
          <w:highlight w:val="none"/>
          <w:u w:val="none"/>
          <w:lang w:val="en-US" w:eastAsia="zh-CN" w:bidi="ar"/>
        </w:rPr>
        <w:t>6.1.7</w:t>
      </w:r>
      <w:r>
        <w:rPr>
          <w:rFonts w:hint="eastAsia" w:ascii="仿宋_GB2312" w:hAnsi="仿宋_GB2312" w:eastAsia="仿宋_GB2312" w:cs="仿宋_GB2312"/>
          <w:color w:val="auto"/>
          <w:kern w:val="0"/>
          <w:sz w:val="32"/>
          <w:szCs w:val="32"/>
          <w:highlight w:val="none"/>
          <w:u w:val="none"/>
          <w:lang w:val="en-US" w:eastAsia="zh-CN" w:bidi="ar"/>
        </w:rPr>
        <w:t>因城市建设或者重大公益活动等特殊情况，确需占用城市道路或无障碍设施的，应设置警示标志和信号设施，且应留足建设车辆和行人临时通道，确保交通畅通</w:t>
      </w:r>
      <w:r>
        <w:rPr>
          <w:rFonts w:hint="eastAsia" w:ascii="仿宋_GB2312" w:hAnsi="仿宋_GB2312" w:eastAsia="仿宋_GB2312" w:cs="仿宋_GB2312"/>
          <w:color w:val="auto"/>
          <w:sz w:val="32"/>
          <w:szCs w:val="32"/>
          <w:highlight w:val="none"/>
          <w:u w:val="none"/>
          <w:lang w:val="en-US" w:eastAsia="zh-CN"/>
        </w:rPr>
        <w:t>，</w:t>
      </w:r>
      <w:r>
        <w:rPr>
          <w:rFonts w:hint="eastAsia" w:ascii="仿宋_GB2312" w:hAnsi="仿宋_GB2312" w:eastAsia="仿宋_GB2312" w:cs="仿宋_GB2312"/>
          <w:color w:val="auto"/>
          <w:kern w:val="0"/>
          <w:sz w:val="32"/>
          <w:szCs w:val="32"/>
          <w:highlight w:val="none"/>
          <w:u w:val="none"/>
          <w:lang w:val="en-US" w:eastAsia="zh-CN" w:bidi="ar"/>
        </w:rPr>
        <w:t>占用期满应及时恢复原状。因特殊原因不能及时恢复原状的，应采取防护措施确保占用区域的设施保持完好、安全、畅通、整洁。</w:t>
      </w:r>
    </w:p>
    <w:p w14:paraId="174B9408">
      <w:pPr>
        <w:bidi w:val="0"/>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b/>
          <w:bCs/>
          <w:color w:val="auto"/>
          <w:sz w:val="32"/>
          <w:szCs w:val="32"/>
          <w:highlight w:val="none"/>
          <w:u w:val="none"/>
          <w:lang w:val="en-US" w:eastAsia="zh-CN"/>
        </w:rPr>
        <w:t>6.1.8</w:t>
      </w:r>
      <w:r>
        <w:rPr>
          <w:rFonts w:hint="eastAsia" w:ascii="仿宋_GB2312" w:hAnsi="仿宋_GB2312" w:eastAsia="仿宋_GB2312" w:cs="仿宋_GB2312"/>
          <w:color w:val="auto"/>
          <w:sz w:val="32"/>
          <w:szCs w:val="32"/>
          <w:highlight w:val="none"/>
          <w:u w:val="none"/>
          <w:lang w:val="en-US" w:eastAsia="zh-CN"/>
        </w:rPr>
        <w:t>新（改、</w:t>
      </w:r>
      <w:r>
        <w:rPr>
          <w:rFonts w:hint="eastAsia" w:ascii="仿宋_GB2312" w:hAnsi="仿宋_GB2312" w:eastAsia="仿宋_GB2312" w:cs="仿宋_GB2312"/>
          <w:color w:val="auto"/>
          <w:kern w:val="0"/>
          <w:sz w:val="32"/>
          <w:szCs w:val="32"/>
          <w:highlight w:val="none"/>
          <w:u w:val="none"/>
          <w:lang w:val="en-US" w:eastAsia="zh-CN" w:bidi="ar"/>
        </w:rPr>
        <w:t>扩）建的城市道路交付使用后5年内、大修的城市道路竣工后3年内不得挖掘；因特殊情况需要挖掘的，应当经县级以上人民政府批准。城市道路进行大中修、专项、</w:t>
      </w:r>
      <w:bookmarkStart w:id="142" w:name="OLE_LINK30"/>
      <w:r>
        <w:rPr>
          <w:rFonts w:hint="eastAsia" w:ascii="仿宋_GB2312" w:hAnsi="仿宋_GB2312" w:eastAsia="仿宋_GB2312" w:cs="仿宋_GB2312"/>
          <w:color w:val="auto"/>
          <w:kern w:val="0"/>
          <w:sz w:val="32"/>
          <w:szCs w:val="32"/>
          <w:highlight w:val="none"/>
          <w:u w:val="none"/>
          <w:lang w:val="en-US" w:eastAsia="zh-CN" w:bidi="ar"/>
        </w:rPr>
        <w:t>新（改、扩）</w:t>
      </w:r>
      <w:bookmarkEnd w:id="142"/>
      <w:r>
        <w:rPr>
          <w:rFonts w:hint="eastAsia" w:ascii="仿宋_GB2312" w:hAnsi="仿宋_GB2312" w:eastAsia="仿宋_GB2312" w:cs="仿宋_GB2312"/>
          <w:color w:val="auto"/>
          <w:kern w:val="0"/>
          <w:sz w:val="32"/>
          <w:szCs w:val="32"/>
          <w:highlight w:val="none"/>
          <w:u w:val="none"/>
          <w:lang w:val="en-US" w:eastAsia="zh-CN" w:bidi="ar"/>
        </w:rPr>
        <w:t>建等施工时，各设施产权单位应同时配</w:t>
      </w:r>
      <w:r>
        <w:rPr>
          <w:rFonts w:hint="eastAsia" w:ascii="仿宋_GB2312" w:hAnsi="仿宋_GB2312" w:eastAsia="仿宋_GB2312" w:cs="仿宋_GB2312"/>
          <w:color w:val="auto"/>
          <w:sz w:val="32"/>
          <w:szCs w:val="32"/>
          <w:highlight w:val="none"/>
          <w:u w:val="none"/>
        </w:rPr>
        <w:t>套建设管线</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避免重复开挖</w:t>
      </w:r>
      <w:r>
        <w:rPr>
          <w:rFonts w:hint="eastAsia" w:ascii="仿宋_GB2312" w:hAnsi="仿宋_GB2312" w:eastAsia="仿宋_GB2312" w:cs="仿宋_GB2312"/>
          <w:color w:val="auto"/>
          <w:sz w:val="32"/>
          <w:szCs w:val="32"/>
          <w:highlight w:val="none"/>
          <w:u w:val="none"/>
        </w:rPr>
        <w:t>。</w:t>
      </w:r>
    </w:p>
    <w:p w14:paraId="1445F558">
      <w:pPr>
        <w:bidi w:val="0"/>
        <w:rPr>
          <w:rFonts w:hint="eastAsia" w:ascii="仿宋" w:hAnsi="仿宋" w:eastAsia="仿宋" w:cs="仿宋"/>
          <w:color w:val="auto"/>
          <w:sz w:val="32"/>
          <w:szCs w:val="32"/>
          <w:highlight w:val="none"/>
          <w:u w:val="none"/>
          <w:lang w:eastAsia="zh-CN"/>
        </w:rPr>
      </w:pPr>
      <w:r>
        <w:rPr>
          <w:rFonts w:hint="eastAsia" w:ascii="仿宋_GB2312" w:hAnsi="仿宋_GB2312" w:eastAsia="仿宋_GB2312" w:cs="仿宋_GB2312"/>
          <w:b/>
          <w:bCs/>
          <w:color w:val="auto"/>
          <w:sz w:val="32"/>
          <w:szCs w:val="32"/>
          <w:highlight w:val="none"/>
          <w:u w:val="none"/>
          <w:lang w:val="en-US" w:eastAsia="zh-CN"/>
        </w:rPr>
        <w:t>6.1.9</w:t>
      </w:r>
      <w:r>
        <w:rPr>
          <w:rFonts w:hint="eastAsia" w:ascii="仿宋" w:hAnsi="仿宋" w:eastAsia="仿宋" w:cs="仿宋"/>
          <w:color w:val="auto"/>
          <w:sz w:val="32"/>
          <w:szCs w:val="32"/>
          <w:highlight w:val="none"/>
          <w:u w:val="none"/>
        </w:rPr>
        <w:t>城市道路</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lang w:val="en-US" w:eastAsia="zh-CN"/>
        </w:rPr>
        <w:t>包括7.2的结构性设施）</w:t>
      </w:r>
      <w:r>
        <w:rPr>
          <w:rFonts w:hint="eastAsia" w:ascii="仿宋" w:hAnsi="仿宋" w:eastAsia="仿宋" w:cs="仿宋"/>
          <w:color w:val="auto"/>
          <w:sz w:val="32"/>
          <w:szCs w:val="32"/>
          <w:highlight w:val="none"/>
          <w:u w:val="none"/>
        </w:rPr>
        <w:t>工程竣工，经验收合格后，方可交付使用；未经验收或者验收不合格的，不得交付使用</w:t>
      </w:r>
      <w:r>
        <w:rPr>
          <w:rFonts w:hint="eastAsia" w:ascii="仿宋" w:hAnsi="仿宋" w:eastAsia="仿宋" w:cs="仿宋"/>
          <w:color w:val="auto"/>
          <w:sz w:val="32"/>
          <w:szCs w:val="32"/>
          <w:highlight w:val="none"/>
          <w:u w:val="none"/>
          <w:lang w:eastAsia="zh-CN"/>
        </w:rPr>
        <w:t>。</w:t>
      </w:r>
    </w:p>
    <w:p w14:paraId="03BCBF62">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32"/>
          <w:szCs w:val="32"/>
          <w:highlight w:val="none"/>
          <w:u w:val="none"/>
        </w:rPr>
      </w:pPr>
      <w:r>
        <w:rPr>
          <w:rFonts w:hint="eastAsia" w:ascii="仿宋" w:hAnsi="仿宋" w:eastAsia="仿宋" w:cs="仿宋"/>
          <w:b/>
          <w:bCs/>
          <w:color w:val="auto"/>
          <w:sz w:val="32"/>
          <w:szCs w:val="32"/>
          <w:highlight w:val="none"/>
          <w:u w:val="none"/>
          <w:lang w:val="en-US" w:eastAsia="zh-CN"/>
        </w:rPr>
        <w:t>6.1.10</w:t>
      </w:r>
      <w:r>
        <w:rPr>
          <w:rFonts w:hint="eastAsia" w:ascii="仿宋" w:hAnsi="仿宋" w:eastAsia="仿宋" w:cs="仿宋"/>
          <w:color w:val="auto"/>
          <w:sz w:val="32"/>
          <w:szCs w:val="32"/>
          <w:highlight w:val="none"/>
          <w:u w:val="none"/>
        </w:rPr>
        <w:t>城市道路</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sz w:val="32"/>
          <w:szCs w:val="32"/>
          <w:highlight w:val="none"/>
          <w:u w:val="none"/>
          <w:lang w:val="en-US" w:eastAsia="zh-CN"/>
        </w:rPr>
        <w:t>包括7.2的结构性设施）</w:t>
      </w:r>
      <w:r>
        <w:rPr>
          <w:rFonts w:hint="eastAsia" w:ascii="仿宋" w:hAnsi="仿宋" w:eastAsia="仿宋" w:cs="仿宋"/>
          <w:color w:val="auto"/>
          <w:sz w:val="32"/>
          <w:szCs w:val="32"/>
          <w:highlight w:val="none"/>
          <w:u w:val="none"/>
        </w:rPr>
        <w:t>实行工程质量保修制度。城市道路的保修期为1年，自交付使用之日起计算。保修期内出现工程质量问题，由有关责任单位负责保修。</w:t>
      </w:r>
    </w:p>
    <w:p w14:paraId="5F4C80D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color w:val="auto"/>
          <w:sz w:val="32"/>
          <w:szCs w:val="32"/>
          <w:highlight w:val="none"/>
          <w:u w:val="none"/>
          <w:lang w:val="en-US" w:eastAsia="zh-CN"/>
        </w:rPr>
      </w:pPr>
    </w:p>
    <w:bookmarkEnd w:id="118"/>
    <w:p w14:paraId="50C9343A">
      <w:pPr>
        <w:pStyle w:val="3"/>
        <w:bidi w:val="0"/>
        <w:jc w:val="center"/>
        <w:rPr>
          <w:rFonts w:hint="eastAsia"/>
          <w:lang w:val="en-US" w:eastAsia="zh-CN"/>
        </w:rPr>
      </w:pPr>
      <w:bookmarkStart w:id="143" w:name="_Toc6998"/>
      <w:bookmarkStart w:id="144" w:name="_Toc20744"/>
      <w:bookmarkStart w:id="145" w:name="_Toc9992"/>
      <w:r>
        <w:rPr>
          <w:rFonts w:hint="eastAsia"/>
          <w:lang w:val="en-US" w:eastAsia="zh-CN"/>
        </w:rPr>
        <w:t>6.2位于城市道路上的桥梁、隧道、人行天桥</w:t>
      </w:r>
      <w:bookmarkEnd w:id="143"/>
      <w:bookmarkEnd w:id="144"/>
      <w:bookmarkEnd w:id="145"/>
    </w:p>
    <w:p w14:paraId="3D59E4D0">
      <w:pPr>
        <w:pStyle w:val="3"/>
        <w:bidi w:val="0"/>
        <w:jc w:val="center"/>
        <w:rPr>
          <w:rFonts w:hint="default"/>
          <w:lang w:val="en-US" w:eastAsia="zh-CN"/>
        </w:rPr>
      </w:pPr>
      <w:bookmarkStart w:id="146" w:name="_Toc16061"/>
      <w:bookmarkStart w:id="147" w:name="_Toc1560"/>
      <w:bookmarkStart w:id="148" w:name="_Toc8259"/>
      <w:r>
        <w:rPr>
          <w:rFonts w:hint="eastAsia"/>
          <w:lang w:val="en-US" w:eastAsia="zh-CN"/>
        </w:rPr>
        <w:t>及地下通道等结构性设施</w:t>
      </w:r>
      <w:bookmarkEnd w:id="146"/>
      <w:bookmarkEnd w:id="147"/>
      <w:bookmarkEnd w:id="148"/>
    </w:p>
    <w:p w14:paraId="7AFEA025">
      <w:pPr>
        <w:keepNext w:val="0"/>
        <w:keepLines w:val="0"/>
        <w:pageBreakBefore w:val="0"/>
        <w:widowControl w:val="0"/>
        <w:suppressLineNumbers w:val="0"/>
        <w:kinsoku/>
        <w:wordWrap/>
        <w:overflowPunct/>
        <w:topLinePunct w:val="0"/>
        <w:bidi w:val="0"/>
        <w:spacing w:line="560" w:lineRule="exact"/>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6.2.1</w:t>
      </w:r>
      <w:r>
        <w:rPr>
          <w:rFonts w:hint="eastAsia" w:ascii="仿宋_GB2312" w:hAnsi="仿宋_GB2312" w:eastAsia="仿宋_GB2312" w:cs="仿宋_GB2312"/>
          <w:color w:val="auto"/>
          <w:kern w:val="0"/>
          <w:sz w:val="32"/>
          <w:szCs w:val="32"/>
          <w:highlight w:val="none"/>
          <w:u w:val="none"/>
          <w:lang w:val="en-US" w:eastAsia="zh-CN" w:bidi="ar"/>
        </w:rPr>
        <w:t>设施养护应符合城镇道路养护技术规范要求。</w:t>
      </w:r>
    </w:p>
    <w:p w14:paraId="26587304">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 xml:space="preserve"> 桥面铺装不得随意增加桥面铺装厚度和静荷载，严禁覆盖伸缩缝。</w:t>
      </w:r>
    </w:p>
    <w:p w14:paraId="61E810E6">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 xml:space="preserve"> 人行道铺装、盲道和缘石应完好、平整；</w:t>
      </w:r>
    </w:p>
    <w:p w14:paraId="08984CD1">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 xml:space="preserve"> 各类管线设施应完整、有效；线杆应安全、牢固；井盖应完好、平顺。</w:t>
      </w:r>
    </w:p>
    <w:p w14:paraId="2C774213">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 xml:space="preserve"> 伸缩缝应平整、直顺、伸缩自如，处于良好工作状态。</w:t>
      </w:r>
    </w:p>
    <w:p w14:paraId="7174CAE1">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 xml:space="preserve"> 支座、墩台、基础应定期检查，确保各结构部位完整、安全、有效、整洁。</w:t>
      </w:r>
    </w:p>
    <w:p w14:paraId="405BA1E3">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 xml:space="preserve"> 人行天桥、人行地下通道路面铺装和装饰应完整、清洁，所有电气设备、线路必须安全、可靠、有效，照明、梯道、扶手和无障碍设施应完好、牢固，防滑条应完整有效。</w:t>
      </w:r>
    </w:p>
    <w:p w14:paraId="4CE26ED8">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 xml:space="preserve"> 隧道养护应包括洞身、洞门、路面和两端路堑、防护设施、排水设施、洞口过渡段设施以及通风、照明、标志、标线、监控、消防、防冻、消音等设施。</w:t>
      </w:r>
    </w:p>
    <w:p w14:paraId="6E1D7C1E">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 xml:space="preserve"> 桥面泄水孔应完好、畅通、有效，桥面泄水管和排水槽应完好、畅通，外观整洁美观。冬季桥梁的悬挂冰凌应及时清除。</w:t>
      </w:r>
    </w:p>
    <w:p w14:paraId="5CDD8E30">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 xml:space="preserve"> 栏杆应完整、牢固、美观、有效。</w:t>
      </w:r>
    </w:p>
    <w:p w14:paraId="503B9420">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防撞护栏（墙）不得缺损、变形、锈蚀。</w:t>
      </w:r>
    </w:p>
    <w:p w14:paraId="382A6992">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声屏障应干净、有效、完整、牢固。</w:t>
      </w:r>
    </w:p>
    <w:p w14:paraId="0D6AE692">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桥名牌、限载牌和限高牌等标志设施应保持完好、清晰。</w:t>
      </w:r>
    </w:p>
    <w:p w14:paraId="4000B947">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桥梁的防护网、隔离带、遮光板、限高门架、绿化、照明设施、自动扶梯、垂直电梯等设施应牢固、安全、有效。</w:t>
      </w:r>
    </w:p>
    <w:p w14:paraId="4FBA425F">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560" w:lineRule="exact"/>
        <w:ind w:left="84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隧道、人行天桥、人行地下通道造型应与周围环境相协调，设置的遮阳（雨）棚保持整洁美观。人行地下通道墙面宜选用表面光洁、不易沾染油污、耐酸碱、耐洗刷、易修复的材料，不应采用水泥拉毛墙面。</w:t>
      </w:r>
    </w:p>
    <w:p w14:paraId="25AB9F2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6.2.</w:t>
      </w:r>
      <w:bookmarkStart w:id="149" w:name="OLE_LINK18"/>
      <w:r>
        <w:rPr>
          <w:rFonts w:hint="eastAsia" w:ascii="仿宋_GB2312" w:hAnsi="仿宋_GB2312" w:eastAsia="仿宋_GB2312" w:cs="仿宋_GB2312"/>
          <w:b/>
          <w:bCs/>
          <w:color w:val="auto"/>
          <w:kern w:val="0"/>
          <w:sz w:val="32"/>
          <w:szCs w:val="32"/>
          <w:highlight w:val="none"/>
          <w:u w:val="none"/>
          <w:lang w:val="en-US" w:eastAsia="zh-CN" w:bidi="ar"/>
        </w:rPr>
        <w:t>2</w:t>
      </w:r>
      <w:bookmarkStart w:id="150" w:name="OLE_LINK22"/>
      <w:r>
        <w:rPr>
          <w:rFonts w:hint="eastAsia" w:ascii="仿宋_GB2312" w:hAnsi="仿宋_GB2312" w:eastAsia="仿宋_GB2312" w:cs="仿宋_GB2312"/>
          <w:b w:val="0"/>
          <w:bCs w:val="0"/>
          <w:color w:val="auto"/>
          <w:sz w:val="32"/>
          <w:szCs w:val="32"/>
          <w:highlight w:val="none"/>
          <w:u w:val="none"/>
          <w:lang w:val="en-US" w:eastAsia="zh-CN"/>
        </w:rPr>
        <w:t>设施</w:t>
      </w:r>
      <w:bookmarkEnd w:id="149"/>
      <w:bookmarkEnd w:id="150"/>
      <w:r>
        <w:rPr>
          <w:rFonts w:hint="eastAsia" w:ascii="仿宋_GB2312" w:hAnsi="仿宋_GB2312" w:eastAsia="仿宋_GB2312" w:cs="仿宋_GB2312"/>
          <w:color w:val="auto"/>
          <w:kern w:val="0"/>
          <w:sz w:val="32"/>
          <w:szCs w:val="32"/>
          <w:highlight w:val="none"/>
          <w:u w:val="none"/>
          <w:lang w:val="en-US" w:eastAsia="zh-CN" w:bidi="ar"/>
        </w:rPr>
        <w:t>应按规定进行检测评估，根据养护类别、养护等级和技术状况确定其保养小修、中修、大修、加固及</w:t>
      </w:r>
      <w:bookmarkStart w:id="151" w:name="OLE_LINK31"/>
      <w:r>
        <w:rPr>
          <w:rFonts w:hint="eastAsia" w:ascii="仿宋_GB2312" w:hAnsi="仿宋_GB2312" w:eastAsia="仿宋_GB2312" w:cs="仿宋_GB2312"/>
          <w:color w:val="auto"/>
          <w:kern w:val="0"/>
          <w:sz w:val="32"/>
          <w:szCs w:val="32"/>
          <w:highlight w:val="none"/>
          <w:u w:val="none"/>
          <w:lang w:val="en-US" w:eastAsia="zh-CN" w:bidi="ar"/>
        </w:rPr>
        <w:t>改（扩）建</w:t>
      </w:r>
      <w:bookmarkEnd w:id="151"/>
      <w:r>
        <w:rPr>
          <w:rFonts w:hint="eastAsia" w:ascii="仿宋_GB2312" w:hAnsi="仿宋_GB2312" w:eastAsia="仿宋_GB2312" w:cs="仿宋_GB2312"/>
          <w:color w:val="auto"/>
          <w:kern w:val="0"/>
          <w:sz w:val="32"/>
          <w:szCs w:val="32"/>
          <w:highlight w:val="none"/>
          <w:u w:val="none"/>
          <w:lang w:val="en-US" w:eastAsia="zh-CN" w:bidi="ar"/>
        </w:rPr>
        <w:t>养护对策。</w:t>
      </w:r>
    </w:p>
    <w:p w14:paraId="5674DCC0">
      <w:pPr>
        <w:keepNext w:val="0"/>
        <w:keepLines w:val="0"/>
        <w:pageBreakBefore w:val="0"/>
        <w:widowControl w:val="0"/>
        <w:suppressLineNumbers w:val="0"/>
        <w:kinsoku/>
        <w:wordWrap/>
        <w:overflowPunct/>
        <w:topLinePunct w:val="0"/>
        <w:bidi w:val="0"/>
        <w:spacing w:line="560" w:lineRule="exact"/>
        <w:jc w:val="left"/>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6.2.3</w:t>
      </w:r>
      <w:bookmarkStart w:id="152" w:name="OLE_LINK20"/>
      <w:r>
        <w:rPr>
          <w:rFonts w:hint="eastAsia" w:ascii="仿宋_GB2312" w:hAnsi="仿宋_GB2312" w:eastAsia="仿宋_GB2312" w:cs="仿宋_GB2312"/>
          <w:b w:val="0"/>
          <w:bCs w:val="0"/>
          <w:color w:val="auto"/>
          <w:sz w:val="32"/>
          <w:szCs w:val="32"/>
          <w:highlight w:val="none"/>
          <w:u w:val="none"/>
          <w:lang w:val="en-US" w:eastAsia="zh-CN"/>
        </w:rPr>
        <w:t>设施</w:t>
      </w:r>
      <w:bookmarkEnd w:id="152"/>
      <w:r>
        <w:rPr>
          <w:rFonts w:hint="eastAsia" w:ascii="仿宋_GB2312" w:hAnsi="仿宋_GB2312" w:eastAsia="仿宋_GB2312" w:cs="仿宋_GB2312"/>
          <w:color w:val="auto"/>
          <w:sz w:val="32"/>
          <w:szCs w:val="32"/>
          <w:highlight w:val="none"/>
          <w:u w:val="none"/>
          <w:lang w:val="en-US" w:eastAsia="zh-CN"/>
        </w:rPr>
        <w:t>出现以下安全隐患病害时，设施产权单位应履行以下职责，并按时限完成处置。</w:t>
      </w:r>
    </w:p>
    <w:p w14:paraId="4D27F289">
      <w:pPr>
        <w:keepNext w:val="0"/>
        <w:keepLines w:val="0"/>
        <w:pageBreakBefore w:val="0"/>
        <w:widowControl w:val="0"/>
        <w:numPr>
          <w:ilvl w:val="0"/>
          <w:numId w:val="6"/>
        </w:numPr>
        <w:suppressLineNumbers w:val="0"/>
        <w:kinsoku/>
        <w:wordWrap/>
        <w:overflowPunct/>
        <w:topLinePunct w:val="0"/>
        <w:autoSpaceDE/>
        <w:autoSpaceDN/>
        <w:bidi w:val="0"/>
        <w:adjustRightInd/>
        <w:snapToGrid/>
        <w:spacing w:line="560" w:lineRule="exact"/>
        <w:ind w:left="63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设施出现6.1.3规定的安全隐患病害时，其处置方式及时限从其规定。</w:t>
      </w:r>
    </w:p>
    <w:p w14:paraId="08DE71DA">
      <w:pPr>
        <w:keepNext w:val="0"/>
        <w:keepLines w:val="0"/>
        <w:pageBreakBefore w:val="0"/>
        <w:widowControl w:val="0"/>
        <w:numPr>
          <w:ilvl w:val="0"/>
          <w:numId w:val="6"/>
        </w:numPr>
        <w:suppressLineNumbers w:val="0"/>
        <w:kinsoku/>
        <w:wordWrap/>
        <w:overflowPunct/>
        <w:topLinePunct w:val="0"/>
        <w:autoSpaceDE/>
        <w:autoSpaceDN/>
        <w:bidi w:val="0"/>
        <w:adjustRightInd/>
        <w:snapToGrid/>
        <w:spacing w:line="560" w:lineRule="exact"/>
        <w:ind w:left="63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设施经检测为不合格等级以下的，设施管理单位应组织召开专家评估会，以此确定设施限流、限载、封闭等措施，并制定方案对设施进行中修、大修、加固或改（扩）建。</w:t>
      </w:r>
    </w:p>
    <w:p w14:paraId="2C1D6026">
      <w:pPr>
        <w:keepNext w:val="0"/>
        <w:keepLines w:val="0"/>
        <w:pageBreakBefore w:val="0"/>
        <w:widowControl w:val="0"/>
        <w:numPr>
          <w:ilvl w:val="0"/>
          <w:numId w:val="6"/>
        </w:numPr>
        <w:suppressLineNumbers w:val="0"/>
        <w:kinsoku/>
        <w:wordWrap/>
        <w:overflowPunct/>
        <w:topLinePunct w:val="0"/>
        <w:autoSpaceDE/>
        <w:autoSpaceDN/>
        <w:bidi w:val="0"/>
        <w:adjustRightInd/>
        <w:snapToGrid/>
        <w:spacing w:line="560" w:lineRule="exact"/>
        <w:ind w:left="635" w:leftChars="0" w:hanging="425" w:firstLineChars="0"/>
        <w:jc w:val="lef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bidi="ar"/>
        </w:rPr>
        <w:t>防护栏、防撞墙、声屏障、附着杆件（如路灯灯杆等）等缺失损毁时，</w:t>
      </w:r>
      <w:r>
        <w:rPr>
          <w:rFonts w:hint="eastAsia" w:ascii="仿宋_GB2312" w:hAnsi="仿宋_GB2312" w:eastAsia="仿宋_GB2312" w:cs="仿宋_GB2312"/>
          <w:color w:val="auto"/>
          <w:sz w:val="32"/>
          <w:szCs w:val="32"/>
          <w:highlight w:val="none"/>
          <w:u w:val="none"/>
          <w:lang w:val="en-US" w:eastAsia="zh-CN"/>
        </w:rPr>
        <w:t>设施管理单位应在规定时限内完成应急警示围挡（城区1小时、郊区2小时），并在48小时内按原结构进行恢复。</w:t>
      </w:r>
    </w:p>
    <w:p w14:paraId="11459011">
      <w:pPr>
        <w:keepNext w:val="0"/>
        <w:keepLines w:val="0"/>
        <w:pageBreakBefore w:val="0"/>
        <w:widowControl w:val="0"/>
        <w:numPr>
          <w:ilvl w:val="0"/>
          <w:numId w:val="6"/>
        </w:numPr>
        <w:suppressLineNumbers w:val="0"/>
        <w:kinsoku/>
        <w:wordWrap/>
        <w:overflowPunct/>
        <w:topLinePunct w:val="0"/>
        <w:autoSpaceDE/>
        <w:autoSpaceDN/>
        <w:bidi w:val="0"/>
        <w:adjustRightInd/>
        <w:snapToGrid/>
        <w:spacing w:line="560" w:lineRule="exact"/>
        <w:ind w:left="635" w:leftChars="0" w:hanging="425" w:firstLineChars="0"/>
        <w:jc w:val="lef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上述安全隐患病害因交通堵塞、现场存在次生灾害危险、材料加工采购等客观因素不能按规定时限完成警示围挡或处置的，设施产权单位应立即上报主管部门，说明原因并申请延期。</w:t>
      </w:r>
    </w:p>
    <w:p w14:paraId="0B1DEEDA">
      <w:pPr>
        <w:keepNext w:val="0"/>
        <w:keepLines w:val="0"/>
        <w:pageBreakBefore w:val="0"/>
        <w:widowControl w:val="0"/>
        <w:suppressLineNumbers w:val="0"/>
        <w:kinsoku/>
        <w:wordWrap/>
        <w:overflowPunct/>
        <w:topLinePunct w:val="0"/>
        <w:bidi w:val="0"/>
        <w:spacing w:line="560" w:lineRule="exact"/>
        <w:jc w:val="lef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6.2.4</w:t>
      </w:r>
      <w:r>
        <w:rPr>
          <w:rFonts w:hint="eastAsia" w:ascii="仿宋_GB2312" w:hAnsi="仿宋_GB2312" w:eastAsia="仿宋_GB2312" w:cs="仿宋_GB2312"/>
          <w:b w:val="0"/>
          <w:bCs w:val="0"/>
          <w:color w:val="auto"/>
          <w:sz w:val="32"/>
          <w:szCs w:val="32"/>
          <w:highlight w:val="none"/>
          <w:u w:val="none"/>
          <w:lang w:val="en-US" w:eastAsia="zh-CN"/>
        </w:rPr>
        <w:t>设施</w:t>
      </w:r>
      <w:r>
        <w:rPr>
          <w:rFonts w:hint="eastAsia" w:ascii="仿宋_GB2312" w:hAnsi="仿宋_GB2312" w:eastAsia="仿宋_GB2312" w:cs="仿宋_GB2312"/>
          <w:color w:val="auto"/>
          <w:sz w:val="32"/>
          <w:szCs w:val="32"/>
          <w:highlight w:val="none"/>
          <w:u w:val="none"/>
          <w:lang w:val="en-US" w:eastAsia="zh-CN"/>
        </w:rPr>
        <w:t>应分级分类开展日常巡查及维护（非安全隐患病害的小、中修），大修、加固及改（扩）建应制定方案实施。其分类分级巡查和病害维修宜与道路设施一致。</w:t>
      </w:r>
    </w:p>
    <w:p w14:paraId="6E092DF9">
      <w:pPr>
        <w:keepNext w:val="0"/>
        <w:keepLines w:val="0"/>
        <w:pageBreakBefore w:val="0"/>
        <w:widowControl w:val="0"/>
        <w:suppressLineNumbers w:val="0"/>
        <w:kinsoku/>
        <w:wordWrap/>
        <w:overflowPunct/>
        <w:topLinePunct w:val="0"/>
        <w:bidi w:val="0"/>
        <w:spacing w:line="560" w:lineRule="exact"/>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sz w:val="32"/>
          <w:szCs w:val="32"/>
          <w:highlight w:val="none"/>
          <w:u w:val="none"/>
          <w:lang w:val="en-US" w:eastAsia="zh-CN"/>
        </w:rPr>
        <w:t>6.2.5</w:t>
      </w:r>
      <w:r>
        <w:rPr>
          <w:rFonts w:hint="eastAsia" w:ascii="仿宋_GB2312" w:hAnsi="仿宋_GB2312" w:eastAsia="仿宋_GB2312" w:cs="仿宋_GB2312"/>
          <w:b w:val="0"/>
          <w:bCs w:val="0"/>
          <w:color w:val="auto"/>
          <w:sz w:val="32"/>
          <w:szCs w:val="32"/>
          <w:highlight w:val="none"/>
          <w:u w:val="none"/>
          <w:lang w:val="en-US" w:eastAsia="zh-CN"/>
        </w:rPr>
        <w:t>设施</w:t>
      </w:r>
      <w:r>
        <w:rPr>
          <w:rFonts w:hint="eastAsia" w:ascii="仿宋_GB2312" w:hAnsi="仿宋_GB2312" w:eastAsia="仿宋_GB2312" w:cs="仿宋_GB2312"/>
          <w:b w:val="0"/>
          <w:bCs w:val="0"/>
          <w:color w:val="auto"/>
          <w:kern w:val="2"/>
          <w:sz w:val="32"/>
          <w:szCs w:val="32"/>
          <w:highlight w:val="none"/>
          <w:u w:val="none"/>
          <w:lang w:val="en-US" w:eastAsia="zh-CN" w:bidi="ar-SA"/>
        </w:rPr>
        <w:t>养护维修标准应不低于原有设计标准，强度控制、材料选择（材料尺寸、规格型号、色泽要求等）等应与原有结构一致。</w:t>
      </w:r>
    </w:p>
    <w:p w14:paraId="129D8AE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6.2.6</w:t>
      </w:r>
      <w:r>
        <w:rPr>
          <w:rFonts w:hint="eastAsia" w:ascii="仿宋_GB2312" w:hAnsi="仿宋_GB2312" w:eastAsia="仿宋_GB2312" w:cs="仿宋_GB2312"/>
          <w:color w:val="auto"/>
          <w:kern w:val="0"/>
          <w:sz w:val="32"/>
          <w:szCs w:val="32"/>
          <w:highlight w:val="none"/>
          <w:u w:val="none"/>
          <w:lang w:val="en-US" w:eastAsia="zh-CN" w:bidi="ar"/>
        </w:rPr>
        <w:t>立交桥、高架桥桥下空间利用应确保其安全，不得影响桥梁梁体、墩、柱等构件设施的日常检查、监测检测，设施产权管理单位应加强对桥下空间的日常监管，严禁在桥下空间烧火取暖、乱搭乱建。桥下空间利用应与周边建（构）筑物环境相协调，且应保持桥下空间干净整洁有序。</w:t>
      </w:r>
    </w:p>
    <w:p w14:paraId="6F106F99">
      <w:pPr>
        <w:pStyle w:val="3"/>
        <w:bidi w:val="0"/>
        <w:jc w:val="center"/>
        <w:rPr>
          <w:rFonts w:hint="eastAsia"/>
          <w:lang w:val="en-US" w:eastAsia="zh-CN"/>
        </w:rPr>
      </w:pPr>
      <w:bookmarkStart w:id="153" w:name="_Toc7393"/>
      <w:bookmarkStart w:id="154" w:name="_Toc11777"/>
      <w:bookmarkStart w:id="155" w:name="_Toc27956"/>
      <w:r>
        <w:rPr>
          <w:rFonts w:hint="eastAsia"/>
          <w:lang w:val="en-US" w:eastAsia="zh-CN"/>
        </w:rPr>
        <w:t>6.3占道施工作业</w:t>
      </w:r>
      <w:bookmarkEnd w:id="153"/>
      <w:bookmarkEnd w:id="154"/>
      <w:bookmarkEnd w:id="155"/>
    </w:p>
    <w:p w14:paraId="46746651">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6.3.1</w:t>
      </w:r>
      <w:bookmarkStart w:id="156" w:name="OLE_LINK8"/>
      <w:r>
        <w:rPr>
          <w:rFonts w:hint="eastAsia" w:ascii="仿宋_GB2312" w:hAnsi="仿宋_GB2312" w:eastAsia="仿宋_GB2312" w:cs="仿宋_GB2312"/>
          <w:color w:val="auto"/>
          <w:kern w:val="0"/>
          <w:sz w:val="32"/>
          <w:szCs w:val="32"/>
          <w:highlight w:val="none"/>
          <w:u w:val="none"/>
          <w:lang w:val="en-US" w:eastAsia="zh-CN" w:bidi="ar"/>
        </w:rPr>
        <w:t>城市道路占道施工作业</w:t>
      </w:r>
      <w:bookmarkEnd w:id="156"/>
      <w:r>
        <w:rPr>
          <w:rFonts w:hint="eastAsia" w:ascii="仿宋_GB2312" w:hAnsi="仿宋_GB2312" w:eastAsia="仿宋_GB2312" w:cs="仿宋_GB2312"/>
          <w:color w:val="auto"/>
          <w:kern w:val="0"/>
          <w:sz w:val="32"/>
          <w:szCs w:val="32"/>
          <w:highlight w:val="none"/>
          <w:u w:val="none"/>
          <w:lang w:val="en-US" w:eastAsia="zh-CN" w:bidi="ar"/>
        </w:rPr>
        <w:t>应有施工方案和交通组织方案，根据施工条件和交通条件，采取封闭或半封闭施工方式施工作业。</w:t>
      </w:r>
    </w:p>
    <w:p w14:paraId="77882BC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6.3.2</w:t>
      </w:r>
      <w:r>
        <w:rPr>
          <w:rFonts w:hint="eastAsia" w:ascii="仿宋_GB2312" w:hAnsi="仿宋_GB2312" w:eastAsia="仿宋_GB2312" w:cs="仿宋_GB2312"/>
          <w:color w:val="auto"/>
          <w:kern w:val="0"/>
          <w:sz w:val="32"/>
          <w:szCs w:val="32"/>
          <w:highlight w:val="none"/>
          <w:u w:val="none"/>
          <w:lang w:val="en-US" w:eastAsia="zh-CN" w:bidi="ar"/>
        </w:rPr>
        <w:t>城市道路占道施工噪声排放标准应符合国家或省建筑施工场界噪声排放标准。</w:t>
      </w:r>
    </w:p>
    <w:p w14:paraId="499A5211">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635" w:leftChars="0" w:hanging="425" w:firstLineChars="0"/>
        <w:jc w:val="left"/>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施工单位应当在施工现场的显著位置设置公告栏，向周围单位和居民公示可能产生噪声污染的相关信息及施工现场负责人及其联系方式、投诉渠道等。</w:t>
      </w:r>
    </w:p>
    <w:p w14:paraId="6D141F56">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63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施工单位应严格管控施工噪声。施工噪声排放应按</w:t>
      </w:r>
      <w:r>
        <w:rPr>
          <w:rFonts w:hint="eastAsia" w:ascii="仿宋" w:hAnsi="仿宋" w:eastAsia="仿宋" w:cs="仿宋"/>
          <w:b w:val="0"/>
          <w:bCs w:val="0"/>
          <w:color w:val="auto"/>
          <w:kern w:val="0"/>
          <w:sz w:val="32"/>
          <w:szCs w:val="32"/>
          <w:highlight w:val="none"/>
          <w:u w:val="none"/>
          <w:lang w:val="en-US" w:eastAsia="zh-CN" w:bidi="ar"/>
        </w:rPr>
        <w:t>0、Ⅰ、Ⅱ、Ⅲ、Ⅳ等</w:t>
      </w:r>
      <w:r>
        <w:rPr>
          <w:rFonts w:hint="eastAsia" w:ascii="仿宋_GB2312" w:hAnsi="仿宋_GB2312" w:eastAsia="仿宋_GB2312" w:cs="仿宋_GB2312"/>
          <w:color w:val="auto"/>
          <w:kern w:val="0"/>
          <w:sz w:val="32"/>
          <w:szCs w:val="32"/>
          <w:highlight w:val="none"/>
          <w:u w:val="none"/>
          <w:lang w:val="en-US" w:eastAsia="zh-CN" w:bidi="ar"/>
        </w:rPr>
        <w:t>5级分时段管控：白天（6：00--22：00时段）为50--70dB，夜间（22：00--6：00时段）为40--55dB,突发最大噪声不得高于标准15dB。</w:t>
      </w:r>
    </w:p>
    <w:p w14:paraId="4657C6A9">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63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施工单位应使用低噪声的施工机械和其他辅助施工设备，并采取有效的噪声防治措施，减轻对周围环境的影响。</w:t>
      </w:r>
    </w:p>
    <w:p w14:paraId="78BC698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6.3.3</w:t>
      </w:r>
      <w:r>
        <w:rPr>
          <w:rFonts w:hint="eastAsia" w:ascii="仿宋_GB2312" w:hAnsi="仿宋_GB2312" w:eastAsia="仿宋_GB2312" w:cs="仿宋_GB2312"/>
          <w:color w:val="auto"/>
          <w:kern w:val="0"/>
          <w:sz w:val="32"/>
          <w:szCs w:val="32"/>
          <w:highlight w:val="none"/>
          <w:u w:val="none"/>
          <w:lang w:val="en-US" w:eastAsia="zh-CN" w:bidi="ar"/>
        </w:rPr>
        <w:t>城市道路占道施工，应保持施工现场干净整洁，物料堆放、设备停放、渣土运输等规范有序。</w:t>
      </w:r>
    </w:p>
    <w:p w14:paraId="7DEC1C0C">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63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占道施工长且施工体量较大的施工工地，施工出入口路面应硬化，并应建设临时洗车设施，对进出的车辆进行清洁；养护和小型挖掘施工工地，施工出入口设专人负责车辆保洁。确保车身容貌干净整洁、物料渣土运输无撒漏。</w:t>
      </w:r>
    </w:p>
    <w:p w14:paraId="5D1E2B18">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63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施工工地的施工物料、机械、建筑垃圾等应置于围档范围之内，建筑垃圾堆放不得超过围档高度并应及时清运；施工期间，废水、泥浆不得流出场外、浸漫路面、堵塞管道，并应采取防尘措施，严格控制扬尘污染。</w:t>
      </w:r>
    </w:p>
    <w:p w14:paraId="16405278">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635" w:leftChars="0" w:hanging="425" w:firstLineChars="0"/>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施工完毕后应及时清理现场、拆除围档。</w:t>
      </w:r>
    </w:p>
    <w:p w14:paraId="53BE41CA">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kern w:val="0"/>
          <w:sz w:val="32"/>
          <w:szCs w:val="32"/>
          <w:highlight w:val="none"/>
          <w:u w:val="none"/>
          <w:lang w:val="en-US" w:eastAsia="zh-CN" w:bidi="ar"/>
        </w:rPr>
        <w:t>6.3.4</w:t>
      </w:r>
      <w:r>
        <w:rPr>
          <w:rFonts w:hint="eastAsia" w:ascii="仿宋_GB2312" w:hAnsi="仿宋_GB2312" w:eastAsia="仿宋_GB2312" w:cs="仿宋_GB2312"/>
          <w:color w:val="auto"/>
          <w:sz w:val="32"/>
          <w:szCs w:val="32"/>
          <w:highlight w:val="none"/>
          <w:u w:val="none"/>
          <w:lang w:val="en-US" w:eastAsia="zh-CN"/>
        </w:rPr>
        <w:t>城市道路占道施工时</w:t>
      </w:r>
      <w:r>
        <w:rPr>
          <w:rFonts w:hint="eastAsia" w:ascii="仿宋_GB2312" w:hAnsi="仿宋_GB2312" w:eastAsia="仿宋_GB2312" w:cs="仿宋_GB2312"/>
          <w:color w:val="auto"/>
          <w:sz w:val="32"/>
          <w:szCs w:val="32"/>
          <w:highlight w:val="none"/>
          <w:u w:val="none"/>
        </w:rPr>
        <w:t>，必须</w:t>
      </w:r>
      <w:r>
        <w:rPr>
          <w:rFonts w:hint="eastAsia" w:ascii="仿宋_GB2312" w:hAnsi="仿宋_GB2312" w:eastAsia="仿宋_GB2312" w:cs="仿宋_GB2312"/>
          <w:color w:val="auto"/>
          <w:sz w:val="32"/>
          <w:szCs w:val="32"/>
          <w:highlight w:val="none"/>
          <w:u w:val="none"/>
          <w:lang w:val="en-US" w:eastAsia="zh-CN"/>
        </w:rPr>
        <w:t>严格执行公安交通管理部门、市政设施主管部门审批意见。为确保道路交通畅通，如需恢复交通路段，必须做好恢复交通路段的防护工作，严格处置因采取的防护措施不当造成噪声污染、路面凹凸不平、路面防滑性能低等不利病害。</w:t>
      </w:r>
    </w:p>
    <w:p w14:paraId="637126DF">
      <w:pPr>
        <w:pStyle w:val="3"/>
        <w:bidi w:val="0"/>
        <w:jc w:val="center"/>
        <w:rPr>
          <w:rFonts w:hint="default"/>
          <w:lang w:val="en-US" w:eastAsia="zh-CN"/>
        </w:rPr>
      </w:pPr>
      <w:bookmarkStart w:id="157" w:name="_Toc21440"/>
      <w:bookmarkStart w:id="158" w:name="_Toc29196"/>
      <w:bookmarkStart w:id="159" w:name="_Toc16173"/>
      <w:r>
        <w:rPr>
          <w:rFonts w:hint="eastAsia" w:ascii="仿宋_GB2312" w:hAnsi="仿宋_GB2312" w:eastAsia="仿宋_GB2312" w:cs="仿宋_GB2312"/>
          <w:color w:val="auto"/>
          <w:szCs w:val="32"/>
          <w:highlight w:val="none"/>
          <w:u w:val="none"/>
        </w:rPr>
        <w:br w:type="textWrapping"/>
      </w:r>
      <w:r>
        <w:rPr>
          <w:rFonts w:hint="eastAsia"/>
          <w:lang w:val="en-US" w:eastAsia="zh-CN"/>
        </w:rPr>
        <w:t>6</w:t>
      </w:r>
      <w:r>
        <w:rPr>
          <w:rFonts w:hint="default"/>
          <w:lang w:val="en-US" w:eastAsia="zh-CN"/>
        </w:rPr>
        <w:t>.</w:t>
      </w:r>
      <w:r>
        <w:rPr>
          <w:rFonts w:hint="eastAsia"/>
          <w:lang w:val="en-US" w:eastAsia="zh-CN"/>
        </w:rPr>
        <w:t>4架空管线</w:t>
      </w:r>
      <w:bookmarkEnd w:id="157"/>
      <w:bookmarkEnd w:id="158"/>
      <w:bookmarkEnd w:id="159"/>
    </w:p>
    <w:p w14:paraId="0D784500">
      <w:pPr>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b/>
          <w:bCs/>
          <w:color w:val="auto"/>
          <w:kern w:val="2"/>
          <w:sz w:val="32"/>
          <w:szCs w:val="32"/>
          <w:highlight w:val="none"/>
          <w:u w:val="none"/>
          <w:lang w:val="en-US" w:eastAsia="zh-CN" w:bidi="ar-SA"/>
        </w:rPr>
        <w:t>6</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4</w:t>
      </w:r>
      <w:r>
        <w:rPr>
          <w:rFonts w:hint="eastAsia" w:ascii="仿宋_GB2312" w:hAnsi="仿宋_GB2312" w:eastAsia="仿宋_GB2312" w:cs="仿宋_GB2312"/>
          <w:b/>
          <w:bCs/>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u w:val="none"/>
        </w:rPr>
        <w:t>城市中不宜新建架空管线设施,对已有架空管线宜逐步改造入地或采取隐蔽措施。  </w:t>
      </w:r>
    </w:p>
    <w:p w14:paraId="02AF2143">
      <w:pPr>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b/>
          <w:bCs/>
          <w:color w:val="auto"/>
          <w:kern w:val="2"/>
          <w:sz w:val="32"/>
          <w:szCs w:val="32"/>
          <w:highlight w:val="none"/>
          <w:u w:val="none"/>
          <w:lang w:val="en-US" w:eastAsia="zh-CN" w:bidi="ar-SA"/>
        </w:rPr>
        <w:t>6</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4</w:t>
      </w:r>
      <w:r>
        <w:rPr>
          <w:rFonts w:hint="eastAsia" w:ascii="仿宋_GB2312" w:hAnsi="仿宋_GB2312" w:eastAsia="仿宋_GB2312" w:cs="仿宋_GB2312"/>
          <w:b/>
          <w:bCs/>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lang w:val="en-US" w:eastAsia="zh-CN"/>
        </w:rPr>
        <w:t>架空管线设施应标识明显、整洁美观，</w:t>
      </w:r>
      <w:r>
        <w:rPr>
          <w:rFonts w:hint="eastAsia" w:ascii="仿宋_GB2312" w:hAnsi="仿宋_GB2312" w:eastAsia="仿宋_GB2312" w:cs="仿宋_GB2312"/>
          <w:color w:val="auto"/>
          <w:sz w:val="32"/>
          <w:szCs w:val="32"/>
          <w:highlight w:val="none"/>
          <w:u w:val="none"/>
        </w:rPr>
        <w:t>无乱张贴、乱涂写、乱吊挂;各类标识、标牌有机组合、一杆多用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废弃的架空管线设施应及时处置。</w:t>
      </w:r>
    </w:p>
    <w:p w14:paraId="75792A32">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kern w:val="2"/>
          <w:sz w:val="32"/>
          <w:szCs w:val="32"/>
          <w:highlight w:val="none"/>
          <w:u w:val="none"/>
          <w:lang w:val="en-US" w:eastAsia="zh-CN" w:bidi="ar-SA"/>
        </w:rPr>
        <w:t>6</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4</w:t>
      </w:r>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经批准设置的临时架空管线设施使用期满，建设（使用）单位应及时拆除，不得影响公共安全、道路交通、市容市貌。</w:t>
      </w:r>
    </w:p>
    <w:p w14:paraId="166328A5">
      <w:pPr>
        <w:keepNext w:val="0"/>
        <w:keepLines w:val="0"/>
        <w:pageBreakBefore w:val="0"/>
        <w:kinsoku/>
        <w:wordWrap/>
        <w:overflowPunct/>
        <w:topLinePunct w:val="0"/>
        <w:bidi w:val="0"/>
        <w:spacing w:line="560" w:lineRule="exact"/>
        <w:textAlignment w:val="auto"/>
        <w:rPr>
          <w:rFonts w:hint="eastAsia" w:ascii="黑体" w:hAnsi="黑体" w:eastAsia="黑体" w:cs="黑体"/>
          <w:b w:val="0"/>
          <w:bCs w:val="0"/>
          <w:color w:val="auto"/>
          <w:kern w:val="2"/>
          <w:sz w:val="36"/>
          <w:szCs w:val="36"/>
          <w:highlight w:val="none"/>
          <w:u w:val="none"/>
          <w:lang w:val="en-US" w:eastAsia="zh-CN" w:bidi="ar-SA"/>
        </w:rPr>
      </w:pPr>
      <w:r>
        <w:rPr>
          <w:rFonts w:hint="eastAsia" w:ascii="黑体" w:hAnsi="黑体" w:eastAsia="黑体" w:cs="黑体"/>
          <w:b w:val="0"/>
          <w:bCs w:val="0"/>
          <w:color w:val="auto"/>
          <w:kern w:val="2"/>
          <w:sz w:val="36"/>
          <w:szCs w:val="36"/>
          <w:highlight w:val="none"/>
          <w:u w:val="none"/>
          <w:lang w:val="en-US" w:eastAsia="zh-CN" w:bidi="ar-SA"/>
        </w:rPr>
        <w:br w:type="page"/>
      </w:r>
    </w:p>
    <w:p w14:paraId="2E871E9D">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0"/>
        <w:rPr>
          <w:rFonts w:hint="eastAsia" w:ascii="黑体" w:hAnsi="黑体" w:eastAsia="黑体" w:cs="黑体"/>
          <w:b w:val="0"/>
          <w:bCs w:val="0"/>
          <w:color w:val="auto"/>
          <w:kern w:val="2"/>
          <w:sz w:val="36"/>
          <w:szCs w:val="36"/>
          <w:highlight w:val="none"/>
          <w:u w:val="none"/>
          <w:lang w:val="en-US" w:eastAsia="zh-CN" w:bidi="ar-SA"/>
        </w:rPr>
      </w:pPr>
      <w:bookmarkStart w:id="160" w:name="_Toc13220"/>
      <w:bookmarkStart w:id="161" w:name="_Toc4663"/>
      <w:bookmarkStart w:id="162" w:name="_Toc27813"/>
      <w:r>
        <w:rPr>
          <w:rFonts w:hint="eastAsia" w:ascii="黑体" w:hAnsi="黑体" w:eastAsia="黑体" w:cs="黑体"/>
          <w:b w:val="0"/>
          <w:bCs w:val="0"/>
          <w:color w:val="auto"/>
          <w:kern w:val="2"/>
          <w:sz w:val="36"/>
          <w:szCs w:val="36"/>
          <w:highlight w:val="none"/>
          <w:u w:val="none"/>
          <w:lang w:val="en-US" w:eastAsia="zh-CN" w:bidi="ar-SA"/>
        </w:rPr>
        <w:t>7</w:t>
      </w:r>
      <w:r>
        <w:rPr>
          <w:rFonts w:hint="eastAsia" w:ascii="黑体" w:hAnsi="黑体" w:eastAsia="黑体" w:cs="黑体"/>
          <w:b w:val="0"/>
          <w:bCs w:val="0"/>
          <w:color w:val="auto"/>
          <w:kern w:val="2"/>
          <w:sz w:val="36"/>
          <w:szCs w:val="36"/>
          <w:highlight w:val="none"/>
          <w:u w:val="none"/>
          <w:lang w:val="en-US" w:eastAsia="zh-CN" w:bidi="ar-SA"/>
        </w:rPr>
        <w:fldChar w:fldCharType="begin"/>
      </w:r>
      <w:r>
        <w:rPr>
          <w:rFonts w:hint="eastAsia" w:ascii="黑体" w:hAnsi="黑体" w:eastAsia="黑体" w:cs="黑体"/>
          <w:b w:val="0"/>
          <w:bCs w:val="0"/>
          <w:color w:val="auto"/>
          <w:kern w:val="2"/>
          <w:sz w:val="36"/>
          <w:szCs w:val="36"/>
          <w:highlight w:val="none"/>
          <w:u w:val="none"/>
          <w:lang w:val="en-US" w:eastAsia="zh-CN" w:bidi="ar-SA"/>
        </w:rPr>
        <w:instrText xml:space="preserve"> HYPERLINK \l _Toc26847 </w:instrText>
      </w:r>
      <w:r>
        <w:rPr>
          <w:rFonts w:hint="eastAsia" w:ascii="黑体" w:hAnsi="黑体" w:eastAsia="黑体" w:cs="黑体"/>
          <w:b w:val="0"/>
          <w:bCs w:val="0"/>
          <w:color w:val="auto"/>
          <w:kern w:val="2"/>
          <w:sz w:val="36"/>
          <w:szCs w:val="36"/>
          <w:highlight w:val="none"/>
          <w:u w:val="none"/>
          <w:lang w:val="en-US" w:eastAsia="zh-CN" w:bidi="ar-SA"/>
        </w:rPr>
        <w:fldChar w:fldCharType="separate"/>
      </w:r>
      <w:r>
        <w:rPr>
          <w:rFonts w:hint="eastAsia" w:ascii="黑体" w:hAnsi="黑体" w:eastAsia="黑体" w:cs="黑体"/>
          <w:b w:val="0"/>
          <w:bCs w:val="0"/>
          <w:color w:val="auto"/>
          <w:kern w:val="2"/>
          <w:sz w:val="36"/>
          <w:szCs w:val="36"/>
          <w:highlight w:val="none"/>
          <w:u w:val="none"/>
          <w:lang w:val="en-US" w:eastAsia="zh-CN" w:bidi="ar-SA"/>
        </w:rPr>
        <w:t>公共设施</w:t>
      </w:r>
      <w:r>
        <w:rPr>
          <w:rFonts w:hint="eastAsia" w:ascii="黑体" w:hAnsi="黑体" w:eastAsia="黑体" w:cs="黑体"/>
          <w:b w:val="0"/>
          <w:bCs w:val="0"/>
          <w:color w:val="auto"/>
          <w:kern w:val="2"/>
          <w:sz w:val="36"/>
          <w:szCs w:val="36"/>
          <w:highlight w:val="none"/>
          <w:u w:val="none"/>
          <w:lang w:val="en-US" w:eastAsia="zh-CN" w:bidi="ar-SA"/>
        </w:rPr>
        <w:fldChar w:fldCharType="end"/>
      </w:r>
      <w:bookmarkEnd w:id="160"/>
      <w:bookmarkEnd w:id="161"/>
      <w:bookmarkEnd w:id="162"/>
    </w:p>
    <w:p w14:paraId="538BF7A6">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default" w:ascii="仿宋_GB2312" w:hAnsi="仿宋_GB2312" w:eastAsia="仿宋_GB2312" w:cs="仿宋_GB2312"/>
          <w:b/>
          <w:bCs/>
          <w:color w:val="auto"/>
          <w:kern w:val="2"/>
          <w:sz w:val="32"/>
          <w:szCs w:val="32"/>
          <w:highlight w:val="none"/>
          <w:u w:val="none"/>
          <w:lang w:val="en-US" w:eastAsia="zh-CN" w:bidi="ar-SA"/>
        </w:rPr>
      </w:pPr>
      <w:bookmarkStart w:id="163" w:name="_Toc17026"/>
      <w:bookmarkStart w:id="164" w:name="_Toc26797"/>
      <w:bookmarkStart w:id="165" w:name="_Toc20663"/>
      <w:r>
        <w:rPr>
          <w:rFonts w:hint="eastAsia" w:ascii="仿宋_GB2312" w:hAnsi="仿宋_GB2312" w:eastAsia="仿宋_GB2312" w:cs="仿宋_GB2312"/>
          <w:b/>
          <w:bCs/>
          <w:color w:val="auto"/>
          <w:kern w:val="2"/>
          <w:sz w:val="32"/>
          <w:szCs w:val="32"/>
          <w:highlight w:val="none"/>
          <w:u w:val="none"/>
          <w:lang w:val="en-US" w:eastAsia="zh-CN" w:bidi="ar-SA"/>
        </w:rPr>
        <w:t>7</w:t>
      </w:r>
      <w:r>
        <w:rPr>
          <w:rFonts w:hint="default" w:ascii="仿宋_GB2312" w:hAnsi="仿宋_GB2312" w:eastAsia="仿宋_GB2312" w:cs="仿宋_GB2312"/>
          <w:b/>
          <w:bCs/>
          <w:color w:val="auto"/>
          <w:kern w:val="2"/>
          <w:sz w:val="32"/>
          <w:szCs w:val="32"/>
          <w:highlight w:val="none"/>
          <w:u w:val="none"/>
          <w:lang w:val="en-US" w:eastAsia="zh-CN" w:bidi="ar-SA"/>
        </w:rPr>
        <w:t>.1</w:t>
      </w:r>
      <w:r>
        <w:rPr>
          <w:rFonts w:hint="eastAsia" w:ascii="仿宋_GB2312" w:hAnsi="仿宋_GB2312" w:eastAsia="仿宋_GB2312" w:cs="仿宋_GB2312"/>
          <w:b/>
          <w:bCs/>
          <w:color w:val="auto"/>
          <w:kern w:val="2"/>
          <w:sz w:val="32"/>
          <w:szCs w:val="32"/>
          <w:highlight w:val="none"/>
          <w:u w:val="none"/>
          <w:lang w:val="en-US" w:eastAsia="zh-CN" w:bidi="ar-SA"/>
        </w:rPr>
        <w:t>城市</w:t>
      </w:r>
      <w:r>
        <w:rPr>
          <w:rFonts w:hint="default" w:ascii="仿宋_GB2312" w:hAnsi="仿宋_GB2312" w:eastAsia="仿宋_GB2312" w:cs="仿宋_GB2312"/>
          <w:b/>
          <w:bCs/>
          <w:color w:val="auto"/>
          <w:kern w:val="2"/>
          <w:sz w:val="32"/>
          <w:szCs w:val="32"/>
          <w:highlight w:val="none"/>
          <w:u w:val="none"/>
          <w:lang w:val="en-US" w:eastAsia="zh-CN" w:bidi="ar-SA"/>
        </w:rPr>
        <w:t>照明</w:t>
      </w:r>
      <w:bookmarkEnd w:id="163"/>
      <w:bookmarkEnd w:id="164"/>
      <w:bookmarkEnd w:id="165"/>
    </w:p>
    <w:p w14:paraId="1B2CBD99">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7.1.1</w:t>
      </w:r>
      <w:r>
        <w:rPr>
          <w:rFonts w:hint="eastAsia" w:ascii="仿宋_GB2312" w:hAnsi="仿宋_GB2312" w:eastAsia="仿宋_GB2312" w:cs="仿宋_GB2312"/>
          <w:color w:val="auto"/>
          <w:kern w:val="0"/>
          <w:sz w:val="32"/>
          <w:szCs w:val="32"/>
          <w:highlight w:val="none"/>
          <w:u w:val="none"/>
          <w:lang w:val="en-US" w:eastAsia="zh-CN" w:bidi="ar"/>
        </w:rPr>
        <w:t>城市照明应兼顾功能性和景观性，结合相关规划丰富城市外观风貌与层次。照明设施的式样、形式应与环境相协调，优先选用高效、节能、美观的照明灯具及光源，逐步实现绿色照明。</w:t>
      </w:r>
    </w:p>
    <w:p w14:paraId="0DD6FAB8">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7.1.2</w:t>
      </w:r>
      <w:r>
        <w:rPr>
          <w:rFonts w:hint="eastAsia" w:ascii="仿宋_GB2312" w:hAnsi="仿宋_GB2312" w:eastAsia="仿宋_GB2312" w:cs="仿宋_GB2312"/>
          <w:color w:val="auto"/>
          <w:kern w:val="0"/>
          <w:sz w:val="32"/>
          <w:szCs w:val="32"/>
          <w:highlight w:val="none"/>
          <w:u w:val="none"/>
          <w:lang w:val="en-US" w:eastAsia="zh-CN" w:bidi="ar"/>
        </w:rPr>
        <w:t>道路照明应以功能照明为主，照明灯具和附属设施应兼顾夜晚照明及白昼观瞻，同一条道路的路灯杆、灯具、光源，灯具安装高度、角度、外型配色应统一或整体协调，整齐、美观。</w:t>
      </w:r>
    </w:p>
    <w:p w14:paraId="6CEB32C4">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7.1.3</w:t>
      </w:r>
      <w:r>
        <w:rPr>
          <w:rFonts w:hint="eastAsia" w:ascii="仿宋_GB2312" w:hAnsi="仿宋_GB2312" w:eastAsia="仿宋_GB2312" w:cs="仿宋_GB2312"/>
          <w:color w:val="auto"/>
          <w:kern w:val="0"/>
          <w:sz w:val="32"/>
          <w:szCs w:val="32"/>
          <w:highlight w:val="none"/>
          <w:u w:val="none"/>
          <w:lang w:val="en-US" w:eastAsia="zh-CN" w:bidi="ar"/>
        </w:rPr>
        <w:t>景观照明应以人为本，注重整体艺术效果，突出重点，兼顾一般，做到技术先进、经济合理、节约能源、保护环境、使用安全、维护管理方便。</w:t>
      </w:r>
    </w:p>
    <w:p w14:paraId="59AC8CD5">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0"/>
          <w:sz w:val="32"/>
          <w:szCs w:val="32"/>
          <w:highlight w:val="none"/>
          <w:u w:val="none"/>
          <w:lang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7.1.4</w:t>
      </w:r>
      <w:r>
        <w:rPr>
          <w:rFonts w:hint="eastAsia" w:ascii="仿宋_GB2312" w:hAnsi="仿宋_GB2312" w:eastAsia="仿宋_GB2312" w:cs="仿宋_GB2312"/>
          <w:color w:val="auto"/>
          <w:kern w:val="0"/>
          <w:sz w:val="32"/>
          <w:szCs w:val="32"/>
          <w:highlight w:val="none"/>
          <w:u w:val="none"/>
          <w:lang w:eastAsia="zh-CN" w:bidi="ar"/>
        </w:rPr>
        <w:t>城市照明应当建立城市照明智能监控管理系统，</w:t>
      </w:r>
      <w:r>
        <w:rPr>
          <w:rFonts w:hint="eastAsia" w:ascii="仿宋_GB2312" w:hAnsi="仿宋_GB2312" w:eastAsia="仿宋_GB2312" w:cs="仿宋_GB2312"/>
          <w:color w:val="auto"/>
          <w:kern w:val="0"/>
          <w:sz w:val="32"/>
          <w:szCs w:val="32"/>
          <w:highlight w:val="none"/>
          <w:u w:val="none"/>
          <w:lang w:val="en-US" w:eastAsia="zh-CN" w:bidi="ar"/>
        </w:rPr>
        <w:t>应逐步提高信息共享水平，宜</w:t>
      </w:r>
      <w:r>
        <w:rPr>
          <w:rFonts w:hint="eastAsia" w:ascii="仿宋_GB2312" w:hAnsi="仿宋_GB2312" w:eastAsia="仿宋_GB2312" w:cs="仿宋_GB2312"/>
          <w:color w:val="auto"/>
          <w:kern w:val="0"/>
          <w:sz w:val="32"/>
          <w:szCs w:val="32"/>
          <w:highlight w:val="none"/>
          <w:u w:val="none"/>
          <w:lang w:eastAsia="zh-CN" w:bidi="ar"/>
        </w:rPr>
        <w:t>将区级照明设施接入市级照明智能监控平台，实现统一和分级管控。宜充分扩展功能</w:t>
      </w:r>
      <w:r>
        <w:rPr>
          <w:rFonts w:hint="eastAsia" w:ascii="仿宋_GB2312" w:hAnsi="仿宋_GB2312" w:eastAsia="仿宋_GB2312" w:cs="仿宋_GB2312"/>
          <w:color w:val="auto"/>
          <w:kern w:val="0"/>
          <w:sz w:val="32"/>
          <w:szCs w:val="32"/>
          <w:highlight w:val="none"/>
          <w:u w:val="none"/>
          <w:lang w:val="en-US" w:eastAsia="zh-CN" w:bidi="ar"/>
        </w:rPr>
        <w:t>模块</w:t>
      </w:r>
      <w:r>
        <w:rPr>
          <w:rFonts w:hint="eastAsia" w:ascii="仿宋_GB2312" w:hAnsi="仿宋_GB2312" w:eastAsia="仿宋_GB2312" w:cs="仿宋_GB2312"/>
          <w:color w:val="auto"/>
          <w:kern w:val="0"/>
          <w:sz w:val="32"/>
          <w:szCs w:val="32"/>
          <w:highlight w:val="none"/>
          <w:u w:val="none"/>
          <w:lang w:eastAsia="zh-CN" w:bidi="ar"/>
        </w:rPr>
        <w:t>，逐步</w:t>
      </w:r>
      <w:r>
        <w:rPr>
          <w:rFonts w:hint="eastAsia" w:ascii="仿宋_GB2312" w:hAnsi="仿宋_GB2312" w:eastAsia="仿宋_GB2312" w:cs="仿宋_GB2312"/>
          <w:color w:val="auto"/>
          <w:kern w:val="0"/>
          <w:sz w:val="32"/>
          <w:szCs w:val="32"/>
          <w:highlight w:val="none"/>
          <w:u w:val="none"/>
          <w:lang w:val="en-US" w:eastAsia="zh-CN" w:bidi="ar"/>
        </w:rPr>
        <w:t>增加</w:t>
      </w:r>
      <w:r>
        <w:rPr>
          <w:rFonts w:hint="eastAsia" w:ascii="仿宋_GB2312" w:hAnsi="仿宋_GB2312" w:eastAsia="仿宋_GB2312" w:cs="仿宋_GB2312"/>
          <w:color w:val="auto"/>
          <w:kern w:val="0"/>
          <w:sz w:val="32"/>
          <w:szCs w:val="32"/>
          <w:highlight w:val="none"/>
          <w:u w:val="none"/>
          <w:lang w:eastAsia="zh-CN" w:bidi="ar"/>
        </w:rPr>
        <w:t>资产管理、单灯控制、漏电监测等功能，</w:t>
      </w:r>
      <w:r>
        <w:rPr>
          <w:rFonts w:hint="eastAsia" w:ascii="仿宋_GB2312" w:hAnsi="仿宋_GB2312" w:eastAsia="仿宋_GB2312" w:cs="仿宋_GB2312"/>
          <w:color w:val="auto"/>
          <w:kern w:val="0"/>
          <w:sz w:val="32"/>
          <w:szCs w:val="32"/>
          <w:highlight w:val="none"/>
          <w:u w:val="none"/>
          <w:lang w:val="en-US" w:eastAsia="zh-CN" w:bidi="ar"/>
        </w:rPr>
        <w:t>实现安全、节能、高效的照明控制</w:t>
      </w:r>
      <w:r>
        <w:rPr>
          <w:rFonts w:hint="eastAsia" w:ascii="仿宋_GB2312" w:hAnsi="仿宋_GB2312" w:eastAsia="仿宋_GB2312" w:cs="仿宋_GB2312"/>
          <w:color w:val="auto"/>
          <w:kern w:val="0"/>
          <w:sz w:val="32"/>
          <w:szCs w:val="32"/>
          <w:highlight w:val="none"/>
          <w:u w:val="none"/>
          <w:lang w:eastAsia="zh-CN" w:bidi="ar"/>
        </w:rPr>
        <w:t>。</w:t>
      </w:r>
    </w:p>
    <w:p w14:paraId="7E41DC7C">
      <w:pPr>
        <w:keepNext w:val="0"/>
        <w:keepLines w:val="0"/>
        <w:pageBreakBefore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7.1.5</w:t>
      </w:r>
      <w:r>
        <w:rPr>
          <w:rFonts w:hint="eastAsia" w:ascii="仿宋_GB2312" w:hAnsi="仿宋_GB2312" w:eastAsia="仿宋_GB2312" w:cs="仿宋_GB2312"/>
          <w:color w:val="auto"/>
          <w:kern w:val="0"/>
          <w:sz w:val="32"/>
          <w:szCs w:val="32"/>
          <w:highlight w:val="none"/>
          <w:u w:val="none"/>
          <w:lang w:val="en-US" w:eastAsia="zh-CN" w:bidi="ar"/>
        </w:rPr>
        <w:t>城市道路两侧的</w:t>
      </w:r>
      <w:r>
        <w:rPr>
          <w:rFonts w:hint="eastAsia" w:ascii="仿宋_GB2312" w:hAnsi="仿宋_GB2312" w:eastAsia="仿宋_GB2312" w:cs="仿宋_GB2312"/>
          <w:color w:val="auto"/>
          <w:kern w:val="0"/>
          <w:sz w:val="32"/>
          <w:szCs w:val="32"/>
          <w:highlight w:val="none"/>
          <w:u w:val="none"/>
          <w:lang w:bidi="ar"/>
        </w:rPr>
        <w:t>店招标牌、橱窗</w:t>
      </w:r>
      <w:r>
        <w:rPr>
          <w:rFonts w:hint="eastAsia" w:ascii="仿宋_GB2312" w:hAnsi="仿宋_GB2312" w:eastAsia="仿宋_GB2312" w:cs="仿宋_GB2312"/>
          <w:color w:val="auto"/>
          <w:kern w:val="0"/>
          <w:sz w:val="32"/>
          <w:szCs w:val="32"/>
          <w:highlight w:val="none"/>
          <w:u w:val="none"/>
          <w:lang w:eastAsia="zh-CN" w:bidi="ar"/>
        </w:rPr>
        <w:t>、</w:t>
      </w:r>
      <w:r>
        <w:rPr>
          <w:rFonts w:hint="eastAsia" w:ascii="仿宋_GB2312" w:hAnsi="仿宋_GB2312" w:eastAsia="仿宋_GB2312" w:cs="仿宋_GB2312"/>
          <w:color w:val="auto"/>
          <w:kern w:val="0"/>
          <w:sz w:val="32"/>
          <w:szCs w:val="32"/>
          <w:highlight w:val="none"/>
          <w:u w:val="none"/>
          <w:lang w:val="en-US" w:eastAsia="zh-CN" w:bidi="ar"/>
        </w:rPr>
        <w:t>广告</w:t>
      </w:r>
      <w:r>
        <w:rPr>
          <w:rFonts w:hint="eastAsia" w:ascii="仿宋_GB2312" w:hAnsi="仿宋_GB2312" w:eastAsia="仿宋_GB2312" w:cs="仿宋_GB2312"/>
          <w:color w:val="auto"/>
          <w:kern w:val="0"/>
          <w:sz w:val="32"/>
          <w:szCs w:val="32"/>
          <w:highlight w:val="none"/>
          <w:u w:val="none"/>
          <w:lang w:eastAsia="zh-CN" w:bidi="ar"/>
        </w:rPr>
        <w:t>及</w:t>
      </w:r>
      <w:r>
        <w:rPr>
          <w:rFonts w:hint="eastAsia" w:ascii="仿宋_GB2312" w:hAnsi="仿宋_GB2312" w:eastAsia="仿宋_GB2312" w:cs="仿宋_GB2312"/>
          <w:color w:val="auto"/>
          <w:kern w:val="0"/>
          <w:sz w:val="32"/>
          <w:szCs w:val="32"/>
          <w:highlight w:val="none"/>
          <w:u w:val="none"/>
          <w:lang w:bidi="ar"/>
        </w:rPr>
        <w:t>装饰照明应美观整洁</w:t>
      </w:r>
      <w:r>
        <w:rPr>
          <w:rFonts w:hint="eastAsia" w:ascii="仿宋_GB2312" w:hAnsi="仿宋_GB2312" w:eastAsia="仿宋_GB2312" w:cs="仿宋_GB2312"/>
          <w:color w:val="auto"/>
          <w:kern w:val="0"/>
          <w:sz w:val="32"/>
          <w:szCs w:val="32"/>
          <w:highlight w:val="none"/>
          <w:u w:val="none"/>
          <w:lang w:val="en-US" w:eastAsia="zh-CN" w:bidi="ar"/>
        </w:rPr>
        <w:t>,</w:t>
      </w:r>
      <w:r>
        <w:rPr>
          <w:rFonts w:hint="eastAsia" w:ascii="仿宋_GB2312" w:hAnsi="仿宋_GB2312" w:eastAsia="仿宋_GB2312" w:cs="仿宋_GB2312"/>
          <w:color w:val="auto"/>
          <w:kern w:val="0"/>
          <w:sz w:val="32"/>
          <w:szCs w:val="32"/>
          <w:highlight w:val="none"/>
          <w:u w:val="none"/>
          <w:lang w:bidi="ar"/>
        </w:rPr>
        <w:t>发光灯饰的亮度、色调应与周边环境协调，不应干扰机动车</w:t>
      </w:r>
      <w:r>
        <w:rPr>
          <w:rFonts w:hint="eastAsia" w:ascii="仿宋_GB2312" w:hAnsi="仿宋_GB2312" w:eastAsia="仿宋_GB2312" w:cs="仿宋_GB2312"/>
          <w:color w:val="auto"/>
          <w:kern w:val="0"/>
          <w:sz w:val="32"/>
          <w:szCs w:val="32"/>
          <w:highlight w:val="none"/>
          <w:u w:val="none"/>
          <w:lang w:eastAsia="zh-CN" w:bidi="ar"/>
        </w:rPr>
        <w:t>及行人</w:t>
      </w:r>
      <w:r>
        <w:rPr>
          <w:rFonts w:hint="eastAsia" w:ascii="仿宋_GB2312" w:hAnsi="仿宋_GB2312" w:eastAsia="仿宋_GB2312" w:cs="仿宋_GB2312"/>
          <w:color w:val="auto"/>
          <w:kern w:val="0"/>
          <w:sz w:val="32"/>
          <w:szCs w:val="32"/>
          <w:highlight w:val="none"/>
          <w:u w:val="none"/>
          <w:lang w:bidi="ar"/>
        </w:rPr>
        <w:t>的视觉</w:t>
      </w:r>
      <w:r>
        <w:rPr>
          <w:rFonts w:hint="eastAsia" w:ascii="仿宋_GB2312" w:hAnsi="仿宋_GB2312" w:eastAsia="仿宋_GB2312" w:cs="仿宋_GB2312"/>
          <w:color w:val="auto"/>
          <w:kern w:val="0"/>
          <w:sz w:val="32"/>
          <w:szCs w:val="32"/>
          <w:highlight w:val="none"/>
          <w:u w:val="none"/>
          <w:lang w:eastAsia="zh-CN" w:bidi="ar"/>
        </w:rPr>
        <w:t>，且</w:t>
      </w:r>
      <w:r>
        <w:rPr>
          <w:rFonts w:hint="eastAsia" w:ascii="仿宋_GB2312" w:hAnsi="仿宋_GB2312" w:eastAsia="仿宋_GB2312" w:cs="仿宋_GB2312"/>
          <w:color w:val="auto"/>
          <w:kern w:val="0"/>
          <w:sz w:val="32"/>
          <w:szCs w:val="32"/>
          <w:highlight w:val="none"/>
          <w:u w:val="none"/>
          <w:lang w:bidi="ar"/>
        </w:rPr>
        <w:t>符合现行行业标准</w:t>
      </w:r>
      <w:r>
        <w:rPr>
          <w:rFonts w:hint="eastAsia" w:ascii="仿宋_GB2312" w:hAnsi="仿宋_GB2312" w:eastAsia="仿宋_GB2312" w:cs="仿宋_GB2312"/>
          <w:color w:val="auto"/>
          <w:kern w:val="0"/>
          <w:sz w:val="32"/>
          <w:szCs w:val="32"/>
          <w:highlight w:val="none"/>
          <w:u w:val="none"/>
          <w:lang w:eastAsia="zh-CN" w:bidi="ar"/>
        </w:rPr>
        <w:t>中关于</w:t>
      </w:r>
      <w:r>
        <w:rPr>
          <w:rFonts w:hint="eastAsia" w:ascii="仿宋_GB2312" w:hAnsi="仿宋_GB2312" w:eastAsia="仿宋_GB2312" w:cs="仿宋_GB2312"/>
          <w:color w:val="auto"/>
          <w:kern w:val="0"/>
          <w:sz w:val="32"/>
          <w:szCs w:val="32"/>
          <w:highlight w:val="none"/>
          <w:u w:val="none"/>
          <w:lang w:bidi="ar"/>
        </w:rPr>
        <w:t>照明眩光限值的规定</w:t>
      </w:r>
      <w:r>
        <w:rPr>
          <w:rFonts w:hint="eastAsia" w:ascii="仿宋_GB2312" w:hAnsi="仿宋_GB2312" w:eastAsia="仿宋_GB2312" w:cs="仿宋_GB2312"/>
          <w:color w:val="auto"/>
          <w:kern w:val="0"/>
          <w:sz w:val="32"/>
          <w:szCs w:val="32"/>
          <w:highlight w:val="none"/>
          <w:u w:val="none"/>
          <w:lang w:eastAsia="zh-CN" w:bidi="ar"/>
        </w:rPr>
        <w:t>。</w:t>
      </w:r>
      <w:r>
        <w:rPr>
          <w:rFonts w:hint="eastAsia" w:ascii="仿宋_GB2312" w:hAnsi="仿宋_GB2312" w:eastAsia="仿宋_GB2312" w:cs="仿宋_GB2312"/>
          <w:color w:val="auto"/>
          <w:kern w:val="0"/>
          <w:sz w:val="32"/>
          <w:szCs w:val="32"/>
          <w:highlight w:val="none"/>
          <w:u w:val="none"/>
          <w:lang w:val="en-US" w:eastAsia="zh-CN" w:bidi="ar"/>
        </w:rPr>
        <w:t>行道树等绿化设施不应遮挡照明灯具、影响照明效果。</w:t>
      </w:r>
    </w:p>
    <w:p w14:paraId="20C17BE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7.1.6</w:t>
      </w:r>
      <w:r>
        <w:rPr>
          <w:rFonts w:hint="eastAsia" w:ascii="仿宋_GB2312" w:hAnsi="仿宋_GB2312" w:eastAsia="仿宋_GB2312" w:cs="仿宋_GB2312"/>
          <w:color w:val="auto"/>
          <w:kern w:val="0"/>
          <w:sz w:val="32"/>
          <w:szCs w:val="32"/>
          <w:highlight w:val="none"/>
          <w:u w:val="none"/>
          <w:lang w:bidi="ar"/>
        </w:rPr>
        <w:t>新</w:t>
      </w:r>
      <w:r>
        <w:rPr>
          <w:rFonts w:hint="eastAsia" w:ascii="仿宋_GB2312" w:hAnsi="仿宋_GB2312" w:eastAsia="仿宋_GB2312" w:cs="仿宋_GB2312"/>
          <w:color w:val="auto"/>
          <w:kern w:val="0"/>
          <w:sz w:val="32"/>
          <w:szCs w:val="32"/>
          <w:highlight w:val="none"/>
          <w:u w:val="none"/>
          <w:lang w:eastAsia="zh-CN" w:bidi="ar"/>
        </w:rPr>
        <w:t>（</w:t>
      </w:r>
      <w:r>
        <w:rPr>
          <w:rFonts w:hint="eastAsia" w:ascii="仿宋_GB2312" w:hAnsi="仿宋_GB2312" w:eastAsia="仿宋_GB2312" w:cs="仿宋_GB2312"/>
          <w:color w:val="auto"/>
          <w:kern w:val="0"/>
          <w:sz w:val="32"/>
          <w:szCs w:val="32"/>
          <w:highlight w:val="none"/>
          <w:u w:val="none"/>
          <w:lang w:bidi="ar"/>
        </w:rPr>
        <w:t>改</w:t>
      </w:r>
      <w:r>
        <w:rPr>
          <w:rFonts w:hint="eastAsia" w:ascii="仿宋_GB2312" w:hAnsi="仿宋_GB2312" w:eastAsia="仿宋_GB2312" w:cs="仿宋_GB2312"/>
          <w:color w:val="auto"/>
          <w:kern w:val="0"/>
          <w:sz w:val="32"/>
          <w:szCs w:val="32"/>
          <w:highlight w:val="none"/>
          <w:u w:val="none"/>
          <w:lang w:eastAsia="zh-CN" w:bidi="ar"/>
        </w:rPr>
        <w:t>、</w:t>
      </w:r>
      <w:r>
        <w:rPr>
          <w:rFonts w:hint="eastAsia" w:ascii="仿宋_GB2312" w:hAnsi="仿宋_GB2312" w:eastAsia="仿宋_GB2312" w:cs="仿宋_GB2312"/>
          <w:color w:val="auto"/>
          <w:kern w:val="0"/>
          <w:sz w:val="32"/>
          <w:szCs w:val="32"/>
          <w:highlight w:val="none"/>
          <w:u w:val="none"/>
          <w:lang w:bidi="ar"/>
        </w:rPr>
        <w:t>扩</w:t>
      </w:r>
      <w:r>
        <w:rPr>
          <w:rFonts w:hint="eastAsia" w:ascii="仿宋_GB2312" w:hAnsi="仿宋_GB2312" w:eastAsia="仿宋_GB2312" w:cs="仿宋_GB2312"/>
          <w:color w:val="auto"/>
          <w:kern w:val="0"/>
          <w:sz w:val="32"/>
          <w:szCs w:val="32"/>
          <w:highlight w:val="none"/>
          <w:u w:val="none"/>
          <w:lang w:eastAsia="zh-CN" w:bidi="ar"/>
        </w:rPr>
        <w:t>）</w:t>
      </w:r>
      <w:r>
        <w:rPr>
          <w:rFonts w:hint="eastAsia" w:ascii="仿宋_GB2312" w:hAnsi="仿宋_GB2312" w:eastAsia="仿宋_GB2312" w:cs="仿宋_GB2312"/>
          <w:color w:val="auto"/>
          <w:kern w:val="0"/>
          <w:sz w:val="32"/>
          <w:szCs w:val="32"/>
          <w:highlight w:val="none"/>
          <w:u w:val="none"/>
          <w:lang w:bidi="ar"/>
        </w:rPr>
        <w:t>建工程的照明设施应与主体工程同步设计、同步施工、同步投入使用。</w:t>
      </w:r>
      <w:r>
        <w:rPr>
          <w:rFonts w:hint="eastAsia" w:ascii="仿宋_GB2312" w:hAnsi="仿宋_GB2312" w:eastAsia="仿宋_GB2312" w:cs="仿宋_GB2312"/>
          <w:color w:val="auto"/>
          <w:kern w:val="0"/>
          <w:sz w:val="32"/>
          <w:szCs w:val="32"/>
          <w:highlight w:val="none"/>
          <w:u w:val="none"/>
          <w:lang w:val="en-US" w:eastAsia="zh-CN" w:bidi="ar"/>
        </w:rPr>
        <w:t>建设单位负责已通行未移交道路照明设施的维护管理工作，确保道路照明设施的正常安全运行，道路照明设施主管部门应加强日常维护管理的督促指导和监督考核。</w:t>
      </w:r>
    </w:p>
    <w:p w14:paraId="55A6D34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kern w:val="0"/>
          <w:sz w:val="32"/>
          <w:szCs w:val="32"/>
          <w:highlight w:val="none"/>
          <w:u w:val="none"/>
          <w:lang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7.1.7</w:t>
      </w:r>
      <w:r>
        <w:rPr>
          <w:rFonts w:hint="eastAsia" w:ascii="仿宋_GB2312" w:hAnsi="仿宋_GB2312" w:eastAsia="仿宋_GB2312" w:cs="仿宋_GB2312"/>
          <w:color w:val="auto"/>
          <w:kern w:val="0"/>
          <w:sz w:val="32"/>
          <w:szCs w:val="32"/>
          <w:highlight w:val="none"/>
          <w:u w:val="none"/>
          <w:lang w:eastAsia="zh-CN" w:bidi="ar"/>
        </w:rPr>
        <w:t>城市</w:t>
      </w:r>
      <w:r>
        <w:rPr>
          <w:rFonts w:hint="eastAsia" w:ascii="仿宋_GB2312" w:hAnsi="仿宋_GB2312" w:eastAsia="仿宋_GB2312" w:cs="仿宋_GB2312"/>
          <w:color w:val="auto"/>
          <w:kern w:val="0"/>
          <w:sz w:val="32"/>
          <w:szCs w:val="32"/>
          <w:highlight w:val="none"/>
          <w:u w:val="none"/>
          <w:lang w:bidi="ar"/>
        </w:rPr>
        <w:t>照明设施应定期清洗、维护，保持功能正常，设施完好整洁，无污损、</w:t>
      </w:r>
      <w:r>
        <w:rPr>
          <w:rFonts w:hint="eastAsia" w:ascii="仿宋_GB2312" w:hAnsi="仿宋_GB2312" w:eastAsia="仿宋_GB2312" w:cs="仿宋_GB2312"/>
          <w:color w:val="auto"/>
          <w:kern w:val="0"/>
          <w:sz w:val="32"/>
          <w:szCs w:val="32"/>
          <w:highlight w:val="none"/>
          <w:u w:val="none"/>
          <w:lang w:eastAsia="zh-CN" w:bidi="ar"/>
        </w:rPr>
        <w:t>倾斜、</w:t>
      </w:r>
      <w:r>
        <w:rPr>
          <w:rFonts w:hint="eastAsia" w:ascii="仿宋_GB2312" w:hAnsi="仿宋_GB2312" w:eastAsia="仿宋_GB2312" w:cs="仿宋_GB2312"/>
          <w:color w:val="auto"/>
          <w:kern w:val="0"/>
          <w:sz w:val="32"/>
          <w:szCs w:val="32"/>
          <w:highlight w:val="none"/>
          <w:u w:val="none"/>
          <w:lang w:bidi="ar"/>
        </w:rPr>
        <w:t>油漆褪色或剥落现象，无图案、文字及灯光显示不全现象，出现故障、缺损或照度下降时应及时修复或更换</w:t>
      </w:r>
      <w:r>
        <w:rPr>
          <w:rFonts w:hint="eastAsia" w:ascii="仿宋_GB2312" w:hAnsi="仿宋_GB2312" w:eastAsia="仿宋_GB2312" w:cs="仿宋_GB2312"/>
          <w:color w:val="auto"/>
          <w:kern w:val="0"/>
          <w:sz w:val="32"/>
          <w:szCs w:val="32"/>
          <w:highlight w:val="none"/>
          <w:u w:val="none"/>
          <w:lang w:eastAsia="zh-CN" w:bidi="ar"/>
        </w:rPr>
        <w:t>。</w:t>
      </w:r>
    </w:p>
    <w:p w14:paraId="505D10B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kern w:val="0"/>
          <w:sz w:val="32"/>
          <w:szCs w:val="32"/>
          <w:highlight w:val="none"/>
          <w:u w:val="none"/>
          <w:lang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7.1.8</w:t>
      </w:r>
      <w:r>
        <w:rPr>
          <w:rFonts w:hint="eastAsia" w:ascii="仿宋_GB2312" w:hAnsi="仿宋_GB2312" w:eastAsia="仿宋_GB2312" w:cs="仿宋_GB2312"/>
          <w:color w:val="auto"/>
          <w:kern w:val="0"/>
          <w:sz w:val="32"/>
          <w:szCs w:val="32"/>
          <w:highlight w:val="none"/>
          <w:u w:val="none"/>
          <w:lang w:val="en-US" w:eastAsia="zh-CN" w:bidi="ar"/>
        </w:rPr>
        <w:t>城市照明设施中</w:t>
      </w:r>
      <w:r>
        <w:rPr>
          <w:rFonts w:hint="eastAsia" w:ascii="仿宋_GB2312" w:hAnsi="仿宋_GB2312" w:eastAsia="仿宋_GB2312" w:cs="仿宋_GB2312"/>
          <w:color w:val="auto"/>
          <w:kern w:val="0"/>
          <w:sz w:val="32"/>
          <w:szCs w:val="32"/>
          <w:highlight w:val="none"/>
          <w:u w:val="none"/>
          <w:lang w:bidi="ar"/>
        </w:rPr>
        <w:t>快速路和主次干道路灯亮灯率</w:t>
      </w:r>
      <w:r>
        <w:rPr>
          <w:rFonts w:hint="eastAsia" w:ascii="仿宋_GB2312" w:hAnsi="仿宋_GB2312" w:eastAsia="仿宋_GB2312" w:cs="仿宋_GB2312"/>
          <w:color w:val="auto"/>
          <w:kern w:val="0"/>
          <w:sz w:val="32"/>
          <w:szCs w:val="32"/>
          <w:highlight w:val="none"/>
          <w:u w:val="none"/>
          <w:lang w:val="en-US" w:eastAsia="zh-CN" w:bidi="ar"/>
        </w:rPr>
        <w:t>应</w:t>
      </w:r>
      <w:r>
        <w:rPr>
          <w:rFonts w:hint="eastAsia" w:ascii="仿宋_GB2312" w:hAnsi="仿宋_GB2312" w:eastAsia="仿宋_GB2312" w:cs="仿宋_GB2312"/>
          <w:color w:val="auto"/>
          <w:kern w:val="0"/>
          <w:sz w:val="32"/>
          <w:szCs w:val="32"/>
          <w:highlight w:val="none"/>
          <w:u w:val="none"/>
          <w:lang w:bidi="ar"/>
        </w:rPr>
        <w:t>达98%及以上，支路及小街巷的亮灯率</w:t>
      </w:r>
      <w:r>
        <w:rPr>
          <w:rFonts w:hint="eastAsia" w:ascii="仿宋_GB2312" w:hAnsi="仿宋_GB2312" w:eastAsia="仿宋_GB2312" w:cs="仿宋_GB2312"/>
          <w:color w:val="auto"/>
          <w:kern w:val="0"/>
          <w:sz w:val="32"/>
          <w:szCs w:val="32"/>
          <w:highlight w:val="none"/>
          <w:u w:val="none"/>
          <w:lang w:val="en-US" w:eastAsia="zh-CN" w:bidi="ar"/>
        </w:rPr>
        <w:t>应</w:t>
      </w:r>
      <w:r>
        <w:rPr>
          <w:rFonts w:hint="eastAsia" w:ascii="仿宋_GB2312" w:hAnsi="仿宋_GB2312" w:eastAsia="仿宋_GB2312" w:cs="仿宋_GB2312"/>
          <w:color w:val="auto"/>
          <w:kern w:val="0"/>
          <w:sz w:val="32"/>
          <w:szCs w:val="32"/>
          <w:highlight w:val="none"/>
          <w:u w:val="none"/>
          <w:lang w:bidi="ar"/>
        </w:rPr>
        <w:t>达96%及以上</w:t>
      </w:r>
      <w:r>
        <w:rPr>
          <w:rFonts w:hint="eastAsia" w:ascii="仿宋_GB2312" w:hAnsi="仿宋_GB2312" w:eastAsia="仿宋_GB2312" w:cs="仿宋_GB2312"/>
          <w:color w:val="auto"/>
          <w:kern w:val="0"/>
          <w:sz w:val="32"/>
          <w:szCs w:val="32"/>
          <w:highlight w:val="none"/>
          <w:u w:val="none"/>
          <w:lang w:eastAsia="zh-CN" w:bidi="ar"/>
        </w:rPr>
        <w:t>，</w:t>
      </w:r>
      <w:r>
        <w:rPr>
          <w:rFonts w:hint="eastAsia" w:ascii="仿宋_GB2312" w:hAnsi="仿宋_GB2312" w:eastAsia="仿宋_GB2312" w:cs="仿宋_GB2312"/>
          <w:color w:val="auto"/>
          <w:kern w:val="0"/>
          <w:sz w:val="32"/>
          <w:szCs w:val="32"/>
          <w:highlight w:val="none"/>
          <w:u w:val="none"/>
          <w:lang w:bidi="ar"/>
        </w:rPr>
        <w:t>设施完好率</w:t>
      </w:r>
      <w:r>
        <w:rPr>
          <w:rFonts w:hint="eastAsia" w:ascii="仿宋_GB2312" w:hAnsi="仿宋_GB2312" w:eastAsia="仿宋_GB2312" w:cs="仿宋_GB2312"/>
          <w:color w:val="auto"/>
          <w:kern w:val="0"/>
          <w:sz w:val="32"/>
          <w:szCs w:val="32"/>
          <w:highlight w:val="none"/>
          <w:u w:val="none"/>
          <w:lang w:eastAsia="zh-CN" w:bidi="ar"/>
        </w:rPr>
        <w:t>应</w:t>
      </w:r>
      <w:r>
        <w:rPr>
          <w:rFonts w:hint="eastAsia" w:ascii="仿宋_GB2312" w:hAnsi="仿宋_GB2312" w:eastAsia="仿宋_GB2312" w:cs="仿宋_GB2312"/>
          <w:color w:val="auto"/>
          <w:kern w:val="0"/>
          <w:sz w:val="32"/>
          <w:szCs w:val="32"/>
          <w:highlight w:val="none"/>
          <w:u w:val="none"/>
          <w:lang w:bidi="ar"/>
        </w:rPr>
        <w:t>达95%及以上</w:t>
      </w:r>
      <w:r>
        <w:rPr>
          <w:rFonts w:hint="eastAsia" w:ascii="仿宋_GB2312" w:hAnsi="仿宋_GB2312" w:eastAsia="仿宋_GB2312" w:cs="仿宋_GB2312"/>
          <w:color w:val="auto"/>
          <w:kern w:val="0"/>
          <w:sz w:val="32"/>
          <w:szCs w:val="32"/>
          <w:highlight w:val="none"/>
          <w:u w:val="none"/>
          <w:lang w:eastAsia="zh-CN" w:bidi="ar"/>
        </w:rPr>
        <w:t>；</w:t>
      </w:r>
      <w:r>
        <w:rPr>
          <w:rFonts w:hint="eastAsia" w:ascii="仿宋_GB2312" w:hAnsi="仿宋_GB2312" w:eastAsia="仿宋_GB2312" w:cs="仿宋_GB2312"/>
          <w:color w:val="auto"/>
          <w:kern w:val="0"/>
          <w:sz w:val="32"/>
          <w:szCs w:val="32"/>
          <w:highlight w:val="none"/>
          <w:u w:val="none"/>
          <w:lang w:val="en-US" w:eastAsia="zh-CN" w:bidi="ar"/>
        </w:rPr>
        <w:t>示范道路的亮灯率、</w:t>
      </w:r>
      <w:r>
        <w:rPr>
          <w:rFonts w:hint="eastAsia" w:ascii="仿宋_GB2312" w:hAnsi="仿宋_GB2312" w:eastAsia="仿宋_GB2312" w:cs="仿宋_GB2312"/>
          <w:color w:val="auto"/>
          <w:kern w:val="0"/>
          <w:sz w:val="32"/>
          <w:szCs w:val="32"/>
          <w:highlight w:val="none"/>
          <w:u w:val="none"/>
          <w:lang w:bidi="ar"/>
        </w:rPr>
        <w:t>设施</w:t>
      </w:r>
      <w:r>
        <w:rPr>
          <w:rFonts w:hint="eastAsia" w:ascii="仿宋_GB2312" w:hAnsi="仿宋_GB2312" w:eastAsia="仿宋_GB2312" w:cs="仿宋_GB2312"/>
          <w:color w:val="auto"/>
          <w:kern w:val="0"/>
          <w:sz w:val="32"/>
          <w:szCs w:val="32"/>
          <w:highlight w:val="none"/>
          <w:u w:val="none"/>
          <w:lang w:val="en-US" w:eastAsia="zh-CN" w:bidi="ar"/>
        </w:rPr>
        <w:t>完好率均应达100%</w:t>
      </w:r>
      <w:r>
        <w:rPr>
          <w:rFonts w:hint="eastAsia" w:ascii="仿宋_GB2312" w:hAnsi="仿宋_GB2312" w:eastAsia="仿宋_GB2312" w:cs="仿宋_GB2312"/>
          <w:color w:val="auto"/>
          <w:kern w:val="0"/>
          <w:sz w:val="32"/>
          <w:szCs w:val="32"/>
          <w:highlight w:val="none"/>
          <w:u w:val="none"/>
          <w:lang w:eastAsia="zh-CN" w:bidi="ar"/>
        </w:rPr>
        <w:t>；</w:t>
      </w:r>
      <w:r>
        <w:rPr>
          <w:rFonts w:hint="eastAsia" w:ascii="仿宋_GB2312" w:hAnsi="仿宋_GB2312" w:eastAsia="仿宋_GB2312" w:cs="仿宋_GB2312"/>
          <w:color w:val="auto"/>
          <w:kern w:val="0"/>
          <w:sz w:val="32"/>
          <w:szCs w:val="32"/>
          <w:highlight w:val="none"/>
          <w:u w:val="none"/>
          <w:lang w:bidi="ar"/>
        </w:rPr>
        <w:t>景观照明亮灯率</w:t>
      </w:r>
      <w:r>
        <w:rPr>
          <w:rFonts w:hint="eastAsia" w:ascii="仿宋_GB2312" w:hAnsi="仿宋_GB2312" w:eastAsia="仿宋_GB2312" w:cs="仿宋_GB2312"/>
          <w:color w:val="auto"/>
          <w:kern w:val="0"/>
          <w:sz w:val="32"/>
          <w:szCs w:val="32"/>
          <w:highlight w:val="none"/>
          <w:u w:val="none"/>
          <w:lang w:eastAsia="zh-CN" w:bidi="ar"/>
        </w:rPr>
        <w:t>、</w:t>
      </w:r>
      <w:r>
        <w:rPr>
          <w:rFonts w:hint="eastAsia" w:ascii="仿宋_GB2312" w:hAnsi="仿宋_GB2312" w:eastAsia="仿宋_GB2312" w:cs="仿宋_GB2312"/>
          <w:color w:val="auto"/>
          <w:kern w:val="0"/>
          <w:sz w:val="32"/>
          <w:szCs w:val="32"/>
          <w:highlight w:val="none"/>
          <w:u w:val="none"/>
          <w:lang w:bidi="ar"/>
        </w:rPr>
        <w:t>设施完好率</w:t>
      </w:r>
      <w:r>
        <w:rPr>
          <w:rFonts w:hint="eastAsia" w:ascii="仿宋_GB2312" w:hAnsi="仿宋_GB2312" w:eastAsia="仿宋_GB2312" w:cs="仿宋_GB2312"/>
          <w:color w:val="auto"/>
          <w:kern w:val="0"/>
          <w:sz w:val="32"/>
          <w:szCs w:val="32"/>
          <w:highlight w:val="none"/>
          <w:u w:val="none"/>
          <w:lang w:val="en-US" w:eastAsia="zh-CN" w:bidi="ar"/>
        </w:rPr>
        <w:t>均应</w:t>
      </w:r>
      <w:r>
        <w:rPr>
          <w:rFonts w:hint="eastAsia" w:ascii="仿宋_GB2312" w:hAnsi="仿宋_GB2312" w:eastAsia="仿宋_GB2312" w:cs="仿宋_GB2312"/>
          <w:color w:val="auto"/>
          <w:kern w:val="0"/>
          <w:sz w:val="32"/>
          <w:szCs w:val="32"/>
          <w:highlight w:val="none"/>
          <w:u w:val="none"/>
          <w:lang w:bidi="ar"/>
        </w:rPr>
        <w:t>达90%及以上，</w:t>
      </w:r>
      <w:r>
        <w:rPr>
          <w:rFonts w:hint="eastAsia" w:ascii="仿宋_GB2312" w:hAnsi="仿宋_GB2312" w:eastAsia="仿宋_GB2312" w:cs="仿宋_GB2312"/>
          <w:color w:val="auto"/>
          <w:kern w:val="0"/>
          <w:sz w:val="32"/>
          <w:szCs w:val="32"/>
          <w:highlight w:val="none"/>
          <w:u w:val="none"/>
          <w:lang w:val="en-US" w:eastAsia="zh-CN" w:bidi="ar"/>
        </w:rPr>
        <w:t>且</w:t>
      </w:r>
      <w:r>
        <w:rPr>
          <w:rFonts w:hint="eastAsia" w:ascii="仿宋_GB2312" w:hAnsi="仿宋_GB2312" w:eastAsia="仿宋_GB2312" w:cs="仿宋_GB2312"/>
          <w:color w:val="auto"/>
          <w:kern w:val="0"/>
          <w:sz w:val="32"/>
          <w:szCs w:val="32"/>
          <w:highlight w:val="none"/>
          <w:u w:val="none"/>
          <w:lang w:bidi="ar"/>
        </w:rPr>
        <w:t>在亮灯时段满足景观照明效果。</w:t>
      </w:r>
    </w:p>
    <w:p w14:paraId="6508E6B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kern w:val="0"/>
          <w:sz w:val="32"/>
          <w:szCs w:val="32"/>
          <w:highlight w:val="none"/>
          <w:u w:val="none"/>
          <w:lang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7.1.9</w:t>
      </w:r>
      <w:r>
        <w:rPr>
          <w:rFonts w:hint="eastAsia" w:ascii="仿宋_GB2312" w:hAnsi="仿宋_GB2312" w:eastAsia="仿宋_GB2312" w:cs="仿宋_GB2312"/>
          <w:color w:val="auto"/>
          <w:kern w:val="0"/>
          <w:sz w:val="32"/>
          <w:szCs w:val="32"/>
          <w:highlight w:val="none"/>
          <w:u w:val="none"/>
          <w:lang w:eastAsia="zh-CN" w:bidi="ar"/>
        </w:rPr>
        <w:t>城市</w:t>
      </w:r>
      <w:r>
        <w:rPr>
          <w:rFonts w:hint="eastAsia" w:ascii="仿宋_GB2312" w:hAnsi="仿宋_GB2312" w:eastAsia="仿宋_GB2312" w:cs="仿宋_GB2312"/>
          <w:color w:val="auto"/>
          <w:kern w:val="0"/>
          <w:sz w:val="32"/>
          <w:szCs w:val="32"/>
          <w:highlight w:val="none"/>
          <w:u w:val="none"/>
          <w:lang w:bidi="ar"/>
        </w:rPr>
        <w:t>照明</w:t>
      </w:r>
      <w:r>
        <w:rPr>
          <w:rFonts w:hint="eastAsia" w:ascii="仿宋_GB2312" w:hAnsi="仿宋_GB2312" w:eastAsia="仿宋_GB2312" w:cs="仿宋_GB2312"/>
          <w:color w:val="auto"/>
          <w:kern w:val="0"/>
          <w:sz w:val="32"/>
          <w:szCs w:val="32"/>
          <w:highlight w:val="none"/>
          <w:u w:val="none"/>
          <w:lang w:eastAsia="zh-CN" w:bidi="ar"/>
        </w:rPr>
        <w:t>应</w:t>
      </w:r>
      <w:r>
        <w:rPr>
          <w:rFonts w:hint="eastAsia" w:ascii="仿宋_GB2312" w:hAnsi="仿宋_GB2312" w:eastAsia="仿宋_GB2312" w:cs="仿宋_GB2312"/>
          <w:color w:val="auto"/>
          <w:kern w:val="0"/>
          <w:sz w:val="32"/>
          <w:szCs w:val="32"/>
          <w:highlight w:val="none"/>
          <w:u w:val="none"/>
          <w:lang w:bidi="ar"/>
        </w:rPr>
        <w:t>健全设施安全检查及应急处置机制，在特殊天气来临前应组织安全检查，根据环境条件和安装方式采取相应的</w:t>
      </w:r>
      <w:r>
        <w:rPr>
          <w:rFonts w:hint="eastAsia" w:ascii="仿宋_GB2312" w:hAnsi="仿宋_GB2312" w:eastAsia="仿宋_GB2312" w:cs="仿宋_GB2312"/>
          <w:color w:val="auto"/>
          <w:kern w:val="0"/>
          <w:sz w:val="32"/>
          <w:szCs w:val="32"/>
          <w:highlight w:val="none"/>
          <w:u w:val="none"/>
          <w:lang w:val="en-US" w:eastAsia="zh-CN" w:bidi="ar"/>
        </w:rPr>
        <w:t>安全</w:t>
      </w:r>
      <w:r>
        <w:rPr>
          <w:rFonts w:hint="eastAsia" w:ascii="仿宋_GB2312" w:hAnsi="仿宋_GB2312" w:eastAsia="仿宋_GB2312" w:cs="仿宋_GB2312"/>
          <w:color w:val="auto"/>
          <w:kern w:val="0"/>
          <w:sz w:val="32"/>
          <w:szCs w:val="32"/>
          <w:highlight w:val="none"/>
          <w:u w:val="none"/>
          <w:lang w:bidi="ar"/>
        </w:rPr>
        <w:t>措施，加强各类突发事件应急处置，</w:t>
      </w:r>
      <w:r>
        <w:rPr>
          <w:rFonts w:hint="eastAsia" w:ascii="仿宋_GB2312" w:hAnsi="仿宋_GB2312" w:eastAsia="仿宋_GB2312" w:cs="仿宋_GB2312"/>
          <w:color w:val="auto"/>
          <w:kern w:val="0"/>
          <w:sz w:val="32"/>
          <w:szCs w:val="32"/>
          <w:highlight w:val="none"/>
          <w:u w:val="none"/>
          <w:lang w:eastAsia="zh-CN" w:bidi="ar"/>
        </w:rPr>
        <w:t>定期组织应急演练，</w:t>
      </w:r>
      <w:r>
        <w:rPr>
          <w:rFonts w:hint="eastAsia" w:ascii="仿宋_GB2312" w:hAnsi="仿宋_GB2312" w:eastAsia="仿宋_GB2312" w:cs="仿宋_GB2312"/>
          <w:color w:val="auto"/>
          <w:kern w:val="0"/>
          <w:sz w:val="32"/>
          <w:szCs w:val="32"/>
          <w:highlight w:val="none"/>
          <w:u w:val="none"/>
          <w:lang w:bidi="ar"/>
        </w:rPr>
        <w:t>确保照明设施安全</w:t>
      </w:r>
      <w:r>
        <w:rPr>
          <w:rFonts w:hint="eastAsia" w:ascii="仿宋_GB2312" w:hAnsi="仿宋_GB2312" w:eastAsia="仿宋_GB2312" w:cs="仿宋_GB2312"/>
          <w:color w:val="auto"/>
          <w:kern w:val="0"/>
          <w:sz w:val="32"/>
          <w:szCs w:val="32"/>
          <w:highlight w:val="none"/>
          <w:u w:val="none"/>
          <w:lang w:val="en-US" w:eastAsia="zh-CN" w:bidi="ar"/>
        </w:rPr>
        <w:t>有序运行</w:t>
      </w:r>
      <w:r>
        <w:rPr>
          <w:rFonts w:hint="eastAsia" w:ascii="仿宋_GB2312" w:hAnsi="仿宋_GB2312" w:eastAsia="仿宋_GB2312" w:cs="仿宋_GB2312"/>
          <w:color w:val="auto"/>
          <w:kern w:val="0"/>
          <w:sz w:val="32"/>
          <w:szCs w:val="32"/>
          <w:highlight w:val="none"/>
          <w:u w:val="none"/>
          <w:lang w:bidi="ar"/>
        </w:rPr>
        <w:t>。</w:t>
      </w:r>
    </w:p>
    <w:p w14:paraId="6917ACA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kern w:val="0"/>
          <w:sz w:val="32"/>
          <w:szCs w:val="32"/>
          <w:highlight w:val="none"/>
          <w:u w:val="none"/>
          <w:lang w:bidi="ar"/>
        </w:rPr>
      </w:pPr>
      <w:r>
        <w:rPr>
          <w:rFonts w:hint="eastAsia" w:ascii="仿宋_GB2312" w:hAnsi="仿宋_GB2312" w:eastAsia="仿宋_GB2312" w:cs="仿宋_GB2312"/>
          <w:b/>
          <w:bCs/>
          <w:color w:val="auto"/>
          <w:kern w:val="0"/>
          <w:sz w:val="32"/>
          <w:szCs w:val="32"/>
          <w:highlight w:val="none"/>
          <w:u w:val="none"/>
          <w:lang w:val="en-US" w:eastAsia="zh-CN" w:bidi="ar"/>
        </w:rPr>
        <w:t>7.1.10</w:t>
      </w:r>
      <w:r>
        <w:rPr>
          <w:rFonts w:hint="eastAsia" w:ascii="仿宋_GB2312" w:hAnsi="仿宋_GB2312" w:eastAsia="仿宋_GB2312" w:cs="仿宋_GB2312"/>
          <w:color w:val="auto"/>
          <w:kern w:val="0"/>
          <w:sz w:val="32"/>
          <w:szCs w:val="32"/>
          <w:highlight w:val="none"/>
          <w:u w:val="none"/>
          <w:lang w:bidi="ar"/>
        </w:rPr>
        <w:t>快速路和主次干道遇突发性照明故障，如有在线监测系统，应于</w:t>
      </w:r>
      <w:r>
        <w:rPr>
          <w:rFonts w:hint="eastAsia" w:ascii="仿宋_GB2312" w:hAnsi="仿宋_GB2312" w:eastAsia="仿宋_GB2312" w:cs="仿宋_GB2312"/>
          <w:color w:val="auto"/>
          <w:kern w:val="0"/>
          <w:sz w:val="32"/>
          <w:szCs w:val="32"/>
          <w:highlight w:val="none"/>
          <w:u w:val="none"/>
          <w:lang w:val="en-US" w:eastAsia="zh-CN" w:bidi="ar"/>
        </w:rPr>
        <w:t>2</w:t>
      </w:r>
      <w:r>
        <w:rPr>
          <w:rFonts w:hint="eastAsia" w:ascii="仿宋_GB2312" w:hAnsi="仿宋_GB2312" w:eastAsia="仿宋_GB2312" w:cs="仿宋_GB2312"/>
          <w:color w:val="auto"/>
          <w:kern w:val="0"/>
          <w:sz w:val="32"/>
          <w:szCs w:val="32"/>
          <w:highlight w:val="none"/>
          <w:u w:val="none"/>
          <w:lang w:bidi="ar"/>
        </w:rPr>
        <w:t>小时内</w:t>
      </w:r>
      <w:r>
        <w:rPr>
          <w:rFonts w:hint="eastAsia" w:ascii="仿宋_GB2312" w:hAnsi="仿宋_GB2312" w:eastAsia="仿宋_GB2312" w:cs="仿宋_GB2312"/>
          <w:color w:val="auto"/>
          <w:kern w:val="0"/>
          <w:sz w:val="32"/>
          <w:szCs w:val="32"/>
          <w:highlight w:val="none"/>
          <w:u w:val="none"/>
          <w:lang w:eastAsia="zh-CN" w:bidi="ar"/>
        </w:rPr>
        <w:t>到达现场查明故障原因并及时</w:t>
      </w:r>
      <w:r>
        <w:rPr>
          <w:rFonts w:hint="eastAsia" w:ascii="仿宋_GB2312" w:hAnsi="仿宋_GB2312" w:eastAsia="仿宋_GB2312" w:cs="仿宋_GB2312"/>
          <w:color w:val="auto"/>
          <w:kern w:val="0"/>
          <w:sz w:val="32"/>
          <w:szCs w:val="32"/>
          <w:highlight w:val="none"/>
          <w:u w:val="none"/>
          <w:lang w:bidi="ar"/>
        </w:rPr>
        <w:t>修复</w:t>
      </w:r>
      <w:r>
        <w:rPr>
          <w:rFonts w:hint="eastAsia" w:ascii="仿宋_GB2312" w:hAnsi="仿宋_GB2312" w:eastAsia="仿宋_GB2312" w:cs="仿宋_GB2312"/>
          <w:color w:val="auto"/>
          <w:kern w:val="0"/>
          <w:sz w:val="32"/>
          <w:szCs w:val="32"/>
          <w:highlight w:val="none"/>
          <w:u w:val="none"/>
          <w:lang w:eastAsia="zh-CN" w:bidi="ar"/>
        </w:rPr>
        <w:t>，</w:t>
      </w:r>
      <w:r>
        <w:rPr>
          <w:rFonts w:hint="eastAsia" w:ascii="仿宋_GB2312" w:hAnsi="仿宋_GB2312" w:eastAsia="仿宋_GB2312" w:cs="仿宋_GB2312"/>
          <w:color w:val="auto"/>
          <w:kern w:val="0"/>
          <w:sz w:val="32"/>
          <w:szCs w:val="32"/>
          <w:highlight w:val="none"/>
          <w:u w:val="none"/>
          <w:lang w:bidi="ar"/>
        </w:rPr>
        <w:t>如无在线监测系统，应在收到维修指令24小时内修复，其他路段修复时间不应超过48小时</w:t>
      </w:r>
      <w:r>
        <w:rPr>
          <w:rFonts w:hint="eastAsia" w:ascii="仿宋_GB2312" w:hAnsi="仿宋_GB2312" w:eastAsia="仿宋_GB2312" w:cs="仿宋_GB2312"/>
          <w:color w:val="auto"/>
          <w:kern w:val="0"/>
          <w:sz w:val="32"/>
          <w:szCs w:val="32"/>
          <w:highlight w:val="none"/>
          <w:u w:val="none"/>
          <w:lang w:eastAsia="zh-CN" w:bidi="ar"/>
        </w:rPr>
        <w:t>。确因特殊情况无法按时修复的，应根据现场需要</w:t>
      </w:r>
      <w:r>
        <w:rPr>
          <w:rFonts w:hint="eastAsia" w:ascii="仿宋_GB2312" w:hAnsi="仿宋_GB2312" w:eastAsia="仿宋_GB2312" w:cs="仿宋_GB2312"/>
          <w:color w:val="auto"/>
          <w:kern w:val="0"/>
          <w:sz w:val="32"/>
          <w:szCs w:val="32"/>
          <w:highlight w:val="none"/>
          <w:u w:val="none"/>
          <w:lang w:val="en-US" w:eastAsia="zh-CN" w:bidi="ar"/>
        </w:rPr>
        <w:t>采取临时措施保证照明。</w:t>
      </w:r>
    </w:p>
    <w:p w14:paraId="10142A2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7.1.11</w:t>
      </w:r>
      <w:r>
        <w:rPr>
          <w:rFonts w:hint="eastAsia" w:ascii="仿宋_GB2312" w:hAnsi="仿宋_GB2312" w:eastAsia="仿宋_GB2312" w:cs="仿宋_GB2312"/>
          <w:color w:val="auto"/>
          <w:kern w:val="0"/>
          <w:sz w:val="32"/>
          <w:szCs w:val="32"/>
          <w:highlight w:val="none"/>
          <w:u w:val="none"/>
          <w:lang w:eastAsia="zh-CN" w:bidi="ar"/>
        </w:rPr>
        <w:t>未经</w:t>
      </w:r>
      <w:r>
        <w:rPr>
          <w:rFonts w:hint="eastAsia" w:ascii="仿宋_GB2312" w:hAnsi="仿宋_GB2312" w:eastAsia="仿宋_GB2312" w:cs="仿宋_GB2312"/>
          <w:color w:val="auto"/>
          <w:kern w:val="0"/>
          <w:sz w:val="32"/>
          <w:szCs w:val="32"/>
          <w:highlight w:val="none"/>
          <w:u w:val="none"/>
          <w:lang w:val="en-US" w:eastAsia="zh-CN" w:bidi="ar"/>
        </w:rPr>
        <w:t>城市照明设施主管部门批准，</w:t>
      </w:r>
      <w:r>
        <w:rPr>
          <w:rFonts w:hint="eastAsia" w:ascii="仿宋_GB2312" w:hAnsi="仿宋_GB2312" w:eastAsia="仿宋_GB2312" w:cs="仿宋_GB2312"/>
          <w:color w:val="auto"/>
          <w:kern w:val="0"/>
          <w:sz w:val="32"/>
          <w:szCs w:val="32"/>
          <w:highlight w:val="none"/>
          <w:u w:val="none"/>
          <w:lang w:eastAsia="zh-CN" w:bidi="ar"/>
        </w:rPr>
        <w:t>不得</w:t>
      </w:r>
      <w:r>
        <w:rPr>
          <w:rFonts w:hint="eastAsia" w:ascii="仿宋_GB2312" w:hAnsi="仿宋_GB2312" w:eastAsia="仿宋_GB2312" w:cs="仿宋_GB2312"/>
          <w:color w:val="auto"/>
          <w:kern w:val="0"/>
          <w:sz w:val="32"/>
          <w:szCs w:val="32"/>
          <w:highlight w:val="none"/>
          <w:u w:val="none"/>
          <w:lang w:bidi="ar"/>
        </w:rPr>
        <w:t>擅自在</w:t>
      </w:r>
      <w:r>
        <w:rPr>
          <w:rFonts w:hint="eastAsia" w:ascii="仿宋_GB2312" w:hAnsi="仿宋_GB2312" w:eastAsia="仿宋_GB2312" w:cs="仿宋_GB2312"/>
          <w:color w:val="auto"/>
          <w:kern w:val="0"/>
          <w:sz w:val="32"/>
          <w:szCs w:val="32"/>
          <w:highlight w:val="none"/>
          <w:u w:val="none"/>
          <w:lang w:eastAsia="zh-CN" w:bidi="ar"/>
        </w:rPr>
        <w:t>城市</w:t>
      </w:r>
      <w:r>
        <w:rPr>
          <w:rFonts w:hint="eastAsia" w:ascii="仿宋_GB2312" w:hAnsi="仿宋_GB2312" w:eastAsia="仿宋_GB2312" w:cs="仿宋_GB2312"/>
          <w:color w:val="auto"/>
          <w:kern w:val="0"/>
          <w:sz w:val="32"/>
          <w:szCs w:val="32"/>
          <w:highlight w:val="none"/>
          <w:u w:val="none"/>
          <w:lang w:bidi="ar"/>
        </w:rPr>
        <w:t>照明设施上张贴、悬挂</w:t>
      </w:r>
      <w:r>
        <w:rPr>
          <w:rFonts w:hint="eastAsia" w:ascii="仿宋_GB2312" w:hAnsi="仿宋_GB2312" w:eastAsia="仿宋_GB2312" w:cs="仿宋_GB2312"/>
          <w:color w:val="auto"/>
          <w:kern w:val="0"/>
          <w:sz w:val="32"/>
          <w:szCs w:val="32"/>
          <w:highlight w:val="none"/>
          <w:u w:val="none"/>
          <w:lang w:eastAsia="zh-CN" w:bidi="ar"/>
        </w:rPr>
        <w:t>、</w:t>
      </w:r>
      <w:r>
        <w:rPr>
          <w:rFonts w:hint="eastAsia" w:ascii="仿宋_GB2312" w:hAnsi="仿宋_GB2312" w:eastAsia="仿宋_GB2312" w:cs="仿宋_GB2312"/>
          <w:color w:val="auto"/>
          <w:kern w:val="0"/>
          <w:sz w:val="32"/>
          <w:szCs w:val="32"/>
          <w:highlight w:val="none"/>
          <w:u w:val="none"/>
          <w:lang w:bidi="ar"/>
        </w:rPr>
        <w:t>设置宣传品、广告以及架设线缆</w:t>
      </w:r>
      <w:r>
        <w:rPr>
          <w:rFonts w:hint="eastAsia" w:ascii="仿宋_GB2312" w:hAnsi="仿宋_GB2312" w:eastAsia="仿宋_GB2312" w:cs="仿宋_GB2312"/>
          <w:color w:val="auto"/>
          <w:kern w:val="0"/>
          <w:sz w:val="32"/>
          <w:szCs w:val="32"/>
          <w:highlight w:val="none"/>
          <w:u w:val="none"/>
          <w:lang w:eastAsia="zh-CN" w:bidi="ar"/>
        </w:rPr>
        <w:t>，</w:t>
      </w:r>
      <w:r>
        <w:rPr>
          <w:rFonts w:hint="eastAsia" w:ascii="仿宋_GB2312" w:hAnsi="仿宋_GB2312" w:eastAsia="仿宋_GB2312" w:cs="仿宋_GB2312"/>
          <w:color w:val="auto"/>
          <w:kern w:val="0"/>
          <w:sz w:val="32"/>
          <w:szCs w:val="32"/>
          <w:highlight w:val="none"/>
          <w:u w:val="none"/>
          <w:lang w:val="en-US" w:eastAsia="zh-CN" w:bidi="ar"/>
        </w:rPr>
        <w:t>不得擅自拆除、迁改、损毁城市照明设施，不得私自搭接城市照明设施用电</w:t>
      </w:r>
      <w:r>
        <w:rPr>
          <w:rFonts w:hint="eastAsia" w:ascii="仿宋_GB2312" w:hAnsi="仿宋_GB2312" w:eastAsia="仿宋_GB2312" w:cs="仿宋_GB2312"/>
          <w:color w:val="auto"/>
          <w:kern w:val="0"/>
          <w:sz w:val="32"/>
          <w:szCs w:val="32"/>
          <w:highlight w:val="none"/>
          <w:u w:val="none"/>
          <w:lang w:bidi="ar"/>
        </w:rPr>
        <w:t>。</w:t>
      </w:r>
    </w:p>
    <w:p w14:paraId="7A54AEF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kern w:val="0"/>
          <w:sz w:val="32"/>
          <w:szCs w:val="32"/>
          <w:highlight w:val="none"/>
          <w:u w:val="none"/>
          <w:lang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7.1.12</w:t>
      </w:r>
      <w:r>
        <w:rPr>
          <w:rFonts w:hint="eastAsia" w:ascii="仿宋_GB2312" w:hAnsi="仿宋_GB2312" w:eastAsia="仿宋_GB2312" w:cs="仿宋_GB2312"/>
          <w:color w:val="auto"/>
          <w:kern w:val="0"/>
          <w:sz w:val="32"/>
          <w:szCs w:val="32"/>
          <w:highlight w:val="none"/>
          <w:u w:val="none"/>
          <w:lang w:eastAsia="zh-CN" w:bidi="ar"/>
        </w:rPr>
        <w:t>城市</w:t>
      </w:r>
      <w:r>
        <w:rPr>
          <w:rFonts w:hint="eastAsia" w:ascii="仿宋_GB2312" w:hAnsi="仿宋_GB2312" w:eastAsia="仿宋_GB2312" w:cs="仿宋_GB2312"/>
          <w:color w:val="auto"/>
          <w:kern w:val="0"/>
          <w:sz w:val="32"/>
          <w:szCs w:val="32"/>
          <w:highlight w:val="none"/>
          <w:u w:val="none"/>
          <w:lang w:bidi="ar"/>
        </w:rPr>
        <w:t>照明</w:t>
      </w:r>
      <w:r>
        <w:rPr>
          <w:rFonts w:hint="eastAsia" w:ascii="仿宋_GB2312" w:hAnsi="仿宋_GB2312" w:eastAsia="仿宋_GB2312" w:cs="仿宋_GB2312"/>
          <w:color w:val="auto"/>
          <w:kern w:val="0"/>
          <w:sz w:val="32"/>
          <w:szCs w:val="32"/>
          <w:highlight w:val="none"/>
          <w:u w:val="none"/>
          <w:lang w:eastAsia="zh-CN" w:bidi="ar"/>
        </w:rPr>
        <w:t>设施维护管理过程中，因埋设</w:t>
      </w:r>
      <w:r>
        <w:rPr>
          <w:rFonts w:hint="eastAsia" w:ascii="仿宋_GB2312" w:hAnsi="仿宋_GB2312" w:eastAsia="仿宋_GB2312" w:cs="仿宋_GB2312"/>
          <w:color w:val="auto"/>
          <w:kern w:val="0"/>
          <w:sz w:val="32"/>
          <w:szCs w:val="32"/>
          <w:highlight w:val="none"/>
          <w:u w:val="none"/>
          <w:lang w:bidi="ar"/>
        </w:rPr>
        <w:t>、检修电缆等原因</w:t>
      </w:r>
      <w:r>
        <w:rPr>
          <w:rFonts w:hint="eastAsia" w:ascii="仿宋_GB2312" w:hAnsi="仿宋_GB2312" w:eastAsia="仿宋_GB2312" w:cs="仿宋_GB2312"/>
          <w:color w:val="auto"/>
          <w:kern w:val="0"/>
          <w:sz w:val="32"/>
          <w:szCs w:val="32"/>
          <w:highlight w:val="none"/>
          <w:u w:val="none"/>
          <w:lang w:eastAsia="zh-CN" w:bidi="ar"/>
        </w:rPr>
        <w:t>需</w:t>
      </w:r>
      <w:r>
        <w:rPr>
          <w:rFonts w:hint="eastAsia" w:ascii="仿宋_GB2312" w:hAnsi="仿宋_GB2312" w:eastAsia="仿宋_GB2312" w:cs="仿宋_GB2312"/>
          <w:color w:val="auto"/>
          <w:kern w:val="0"/>
          <w:sz w:val="32"/>
          <w:szCs w:val="32"/>
          <w:highlight w:val="none"/>
          <w:u w:val="none"/>
          <w:lang w:bidi="ar"/>
        </w:rPr>
        <w:t>开凿道板</w:t>
      </w:r>
      <w:r>
        <w:rPr>
          <w:rFonts w:hint="eastAsia" w:ascii="仿宋_GB2312" w:hAnsi="仿宋_GB2312" w:eastAsia="仿宋_GB2312" w:cs="仿宋_GB2312"/>
          <w:color w:val="auto"/>
          <w:kern w:val="0"/>
          <w:sz w:val="32"/>
          <w:szCs w:val="32"/>
          <w:highlight w:val="none"/>
          <w:u w:val="none"/>
          <w:lang w:eastAsia="zh-CN" w:bidi="ar"/>
        </w:rPr>
        <w:t>时，所处理故障线路</w:t>
      </w:r>
      <w:r>
        <w:rPr>
          <w:rFonts w:hint="eastAsia" w:ascii="仿宋_GB2312" w:hAnsi="仿宋_GB2312" w:eastAsia="仿宋_GB2312" w:cs="仿宋_GB2312"/>
          <w:color w:val="auto"/>
          <w:kern w:val="0"/>
          <w:sz w:val="32"/>
          <w:szCs w:val="32"/>
          <w:highlight w:val="none"/>
          <w:u w:val="none"/>
          <w:lang w:bidi="ar"/>
        </w:rPr>
        <w:t>结束后应及时</w:t>
      </w:r>
      <w:r>
        <w:rPr>
          <w:rFonts w:hint="eastAsia" w:ascii="仿宋_GB2312" w:hAnsi="仿宋_GB2312" w:eastAsia="仿宋_GB2312" w:cs="仿宋_GB2312"/>
          <w:color w:val="auto"/>
          <w:kern w:val="0"/>
          <w:sz w:val="32"/>
          <w:szCs w:val="32"/>
          <w:highlight w:val="none"/>
          <w:u w:val="none"/>
          <w:lang w:eastAsia="zh-CN" w:bidi="ar"/>
        </w:rPr>
        <w:t>平整恢复人行道、更换破损道板等</w:t>
      </w:r>
      <w:r>
        <w:rPr>
          <w:rFonts w:hint="eastAsia" w:ascii="仿宋_GB2312" w:hAnsi="仿宋_GB2312" w:eastAsia="仿宋_GB2312" w:cs="仿宋_GB2312"/>
          <w:color w:val="auto"/>
          <w:kern w:val="0"/>
          <w:sz w:val="32"/>
          <w:szCs w:val="32"/>
          <w:highlight w:val="none"/>
          <w:u w:val="none"/>
          <w:lang w:bidi="ar"/>
        </w:rPr>
        <w:t>。</w:t>
      </w:r>
    </w:p>
    <w:p w14:paraId="71AC095E">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outlineLvl w:val="9"/>
        <w:rPr>
          <w:rFonts w:hint="eastAsia" w:ascii="仿宋_GB2312" w:hAnsi="仿宋_GB2312" w:eastAsia="仿宋_GB2312" w:cs="仿宋_GB2312"/>
          <w:color w:val="auto"/>
          <w:kern w:val="0"/>
          <w:sz w:val="32"/>
          <w:szCs w:val="32"/>
          <w:highlight w:val="none"/>
          <w:u w:val="none"/>
          <w:lang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7.1.13</w:t>
      </w:r>
      <w:r>
        <w:rPr>
          <w:rFonts w:hint="eastAsia" w:ascii="仿宋_GB2312" w:hAnsi="仿宋_GB2312" w:eastAsia="仿宋_GB2312" w:cs="仿宋_GB2312"/>
          <w:color w:val="auto"/>
          <w:kern w:val="0"/>
          <w:sz w:val="32"/>
          <w:szCs w:val="32"/>
          <w:highlight w:val="none"/>
          <w:u w:val="none"/>
          <w:lang w:val="en-US" w:eastAsia="zh-CN" w:bidi="ar"/>
        </w:rPr>
        <w:t>城市照明的照度、照度均匀度、眩光限制和诱导性等各项技术指标应符合城市道路照明和城市</w:t>
      </w:r>
      <w:r>
        <w:rPr>
          <w:rFonts w:hint="eastAsia" w:ascii="仿宋_GB2312" w:hAnsi="仿宋_GB2312" w:eastAsia="仿宋_GB2312" w:cs="仿宋_GB2312"/>
          <w:color w:val="auto"/>
          <w:kern w:val="0"/>
          <w:sz w:val="32"/>
          <w:szCs w:val="32"/>
          <w:highlight w:val="none"/>
          <w:u w:val="none"/>
          <w:lang w:bidi="ar"/>
        </w:rPr>
        <w:t>夜景照明</w:t>
      </w:r>
      <w:r>
        <w:rPr>
          <w:rFonts w:hint="eastAsia" w:ascii="仿宋_GB2312" w:hAnsi="仿宋_GB2312" w:eastAsia="仿宋_GB2312" w:cs="仿宋_GB2312"/>
          <w:color w:val="auto"/>
          <w:kern w:val="0"/>
          <w:sz w:val="32"/>
          <w:szCs w:val="32"/>
          <w:highlight w:val="none"/>
          <w:u w:val="none"/>
          <w:lang w:val="en-US" w:eastAsia="zh-CN" w:bidi="ar"/>
        </w:rPr>
        <w:t>相关技术规范。</w:t>
      </w:r>
      <w:r>
        <w:rPr>
          <w:rFonts w:hint="eastAsia" w:ascii="仿宋_GB2312" w:hAnsi="仿宋_GB2312" w:eastAsia="仿宋_GB2312" w:cs="仿宋_GB2312"/>
          <w:color w:val="auto"/>
          <w:kern w:val="0"/>
          <w:sz w:val="32"/>
          <w:szCs w:val="32"/>
          <w:highlight w:val="none"/>
          <w:u w:val="none"/>
          <w:lang w:bidi="ar"/>
        </w:rPr>
        <w:t>照明设施设备的管理维护</w:t>
      </w:r>
      <w:r>
        <w:rPr>
          <w:rFonts w:hint="eastAsia" w:ascii="仿宋_GB2312" w:hAnsi="仿宋_GB2312" w:eastAsia="仿宋_GB2312" w:cs="仿宋_GB2312"/>
          <w:color w:val="auto"/>
          <w:kern w:val="0"/>
          <w:sz w:val="32"/>
          <w:szCs w:val="32"/>
          <w:highlight w:val="none"/>
          <w:u w:val="none"/>
          <w:lang w:eastAsia="zh-CN" w:bidi="ar"/>
        </w:rPr>
        <w:t>、质量考核、安全管理等</w:t>
      </w:r>
      <w:r>
        <w:rPr>
          <w:rFonts w:hint="eastAsia" w:ascii="仿宋_GB2312" w:hAnsi="仿宋_GB2312" w:eastAsia="仿宋_GB2312" w:cs="仿宋_GB2312"/>
          <w:color w:val="auto"/>
          <w:kern w:val="0"/>
          <w:sz w:val="32"/>
          <w:szCs w:val="32"/>
          <w:highlight w:val="none"/>
          <w:u w:val="none"/>
          <w:lang w:bidi="ar"/>
        </w:rPr>
        <w:t>应符合城市道路照明设施运行维护技术标准。</w:t>
      </w:r>
    </w:p>
    <w:p w14:paraId="6B4C77F0">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default" w:ascii="仿宋_GB2312" w:hAnsi="仿宋_GB2312" w:eastAsia="仿宋_GB2312" w:cs="仿宋_GB2312"/>
          <w:b/>
          <w:bCs/>
          <w:color w:val="auto"/>
          <w:kern w:val="2"/>
          <w:sz w:val="32"/>
          <w:szCs w:val="32"/>
          <w:highlight w:val="none"/>
          <w:u w:val="none"/>
          <w:lang w:val="en-US" w:eastAsia="zh-CN" w:bidi="ar-SA"/>
        </w:rPr>
      </w:pPr>
      <w:bookmarkStart w:id="166" w:name="_Toc14122"/>
      <w:bookmarkStart w:id="167" w:name="_Toc5673"/>
      <w:bookmarkStart w:id="168" w:name="_Toc28871"/>
      <w:r>
        <w:rPr>
          <w:rFonts w:hint="eastAsia" w:ascii="仿宋_GB2312" w:hAnsi="仿宋_GB2312" w:eastAsia="仿宋_GB2312" w:cs="仿宋_GB2312"/>
          <w:b/>
          <w:bCs/>
          <w:color w:val="auto"/>
          <w:kern w:val="2"/>
          <w:sz w:val="32"/>
          <w:szCs w:val="32"/>
          <w:highlight w:val="none"/>
          <w:u w:val="none"/>
          <w:lang w:val="en-US" w:eastAsia="zh-CN" w:bidi="ar-SA"/>
        </w:rPr>
        <w:t>7</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2</w:t>
      </w:r>
      <w:r>
        <w:rPr>
          <w:rFonts w:hint="default" w:ascii="仿宋_GB2312" w:hAnsi="仿宋_GB2312" w:eastAsia="仿宋_GB2312" w:cs="仿宋_GB2312"/>
          <w:b/>
          <w:bCs/>
          <w:color w:val="auto"/>
          <w:kern w:val="2"/>
          <w:sz w:val="32"/>
          <w:szCs w:val="32"/>
          <w:highlight w:val="none"/>
          <w:u w:val="none"/>
          <w:lang w:val="en-US" w:eastAsia="zh-CN" w:bidi="ar-SA"/>
        </w:rPr>
        <w:t>交通设施</w:t>
      </w:r>
      <w:bookmarkEnd w:id="166"/>
      <w:bookmarkEnd w:id="167"/>
      <w:bookmarkEnd w:id="168"/>
    </w:p>
    <w:p w14:paraId="08F308A4">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7.2.1</w:t>
      </w:r>
      <w:r>
        <w:rPr>
          <w:rFonts w:hint="default" w:ascii="仿宋_GB2312" w:hAnsi="仿宋_GB2312" w:eastAsia="仿宋_GB2312" w:cs="仿宋_GB2312"/>
          <w:color w:val="auto"/>
          <w:kern w:val="0"/>
          <w:sz w:val="32"/>
          <w:szCs w:val="32"/>
          <w:highlight w:val="none"/>
          <w:u w:val="none"/>
          <w:lang w:val="en-US" w:eastAsia="zh-CN" w:bidi="ar"/>
        </w:rPr>
        <w:t>不得擅自设置、移动、占用、损毁交通信号灯、交通标志、交通标线。</w:t>
      </w:r>
    </w:p>
    <w:p w14:paraId="51F0EA68">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7.2.2</w:t>
      </w:r>
      <w:r>
        <w:rPr>
          <w:rFonts w:hint="default" w:ascii="仿宋_GB2312" w:hAnsi="仿宋_GB2312" w:eastAsia="仿宋_GB2312" w:cs="仿宋_GB2312"/>
          <w:color w:val="auto"/>
          <w:kern w:val="0"/>
          <w:sz w:val="32"/>
          <w:szCs w:val="32"/>
          <w:highlight w:val="none"/>
          <w:u w:val="none"/>
          <w:lang w:val="en-US" w:eastAsia="zh-CN" w:bidi="ar"/>
        </w:rPr>
        <w:t>交通</w:t>
      </w:r>
      <w:r>
        <w:rPr>
          <w:rFonts w:hint="eastAsia" w:ascii="仿宋_GB2312" w:hAnsi="仿宋_GB2312" w:eastAsia="仿宋_GB2312" w:cs="仿宋_GB2312"/>
          <w:color w:val="auto"/>
          <w:kern w:val="0"/>
          <w:sz w:val="32"/>
          <w:szCs w:val="32"/>
          <w:highlight w:val="none"/>
          <w:u w:val="none"/>
          <w:lang w:val="en-US" w:eastAsia="zh-CN" w:bidi="ar"/>
        </w:rPr>
        <w:t>标志材质、颜色、规格、基础、连接件、安装位置等相关参数须符合</w:t>
      </w:r>
      <w:r>
        <w:rPr>
          <w:rFonts w:hint="default" w:ascii="仿宋_GB2312" w:hAnsi="仿宋_GB2312" w:eastAsia="仿宋_GB2312" w:cs="仿宋_GB2312"/>
          <w:color w:val="auto"/>
          <w:kern w:val="0"/>
          <w:sz w:val="32"/>
          <w:szCs w:val="32"/>
          <w:highlight w:val="none"/>
          <w:u w:val="none"/>
          <w:lang w:val="en-US" w:eastAsia="zh-CN" w:bidi="ar"/>
        </w:rPr>
        <w:t>国家标准或行业规范，确保标志的合法性和</w:t>
      </w:r>
      <w:r>
        <w:rPr>
          <w:rFonts w:hint="eastAsia" w:ascii="仿宋_GB2312" w:hAnsi="仿宋_GB2312" w:eastAsia="仿宋_GB2312" w:cs="仿宋_GB2312"/>
          <w:color w:val="auto"/>
          <w:kern w:val="0"/>
          <w:sz w:val="32"/>
          <w:szCs w:val="32"/>
          <w:highlight w:val="none"/>
          <w:u w:val="none"/>
          <w:lang w:val="en-US" w:eastAsia="zh-CN" w:bidi="ar"/>
        </w:rPr>
        <w:t>安全</w:t>
      </w:r>
      <w:r>
        <w:rPr>
          <w:rFonts w:hint="default" w:ascii="仿宋_GB2312" w:hAnsi="仿宋_GB2312" w:eastAsia="仿宋_GB2312" w:cs="仿宋_GB2312"/>
          <w:color w:val="auto"/>
          <w:kern w:val="0"/>
          <w:sz w:val="32"/>
          <w:szCs w:val="32"/>
          <w:highlight w:val="none"/>
          <w:u w:val="none"/>
          <w:lang w:val="en-US" w:eastAsia="zh-CN" w:bidi="ar"/>
        </w:rPr>
        <w:t>性。</w:t>
      </w:r>
    </w:p>
    <w:p w14:paraId="0361301E">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rPr>
          <w:rFonts w:hint="default" w:ascii="仿宋_GB2312" w:hAnsi="仿宋_GB2312" w:eastAsia="仿宋_GB2312" w:cs="仿宋_GB2312"/>
          <w:b/>
          <w:bCs/>
          <w:strike/>
          <w:dstrike w:val="0"/>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7.2.</w:t>
      </w:r>
      <w:r>
        <w:rPr>
          <w:rFonts w:hint="eastAsia" w:ascii="仿宋_GB2312" w:hAnsi="仿宋_GB2312" w:eastAsia="仿宋_GB2312" w:cs="仿宋_GB2312"/>
          <w:b/>
          <w:bCs/>
          <w:strike w:val="0"/>
          <w:dstrike w:val="0"/>
          <w:color w:val="auto"/>
          <w:kern w:val="0"/>
          <w:sz w:val="32"/>
          <w:szCs w:val="32"/>
          <w:highlight w:val="none"/>
          <w:u w:val="none"/>
          <w:lang w:val="en-US" w:eastAsia="zh-CN" w:bidi="ar"/>
        </w:rPr>
        <w:t>3</w:t>
      </w:r>
      <w:r>
        <w:rPr>
          <w:rFonts w:hint="default" w:ascii="仿宋_GB2312" w:hAnsi="仿宋_GB2312" w:eastAsia="仿宋_GB2312" w:cs="仿宋_GB2312"/>
          <w:strike w:val="0"/>
          <w:dstrike w:val="0"/>
          <w:color w:val="auto"/>
          <w:kern w:val="0"/>
          <w:sz w:val="32"/>
          <w:szCs w:val="32"/>
          <w:highlight w:val="none"/>
          <w:u w:val="none"/>
          <w:lang w:val="en-US" w:eastAsia="zh-CN" w:bidi="ar"/>
        </w:rPr>
        <w:t>交通</w:t>
      </w:r>
      <w:r>
        <w:rPr>
          <w:rFonts w:hint="eastAsia" w:ascii="仿宋_GB2312" w:hAnsi="仿宋_GB2312" w:eastAsia="仿宋_GB2312" w:cs="仿宋_GB2312"/>
          <w:strike w:val="0"/>
          <w:dstrike w:val="0"/>
          <w:color w:val="auto"/>
          <w:kern w:val="0"/>
          <w:sz w:val="32"/>
          <w:szCs w:val="32"/>
          <w:highlight w:val="none"/>
          <w:u w:val="none"/>
          <w:lang w:val="en-US" w:eastAsia="zh-CN" w:bidi="ar"/>
        </w:rPr>
        <w:t>设施</w:t>
      </w:r>
      <w:r>
        <w:rPr>
          <w:rFonts w:hint="default" w:ascii="仿宋_GB2312" w:hAnsi="仿宋_GB2312" w:eastAsia="仿宋_GB2312" w:cs="仿宋_GB2312"/>
          <w:strike w:val="0"/>
          <w:dstrike w:val="0"/>
          <w:color w:val="auto"/>
          <w:kern w:val="0"/>
          <w:sz w:val="32"/>
          <w:szCs w:val="32"/>
          <w:highlight w:val="none"/>
          <w:u w:val="none"/>
          <w:lang w:val="en-US" w:eastAsia="zh-CN" w:bidi="ar"/>
        </w:rPr>
        <w:t>及其</w:t>
      </w:r>
      <w:r>
        <w:rPr>
          <w:rFonts w:hint="eastAsia" w:ascii="仿宋_GB2312" w:hAnsi="仿宋_GB2312" w:eastAsia="仿宋_GB2312" w:cs="仿宋_GB2312"/>
          <w:strike w:val="0"/>
          <w:dstrike w:val="0"/>
          <w:color w:val="auto"/>
          <w:kern w:val="0"/>
          <w:sz w:val="32"/>
          <w:szCs w:val="32"/>
          <w:highlight w:val="none"/>
          <w:u w:val="none"/>
          <w:lang w:val="en-US" w:eastAsia="zh-CN" w:bidi="ar"/>
        </w:rPr>
        <w:t>附属设施</w:t>
      </w:r>
      <w:r>
        <w:rPr>
          <w:rFonts w:hint="default" w:ascii="仿宋_GB2312" w:hAnsi="仿宋_GB2312" w:eastAsia="仿宋_GB2312" w:cs="仿宋_GB2312"/>
          <w:strike w:val="0"/>
          <w:dstrike w:val="0"/>
          <w:color w:val="auto"/>
          <w:kern w:val="0"/>
          <w:sz w:val="32"/>
          <w:szCs w:val="32"/>
          <w:highlight w:val="none"/>
          <w:u w:val="none"/>
          <w:lang w:val="en-US" w:eastAsia="zh-CN" w:bidi="ar"/>
        </w:rPr>
        <w:t>不得侵入道路建筑限界。</w:t>
      </w:r>
    </w:p>
    <w:p w14:paraId="69E413DE">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7.2.4</w:t>
      </w:r>
      <w:r>
        <w:rPr>
          <w:rFonts w:hint="default" w:ascii="仿宋_GB2312" w:hAnsi="仿宋_GB2312" w:eastAsia="仿宋_GB2312" w:cs="仿宋_GB2312"/>
          <w:color w:val="auto"/>
          <w:kern w:val="0"/>
          <w:sz w:val="32"/>
          <w:szCs w:val="32"/>
          <w:highlight w:val="none"/>
          <w:u w:val="none"/>
          <w:lang w:val="en-US" w:eastAsia="zh-CN" w:bidi="ar"/>
        </w:rPr>
        <w:t>交通标志、标线、信号灯、隔离护栏等道路交通设施应当根据道路条件、交通流</w:t>
      </w:r>
      <w:r>
        <w:rPr>
          <w:rFonts w:hint="eastAsia" w:ascii="仿宋_GB2312" w:hAnsi="仿宋_GB2312" w:eastAsia="仿宋_GB2312" w:cs="仿宋_GB2312"/>
          <w:color w:val="auto"/>
          <w:kern w:val="0"/>
          <w:sz w:val="32"/>
          <w:szCs w:val="32"/>
          <w:highlight w:val="none"/>
          <w:u w:val="none"/>
          <w:lang w:val="en-US" w:eastAsia="zh-CN" w:bidi="ar"/>
        </w:rPr>
        <w:t>量</w:t>
      </w:r>
      <w:r>
        <w:rPr>
          <w:rFonts w:hint="default" w:ascii="仿宋_GB2312" w:hAnsi="仿宋_GB2312" w:eastAsia="仿宋_GB2312" w:cs="仿宋_GB2312"/>
          <w:color w:val="auto"/>
          <w:kern w:val="0"/>
          <w:sz w:val="32"/>
          <w:szCs w:val="32"/>
          <w:highlight w:val="none"/>
          <w:u w:val="none"/>
          <w:lang w:val="en-US" w:eastAsia="zh-CN" w:bidi="ar"/>
        </w:rPr>
        <w:t>、交通环境、道路使用者的需求及交通管理的需要进行设置，并与周边的设施环境和景观条件相协调。</w:t>
      </w:r>
    </w:p>
    <w:p w14:paraId="54183944">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7.2.5</w:t>
      </w:r>
      <w:r>
        <w:rPr>
          <w:rFonts w:hint="default" w:ascii="仿宋_GB2312" w:hAnsi="仿宋_GB2312" w:eastAsia="仿宋_GB2312" w:cs="仿宋_GB2312"/>
          <w:color w:val="auto"/>
          <w:kern w:val="0"/>
          <w:sz w:val="32"/>
          <w:szCs w:val="32"/>
          <w:highlight w:val="none"/>
          <w:u w:val="none"/>
          <w:lang w:val="en-US" w:eastAsia="zh-CN" w:bidi="ar"/>
        </w:rPr>
        <w:t>相关设施</w:t>
      </w:r>
      <w:r>
        <w:rPr>
          <w:rFonts w:hint="eastAsia" w:ascii="仿宋_GB2312" w:hAnsi="仿宋_GB2312" w:eastAsia="仿宋_GB2312" w:cs="仿宋_GB2312"/>
          <w:color w:val="auto"/>
          <w:kern w:val="0"/>
          <w:sz w:val="32"/>
          <w:szCs w:val="32"/>
          <w:highlight w:val="none"/>
          <w:u w:val="none"/>
          <w:lang w:val="en-US" w:eastAsia="zh-CN" w:bidi="ar"/>
        </w:rPr>
        <w:t>应</w:t>
      </w:r>
      <w:r>
        <w:rPr>
          <w:rFonts w:hint="default" w:ascii="仿宋_GB2312" w:hAnsi="仿宋_GB2312" w:eastAsia="仿宋_GB2312" w:cs="仿宋_GB2312"/>
          <w:color w:val="auto"/>
          <w:kern w:val="0"/>
          <w:sz w:val="32"/>
          <w:szCs w:val="32"/>
          <w:highlight w:val="none"/>
          <w:u w:val="none"/>
          <w:lang w:val="en-US" w:eastAsia="zh-CN" w:bidi="ar"/>
        </w:rPr>
        <w:t>保持清晰、醒目、</w:t>
      </w:r>
      <w:r>
        <w:rPr>
          <w:rFonts w:hint="eastAsia" w:ascii="仿宋_GB2312" w:hAnsi="仿宋_GB2312" w:eastAsia="仿宋_GB2312" w:cs="仿宋_GB2312"/>
          <w:color w:val="auto"/>
          <w:kern w:val="0"/>
          <w:sz w:val="32"/>
          <w:szCs w:val="32"/>
          <w:highlight w:val="none"/>
          <w:u w:val="none"/>
          <w:lang w:val="en-US" w:eastAsia="zh-CN" w:bidi="ar"/>
        </w:rPr>
        <w:t>简洁、</w:t>
      </w:r>
      <w:r>
        <w:rPr>
          <w:rFonts w:hint="default" w:ascii="仿宋_GB2312" w:hAnsi="仿宋_GB2312" w:eastAsia="仿宋_GB2312" w:cs="仿宋_GB2312"/>
          <w:color w:val="auto"/>
          <w:kern w:val="0"/>
          <w:sz w:val="32"/>
          <w:szCs w:val="32"/>
          <w:highlight w:val="none"/>
          <w:u w:val="none"/>
          <w:lang w:val="en-US" w:eastAsia="zh-CN" w:bidi="ar"/>
        </w:rPr>
        <w:t>准确，</w:t>
      </w:r>
      <w:r>
        <w:rPr>
          <w:rFonts w:hint="eastAsia" w:ascii="仿宋_GB2312" w:hAnsi="仿宋_GB2312" w:eastAsia="仿宋_GB2312" w:cs="仿宋_GB2312"/>
          <w:color w:val="auto"/>
          <w:kern w:val="0"/>
          <w:sz w:val="32"/>
          <w:szCs w:val="32"/>
          <w:highlight w:val="none"/>
          <w:u w:val="none"/>
          <w:lang w:val="en-US" w:eastAsia="zh-CN" w:bidi="ar"/>
        </w:rPr>
        <w:t>防止信息过载</w:t>
      </w:r>
      <w:r>
        <w:rPr>
          <w:rFonts w:hint="default" w:ascii="仿宋_GB2312" w:hAnsi="仿宋_GB2312" w:eastAsia="仿宋_GB2312" w:cs="仿宋_GB2312"/>
          <w:color w:val="auto"/>
          <w:kern w:val="0"/>
          <w:sz w:val="32"/>
          <w:szCs w:val="32"/>
          <w:highlight w:val="none"/>
          <w:u w:val="none"/>
          <w:lang w:val="en-US" w:eastAsia="zh-CN" w:bidi="ar"/>
        </w:rPr>
        <w:t>。不同类型设施间配合使用，其传递的信息应相互协调，同时与交通管理措施</w:t>
      </w:r>
      <w:r>
        <w:rPr>
          <w:rFonts w:hint="eastAsia" w:ascii="仿宋_GB2312" w:hAnsi="仿宋_GB2312" w:eastAsia="仿宋_GB2312" w:cs="仿宋_GB2312"/>
          <w:color w:val="auto"/>
          <w:kern w:val="0"/>
          <w:sz w:val="32"/>
          <w:szCs w:val="32"/>
          <w:highlight w:val="none"/>
          <w:u w:val="none"/>
          <w:lang w:val="en-US" w:eastAsia="zh-CN" w:bidi="ar"/>
        </w:rPr>
        <w:t>保持一致</w:t>
      </w:r>
      <w:r>
        <w:rPr>
          <w:rFonts w:hint="default" w:ascii="仿宋_GB2312" w:hAnsi="仿宋_GB2312" w:eastAsia="仿宋_GB2312" w:cs="仿宋_GB2312"/>
          <w:color w:val="auto"/>
          <w:kern w:val="0"/>
          <w:sz w:val="32"/>
          <w:szCs w:val="32"/>
          <w:highlight w:val="none"/>
          <w:u w:val="none"/>
          <w:lang w:val="en-US" w:eastAsia="zh-CN" w:bidi="ar"/>
        </w:rPr>
        <w:t>。当</w:t>
      </w:r>
      <w:r>
        <w:rPr>
          <w:rFonts w:hint="eastAsia" w:ascii="仿宋_GB2312" w:hAnsi="仿宋_GB2312" w:eastAsia="仿宋_GB2312" w:cs="仿宋_GB2312"/>
          <w:color w:val="auto"/>
          <w:kern w:val="0"/>
          <w:sz w:val="32"/>
          <w:szCs w:val="32"/>
          <w:highlight w:val="none"/>
          <w:u w:val="none"/>
          <w:lang w:val="en-US" w:eastAsia="zh-CN" w:bidi="ar"/>
        </w:rPr>
        <w:t>交通管理措施</w:t>
      </w:r>
      <w:r>
        <w:rPr>
          <w:rFonts w:hint="default" w:ascii="仿宋_GB2312" w:hAnsi="仿宋_GB2312" w:eastAsia="仿宋_GB2312" w:cs="仿宋_GB2312"/>
          <w:color w:val="auto"/>
          <w:kern w:val="0"/>
          <w:sz w:val="32"/>
          <w:szCs w:val="32"/>
          <w:highlight w:val="none"/>
          <w:u w:val="none"/>
          <w:lang w:val="en-US" w:eastAsia="zh-CN" w:bidi="ar"/>
        </w:rPr>
        <w:t>发生变化时，应及时增减、调换、更新。</w:t>
      </w:r>
    </w:p>
    <w:p w14:paraId="4A3CCE90">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7.2.6</w:t>
      </w:r>
      <w:r>
        <w:rPr>
          <w:rFonts w:hint="eastAsia" w:ascii="仿宋_GB2312" w:hAnsi="仿宋_GB2312" w:eastAsia="仿宋_GB2312" w:cs="仿宋_GB2312"/>
          <w:color w:val="auto"/>
          <w:kern w:val="0"/>
          <w:sz w:val="32"/>
          <w:szCs w:val="32"/>
          <w:highlight w:val="none"/>
          <w:u w:val="none"/>
          <w:lang w:val="en-US" w:eastAsia="zh-CN" w:bidi="ar"/>
        </w:rPr>
        <w:t>新（改、扩）建道路施工时，建设单位须对交通工程和道路主体工程落实“四同步”原则，即同步设计、同步施工、同步验收、同步投入使用。</w:t>
      </w:r>
      <w:r>
        <w:rPr>
          <w:rFonts w:hint="default" w:ascii="仿宋_GB2312" w:hAnsi="仿宋_GB2312" w:eastAsia="仿宋_GB2312" w:cs="仿宋_GB2312"/>
          <w:color w:val="auto"/>
          <w:kern w:val="0"/>
          <w:sz w:val="32"/>
          <w:szCs w:val="32"/>
          <w:highlight w:val="none"/>
          <w:u w:val="none"/>
          <w:lang w:val="en-US" w:eastAsia="zh-CN" w:bidi="ar"/>
        </w:rPr>
        <w:t>道路交通</w:t>
      </w:r>
      <w:r>
        <w:rPr>
          <w:rFonts w:hint="eastAsia" w:ascii="仿宋_GB2312" w:hAnsi="仿宋_GB2312" w:eastAsia="仿宋_GB2312" w:cs="仿宋_GB2312"/>
          <w:color w:val="auto"/>
          <w:kern w:val="0"/>
          <w:sz w:val="32"/>
          <w:szCs w:val="32"/>
          <w:highlight w:val="none"/>
          <w:u w:val="none"/>
          <w:lang w:val="en-US" w:eastAsia="zh-CN" w:bidi="ar"/>
        </w:rPr>
        <w:t>工程设计</w:t>
      </w:r>
      <w:r>
        <w:rPr>
          <w:rFonts w:hint="default" w:ascii="仿宋_GB2312" w:hAnsi="仿宋_GB2312" w:eastAsia="仿宋_GB2312" w:cs="仿宋_GB2312"/>
          <w:color w:val="auto"/>
          <w:kern w:val="0"/>
          <w:sz w:val="32"/>
          <w:szCs w:val="32"/>
          <w:highlight w:val="none"/>
          <w:u w:val="none"/>
          <w:lang w:val="en-US" w:eastAsia="zh-CN" w:bidi="ar"/>
        </w:rPr>
        <w:t>前应开展资料收集和分析工作，新建道路收集的资料应包括下列内容：</w:t>
      </w:r>
    </w:p>
    <w:p w14:paraId="09EBF198">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10" w:leftChars="0" w:firstLine="640" w:firstLineChars="0"/>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道路周边的用地性质；</w:t>
      </w:r>
    </w:p>
    <w:p w14:paraId="64D68B19">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10" w:leftChars="0" w:firstLine="640" w:firstLineChars="0"/>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道路功能和等级、红线宽度、沿线交叉口及出入口等；</w:t>
      </w:r>
    </w:p>
    <w:p w14:paraId="58BE83AD">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10" w:leftChars="0" w:firstLine="640" w:firstLineChars="0"/>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道路有关的设计成果及资料；</w:t>
      </w:r>
    </w:p>
    <w:p w14:paraId="762276CC">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10" w:leftChars="0" w:firstLine="640" w:firstLineChars="0"/>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预测交通量和交通组成；</w:t>
      </w:r>
    </w:p>
    <w:p w14:paraId="51A1ED7F">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10" w:leftChars="0" w:firstLine="640" w:firstLineChars="0"/>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公交线路及停靠站方案；</w:t>
      </w:r>
    </w:p>
    <w:p w14:paraId="2E79B52F">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10" w:leftChars="0" w:firstLine="640" w:firstLineChars="0"/>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沿途所经过的道路名、地点名和主要设施；</w:t>
      </w:r>
    </w:p>
    <w:p w14:paraId="0420C7B5">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10" w:leftChars="0" w:firstLine="640" w:firstLineChars="0"/>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交通管理措施；</w:t>
      </w:r>
    </w:p>
    <w:p w14:paraId="620AE99E">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10" w:leftChars="0" w:firstLine="640" w:firstLineChars="0"/>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周边道路设施状况。</w:t>
      </w:r>
    </w:p>
    <w:p w14:paraId="02E52FD4">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改</w:t>
      </w:r>
      <w:r>
        <w:rPr>
          <w:rFonts w:hint="eastAsia" w:ascii="仿宋_GB2312" w:hAnsi="仿宋_GB2312" w:eastAsia="仿宋_GB2312" w:cs="仿宋_GB2312"/>
          <w:color w:val="auto"/>
          <w:kern w:val="0"/>
          <w:sz w:val="32"/>
          <w:szCs w:val="32"/>
          <w:highlight w:val="none"/>
          <w:u w:val="none"/>
          <w:lang w:val="en-US" w:eastAsia="zh-CN" w:bidi="ar"/>
        </w:rPr>
        <w:t>、扩</w:t>
      </w:r>
      <w:r>
        <w:rPr>
          <w:rFonts w:hint="default" w:ascii="仿宋_GB2312" w:hAnsi="仿宋_GB2312" w:eastAsia="仿宋_GB2312" w:cs="仿宋_GB2312"/>
          <w:color w:val="auto"/>
          <w:kern w:val="0"/>
          <w:sz w:val="32"/>
          <w:szCs w:val="32"/>
          <w:highlight w:val="none"/>
          <w:u w:val="none"/>
          <w:lang w:val="en-US" w:eastAsia="zh-CN" w:bidi="ar"/>
        </w:rPr>
        <w:t>建道路还应增加调查下列资料：</w:t>
      </w:r>
    </w:p>
    <w:p w14:paraId="5B4D6FFD">
      <w:pPr>
        <w:keepNext w:val="0"/>
        <w:keepLines w:val="0"/>
        <w:pageBreakBefore w:val="0"/>
        <w:widowControl w:val="0"/>
        <w:numPr>
          <w:ilvl w:val="0"/>
          <w:numId w:val="10"/>
        </w:numPr>
        <w:kinsoku/>
        <w:wordWrap/>
        <w:overflowPunct/>
        <w:topLinePunct w:val="0"/>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现有道路交通设施状况；</w:t>
      </w:r>
    </w:p>
    <w:p w14:paraId="4F21FC6F">
      <w:pPr>
        <w:keepNext w:val="0"/>
        <w:keepLines w:val="0"/>
        <w:pageBreakBefore w:val="0"/>
        <w:widowControl w:val="0"/>
        <w:numPr>
          <w:ilvl w:val="0"/>
          <w:numId w:val="10"/>
        </w:numPr>
        <w:kinsoku/>
        <w:wordWrap/>
        <w:overflowPunct/>
        <w:topLinePunct w:val="0"/>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各路段的交通量、交通特性和交通管理措施；</w:t>
      </w:r>
    </w:p>
    <w:p w14:paraId="6D7FCD26">
      <w:pPr>
        <w:keepNext w:val="0"/>
        <w:keepLines w:val="0"/>
        <w:pageBreakBefore w:val="0"/>
        <w:widowControl w:val="0"/>
        <w:numPr>
          <w:ilvl w:val="0"/>
          <w:numId w:val="10"/>
        </w:numPr>
        <w:kinsoku/>
        <w:wordWrap/>
        <w:overflowPunct/>
        <w:topLinePunct w:val="0"/>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沿线的公交线路及站点设置情况；</w:t>
      </w:r>
    </w:p>
    <w:p w14:paraId="42A7DB12">
      <w:pPr>
        <w:keepNext w:val="0"/>
        <w:keepLines w:val="0"/>
        <w:pageBreakBefore w:val="0"/>
        <w:widowControl w:val="0"/>
        <w:numPr>
          <w:ilvl w:val="0"/>
          <w:numId w:val="10"/>
        </w:numPr>
        <w:kinsoku/>
        <w:wordWrap/>
        <w:overflowPunct/>
        <w:topLinePunct w:val="0"/>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道路及沿线交通事故情况。</w:t>
      </w:r>
    </w:p>
    <w:p w14:paraId="7CBC3893">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outlineLvl w:val="9"/>
        <w:rPr>
          <w:rFonts w:hint="default"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b/>
          <w:bCs/>
          <w:color w:val="auto"/>
          <w:kern w:val="0"/>
          <w:sz w:val="32"/>
          <w:szCs w:val="32"/>
          <w:highlight w:val="none"/>
          <w:u w:val="none"/>
          <w:lang w:val="en-US" w:eastAsia="zh-CN" w:bidi="ar"/>
        </w:rPr>
        <w:t>7.2.7</w:t>
      </w:r>
      <w:r>
        <w:rPr>
          <w:rFonts w:hint="default" w:ascii="仿宋_GB2312" w:hAnsi="仿宋_GB2312" w:eastAsia="仿宋_GB2312" w:cs="仿宋_GB2312"/>
          <w:color w:val="auto"/>
          <w:kern w:val="0"/>
          <w:sz w:val="32"/>
          <w:szCs w:val="32"/>
          <w:highlight w:val="none"/>
          <w:u w:val="none"/>
          <w:lang w:val="en-US" w:eastAsia="zh-CN" w:bidi="ar"/>
        </w:rPr>
        <w:t>交通设施的养护、管理应当专职负责，建立完善的巡查机制，定期对</w:t>
      </w:r>
      <w:r>
        <w:rPr>
          <w:rFonts w:hint="eastAsia" w:ascii="仿宋_GB2312" w:hAnsi="仿宋_GB2312" w:eastAsia="仿宋_GB2312" w:cs="仿宋_GB2312"/>
          <w:color w:val="auto"/>
          <w:kern w:val="0"/>
          <w:sz w:val="32"/>
          <w:szCs w:val="32"/>
          <w:highlight w:val="none"/>
          <w:u w:val="none"/>
          <w:lang w:val="en-US" w:eastAsia="zh-CN" w:bidi="ar"/>
        </w:rPr>
        <w:t>管养范围</w:t>
      </w:r>
      <w:r>
        <w:rPr>
          <w:rFonts w:hint="default" w:ascii="仿宋_GB2312" w:hAnsi="仿宋_GB2312" w:eastAsia="仿宋_GB2312" w:cs="仿宋_GB2312"/>
          <w:color w:val="auto"/>
          <w:kern w:val="0"/>
          <w:sz w:val="32"/>
          <w:szCs w:val="32"/>
          <w:highlight w:val="none"/>
          <w:u w:val="none"/>
          <w:lang w:val="en-US" w:eastAsia="zh-CN" w:bidi="ar"/>
        </w:rPr>
        <w:t>内</w:t>
      </w:r>
      <w:r>
        <w:rPr>
          <w:rFonts w:hint="eastAsia" w:ascii="仿宋_GB2312" w:hAnsi="仿宋_GB2312" w:eastAsia="仿宋_GB2312" w:cs="仿宋_GB2312"/>
          <w:color w:val="auto"/>
          <w:kern w:val="0"/>
          <w:sz w:val="32"/>
          <w:szCs w:val="32"/>
          <w:highlight w:val="none"/>
          <w:u w:val="none"/>
          <w:lang w:val="en-US" w:eastAsia="zh-CN" w:bidi="ar"/>
        </w:rPr>
        <w:t>交通设施开展</w:t>
      </w:r>
      <w:r>
        <w:rPr>
          <w:rFonts w:hint="default" w:ascii="仿宋_GB2312" w:hAnsi="仿宋_GB2312" w:eastAsia="仿宋_GB2312" w:cs="仿宋_GB2312"/>
          <w:color w:val="auto"/>
          <w:kern w:val="0"/>
          <w:sz w:val="32"/>
          <w:szCs w:val="32"/>
          <w:highlight w:val="none"/>
          <w:u w:val="none"/>
          <w:lang w:val="en-US" w:eastAsia="zh-CN" w:bidi="ar"/>
        </w:rPr>
        <w:t>日常巡查、维护，及时对污损、缺失</w:t>
      </w:r>
      <w:r>
        <w:rPr>
          <w:rFonts w:hint="eastAsia" w:ascii="仿宋_GB2312" w:hAnsi="仿宋_GB2312" w:eastAsia="仿宋_GB2312" w:cs="仿宋_GB2312"/>
          <w:color w:val="auto"/>
          <w:kern w:val="0"/>
          <w:sz w:val="32"/>
          <w:szCs w:val="32"/>
          <w:highlight w:val="none"/>
          <w:u w:val="none"/>
          <w:lang w:val="en-US" w:eastAsia="zh-CN" w:bidi="ar"/>
        </w:rPr>
        <w:t>、歪斜、与管理措施不一致</w:t>
      </w:r>
      <w:r>
        <w:rPr>
          <w:rFonts w:hint="default" w:ascii="仿宋_GB2312" w:hAnsi="仿宋_GB2312" w:eastAsia="仿宋_GB2312" w:cs="仿宋_GB2312"/>
          <w:color w:val="auto"/>
          <w:kern w:val="0"/>
          <w:sz w:val="32"/>
          <w:szCs w:val="32"/>
          <w:highlight w:val="none"/>
          <w:u w:val="none"/>
          <w:lang w:val="en-US" w:eastAsia="zh-CN" w:bidi="ar"/>
        </w:rPr>
        <w:t>的</w:t>
      </w:r>
      <w:r>
        <w:rPr>
          <w:rFonts w:hint="eastAsia" w:ascii="仿宋_GB2312" w:hAnsi="仿宋_GB2312" w:eastAsia="仿宋_GB2312" w:cs="仿宋_GB2312"/>
          <w:color w:val="auto"/>
          <w:kern w:val="0"/>
          <w:sz w:val="32"/>
          <w:szCs w:val="32"/>
          <w:highlight w:val="none"/>
          <w:u w:val="none"/>
          <w:lang w:val="en-US" w:eastAsia="zh-CN" w:bidi="ar"/>
        </w:rPr>
        <w:t>交通设施进行</w:t>
      </w:r>
      <w:r>
        <w:rPr>
          <w:rFonts w:hint="default" w:ascii="仿宋_GB2312" w:hAnsi="仿宋_GB2312" w:eastAsia="仿宋_GB2312" w:cs="仿宋_GB2312"/>
          <w:color w:val="auto"/>
          <w:kern w:val="0"/>
          <w:sz w:val="32"/>
          <w:szCs w:val="32"/>
          <w:highlight w:val="none"/>
          <w:u w:val="none"/>
          <w:lang w:val="en-US" w:eastAsia="zh-CN" w:bidi="ar"/>
        </w:rPr>
        <w:t>更换维护。遇到交通事故、强风、暴雨、地质灾害等因素导致破损的，应立即到</w:t>
      </w:r>
      <w:r>
        <w:rPr>
          <w:rFonts w:hint="eastAsia" w:ascii="仿宋_GB2312" w:hAnsi="仿宋_GB2312" w:eastAsia="仿宋_GB2312" w:cs="仿宋_GB2312"/>
          <w:color w:val="auto"/>
          <w:kern w:val="0"/>
          <w:sz w:val="32"/>
          <w:szCs w:val="32"/>
          <w:highlight w:val="none"/>
          <w:u w:val="none"/>
          <w:lang w:val="en-US" w:eastAsia="zh-CN" w:bidi="ar"/>
        </w:rPr>
        <w:t>场</w:t>
      </w:r>
      <w:r>
        <w:rPr>
          <w:rFonts w:hint="default" w:ascii="仿宋_GB2312" w:hAnsi="仿宋_GB2312" w:eastAsia="仿宋_GB2312" w:cs="仿宋_GB2312"/>
          <w:color w:val="auto"/>
          <w:kern w:val="0"/>
          <w:sz w:val="32"/>
          <w:szCs w:val="32"/>
          <w:highlight w:val="none"/>
          <w:u w:val="none"/>
          <w:lang w:val="en-US" w:eastAsia="zh-CN" w:bidi="ar"/>
        </w:rPr>
        <w:t>进行维护并加强巡逻频次。调整方案应由主管部门审核后实施。</w:t>
      </w:r>
    </w:p>
    <w:p w14:paraId="614DA9BE">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default" w:ascii="仿宋_GB2312" w:hAnsi="仿宋_GB2312" w:eastAsia="仿宋_GB2312" w:cs="仿宋_GB2312"/>
          <w:b/>
          <w:bCs/>
          <w:color w:val="auto"/>
          <w:kern w:val="2"/>
          <w:sz w:val="32"/>
          <w:szCs w:val="32"/>
          <w:highlight w:val="none"/>
          <w:u w:val="none"/>
          <w:lang w:val="en-US" w:eastAsia="zh-CN" w:bidi="ar-SA"/>
        </w:rPr>
      </w:pPr>
      <w:bookmarkStart w:id="169" w:name="_Toc32710"/>
      <w:bookmarkStart w:id="170" w:name="_Toc14005"/>
      <w:bookmarkStart w:id="171" w:name="_Toc26850"/>
      <w:r>
        <w:rPr>
          <w:rFonts w:hint="eastAsia" w:ascii="仿宋_GB2312" w:hAnsi="仿宋_GB2312" w:eastAsia="仿宋_GB2312" w:cs="仿宋_GB2312"/>
          <w:b/>
          <w:bCs/>
          <w:color w:val="auto"/>
          <w:kern w:val="2"/>
          <w:sz w:val="32"/>
          <w:szCs w:val="32"/>
          <w:highlight w:val="none"/>
          <w:u w:val="none"/>
          <w:lang w:val="en-US" w:eastAsia="zh-CN" w:bidi="ar-SA"/>
        </w:rPr>
        <w:t>7</w:t>
      </w:r>
      <w:r>
        <w:rPr>
          <w:rFonts w:hint="default" w:ascii="仿宋_GB2312" w:hAnsi="仿宋_GB2312" w:eastAsia="仿宋_GB2312" w:cs="仿宋_GB2312"/>
          <w:b/>
          <w:bCs/>
          <w:color w:val="auto"/>
          <w:kern w:val="2"/>
          <w:sz w:val="32"/>
          <w:szCs w:val="32"/>
          <w:highlight w:val="none"/>
          <w:u w:val="none"/>
          <w:lang w:val="en-US" w:eastAsia="zh-CN" w:bidi="ar-SA"/>
        </w:rPr>
        <w:t>.</w:t>
      </w:r>
      <w:r>
        <w:rPr>
          <w:rFonts w:hint="eastAsia" w:ascii="仿宋_GB2312" w:hAnsi="仿宋_GB2312" w:eastAsia="仿宋_GB2312" w:cs="仿宋_GB2312"/>
          <w:b/>
          <w:bCs/>
          <w:color w:val="auto"/>
          <w:kern w:val="2"/>
          <w:sz w:val="32"/>
          <w:szCs w:val="32"/>
          <w:highlight w:val="none"/>
          <w:u w:val="none"/>
          <w:lang w:val="en-US" w:eastAsia="zh-CN" w:bidi="ar-SA"/>
        </w:rPr>
        <w:t>3</w:t>
      </w:r>
      <w:r>
        <w:rPr>
          <w:rFonts w:hint="default" w:ascii="仿宋_GB2312" w:hAnsi="仿宋_GB2312" w:eastAsia="仿宋_GB2312" w:cs="仿宋_GB2312"/>
          <w:b/>
          <w:bCs/>
          <w:color w:val="auto"/>
          <w:kern w:val="2"/>
          <w:sz w:val="32"/>
          <w:szCs w:val="32"/>
          <w:highlight w:val="none"/>
          <w:u w:val="none"/>
          <w:lang w:val="en-US" w:eastAsia="zh-CN" w:bidi="ar-SA"/>
        </w:rPr>
        <w:fldChar w:fldCharType="begin"/>
      </w:r>
      <w:r>
        <w:rPr>
          <w:rFonts w:hint="default" w:ascii="仿宋_GB2312" w:hAnsi="仿宋_GB2312" w:eastAsia="仿宋_GB2312" w:cs="仿宋_GB2312"/>
          <w:b/>
          <w:bCs/>
          <w:color w:val="auto"/>
          <w:kern w:val="2"/>
          <w:sz w:val="32"/>
          <w:szCs w:val="32"/>
          <w:highlight w:val="none"/>
          <w:u w:val="none"/>
          <w:lang w:val="en-US" w:eastAsia="zh-CN" w:bidi="ar-SA"/>
        </w:rPr>
        <w:instrText xml:space="preserve"> HYPERLINK \l _Toc19865 </w:instrText>
      </w:r>
      <w:r>
        <w:rPr>
          <w:rFonts w:hint="default" w:ascii="仿宋_GB2312" w:hAnsi="仿宋_GB2312" w:eastAsia="仿宋_GB2312" w:cs="仿宋_GB2312"/>
          <w:b/>
          <w:bCs/>
          <w:color w:val="auto"/>
          <w:kern w:val="2"/>
          <w:sz w:val="32"/>
          <w:szCs w:val="32"/>
          <w:highlight w:val="none"/>
          <w:u w:val="none"/>
          <w:lang w:val="en-US" w:eastAsia="zh-CN" w:bidi="ar-SA"/>
        </w:rPr>
        <w:fldChar w:fldCharType="separate"/>
      </w:r>
      <w:r>
        <w:rPr>
          <w:rFonts w:hint="default" w:ascii="仿宋_GB2312" w:hAnsi="仿宋_GB2312" w:eastAsia="仿宋_GB2312" w:cs="仿宋_GB2312"/>
          <w:b/>
          <w:bCs/>
          <w:color w:val="auto"/>
          <w:kern w:val="2"/>
          <w:sz w:val="32"/>
          <w:szCs w:val="32"/>
          <w:highlight w:val="none"/>
          <w:u w:val="none"/>
          <w:lang w:val="en-US" w:eastAsia="zh-CN" w:bidi="ar-SA"/>
        </w:rPr>
        <w:t>公共亭棚</w:t>
      </w:r>
      <w:r>
        <w:rPr>
          <w:rFonts w:hint="default" w:ascii="仿宋_GB2312" w:hAnsi="仿宋_GB2312" w:eastAsia="仿宋_GB2312" w:cs="仿宋_GB2312"/>
          <w:b/>
          <w:bCs/>
          <w:color w:val="auto"/>
          <w:kern w:val="2"/>
          <w:sz w:val="32"/>
          <w:szCs w:val="32"/>
          <w:highlight w:val="none"/>
          <w:u w:val="none"/>
          <w:lang w:val="en-US" w:eastAsia="zh-CN" w:bidi="ar-SA"/>
        </w:rPr>
        <w:fldChar w:fldCharType="end"/>
      </w:r>
      <w:bookmarkEnd w:id="169"/>
      <w:bookmarkEnd w:id="170"/>
      <w:bookmarkEnd w:id="171"/>
    </w:p>
    <w:p w14:paraId="254F7BC6">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b/>
          <w:bCs/>
          <w:color w:val="auto"/>
          <w:kern w:val="2"/>
          <w:sz w:val="32"/>
          <w:szCs w:val="32"/>
          <w:highlight w:val="none"/>
          <w:u w:val="none"/>
          <w:lang w:val="en-US" w:eastAsia="zh-CN" w:bidi="ar-SA"/>
        </w:rPr>
        <w:t>7.3.1</w:t>
      </w:r>
      <w:r>
        <w:rPr>
          <w:rFonts w:hint="eastAsia" w:ascii="仿宋_GB2312" w:hAnsi="仿宋_GB2312" w:eastAsia="仿宋_GB2312" w:cs="仿宋_GB2312"/>
          <w:color w:val="auto"/>
          <w:sz w:val="32"/>
          <w:szCs w:val="32"/>
          <w:highlight w:val="none"/>
          <w:u w:val="none"/>
        </w:rPr>
        <w:t>道路两侧及公共</w:t>
      </w:r>
      <w:r>
        <w:rPr>
          <w:rFonts w:hint="eastAsia" w:ascii="仿宋_GB2312" w:hAnsi="仿宋_GB2312" w:eastAsia="仿宋_GB2312" w:cs="仿宋_GB2312"/>
          <w:color w:val="auto"/>
          <w:sz w:val="32"/>
          <w:szCs w:val="32"/>
          <w:highlight w:val="none"/>
          <w:u w:val="none"/>
          <w:lang w:eastAsia="zh-CN"/>
        </w:rPr>
        <w:t>区域不得擅自设置</w:t>
      </w:r>
      <w:r>
        <w:rPr>
          <w:rFonts w:hint="default" w:ascii="仿宋_GB2312" w:hAnsi="仿宋_GB2312" w:eastAsia="仿宋_GB2312" w:cs="仿宋_GB2312"/>
          <w:b w:val="0"/>
          <w:bCs w:val="0"/>
          <w:color w:val="auto"/>
          <w:kern w:val="2"/>
          <w:sz w:val="32"/>
          <w:szCs w:val="32"/>
          <w:highlight w:val="none"/>
          <w:u w:val="none"/>
          <w:lang w:val="en-US" w:eastAsia="zh-CN" w:bidi="ar-SA"/>
        </w:rPr>
        <w:t>各类摊、亭、棚</w:t>
      </w:r>
      <w:r>
        <w:rPr>
          <w:rFonts w:hint="eastAsia" w:ascii="仿宋_GB2312" w:hAnsi="仿宋_GB2312" w:eastAsia="仿宋_GB2312" w:cs="仿宋_GB2312"/>
          <w:b w:val="0"/>
          <w:bCs w:val="0"/>
          <w:color w:val="auto"/>
          <w:kern w:val="2"/>
          <w:sz w:val="32"/>
          <w:szCs w:val="32"/>
          <w:highlight w:val="none"/>
          <w:u w:val="none"/>
          <w:lang w:val="en-US" w:eastAsia="zh-CN" w:bidi="ar-SA"/>
        </w:rPr>
        <w:t>等公共设施。</w:t>
      </w:r>
    </w:p>
    <w:p w14:paraId="49F9498D">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sz w:val="32"/>
          <w:szCs w:val="32"/>
          <w:highlight w:val="none"/>
          <w:u w:val="none"/>
          <w:lang w:val="en-US" w:eastAsia="zh-CN"/>
        </w:rPr>
        <w:t>7.3.2</w:t>
      </w:r>
      <w:r>
        <w:rPr>
          <w:rFonts w:hint="eastAsia" w:ascii="仿宋_GB2312" w:hAnsi="仿宋_GB2312" w:eastAsia="仿宋_GB2312" w:cs="仿宋_GB2312"/>
          <w:color w:val="auto"/>
          <w:sz w:val="32"/>
          <w:szCs w:val="32"/>
          <w:highlight w:val="none"/>
          <w:u w:val="none"/>
          <w:lang w:eastAsia="zh-CN"/>
        </w:rPr>
        <w:t>依法设置</w:t>
      </w:r>
      <w:r>
        <w:rPr>
          <w:rFonts w:hint="eastAsia" w:ascii="仿宋_GB2312" w:hAnsi="仿宋_GB2312" w:eastAsia="仿宋_GB2312" w:cs="仿宋_GB2312"/>
          <w:color w:val="auto"/>
          <w:sz w:val="32"/>
          <w:szCs w:val="32"/>
          <w:highlight w:val="none"/>
          <w:u w:val="none"/>
        </w:rPr>
        <w:t>的治安亭、交通亭、电话亭、报刊亭等公共服务设施</w:t>
      </w:r>
      <w:r>
        <w:rPr>
          <w:rFonts w:hint="eastAsia" w:ascii="仿宋_GB2312" w:hAnsi="仿宋_GB2312" w:eastAsia="仿宋_GB2312" w:cs="仿宋_GB2312"/>
          <w:color w:val="auto"/>
          <w:sz w:val="32"/>
          <w:szCs w:val="32"/>
          <w:highlight w:val="none"/>
          <w:u w:val="none"/>
          <w:lang w:eastAsia="zh-CN"/>
        </w:rPr>
        <w:t>及其他街景小品</w:t>
      </w:r>
      <w:r>
        <w:rPr>
          <w:rFonts w:hint="default" w:ascii="仿宋_GB2312" w:hAnsi="仿宋_GB2312" w:eastAsia="仿宋_GB2312" w:cs="仿宋_GB2312"/>
          <w:b w:val="0"/>
          <w:bCs w:val="0"/>
          <w:color w:val="auto"/>
          <w:kern w:val="2"/>
          <w:sz w:val="32"/>
          <w:szCs w:val="32"/>
          <w:highlight w:val="none"/>
          <w:u w:val="none"/>
          <w:lang w:val="en-US" w:eastAsia="zh-CN" w:bidi="ar-SA"/>
        </w:rPr>
        <w:t>应根据城市区域建筑特点统一设计、建造，宜兼顾功能适用与外形美观，</w:t>
      </w:r>
      <w:r>
        <w:rPr>
          <w:rFonts w:hint="eastAsia" w:ascii="仿宋_GB2312" w:hAnsi="仿宋_GB2312" w:eastAsia="仿宋_GB2312" w:cs="仿宋_GB2312"/>
          <w:b w:val="0"/>
          <w:bCs w:val="0"/>
          <w:color w:val="auto"/>
          <w:kern w:val="2"/>
          <w:sz w:val="32"/>
          <w:szCs w:val="32"/>
          <w:highlight w:val="none"/>
          <w:u w:val="none"/>
          <w:lang w:val="en-US" w:eastAsia="zh-CN" w:bidi="ar-SA"/>
        </w:rPr>
        <w:t>产权单位或其他负有管理责任的单位或个人应当采取积极措施</w:t>
      </w:r>
      <w:r>
        <w:rPr>
          <w:rFonts w:hint="default" w:ascii="仿宋_GB2312" w:hAnsi="仿宋_GB2312" w:eastAsia="仿宋_GB2312" w:cs="仿宋_GB2312"/>
          <w:b w:val="0"/>
          <w:bCs w:val="0"/>
          <w:color w:val="auto"/>
          <w:kern w:val="2"/>
          <w:sz w:val="32"/>
          <w:szCs w:val="32"/>
          <w:highlight w:val="none"/>
          <w:u w:val="none"/>
          <w:lang w:val="en-US" w:eastAsia="zh-CN" w:bidi="ar-SA"/>
        </w:rPr>
        <w:t>保持</w:t>
      </w:r>
      <w:r>
        <w:rPr>
          <w:rFonts w:hint="eastAsia" w:ascii="仿宋_GB2312" w:hAnsi="仿宋_GB2312" w:eastAsia="仿宋_GB2312" w:cs="仿宋_GB2312"/>
          <w:b w:val="0"/>
          <w:bCs w:val="0"/>
          <w:color w:val="auto"/>
          <w:kern w:val="2"/>
          <w:sz w:val="32"/>
          <w:szCs w:val="32"/>
          <w:highlight w:val="none"/>
          <w:u w:val="none"/>
          <w:lang w:val="en-US" w:eastAsia="zh-CN" w:bidi="ar-SA"/>
        </w:rPr>
        <w:t>设施</w:t>
      </w:r>
      <w:r>
        <w:rPr>
          <w:rFonts w:hint="default" w:ascii="仿宋_GB2312" w:hAnsi="仿宋_GB2312" w:eastAsia="仿宋_GB2312" w:cs="仿宋_GB2312"/>
          <w:b w:val="0"/>
          <w:bCs w:val="0"/>
          <w:color w:val="auto"/>
          <w:kern w:val="2"/>
          <w:sz w:val="32"/>
          <w:szCs w:val="32"/>
          <w:highlight w:val="none"/>
          <w:u w:val="none"/>
          <w:lang w:val="en-US" w:eastAsia="zh-CN" w:bidi="ar-SA"/>
        </w:rPr>
        <w:t>干净</w:t>
      </w:r>
      <w:r>
        <w:rPr>
          <w:rFonts w:hint="eastAsia" w:ascii="仿宋_GB2312" w:hAnsi="仿宋_GB2312" w:eastAsia="仿宋_GB2312" w:cs="仿宋_GB2312"/>
          <w:b w:val="0"/>
          <w:bCs w:val="0"/>
          <w:color w:val="auto"/>
          <w:kern w:val="2"/>
          <w:sz w:val="32"/>
          <w:szCs w:val="32"/>
          <w:highlight w:val="none"/>
          <w:u w:val="none"/>
          <w:lang w:val="en-US" w:eastAsia="zh-CN" w:bidi="ar-SA"/>
        </w:rPr>
        <w:t>、</w:t>
      </w:r>
      <w:r>
        <w:rPr>
          <w:rFonts w:hint="default" w:ascii="仿宋_GB2312" w:hAnsi="仿宋_GB2312" w:eastAsia="仿宋_GB2312" w:cs="仿宋_GB2312"/>
          <w:b w:val="0"/>
          <w:bCs w:val="0"/>
          <w:color w:val="auto"/>
          <w:kern w:val="2"/>
          <w:sz w:val="32"/>
          <w:szCs w:val="32"/>
          <w:highlight w:val="none"/>
          <w:u w:val="none"/>
          <w:lang w:val="en-US" w:eastAsia="zh-CN" w:bidi="ar-SA"/>
        </w:rPr>
        <w:t>整洁</w:t>
      </w:r>
      <w:r>
        <w:rPr>
          <w:rFonts w:hint="eastAsia" w:ascii="仿宋_GB2312" w:hAnsi="仿宋_GB2312" w:eastAsia="仿宋_GB2312" w:cs="仿宋_GB2312"/>
          <w:b w:val="0"/>
          <w:bCs w:val="0"/>
          <w:color w:val="auto"/>
          <w:kern w:val="2"/>
          <w:sz w:val="32"/>
          <w:szCs w:val="32"/>
          <w:highlight w:val="none"/>
          <w:u w:val="none"/>
          <w:lang w:val="en-US" w:eastAsia="zh-CN" w:bidi="ar-SA"/>
        </w:rPr>
        <w:t>、安全。</w:t>
      </w:r>
    </w:p>
    <w:p w14:paraId="410DDB16">
      <w:pPr>
        <w:keepNext w:val="0"/>
        <w:keepLines w:val="0"/>
        <w:pageBreakBefore w:val="0"/>
        <w:kinsoku/>
        <w:wordWrap/>
        <w:overflowPunct/>
        <w:topLinePunct w:val="0"/>
        <w:bidi w:val="0"/>
        <w:spacing w:line="560" w:lineRule="exact"/>
        <w:textAlignment w:val="auto"/>
        <w:rPr>
          <w:rFonts w:hint="default" w:ascii="仿宋_GB2312" w:hAnsi="仿宋_GB2312" w:eastAsia="仿宋_GB2312" w:cs="仿宋_GB2312"/>
          <w:b w:val="0"/>
          <w:bCs w:val="0"/>
          <w:color w:val="auto"/>
          <w:kern w:val="2"/>
          <w:sz w:val="32"/>
          <w:szCs w:val="32"/>
          <w:highlight w:val="none"/>
          <w:u w:val="none"/>
          <w:lang w:val="en-US" w:eastAsia="zh-CN" w:bidi="ar-SA"/>
        </w:rPr>
      </w:pPr>
    </w:p>
    <w:p w14:paraId="32906F1B">
      <w:pPr>
        <w:keepNext w:val="0"/>
        <w:keepLines w:val="0"/>
        <w:pageBreakBefore w:val="0"/>
        <w:kinsoku/>
        <w:wordWrap/>
        <w:overflowPunct/>
        <w:topLinePunct w:val="0"/>
        <w:bidi w:val="0"/>
        <w:spacing w:line="560" w:lineRule="exact"/>
        <w:textAlignment w:val="auto"/>
        <w:rPr>
          <w:rFonts w:hint="default" w:ascii="黑体" w:hAnsi="黑体" w:eastAsia="黑体" w:cs="黑体"/>
          <w:b w:val="0"/>
          <w:bCs w:val="0"/>
          <w:color w:val="auto"/>
          <w:kern w:val="2"/>
          <w:sz w:val="36"/>
          <w:szCs w:val="36"/>
          <w:highlight w:val="none"/>
          <w:u w:val="none"/>
          <w:lang w:val="en-US" w:eastAsia="zh-CN" w:bidi="ar-SA"/>
        </w:rPr>
      </w:pPr>
    </w:p>
    <w:p w14:paraId="37C9A573">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0"/>
        <w:rPr>
          <w:rFonts w:hint="default" w:ascii="黑体" w:hAnsi="黑体" w:eastAsia="黑体" w:cs="黑体"/>
          <w:b w:val="0"/>
          <w:bCs w:val="0"/>
          <w:color w:val="auto"/>
          <w:kern w:val="2"/>
          <w:sz w:val="36"/>
          <w:szCs w:val="36"/>
          <w:highlight w:val="none"/>
          <w:u w:val="none"/>
          <w:lang w:val="en-US" w:eastAsia="zh-CN" w:bidi="ar-SA"/>
        </w:rPr>
      </w:pPr>
      <w:bookmarkStart w:id="172" w:name="_Toc23647"/>
      <w:bookmarkStart w:id="173" w:name="_Toc4544"/>
      <w:bookmarkStart w:id="174" w:name="_Toc19624"/>
      <w:r>
        <w:rPr>
          <w:rFonts w:hint="eastAsia" w:ascii="黑体" w:hAnsi="黑体" w:eastAsia="黑体" w:cs="黑体"/>
          <w:b w:val="0"/>
          <w:bCs w:val="0"/>
          <w:color w:val="auto"/>
          <w:kern w:val="2"/>
          <w:sz w:val="36"/>
          <w:szCs w:val="36"/>
          <w:highlight w:val="none"/>
          <w:u w:val="none"/>
          <w:lang w:val="en-US" w:eastAsia="zh-CN" w:bidi="ar-SA"/>
        </w:rPr>
        <w:t>8</w:t>
      </w:r>
      <w:r>
        <w:rPr>
          <w:rFonts w:hint="default" w:ascii="黑体" w:hAnsi="黑体" w:eastAsia="黑体" w:cs="黑体"/>
          <w:b w:val="0"/>
          <w:bCs w:val="0"/>
          <w:color w:val="auto"/>
          <w:kern w:val="2"/>
          <w:sz w:val="36"/>
          <w:szCs w:val="36"/>
          <w:highlight w:val="none"/>
          <w:u w:val="none"/>
          <w:lang w:val="en-US" w:eastAsia="zh-CN" w:bidi="ar-SA"/>
        </w:rPr>
        <w:t>园林绿化</w:t>
      </w:r>
      <w:bookmarkEnd w:id="172"/>
      <w:bookmarkEnd w:id="173"/>
      <w:bookmarkEnd w:id="174"/>
    </w:p>
    <w:p w14:paraId="0ABB9BAD">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eastAsia" w:ascii="仿宋_GB2312" w:hAnsi="仿宋_GB2312" w:eastAsia="仿宋_GB2312" w:cs="仿宋_GB2312"/>
          <w:b/>
          <w:bCs/>
          <w:color w:val="auto"/>
          <w:kern w:val="2"/>
          <w:sz w:val="32"/>
          <w:szCs w:val="32"/>
          <w:highlight w:val="none"/>
          <w:u w:val="none"/>
          <w:lang w:val="en-US" w:eastAsia="zh-CN" w:bidi="ar-SA"/>
        </w:rPr>
      </w:pPr>
      <w:bookmarkStart w:id="175" w:name="_Toc26900"/>
      <w:bookmarkStart w:id="176" w:name="_Toc225"/>
      <w:bookmarkStart w:id="177" w:name="_Toc23692"/>
      <w:r>
        <w:rPr>
          <w:rFonts w:hint="eastAsia" w:ascii="仿宋_GB2312" w:hAnsi="仿宋_GB2312" w:eastAsia="仿宋_GB2312" w:cs="仿宋_GB2312"/>
          <w:b/>
          <w:bCs/>
          <w:color w:val="auto"/>
          <w:kern w:val="2"/>
          <w:sz w:val="32"/>
          <w:szCs w:val="32"/>
          <w:highlight w:val="none"/>
          <w:u w:val="none"/>
          <w:lang w:val="en-US" w:eastAsia="zh-CN" w:bidi="ar-SA"/>
        </w:rPr>
        <w:t>8.1城镇绿化</w:t>
      </w:r>
      <w:bookmarkEnd w:id="175"/>
      <w:bookmarkEnd w:id="176"/>
      <w:bookmarkEnd w:id="177"/>
    </w:p>
    <w:p w14:paraId="4A9357FF">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8.1.1</w:t>
      </w:r>
      <w:r>
        <w:rPr>
          <w:rFonts w:hint="eastAsia" w:ascii="仿宋_GB2312" w:hAnsi="仿宋_GB2312" w:eastAsia="仿宋_GB2312" w:cs="仿宋_GB2312"/>
          <w:color w:val="auto"/>
          <w:sz w:val="32"/>
          <w:szCs w:val="32"/>
          <w:highlight w:val="none"/>
          <w:u w:val="none"/>
          <w:lang w:val="en-US" w:eastAsia="zh-CN"/>
        </w:rPr>
        <w:t>城镇绿化应符合城镇规划，并</w:t>
      </w:r>
      <w:r>
        <w:rPr>
          <w:rFonts w:hint="eastAsia" w:ascii="仿宋_GB2312" w:hAnsi="仿宋_GB2312" w:eastAsia="仿宋_GB2312" w:cs="仿宋_GB2312"/>
          <w:color w:val="auto"/>
          <w:sz w:val="32"/>
          <w:szCs w:val="32"/>
          <w:highlight w:val="none"/>
          <w:u w:val="none"/>
          <w:lang w:eastAsia="zh-CN"/>
        </w:rPr>
        <w:t>与</w:t>
      </w:r>
      <w:r>
        <w:rPr>
          <w:rFonts w:hint="eastAsia" w:ascii="仿宋_GB2312" w:hAnsi="仿宋_GB2312" w:eastAsia="仿宋_GB2312" w:cs="仿宋_GB2312"/>
          <w:color w:val="auto"/>
          <w:sz w:val="32"/>
          <w:szCs w:val="32"/>
          <w:highlight w:val="none"/>
          <w:u w:val="none"/>
          <w:lang w:val="en-US" w:eastAsia="zh-CN"/>
        </w:rPr>
        <w:t>新（改、扩）建的工程建设项目同步建设、同步施工、同步验收、同步投入使用。</w:t>
      </w:r>
    </w:p>
    <w:p w14:paraId="5A165521">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textAlignment w:val="auto"/>
        <w:rPr>
          <w:rFonts w:hint="eastAsia" w:ascii="仿宋_GB2312" w:hAnsi="仿宋_GB2312" w:eastAsia="仿宋_GB2312" w:cs="仿宋_GB2312"/>
          <w:color w:val="auto"/>
          <w:kern w:val="2"/>
          <w:sz w:val="32"/>
          <w:szCs w:val="32"/>
          <w:highlight w:val="none"/>
          <w:u w:val="none"/>
        </w:rPr>
      </w:pPr>
      <w:r>
        <w:rPr>
          <w:rFonts w:hint="eastAsia" w:ascii="仿宋_GB2312" w:hAnsi="仿宋_GB2312" w:eastAsia="仿宋_GB2312" w:cs="仿宋_GB2312"/>
          <w:b/>
          <w:bCs/>
          <w:color w:val="auto"/>
          <w:sz w:val="32"/>
          <w:szCs w:val="32"/>
          <w:highlight w:val="none"/>
          <w:u w:val="none"/>
          <w:lang w:val="en-US" w:eastAsia="zh-CN"/>
        </w:rPr>
        <w:t>8.1.</w:t>
      </w:r>
      <w:r>
        <w:rPr>
          <w:rFonts w:hint="eastAsia" w:ascii="仿宋_GB2312" w:hAnsi="仿宋_GB2312" w:eastAsia="仿宋_GB2312" w:cs="仿宋_GB2312"/>
          <w:b/>
          <w:bCs/>
          <w:color w:val="auto"/>
          <w:sz w:val="32"/>
          <w:szCs w:val="32"/>
          <w:highlight w:val="none"/>
          <w:u w:val="none"/>
          <w:lang w:eastAsia="zh-CN"/>
        </w:rPr>
        <w:t>2</w:t>
      </w:r>
      <w:r>
        <w:rPr>
          <w:rFonts w:hint="eastAsia" w:ascii="仿宋_GB2312" w:hAnsi="仿宋_GB2312" w:eastAsia="仿宋_GB2312" w:cs="仿宋_GB2312"/>
          <w:color w:val="auto"/>
          <w:kern w:val="2"/>
          <w:sz w:val="32"/>
          <w:szCs w:val="32"/>
          <w:highlight w:val="none"/>
          <w:u w:val="none"/>
          <w:lang w:val="en-US" w:eastAsia="zh-CN"/>
        </w:rPr>
        <w:t>城镇绿化</w:t>
      </w:r>
      <w:r>
        <w:rPr>
          <w:rFonts w:hint="eastAsia" w:ascii="仿宋_GB2312" w:hAnsi="仿宋_GB2312" w:eastAsia="仿宋_GB2312" w:cs="仿宋_GB2312"/>
          <w:color w:val="auto"/>
          <w:kern w:val="2"/>
          <w:sz w:val="32"/>
          <w:szCs w:val="32"/>
          <w:highlight w:val="none"/>
          <w:u w:val="none"/>
          <w:lang w:eastAsia="zh-CN"/>
        </w:rPr>
        <w:t>应结合</w:t>
      </w:r>
      <w:r>
        <w:rPr>
          <w:rFonts w:hint="eastAsia" w:ascii="仿宋_GB2312" w:hAnsi="仿宋_GB2312" w:eastAsia="仿宋_GB2312" w:cs="仿宋_GB2312"/>
          <w:color w:val="auto"/>
          <w:kern w:val="2"/>
          <w:sz w:val="32"/>
          <w:szCs w:val="32"/>
          <w:highlight w:val="none"/>
          <w:u w:val="none"/>
          <w:lang w:val="en-US" w:eastAsia="zh-CN"/>
        </w:rPr>
        <w:t>山体公园化绿化、边坡绿化、垂直绿化、设施空间及屋顶绿化、容器绿化、景观生态墙、植物雕塑等特殊绿化</w:t>
      </w:r>
      <w:r>
        <w:rPr>
          <w:rFonts w:hint="eastAsia" w:ascii="仿宋_GB2312" w:hAnsi="仿宋_GB2312" w:eastAsia="仿宋_GB2312" w:cs="仿宋_GB2312"/>
          <w:color w:val="auto"/>
          <w:kern w:val="2"/>
          <w:sz w:val="32"/>
          <w:szCs w:val="32"/>
          <w:highlight w:val="none"/>
          <w:u w:val="none"/>
          <w:lang w:eastAsia="zh-CN"/>
        </w:rPr>
        <w:t>形式，合理布局，凸</w:t>
      </w:r>
      <w:r>
        <w:rPr>
          <w:rFonts w:hint="eastAsia" w:ascii="仿宋_GB2312" w:hAnsi="仿宋_GB2312" w:eastAsia="仿宋_GB2312" w:cs="仿宋_GB2312"/>
          <w:color w:val="auto"/>
          <w:kern w:val="2"/>
          <w:sz w:val="32"/>
          <w:szCs w:val="32"/>
          <w:highlight w:val="none"/>
          <w:u w:val="none"/>
          <w:lang w:val="en-US" w:eastAsia="zh-CN"/>
        </w:rPr>
        <w:t>显</w:t>
      </w:r>
      <w:r>
        <w:rPr>
          <w:rFonts w:hint="eastAsia" w:ascii="仿宋_GB2312" w:hAnsi="仿宋_GB2312" w:eastAsia="仿宋_GB2312" w:cs="仿宋_GB2312"/>
          <w:color w:val="auto"/>
          <w:kern w:val="2"/>
          <w:sz w:val="32"/>
          <w:szCs w:val="32"/>
          <w:highlight w:val="none"/>
          <w:u w:val="none"/>
          <w:lang w:eastAsia="zh-CN"/>
        </w:rPr>
        <w:t>贵阳</w:t>
      </w:r>
      <w:r>
        <w:rPr>
          <w:rFonts w:hint="eastAsia" w:ascii="仿宋_GB2312" w:hAnsi="仿宋_GB2312" w:eastAsia="仿宋_GB2312" w:cs="仿宋_GB2312"/>
          <w:color w:val="auto"/>
          <w:kern w:val="2"/>
          <w:sz w:val="32"/>
          <w:szCs w:val="32"/>
          <w:highlight w:val="none"/>
          <w:u w:val="none"/>
          <w:lang w:val="en-US" w:eastAsia="zh-CN"/>
        </w:rPr>
        <w:t>山地园林特色。</w:t>
      </w:r>
    </w:p>
    <w:p w14:paraId="725FC144">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kern w:val="2"/>
          <w:sz w:val="32"/>
          <w:szCs w:val="32"/>
          <w:highlight w:val="none"/>
          <w:u w:val="none"/>
        </w:rPr>
      </w:pPr>
      <w:r>
        <w:rPr>
          <w:rFonts w:hint="eastAsia" w:ascii="仿宋_GB2312" w:hAnsi="仿宋_GB2312" w:eastAsia="仿宋_GB2312" w:cs="仿宋_GB2312"/>
          <w:b/>
          <w:bCs/>
          <w:color w:val="auto"/>
          <w:kern w:val="2"/>
          <w:sz w:val="32"/>
          <w:szCs w:val="32"/>
          <w:highlight w:val="none"/>
          <w:u w:val="none"/>
          <w:lang w:val="en-US" w:eastAsia="zh-CN"/>
        </w:rPr>
        <w:t>8.1</w:t>
      </w:r>
      <w:r>
        <w:rPr>
          <w:rFonts w:hint="eastAsia" w:ascii="仿宋_GB2312" w:hAnsi="仿宋_GB2312" w:eastAsia="仿宋_GB2312" w:cs="仿宋_GB2312"/>
          <w:b/>
          <w:bCs/>
          <w:color w:val="auto"/>
          <w:kern w:val="2"/>
          <w:sz w:val="32"/>
          <w:szCs w:val="32"/>
          <w:highlight w:val="none"/>
          <w:u w:val="none"/>
          <w:lang w:eastAsia="zh-CN"/>
        </w:rPr>
        <w:t>.</w:t>
      </w:r>
      <w:r>
        <w:rPr>
          <w:rFonts w:hint="eastAsia" w:ascii="仿宋_GB2312" w:hAnsi="仿宋_GB2312" w:eastAsia="仿宋_GB2312" w:cs="仿宋_GB2312"/>
          <w:b/>
          <w:bCs/>
          <w:color w:val="auto"/>
          <w:kern w:val="2"/>
          <w:sz w:val="32"/>
          <w:szCs w:val="32"/>
          <w:highlight w:val="none"/>
          <w:u w:val="none"/>
          <w:lang w:val="en-US" w:eastAsia="zh-CN"/>
        </w:rPr>
        <w:t>3</w:t>
      </w:r>
      <w:r>
        <w:rPr>
          <w:rFonts w:hint="eastAsia" w:ascii="仿宋_GB2312" w:hAnsi="仿宋_GB2312" w:eastAsia="仿宋_GB2312" w:cs="仿宋_GB2312"/>
          <w:color w:val="auto"/>
          <w:kern w:val="2"/>
          <w:sz w:val="32"/>
          <w:szCs w:val="32"/>
          <w:highlight w:val="none"/>
          <w:u w:val="none"/>
          <w:lang w:val="en-US" w:eastAsia="zh-CN"/>
        </w:rPr>
        <w:t>城镇</w:t>
      </w:r>
      <w:r>
        <w:rPr>
          <w:rFonts w:hint="eastAsia" w:ascii="仿宋_GB2312" w:hAnsi="仿宋_GB2312" w:eastAsia="仿宋_GB2312" w:cs="仿宋_GB2312"/>
          <w:color w:val="auto"/>
          <w:sz w:val="32"/>
          <w:szCs w:val="32"/>
          <w:highlight w:val="none"/>
          <w:u w:val="none"/>
          <w:lang w:val="en-US" w:eastAsia="zh-CN"/>
        </w:rPr>
        <w:t>临街闲置地块、道路边角地及桥下空间，可结合地形地貌设置园林附属设施及植物群落</w:t>
      </w:r>
      <w:r>
        <w:rPr>
          <w:rFonts w:hint="eastAsia" w:ascii="仿宋_GB2312" w:hAnsi="仿宋_GB2312" w:eastAsia="仿宋_GB2312" w:cs="仿宋_GB2312"/>
          <w:color w:val="auto"/>
          <w:sz w:val="32"/>
          <w:szCs w:val="32"/>
          <w:highlight w:val="none"/>
          <w:u w:val="none"/>
          <w:lang w:eastAsia="zh-CN"/>
        </w:rPr>
        <w:t>，定期养护，保持</w:t>
      </w:r>
      <w:r>
        <w:rPr>
          <w:rFonts w:hint="eastAsia" w:ascii="仿宋_GB2312" w:hAnsi="仿宋_GB2312" w:eastAsia="仿宋_GB2312" w:cs="仿宋_GB2312"/>
          <w:color w:val="auto"/>
          <w:sz w:val="32"/>
          <w:szCs w:val="32"/>
          <w:highlight w:val="none"/>
          <w:u w:val="none"/>
          <w:lang w:val="en-US" w:eastAsia="zh-CN"/>
        </w:rPr>
        <w:t>良好的景观效果。</w:t>
      </w:r>
    </w:p>
    <w:p w14:paraId="48D08F0A">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8.1</w:t>
      </w:r>
      <w:r>
        <w:rPr>
          <w:rFonts w:hint="eastAsia" w:ascii="仿宋_GB2312" w:hAnsi="仿宋_GB2312" w:eastAsia="仿宋_GB2312" w:cs="仿宋_GB2312"/>
          <w:b/>
          <w:bCs/>
          <w:color w:val="auto"/>
          <w:kern w:val="2"/>
          <w:sz w:val="32"/>
          <w:szCs w:val="32"/>
          <w:highlight w:val="none"/>
          <w:u w:val="none"/>
          <w:lang w:eastAsia="zh-CN"/>
        </w:rPr>
        <w:t>.</w:t>
      </w:r>
      <w:r>
        <w:rPr>
          <w:rFonts w:hint="eastAsia" w:ascii="仿宋_GB2312" w:hAnsi="仿宋_GB2312" w:eastAsia="仿宋_GB2312" w:cs="仿宋_GB2312"/>
          <w:b/>
          <w:bCs/>
          <w:color w:val="auto"/>
          <w:sz w:val="32"/>
          <w:szCs w:val="32"/>
          <w:highlight w:val="none"/>
          <w:u w:val="none"/>
          <w:lang w:eastAsia="zh-CN"/>
        </w:rPr>
        <w:t>4</w:t>
      </w:r>
      <w:r>
        <w:rPr>
          <w:rFonts w:hint="eastAsia" w:ascii="仿宋_GB2312" w:hAnsi="仿宋_GB2312" w:eastAsia="仿宋_GB2312" w:cs="仿宋_GB2312"/>
          <w:color w:val="auto"/>
          <w:sz w:val="32"/>
          <w:szCs w:val="32"/>
          <w:highlight w:val="none"/>
          <w:u w:val="none"/>
          <w:lang w:val="en-US" w:eastAsia="zh-CN"/>
        </w:rPr>
        <w:t>城镇绿地应依据国家行业标准和地方相关园林绿化管护规范的规定，根据绿地所处位置重要性及管护质量水平，将城镇绿地管护按区域分为3个等级，即：一级绿地管护、二级绿地管护、三级绿地管护。各级绿地管护区域对应相同等级绿地容貌管护质量要求。</w:t>
      </w:r>
    </w:p>
    <w:p w14:paraId="43954B3C">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8.1.</w:t>
      </w:r>
      <w:r>
        <w:rPr>
          <w:rFonts w:hint="eastAsia" w:ascii="仿宋_GB2312" w:hAnsi="仿宋_GB2312" w:eastAsia="仿宋_GB2312" w:cs="仿宋_GB2312"/>
          <w:b/>
          <w:bCs/>
          <w:color w:val="auto"/>
          <w:sz w:val="32"/>
          <w:szCs w:val="32"/>
          <w:highlight w:val="none"/>
          <w:u w:val="none"/>
          <w:lang w:eastAsia="zh-CN"/>
        </w:rPr>
        <w:t>5</w:t>
      </w:r>
      <w:r>
        <w:rPr>
          <w:rFonts w:hint="eastAsia" w:ascii="仿宋_GB2312" w:hAnsi="仿宋_GB2312" w:eastAsia="仿宋_GB2312" w:cs="仿宋_GB2312"/>
          <w:color w:val="auto"/>
          <w:sz w:val="32"/>
          <w:szCs w:val="32"/>
          <w:highlight w:val="none"/>
          <w:u w:val="none"/>
          <w:lang w:val="en-US" w:eastAsia="zh-CN"/>
        </w:rPr>
        <w:t>植物选择应遵循适地适树原则，兼顾对环境、安全、养护和生物多样性的影响，构建乔、灌、草复层群落，注重季相变化，并符合以下要求：</w:t>
      </w:r>
    </w:p>
    <w:p w14:paraId="68ABE0E6">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优先选用乡土树种及本地驯化成功的观花、色叶植物，因地制宜，加大市花市树的运用，不得种植</w:t>
      </w:r>
      <w:r>
        <w:rPr>
          <w:rFonts w:hint="default" w:ascii="仿宋_GB2312" w:hAnsi="仿宋_GB2312" w:eastAsia="仿宋_GB2312" w:cs="仿宋_GB2312"/>
          <w:color w:val="auto"/>
          <w:sz w:val="32"/>
          <w:szCs w:val="32"/>
          <w:highlight w:val="none"/>
          <w:u w:val="none"/>
          <w:lang w:eastAsia="zh-CN"/>
          <w:woUserID w:val="2"/>
        </w:rPr>
        <w:t>生产性</w:t>
      </w:r>
      <w:r>
        <w:rPr>
          <w:rFonts w:hint="eastAsia" w:ascii="仿宋_GB2312" w:hAnsi="仿宋_GB2312" w:eastAsia="仿宋_GB2312" w:cs="仿宋_GB2312"/>
          <w:color w:val="auto"/>
          <w:sz w:val="32"/>
          <w:szCs w:val="32"/>
          <w:highlight w:val="none"/>
          <w:u w:val="none"/>
          <w:lang w:val="en-US" w:eastAsia="zh-CN"/>
        </w:rPr>
        <w:t>农作物及国家明令禁止种植的植物。</w:t>
      </w:r>
    </w:p>
    <w:p w14:paraId="57432A9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行道树宜选择深根性树种，且外观与气味对环境影响较小、树形优美、抗逆性强，不影响周边建（构）筑物及公共设</w:t>
      </w:r>
      <w:r>
        <w:rPr>
          <w:rFonts w:hint="eastAsia" w:ascii="仿宋_GB2312" w:hAnsi="仿宋_GB2312" w:eastAsia="仿宋_GB2312" w:cs="仿宋_GB2312"/>
          <w:color w:val="auto"/>
          <w:sz w:val="32"/>
          <w:szCs w:val="32"/>
          <w:highlight w:val="none"/>
          <w:u w:val="none"/>
          <w:lang w:eastAsia="zh-CN"/>
        </w:rPr>
        <w:t>施</w:t>
      </w:r>
      <w:r>
        <w:rPr>
          <w:rFonts w:hint="eastAsia" w:ascii="仿宋_GB2312" w:hAnsi="仿宋_GB2312" w:eastAsia="仿宋_GB2312" w:cs="仿宋_GB2312"/>
          <w:color w:val="auto"/>
          <w:sz w:val="32"/>
          <w:szCs w:val="32"/>
          <w:highlight w:val="none"/>
          <w:u w:val="none"/>
          <w:lang w:val="en-US" w:eastAsia="zh-CN"/>
        </w:rPr>
        <w:t>。</w:t>
      </w:r>
    </w:p>
    <w:p w14:paraId="199A1D84">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8.1.</w:t>
      </w:r>
      <w:r>
        <w:rPr>
          <w:rFonts w:hint="eastAsia" w:ascii="仿宋_GB2312" w:hAnsi="仿宋_GB2312" w:eastAsia="仿宋_GB2312" w:cs="仿宋_GB2312"/>
          <w:b/>
          <w:bCs/>
          <w:color w:val="auto"/>
          <w:sz w:val="32"/>
          <w:szCs w:val="32"/>
          <w:highlight w:val="none"/>
          <w:u w:val="none"/>
          <w:lang w:eastAsia="zh-CN"/>
        </w:rPr>
        <w:t>6</w:t>
      </w:r>
      <w:r>
        <w:rPr>
          <w:rFonts w:hint="eastAsia" w:ascii="仿宋_GB2312" w:hAnsi="仿宋_GB2312" w:eastAsia="仿宋_GB2312" w:cs="仿宋_GB2312"/>
          <w:color w:val="auto"/>
          <w:sz w:val="32"/>
          <w:szCs w:val="32"/>
          <w:highlight w:val="none"/>
          <w:u w:val="none"/>
          <w:lang w:eastAsia="zh-CN"/>
        </w:rPr>
        <w:t>城镇绿化提升改造工程应</w:t>
      </w:r>
      <w:r>
        <w:rPr>
          <w:rFonts w:hint="eastAsia" w:ascii="仿宋_GB2312" w:hAnsi="仿宋_GB2312" w:eastAsia="仿宋_GB2312" w:cs="仿宋_GB2312"/>
          <w:color w:val="auto"/>
          <w:sz w:val="32"/>
          <w:szCs w:val="32"/>
          <w:highlight w:val="none"/>
          <w:u w:val="none"/>
          <w:lang w:val="en-US" w:eastAsia="zh-CN"/>
        </w:rPr>
        <w:t>安全、</w:t>
      </w:r>
      <w:r>
        <w:rPr>
          <w:rFonts w:hint="eastAsia" w:ascii="仿宋_GB2312" w:hAnsi="仿宋_GB2312" w:eastAsia="仿宋_GB2312" w:cs="仿宋_GB2312"/>
          <w:color w:val="auto"/>
          <w:sz w:val="32"/>
          <w:szCs w:val="32"/>
          <w:highlight w:val="none"/>
          <w:u w:val="none"/>
          <w:lang w:eastAsia="zh-CN"/>
        </w:rPr>
        <w:t>规范、文明施工，并</w:t>
      </w:r>
      <w:r>
        <w:rPr>
          <w:rFonts w:hint="eastAsia" w:ascii="仿宋_GB2312" w:hAnsi="仿宋_GB2312" w:eastAsia="仿宋_GB2312" w:cs="仿宋_GB2312"/>
          <w:color w:val="auto"/>
          <w:sz w:val="32"/>
          <w:szCs w:val="32"/>
          <w:highlight w:val="none"/>
          <w:u w:val="none"/>
          <w:lang w:val="en-US" w:eastAsia="zh-CN"/>
        </w:rPr>
        <w:t>符合相关城镇园林绿化工程施工规范的规定。</w:t>
      </w:r>
    </w:p>
    <w:p w14:paraId="07E25D78">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8.1.</w:t>
      </w:r>
      <w:r>
        <w:rPr>
          <w:rFonts w:hint="eastAsia" w:ascii="仿宋_GB2312" w:hAnsi="仿宋_GB2312" w:eastAsia="仿宋_GB2312" w:cs="仿宋_GB2312"/>
          <w:b/>
          <w:bCs/>
          <w:color w:val="auto"/>
          <w:sz w:val="32"/>
          <w:szCs w:val="32"/>
          <w:highlight w:val="none"/>
          <w:u w:val="none"/>
          <w:lang w:eastAsia="zh-CN"/>
        </w:rPr>
        <w:t>7</w:t>
      </w:r>
      <w:r>
        <w:rPr>
          <w:rFonts w:hint="eastAsia" w:ascii="仿宋_GB2312" w:hAnsi="仿宋_GB2312" w:eastAsia="仿宋_GB2312" w:cs="仿宋_GB2312"/>
          <w:color w:val="auto"/>
          <w:sz w:val="32"/>
          <w:szCs w:val="32"/>
          <w:highlight w:val="none"/>
          <w:u w:val="none"/>
          <w:lang w:val="en-US" w:eastAsia="zh-CN"/>
        </w:rPr>
        <w:t>城镇</w:t>
      </w:r>
      <w:r>
        <w:rPr>
          <w:rFonts w:hint="eastAsia" w:ascii="仿宋_GB2312" w:hAnsi="仿宋_GB2312" w:eastAsia="仿宋_GB2312" w:cs="仿宋_GB2312"/>
          <w:color w:val="auto"/>
          <w:sz w:val="32"/>
          <w:szCs w:val="32"/>
          <w:highlight w:val="none"/>
          <w:u w:val="none"/>
          <w:lang w:eastAsia="zh-CN"/>
        </w:rPr>
        <w:t>绿化应科学、精细养护，绿化</w:t>
      </w:r>
      <w:r>
        <w:rPr>
          <w:rFonts w:hint="eastAsia" w:ascii="仿宋_GB2312" w:hAnsi="仿宋_GB2312" w:eastAsia="仿宋_GB2312" w:cs="仿宋_GB2312"/>
          <w:color w:val="auto"/>
          <w:sz w:val="32"/>
          <w:szCs w:val="32"/>
          <w:highlight w:val="none"/>
          <w:u w:val="none"/>
          <w:lang w:val="en-US" w:eastAsia="zh-CN"/>
        </w:rPr>
        <w:t>植物、园林建筑及小品、景观水体和其他设施养护应</w:t>
      </w:r>
      <w:r>
        <w:rPr>
          <w:rFonts w:hint="eastAsia" w:ascii="仿宋_GB2312" w:hAnsi="仿宋_GB2312" w:eastAsia="仿宋_GB2312" w:cs="仿宋_GB2312"/>
          <w:color w:val="auto"/>
          <w:sz w:val="32"/>
          <w:szCs w:val="32"/>
          <w:highlight w:val="none"/>
          <w:u w:val="none"/>
          <w:lang w:eastAsia="zh-CN"/>
        </w:rPr>
        <w:t>按照</w:t>
      </w:r>
      <w:r>
        <w:rPr>
          <w:rFonts w:hint="eastAsia" w:ascii="仿宋_GB2312" w:hAnsi="仿宋_GB2312" w:eastAsia="仿宋_GB2312" w:cs="仿宋_GB2312"/>
          <w:color w:val="auto"/>
          <w:sz w:val="32"/>
          <w:szCs w:val="32"/>
          <w:highlight w:val="none"/>
          <w:u w:val="none"/>
          <w:lang w:val="en-US" w:eastAsia="zh-CN"/>
        </w:rPr>
        <w:t>相关城镇园林绿化管护规范的规定</w:t>
      </w:r>
      <w:r>
        <w:rPr>
          <w:rFonts w:hint="eastAsia" w:ascii="仿宋_GB2312" w:hAnsi="仿宋_GB2312" w:eastAsia="仿宋_GB2312" w:cs="仿宋_GB2312"/>
          <w:color w:val="auto"/>
          <w:sz w:val="32"/>
          <w:szCs w:val="32"/>
          <w:highlight w:val="none"/>
          <w:u w:val="none"/>
          <w:lang w:eastAsia="zh-CN"/>
        </w:rPr>
        <w:t>，并符合以下要求：</w:t>
      </w:r>
    </w:p>
    <w:p w14:paraId="06B9F528">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10" w:leftChars="0" w:firstLine="640" w:firstLineChars="0"/>
        <w:textAlignment w:val="auto"/>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城镇绿地环境应保持整洁</w:t>
      </w:r>
      <w:r>
        <w:rPr>
          <w:rFonts w:hint="default" w:ascii="仿宋_GB2312" w:hAnsi="仿宋_GB2312" w:eastAsia="仿宋_GB2312" w:cs="仿宋_GB2312"/>
          <w:color w:val="auto"/>
          <w:sz w:val="32"/>
          <w:szCs w:val="32"/>
          <w:highlight w:val="none"/>
          <w:u w:val="none"/>
          <w:lang w:eastAsia="zh-CN"/>
          <w:woUserID w:val="2"/>
        </w:rPr>
        <w:t>、美观</w:t>
      </w:r>
      <w:r>
        <w:rPr>
          <w:rFonts w:hint="eastAsia" w:ascii="仿宋_GB2312" w:hAnsi="仿宋_GB2312" w:eastAsia="仿宋_GB2312" w:cs="仿宋_GB2312"/>
          <w:color w:val="auto"/>
          <w:sz w:val="32"/>
          <w:szCs w:val="32"/>
          <w:highlight w:val="none"/>
          <w:u w:val="none"/>
          <w:lang w:val="en-US" w:eastAsia="zh-CN"/>
        </w:rPr>
        <w:t>，无明显垃圾、刻画</w:t>
      </w:r>
      <w:r>
        <w:rPr>
          <w:rFonts w:hint="default" w:ascii="仿宋_GB2312" w:hAnsi="仿宋_GB2312" w:eastAsia="仿宋_GB2312" w:cs="仿宋_GB2312"/>
          <w:color w:val="auto"/>
          <w:sz w:val="32"/>
          <w:szCs w:val="32"/>
          <w:highlight w:val="none"/>
          <w:u w:val="none"/>
          <w:lang w:eastAsia="zh-CN"/>
          <w:woUserID w:val="2"/>
        </w:rPr>
        <w:t>，</w:t>
      </w:r>
      <w:r>
        <w:rPr>
          <w:rFonts w:hint="eastAsia" w:ascii="仿宋_GB2312" w:hAnsi="仿宋_GB2312" w:eastAsia="仿宋_GB2312" w:cs="仿宋_GB2312"/>
          <w:color w:val="auto"/>
          <w:sz w:val="32"/>
          <w:szCs w:val="32"/>
          <w:highlight w:val="none"/>
          <w:u w:val="none"/>
          <w:lang w:val="en-US" w:eastAsia="zh-CN"/>
        </w:rPr>
        <w:t>无张贴、悬挂物品</w:t>
      </w:r>
      <w:r>
        <w:rPr>
          <w:rFonts w:hint="eastAsia" w:ascii="仿宋_GB2312" w:hAnsi="仿宋_GB2312" w:eastAsia="仿宋_GB2312" w:cs="仿宋_GB2312"/>
          <w:color w:val="auto"/>
          <w:sz w:val="32"/>
          <w:szCs w:val="32"/>
          <w:highlight w:val="none"/>
          <w:u w:val="none"/>
          <w:lang w:eastAsia="zh-CN"/>
        </w:rPr>
        <w:t>；</w:t>
      </w:r>
    </w:p>
    <w:p w14:paraId="05D95202">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10" w:leftChars="0" w:firstLine="640" w:firstLineChars="0"/>
        <w:textAlignment w:val="auto"/>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城镇绿化植物</w:t>
      </w:r>
      <w:r>
        <w:rPr>
          <w:rFonts w:hint="eastAsia" w:ascii="仿宋_GB2312" w:hAnsi="仿宋_GB2312" w:eastAsia="仿宋_GB2312" w:cs="仿宋_GB2312"/>
          <w:color w:val="auto"/>
          <w:sz w:val="32"/>
          <w:szCs w:val="32"/>
          <w:highlight w:val="none"/>
          <w:u w:val="none"/>
          <w:lang w:eastAsia="zh-CN"/>
        </w:rPr>
        <w:t>应保持</w:t>
      </w:r>
      <w:r>
        <w:rPr>
          <w:rFonts w:hint="eastAsia" w:ascii="仿宋_GB2312" w:hAnsi="仿宋_GB2312" w:eastAsia="仿宋_GB2312" w:cs="仿宋_GB2312"/>
          <w:color w:val="auto"/>
          <w:sz w:val="32"/>
          <w:szCs w:val="32"/>
          <w:highlight w:val="none"/>
          <w:u w:val="none"/>
          <w:lang w:val="en-US" w:eastAsia="zh-CN"/>
        </w:rPr>
        <w:t>长势良好，造型植物修剪及时，无明显病虫害，伤残枯死植物及时</w:t>
      </w:r>
      <w:r>
        <w:rPr>
          <w:rFonts w:hint="eastAsia" w:ascii="仿宋_GB2312" w:hAnsi="仿宋_GB2312" w:eastAsia="仿宋_GB2312" w:cs="仿宋_GB2312"/>
          <w:color w:val="auto"/>
          <w:sz w:val="32"/>
          <w:szCs w:val="32"/>
          <w:highlight w:val="none"/>
          <w:u w:val="none"/>
          <w:lang w:eastAsia="zh-CN"/>
        </w:rPr>
        <w:t>补植或更换；</w:t>
      </w:r>
      <w:r>
        <w:rPr>
          <w:rFonts w:hint="eastAsia" w:ascii="仿宋_GB2312" w:hAnsi="仿宋_GB2312" w:eastAsia="仿宋_GB2312" w:cs="仿宋_GB2312"/>
          <w:color w:val="auto"/>
          <w:sz w:val="32"/>
          <w:szCs w:val="32"/>
          <w:highlight w:val="none"/>
          <w:u w:val="none"/>
          <w:lang w:val="en-US" w:eastAsia="zh-CN"/>
        </w:rPr>
        <w:t>植物支撑物应统一高度，统一形式；绿化装饰不应损害植物的生长</w:t>
      </w:r>
      <w:r>
        <w:rPr>
          <w:rFonts w:hint="eastAsia" w:ascii="仿宋_GB2312" w:hAnsi="仿宋_GB2312" w:eastAsia="仿宋_GB2312" w:cs="仿宋_GB2312"/>
          <w:color w:val="auto"/>
          <w:sz w:val="32"/>
          <w:szCs w:val="32"/>
          <w:highlight w:val="none"/>
          <w:u w:val="none"/>
          <w:lang w:eastAsia="zh-CN"/>
        </w:rPr>
        <w:t>；</w:t>
      </w:r>
    </w:p>
    <w:p w14:paraId="591D5A2E">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10" w:leftChars="0" w:firstLine="640" w:firstLineChars="0"/>
        <w:textAlignment w:val="auto"/>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园</w:t>
      </w:r>
      <w:r>
        <w:rPr>
          <w:rFonts w:hint="eastAsia" w:ascii="仿宋_GB2312" w:hAnsi="仿宋_GB2312" w:eastAsia="仿宋_GB2312" w:cs="仿宋_GB2312"/>
          <w:color w:val="auto"/>
          <w:sz w:val="32"/>
          <w:szCs w:val="32"/>
          <w:highlight w:val="none"/>
          <w:u w:val="none"/>
          <w:lang w:val="en-US" w:eastAsia="zh-CN"/>
        </w:rPr>
        <w:t>路及</w:t>
      </w:r>
      <w:r>
        <w:rPr>
          <w:rFonts w:hint="eastAsia" w:ascii="仿宋_GB2312" w:hAnsi="仿宋_GB2312" w:eastAsia="仿宋_GB2312" w:cs="仿宋_GB2312"/>
          <w:color w:val="auto"/>
          <w:sz w:val="32"/>
          <w:szCs w:val="32"/>
          <w:highlight w:val="none"/>
          <w:u w:val="none"/>
          <w:lang w:eastAsia="zh-CN"/>
        </w:rPr>
        <w:t>附属设施</w:t>
      </w:r>
      <w:r>
        <w:rPr>
          <w:rFonts w:hint="eastAsia" w:ascii="仿宋_GB2312" w:hAnsi="仿宋_GB2312" w:eastAsia="仿宋_GB2312" w:cs="仿宋_GB2312"/>
          <w:color w:val="auto"/>
          <w:sz w:val="32"/>
          <w:szCs w:val="32"/>
          <w:highlight w:val="none"/>
          <w:u w:val="none"/>
          <w:lang w:val="en-US" w:eastAsia="zh-CN"/>
        </w:rPr>
        <w:t>应保</w:t>
      </w:r>
      <w:r>
        <w:rPr>
          <w:rFonts w:hint="eastAsia" w:ascii="仿宋_GB2312" w:hAnsi="仿宋_GB2312" w:eastAsia="仿宋_GB2312" w:cs="仿宋_GB2312"/>
          <w:color w:val="auto"/>
          <w:sz w:val="32"/>
          <w:szCs w:val="32"/>
          <w:highlight w:val="none"/>
          <w:u w:val="none"/>
          <w:lang w:eastAsia="zh-CN"/>
        </w:rPr>
        <w:t>持</w:t>
      </w:r>
      <w:r>
        <w:rPr>
          <w:rFonts w:hint="eastAsia" w:ascii="仿宋_GB2312" w:hAnsi="仿宋_GB2312" w:eastAsia="仿宋_GB2312" w:cs="仿宋_GB2312"/>
          <w:color w:val="auto"/>
          <w:sz w:val="32"/>
          <w:szCs w:val="32"/>
          <w:highlight w:val="none"/>
          <w:u w:val="none"/>
          <w:lang w:val="en-US" w:eastAsia="zh-CN"/>
        </w:rPr>
        <w:t>清洁</w:t>
      </w:r>
      <w:r>
        <w:rPr>
          <w:rFonts w:hint="default" w:ascii="仿宋_GB2312" w:hAnsi="仿宋_GB2312" w:eastAsia="仿宋_GB2312" w:cs="仿宋_GB2312"/>
          <w:color w:val="auto"/>
          <w:sz w:val="32"/>
          <w:szCs w:val="32"/>
          <w:highlight w:val="none"/>
          <w:u w:val="none"/>
          <w:lang w:eastAsia="zh-CN"/>
          <w:woUserID w:val="2"/>
        </w:rPr>
        <w:t>美观</w:t>
      </w:r>
      <w:r>
        <w:rPr>
          <w:rFonts w:hint="eastAsia" w:ascii="仿宋_GB2312" w:hAnsi="仿宋_GB2312" w:eastAsia="仿宋_GB2312" w:cs="仿宋_GB2312"/>
          <w:color w:val="auto"/>
          <w:sz w:val="32"/>
          <w:szCs w:val="32"/>
          <w:highlight w:val="none"/>
          <w:u w:val="none"/>
          <w:lang w:eastAsia="zh-CN"/>
        </w:rPr>
        <w:t>、无破损、</w:t>
      </w:r>
      <w:r>
        <w:rPr>
          <w:rFonts w:hint="eastAsia" w:ascii="仿宋_GB2312" w:hAnsi="仿宋_GB2312" w:eastAsia="仿宋_GB2312" w:cs="仿宋_GB2312"/>
          <w:color w:val="auto"/>
          <w:sz w:val="32"/>
          <w:szCs w:val="32"/>
          <w:highlight w:val="none"/>
          <w:u w:val="none"/>
          <w:lang w:val="en-US" w:eastAsia="zh-CN"/>
        </w:rPr>
        <w:t>结构安全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运行正常</w:t>
      </w:r>
      <w:r>
        <w:rPr>
          <w:rFonts w:hint="eastAsia" w:ascii="仿宋_GB2312" w:hAnsi="仿宋_GB2312" w:eastAsia="仿宋_GB2312" w:cs="仿宋_GB2312"/>
          <w:color w:val="auto"/>
          <w:sz w:val="32"/>
          <w:szCs w:val="32"/>
          <w:highlight w:val="none"/>
          <w:u w:val="none"/>
          <w:lang w:eastAsia="zh-CN"/>
        </w:rPr>
        <w:t>；</w:t>
      </w:r>
    </w:p>
    <w:p w14:paraId="2CDF303F">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10" w:leftChars="0" w:firstLine="640" w:firstLineChars="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绿带、花坛和树池内土面应低于边缘石5-10cm，避免泥土外溢</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树池覆盖物应选用透水</w:t>
      </w:r>
      <w:r>
        <w:rPr>
          <w:rFonts w:hint="eastAsia" w:ascii="仿宋_GB2312" w:hAnsi="仿宋_GB2312" w:eastAsia="仿宋_GB2312" w:cs="仿宋_GB2312"/>
          <w:color w:val="auto"/>
          <w:sz w:val="32"/>
          <w:szCs w:val="32"/>
          <w:highlight w:val="none"/>
          <w:u w:val="none"/>
          <w:lang w:eastAsia="zh-CN"/>
        </w:rPr>
        <w:t>、耐用</w:t>
      </w:r>
      <w:r>
        <w:rPr>
          <w:rFonts w:hint="eastAsia" w:ascii="仿宋_GB2312" w:hAnsi="仿宋_GB2312" w:eastAsia="仿宋_GB2312" w:cs="仿宋_GB2312"/>
          <w:color w:val="auto"/>
          <w:sz w:val="32"/>
          <w:szCs w:val="32"/>
          <w:highlight w:val="none"/>
          <w:u w:val="none"/>
          <w:lang w:val="en-US" w:eastAsia="zh-CN"/>
        </w:rPr>
        <w:t>的</w:t>
      </w:r>
      <w:r>
        <w:rPr>
          <w:rFonts w:hint="eastAsia" w:ascii="仿宋_GB2312" w:hAnsi="仿宋_GB2312" w:eastAsia="仿宋_GB2312" w:cs="仿宋_GB2312"/>
          <w:color w:val="auto"/>
          <w:sz w:val="32"/>
          <w:szCs w:val="32"/>
          <w:highlight w:val="none"/>
          <w:u w:val="none"/>
          <w:lang w:eastAsia="zh-CN"/>
        </w:rPr>
        <w:t>材料；</w:t>
      </w:r>
      <w:r>
        <w:rPr>
          <w:rFonts w:hint="eastAsia" w:ascii="仿宋_GB2312" w:hAnsi="仿宋_GB2312" w:eastAsia="仿宋_GB2312" w:cs="仿宋_GB2312"/>
          <w:color w:val="auto"/>
          <w:sz w:val="32"/>
          <w:szCs w:val="32"/>
          <w:highlight w:val="none"/>
          <w:u w:val="none"/>
          <w:lang w:val="en-US" w:eastAsia="zh-CN"/>
        </w:rPr>
        <w:t>树木根系生长造成道路路面隆起或者树池覆盖物变形的应及时维护；</w:t>
      </w:r>
    </w:p>
    <w:p w14:paraId="37DF182A">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10" w:leftChars="0" w:firstLine="640" w:firstLineChars="0"/>
        <w:textAlignment w:val="auto"/>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绿化种植设施</w:t>
      </w:r>
      <w:r>
        <w:rPr>
          <w:rFonts w:hint="eastAsia" w:ascii="仿宋_GB2312" w:hAnsi="仿宋_GB2312" w:eastAsia="仿宋_GB2312" w:cs="仿宋_GB2312"/>
          <w:color w:val="auto"/>
          <w:sz w:val="32"/>
          <w:szCs w:val="32"/>
          <w:highlight w:val="none"/>
          <w:u w:val="none"/>
          <w:lang w:eastAsia="zh-CN"/>
        </w:rPr>
        <w:t>应</w:t>
      </w:r>
      <w:r>
        <w:rPr>
          <w:rFonts w:hint="eastAsia" w:ascii="仿宋_GB2312" w:hAnsi="仿宋_GB2312" w:eastAsia="仿宋_GB2312" w:cs="仿宋_GB2312"/>
          <w:color w:val="auto"/>
          <w:sz w:val="32"/>
          <w:szCs w:val="32"/>
          <w:highlight w:val="none"/>
          <w:u w:val="none"/>
          <w:lang w:val="en-US" w:eastAsia="zh-CN"/>
        </w:rPr>
        <w:t>与周边环境相协调，主要道路（河道）两侧与景观区域内的种植设施</w:t>
      </w:r>
      <w:r>
        <w:rPr>
          <w:rFonts w:hint="eastAsia" w:ascii="仿宋_GB2312" w:hAnsi="仿宋_GB2312" w:eastAsia="仿宋_GB2312" w:cs="仿宋_GB2312"/>
          <w:color w:val="auto"/>
          <w:sz w:val="32"/>
          <w:szCs w:val="32"/>
          <w:highlight w:val="none"/>
          <w:u w:val="none"/>
          <w:lang w:eastAsia="zh-CN"/>
        </w:rPr>
        <w:t>应</w:t>
      </w:r>
      <w:r>
        <w:rPr>
          <w:rFonts w:hint="eastAsia" w:ascii="仿宋_GB2312" w:hAnsi="仿宋_GB2312" w:eastAsia="仿宋_GB2312" w:cs="仿宋_GB2312"/>
          <w:color w:val="auto"/>
          <w:sz w:val="32"/>
          <w:szCs w:val="32"/>
          <w:highlight w:val="none"/>
          <w:u w:val="none"/>
          <w:lang w:val="en-US" w:eastAsia="zh-CN"/>
        </w:rPr>
        <w:t>兼顾功能性与观赏性</w:t>
      </w:r>
      <w:r>
        <w:rPr>
          <w:rFonts w:hint="eastAsia" w:ascii="仿宋_GB2312" w:hAnsi="仿宋_GB2312" w:eastAsia="仿宋_GB2312" w:cs="仿宋_GB2312"/>
          <w:color w:val="auto"/>
          <w:sz w:val="32"/>
          <w:szCs w:val="32"/>
          <w:highlight w:val="none"/>
          <w:u w:val="none"/>
          <w:lang w:eastAsia="zh-CN"/>
        </w:rPr>
        <w:t>。</w:t>
      </w:r>
    </w:p>
    <w:p w14:paraId="02F71E53">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b/>
          <w:bCs/>
          <w:color w:val="auto"/>
          <w:sz w:val="32"/>
          <w:szCs w:val="32"/>
          <w:highlight w:val="none"/>
          <w:u w:val="none"/>
          <w:lang w:val="en-US" w:eastAsia="zh-CN"/>
        </w:rPr>
        <w:t>8.1.8</w:t>
      </w:r>
      <w:r>
        <w:rPr>
          <w:rFonts w:hint="eastAsia" w:ascii="仿宋_GB2312" w:hAnsi="仿宋_GB2312" w:eastAsia="仿宋_GB2312" w:cs="仿宋_GB2312"/>
          <w:color w:val="auto"/>
          <w:sz w:val="32"/>
          <w:szCs w:val="32"/>
          <w:highlight w:val="none"/>
          <w:u w:val="none"/>
          <w:lang w:val="en-US" w:eastAsia="zh-CN"/>
        </w:rPr>
        <w:t>城镇绿道建设应符合相关绿道规划设计导则的要求，选线应串联自然人文节点，体现贵阳山</w:t>
      </w:r>
      <w:r>
        <w:rPr>
          <w:rFonts w:hint="eastAsia" w:ascii="仿宋_GB2312" w:hAnsi="仿宋_GB2312" w:eastAsia="仿宋_GB2312" w:cs="仿宋_GB2312"/>
          <w:color w:val="auto"/>
          <w:sz w:val="32"/>
          <w:szCs w:val="32"/>
          <w:highlight w:val="none"/>
          <w:u w:val="none"/>
          <w:lang w:eastAsia="zh-CN"/>
        </w:rPr>
        <w:t>地</w:t>
      </w:r>
      <w:r>
        <w:rPr>
          <w:rFonts w:hint="eastAsia" w:ascii="仿宋_GB2312" w:hAnsi="仿宋_GB2312" w:eastAsia="仿宋_GB2312" w:cs="仿宋_GB2312"/>
          <w:color w:val="auto"/>
          <w:sz w:val="32"/>
          <w:szCs w:val="32"/>
          <w:highlight w:val="none"/>
          <w:u w:val="none"/>
          <w:lang w:val="en-US" w:eastAsia="zh-CN"/>
        </w:rPr>
        <w:t>特色；游径铺装应优先选用生态透水、防滑耐磨的材料；绿道内植物配置应兼顾生态、遮荫、景观及交通安全，出入口应采用通透式种植。 </w:t>
      </w:r>
    </w:p>
    <w:p w14:paraId="1350E4EB">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8.1.9</w:t>
      </w:r>
      <w:r>
        <w:rPr>
          <w:rFonts w:hint="eastAsia" w:ascii="仿宋_GB2312" w:hAnsi="仿宋_GB2312" w:eastAsia="仿宋_GB2312" w:cs="仿宋_GB2312"/>
          <w:color w:val="auto"/>
          <w:sz w:val="32"/>
          <w:szCs w:val="32"/>
          <w:highlight w:val="none"/>
          <w:u w:val="none"/>
          <w:lang w:val="en-US" w:eastAsia="zh-CN"/>
        </w:rPr>
        <w:t>因特殊情况需在绿化植物上</w:t>
      </w:r>
      <w:r>
        <w:rPr>
          <w:rFonts w:hint="default" w:ascii="仿宋_GB2312" w:hAnsi="仿宋_GB2312" w:eastAsia="仿宋_GB2312" w:cs="仿宋_GB2312"/>
          <w:color w:val="auto"/>
          <w:sz w:val="32"/>
          <w:szCs w:val="32"/>
          <w:highlight w:val="none"/>
          <w:u w:val="none"/>
          <w:lang w:eastAsia="zh-CN"/>
          <w:woUserID w:val="2"/>
        </w:rPr>
        <w:t>或绿化带中</w:t>
      </w:r>
      <w:r>
        <w:rPr>
          <w:rFonts w:hint="eastAsia" w:ascii="仿宋_GB2312" w:hAnsi="仿宋_GB2312" w:eastAsia="仿宋_GB2312" w:cs="仿宋_GB2312"/>
          <w:color w:val="auto"/>
          <w:sz w:val="32"/>
          <w:szCs w:val="32"/>
          <w:highlight w:val="none"/>
          <w:u w:val="none"/>
          <w:lang w:val="en-US" w:eastAsia="zh-CN"/>
        </w:rPr>
        <w:t>进行临时装饰或者进行临时布置绿化的，绿化主题景点应与整体环境相协调，</w:t>
      </w:r>
      <w:r>
        <w:rPr>
          <w:rFonts w:hint="default" w:ascii="仿宋_GB2312" w:hAnsi="仿宋_GB2312" w:eastAsia="仿宋_GB2312" w:cs="仿宋_GB2312"/>
          <w:color w:val="auto"/>
          <w:sz w:val="32"/>
          <w:szCs w:val="32"/>
          <w:highlight w:val="none"/>
          <w:u w:val="none"/>
          <w:lang w:eastAsia="zh-CN"/>
          <w:woUserID w:val="2"/>
        </w:rPr>
        <w:t>并</w:t>
      </w:r>
      <w:r>
        <w:rPr>
          <w:rFonts w:hint="eastAsia" w:ascii="仿宋_GB2312" w:hAnsi="仿宋_GB2312" w:eastAsia="仿宋_GB2312" w:cs="仿宋_GB2312"/>
          <w:color w:val="auto"/>
          <w:sz w:val="32"/>
          <w:szCs w:val="32"/>
          <w:highlight w:val="none"/>
          <w:u w:val="none"/>
          <w:lang w:val="en-US" w:eastAsia="zh-CN"/>
        </w:rPr>
        <w:t>在批准的时间与范围内实施，不损害绿化植物的外观</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期满拆除后按时限要求恢复绿化植物和场地的原貌。</w:t>
      </w:r>
    </w:p>
    <w:p w14:paraId="54C0F249">
      <w:pPr>
        <w:keepNext w:val="0"/>
        <w:keepLines w:val="0"/>
        <w:pageBreakBefore w:val="0"/>
        <w:kinsoku/>
        <w:wordWrap/>
        <w:overflowPunct/>
        <w:topLinePunct w:val="0"/>
        <w:bidi w:val="0"/>
        <w:spacing w:line="360" w:lineRule="auto"/>
        <w:jc w:val="left"/>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8.1.10</w:t>
      </w:r>
      <w:r>
        <w:rPr>
          <w:rFonts w:hint="eastAsia" w:ascii="仿宋_GB2312" w:hAnsi="仿宋_GB2312" w:eastAsia="仿宋_GB2312" w:cs="仿宋_GB2312"/>
          <w:color w:val="auto"/>
          <w:sz w:val="32"/>
          <w:szCs w:val="32"/>
          <w:highlight w:val="none"/>
          <w:u w:val="none"/>
          <w:lang w:val="en-US" w:eastAsia="zh-CN"/>
        </w:rPr>
        <w:t>不得侵占和破坏绿地，不得移植和砍伐城镇内的树木，不得对树木实施剥皮、掘根、刻划、灌注有毒有害物质，以及其他损害树木</w:t>
      </w:r>
      <w:r>
        <w:rPr>
          <w:rFonts w:hint="eastAsia" w:ascii="仿宋_GB2312" w:hAnsi="仿宋_GB2312" w:eastAsia="仿宋_GB2312" w:cs="仿宋_GB2312"/>
          <w:color w:val="auto"/>
          <w:sz w:val="32"/>
          <w:szCs w:val="32"/>
          <w:highlight w:val="none"/>
          <w:u w:val="none"/>
          <w:lang w:eastAsia="zh-CN"/>
        </w:rPr>
        <w:t>和</w:t>
      </w:r>
      <w:r>
        <w:rPr>
          <w:rFonts w:hint="eastAsia" w:ascii="仿宋_GB2312" w:hAnsi="仿宋_GB2312" w:eastAsia="仿宋_GB2312" w:cs="仿宋_GB2312"/>
          <w:color w:val="auto"/>
          <w:sz w:val="32"/>
          <w:szCs w:val="32"/>
          <w:highlight w:val="none"/>
          <w:u w:val="none"/>
          <w:lang w:val="en-US" w:eastAsia="zh-CN"/>
        </w:rPr>
        <w:t>生长</w:t>
      </w:r>
      <w:r>
        <w:rPr>
          <w:rFonts w:hint="eastAsia" w:ascii="仿宋_GB2312" w:hAnsi="仿宋_GB2312" w:eastAsia="仿宋_GB2312" w:cs="仿宋_GB2312"/>
          <w:color w:val="auto"/>
          <w:sz w:val="32"/>
          <w:szCs w:val="32"/>
          <w:highlight w:val="none"/>
          <w:u w:val="none"/>
          <w:lang w:eastAsia="zh-CN"/>
        </w:rPr>
        <w:t>环境</w:t>
      </w:r>
      <w:r>
        <w:rPr>
          <w:rFonts w:hint="eastAsia" w:ascii="仿宋_GB2312" w:hAnsi="仿宋_GB2312" w:eastAsia="仿宋_GB2312" w:cs="仿宋_GB2312"/>
          <w:color w:val="auto"/>
          <w:sz w:val="32"/>
          <w:szCs w:val="32"/>
          <w:highlight w:val="none"/>
          <w:u w:val="none"/>
          <w:lang w:val="en-US" w:eastAsia="zh-CN"/>
        </w:rPr>
        <w:t>的行为。</w:t>
      </w:r>
    </w:p>
    <w:p w14:paraId="08BBAA1F">
      <w:pPr>
        <w:keepNext w:val="0"/>
        <w:keepLines w:val="0"/>
        <w:pageBreakBefore w:val="0"/>
        <w:kinsoku/>
        <w:wordWrap/>
        <w:overflowPunct/>
        <w:topLinePunct w:val="0"/>
        <w:bidi w:val="0"/>
        <w:spacing w:line="360" w:lineRule="auto"/>
        <w:jc w:val="center"/>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178" w:name="_Toc269"/>
      <w:bookmarkStart w:id="179" w:name="_Toc4256"/>
      <w:bookmarkStart w:id="180" w:name="_Toc25861"/>
      <w:r>
        <w:rPr>
          <w:rFonts w:hint="eastAsia" w:ascii="仿宋_GB2312" w:hAnsi="仿宋_GB2312" w:eastAsia="仿宋_GB2312" w:cs="仿宋_GB2312"/>
          <w:b/>
          <w:bCs/>
          <w:color w:val="auto"/>
          <w:sz w:val="32"/>
          <w:szCs w:val="32"/>
          <w:highlight w:val="none"/>
          <w:u w:val="none"/>
          <w:lang w:val="en-US" w:eastAsia="zh-CN"/>
        </w:rPr>
        <w:t>8.2公园绿地</w:t>
      </w:r>
      <w:bookmarkEnd w:id="178"/>
      <w:bookmarkEnd w:id="179"/>
      <w:bookmarkEnd w:id="180"/>
    </w:p>
    <w:p w14:paraId="00D0A9FD">
      <w:pPr>
        <w:pStyle w:val="22"/>
        <w:keepNext w:val="0"/>
        <w:keepLines w:val="0"/>
        <w:pageBreakBefore w:val="0"/>
        <w:kinsoku/>
        <w:wordWrap/>
        <w:overflowPunct/>
        <w:topLinePunct w:val="0"/>
        <w:bidi w:val="0"/>
        <w:spacing w:before="0" w:beforeAutospacing="0" w:after="0" w:afterAutospacing="0" w:line="560" w:lineRule="exact"/>
        <w:ind w:left="0" w:leftChars="0" w:firstLine="0" w:firstLineChars="0"/>
        <w:jc w:val="left"/>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b/>
          <w:bCs/>
          <w:i w:val="0"/>
          <w:iCs w:val="0"/>
          <w:caps w:val="0"/>
          <w:color w:val="auto"/>
          <w:spacing w:val="0"/>
          <w:kern w:val="0"/>
          <w:sz w:val="32"/>
          <w:szCs w:val="32"/>
          <w:highlight w:val="none"/>
          <w:u w:val="none"/>
          <w:shd w:val="clear" w:fill="FFFFFF"/>
          <w:lang w:val="en-US" w:eastAsia="zh-CN" w:bidi="ar"/>
        </w:rPr>
        <w:t>8.2.1</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城市公园建设和管理应以生态优先、功能完善、环境优美为核心，优化公园景观品质，提升互动性、体验感，完善适老化、适儿化功能建设，形成安心、舒适的全龄友好绿色生态空间。</w:t>
      </w:r>
    </w:p>
    <w:p w14:paraId="0C52207B">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60" w:lineRule="exact"/>
        <w:ind w:left="0" w:leftChars="0" w:firstLine="0" w:firstLineChars="0"/>
        <w:jc w:val="left"/>
        <w:textAlignment w:val="auto"/>
        <w:rPr>
          <w:rFonts w:hint="default"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b/>
          <w:bCs/>
          <w:i w:val="0"/>
          <w:iCs w:val="0"/>
          <w:caps w:val="0"/>
          <w:color w:val="auto"/>
          <w:spacing w:val="0"/>
          <w:kern w:val="0"/>
          <w:sz w:val="32"/>
          <w:szCs w:val="32"/>
          <w:highlight w:val="none"/>
          <w:u w:val="none"/>
          <w:shd w:val="clear" w:fill="FFFFFF"/>
          <w:lang w:val="en-US" w:eastAsia="zh-CN" w:bidi="ar"/>
        </w:rPr>
        <w:t>8.2.2</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城市公园根据规模、功能、服务范围及景观特色分级分类，实施差异化管理与服务。</w:t>
      </w:r>
    </w:p>
    <w:p w14:paraId="4DE2B8EA">
      <w:pPr>
        <w:pStyle w:val="22"/>
        <w:keepNext w:val="0"/>
        <w:keepLines w:val="0"/>
        <w:pageBreakBefore w:val="0"/>
        <w:widowControl w:val="0"/>
        <w:numPr>
          <w:ilvl w:val="0"/>
          <w:numId w:val="13"/>
        </w:numPr>
        <w:kinsoku/>
        <w:wordWrap/>
        <w:overflowPunct/>
        <w:topLinePunct w:val="0"/>
        <w:autoSpaceDE w:val="0"/>
        <w:autoSpaceDN w:val="0"/>
        <w:bidi w:val="0"/>
        <w:adjustRightInd w:val="0"/>
        <w:snapToGrid w:val="0"/>
        <w:spacing w:before="0" w:beforeAutospacing="0" w:after="0" w:afterAutospacing="0" w:line="560" w:lineRule="exact"/>
        <w:ind w:left="-9" w:leftChars="0" w:firstLine="640" w:firstLineChars="200"/>
        <w:jc w:val="left"/>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一级公园（占地5hm</w:t>
      </w:r>
      <w:r>
        <w:rPr>
          <w:rFonts w:hint="eastAsia" w:ascii="仿宋_GB2312" w:hAnsi="仿宋_GB2312" w:eastAsia="仿宋_GB2312" w:cs="仿宋_GB2312"/>
          <w:i w:val="0"/>
          <w:iCs w:val="0"/>
          <w:caps w:val="0"/>
          <w:color w:val="auto"/>
          <w:spacing w:val="0"/>
          <w:kern w:val="0"/>
          <w:sz w:val="32"/>
          <w:szCs w:val="32"/>
          <w:highlight w:val="none"/>
          <w:u w:val="none"/>
          <w:shd w:val="clear" w:fill="FFFFFF"/>
          <w:vertAlign w:val="superscript"/>
          <w:lang w:val="en-US" w:eastAsia="zh-CN" w:bidi="ar"/>
        </w:rPr>
        <w:t>2</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及以上）绿地率需大于65%，应具备完善的休闲游憩、文化科普、防灾避险等功能，设置多样化的活动场地和服务设施，满足全年龄段市民的需求。</w:t>
      </w:r>
    </w:p>
    <w:p w14:paraId="0EEFFD61">
      <w:pPr>
        <w:pStyle w:val="22"/>
        <w:keepNext w:val="0"/>
        <w:keepLines w:val="0"/>
        <w:pageBreakBefore w:val="0"/>
        <w:widowControl w:val="0"/>
        <w:numPr>
          <w:ilvl w:val="0"/>
          <w:numId w:val="13"/>
        </w:numPr>
        <w:kinsoku/>
        <w:wordWrap/>
        <w:overflowPunct/>
        <w:topLinePunct w:val="0"/>
        <w:autoSpaceDE w:val="0"/>
        <w:autoSpaceDN w:val="0"/>
        <w:bidi w:val="0"/>
        <w:adjustRightInd w:val="0"/>
        <w:snapToGrid w:val="0"/>
        <w:spacing w:before="0" w:beforeAutospacing="0" w:after="0" w:afterAutospacing="0" w:line="560" w:lineRule="exact"/>
        <w:ind w:left="-9" w:lef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二级公园（占地1hm</w:t>
      </w:r>
      <w:r>
        <w:rPr>
          <w:rFonts w:hint="eastAsia" w:ascii="仿宋_GB2312" w:hAnsi="仿宋_GB2312" w:eastAsia="仿宋_GB2312" w:cs="仿宋_GB2312"/>
          <w:i w:val="0"/>
          <w:iCs w:val="0"/>
          <w:caps w:val="0"/>
          <w:color w:val="auto"/>
          <w:spacing w:val="0"/>
          <w:kern w:val="0"/>
          <w:sz w:val="32"/>
          <w:szCs w:val="32"/>
          <w:highlight w:val="none"/>
          <w:u w:val="none"/>
          <w:shd w:val="clear" w:fill="FFFFFF"/>
          <w:vertAlign w:val="superscript"/>
          <w:lang w:val="en-US" w:eastAsia="zh-CN" w:bidi="ar"/>
        </w:rPr>
        <w:t>2</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至5hm</w:t>
      </w:r>
      <w:r>
        <w:rPr>
          <w:rFonts w:hint="eastAsia" w:ascii="仿宋_GB2312" w:hAnsi="仿宋_GB2312" w:eastAsia="仿宋_GB2312" w:cs="仿宋_GB2312"/>
          <w:i w:val="0"/>
          <w:iCs w:val="0"/>
          <w:caps w:val="0"/>
          <w:color w:val="auto"/>
          <w:spacing w:val="0"/>
          <w:kern w:val="0"/>
          <w:sz w:val="32"/>
          <w:szCs w:val="32"/>
          <w:highlight w:val="none"/>
          <w:u w:val="none"/>
          <w:shd w:val="clear" w:fill="FFFFFF"/>
          <w:vertAlign w:val="superscript"/>
          <w:lang w:val="en-US" w:eastAsia="zh-CN" w:bidi="ar"/>
        </w:rPr>
        <w:t>2</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）绿地率需大于65%（植物园绿地率应大于70%），应侧重提供日常休闲、健身和社交空间，布局应紧凑便捷，与周边居住区紧密结合。</w:t>
      </w:r>
    </w:p>
    <w:p w14:paraId="73AB9B0B">
      <w:pPr>
        <w:pStyle w:val="22"/>
        <w:keepNext w:val="0"/>
        <w:keepLines w:val="0"/>
        <w:pageBreakBefore w:val="0"/>
        <w:widowControl w:val="0"/>
        <w:numPr>
          <w:ilvl w:val="0"/>
          <w:numId w:val="13"/>
        </w:numPr>
        <w:kinsoku/>
        <w:wordWrap/>
        <w:overflowPunct/>
        <w:topLinePunct w:val="0"/>
        <w:autoSpaceDE w:val="0"/>
        <w:autoSpaceDN w:val="0"/>
        <w:bidi w:val="0"/>
        <w:adjustRightInd w:val="0"/>
        <w:snapToGrid w:val="0"/>
        <w:spacing w:before="0" w:beforeAutospacing="0" w:after="0" w:afterAutospacing="0" w:line="560" w:lineRule="exact"/>
        <w:ind w:left="-9" w:lef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三级公园（占地400m</w:t>
      </w:r>
      <w:r>
        <w:rPr>
          <w:rFonts w:hint="eastAsia" w:ascii="仿宋_GB2312" w:hAnsi="仿宋_GB2312" w:eastAsia="仿宋_GB2312" w:cs="仿宋_GB2312"/>
          <w:i w:val="0"/>
          <w:iCs w:val="0"/>
          <w:caps w:val="0"/>
          <w:color w:val="auto"/>
          <w:spacing w:val="0"/>
          <w:kern w:val="0"/>
          <w:sz w:val="32"/>
          <w:szCs w:val="32"/>
          <w:highlight w:val="none"/>
          <w:u w:val="none"/>
          <w:shd w:val="clear" w:fill="FFFFFF"/>
          <w:vertAlign w:val="superscript"/>
          <w:lang w:val="en-US" w:eastAsia="zh-CN" w:bidi="ar"/>
        </w:rPr>
        <w:t>2</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至1hm</w:t>
      </w:r>
      <w:r>
        <w:rPr>
          <w:rFonts w:hint="eastAsia" w:ascii="仿宋_GB2312" w:hAnsi="仿宋_GB2312" w:eastAsia="仿宋_GB2312" w:cs="仿宋_GB2312"/>
          <w:i w:val="0"/>
          <w:iCs w:val="0"/>
          <w:caps w:val="0"/>
          <w:color w:val="auto"/>
          <w:spacing w:val="0"/>
          <w:kern w:val="0"/>
          <w:sz w:val="32"/>
          <w:szCs w:val="32"/>
          <w:highlight w:val="none"/>
          <w:u w:val="none"/>
          <w:shd w:val="clear" w:fill="FFFFFF"/>
          <w:vertAlign w:val="superscript"/>
          <w:lang w:val="en-US" w:eastAsia="zh-CN" w:bidi="ar"/>
        </w:rPr>
        <w:t>2</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）用地比例和绿化覆盖率需达到口袋公园建设指南标准，应注重景观精致性和可达性，为市民提供就近的休憩场所。</w:t>
      </w:r>
    </w:p>
    <w:p w14:paraId="659BF224">
      <w:pPr>
        <w:pStyle w:val="2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60" w:lineRule="exact"/>
        <w:ind w:left="0" w:leftChars="0" w:firstLine="640" w:firstLineChars="200"/>
        <w:jc w:val="left"/>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各级公园应按照相关城市公园建设和管理标准配备管理人员和服务设施，制定针对性的养护计划和活动安排，确保公园环境整洁、设施完好、秩序井然。</w:t>
      </w:r>
    </w:p>
    <w:p w14:paraId="2A75507C">
      <w:pPr>
        <w:pStyle w:val="22"/>
        <w:keepNext w:val="0"/>
        <w:keepLines w:val="0"/>
        <w:pageBreakBefore w:val="0"/>
        <w:kinsoku/>
        <w:wordWrap/>
        <w:overflowPunct/>
        <w:topLinePunct w:val="0"/>
        <w:bidi w:val="0"/>
        <w:spacing w:before="0" w:beforeAutospacing="0" w:after="0" w:afterAutospacing="0" w:line="560" w:lineRule="exact"/>
        <w:ind w:left="0" w:leftChars="0" w:firstLine="0" w:firstLineChars="0"/>
        <w:jc w:val="left"/>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b/>
          <w:bCs/>
          <w:i w:val="0"/>
          <w:iCs w:val="0"/>
          <w:caps w:val="0"/>
          <w:color w:val="auto"/>
          <w:spacing w:val="0"/>
          <w:kern w:val="0"/>
          <w:sz w:val="32"/>
          <w:szCs w:val="32"/>
          <w:highlight w:val="none"/>
          <w:u w:val="none"/>
          <w:shd w:val="clear" w:fill="FFFFFF"/>
          <w:lang w:val="en-US" w:eastAsia="zh-CN" w:bidi="ar"/>
        </w:rPr>
        <w:t>8.2.3</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公园内应布局应科学、合理，无黄土裸露，植物保持生长良好、叶面洁净美观。</w:t>
      </w:r>
    </w:p>
    <w:p w14:paraId="0CE3440F">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b/>
          <w:bCs/>
          <w:i w:val="0"/>
          <w:iCs w:val="0"/>
          <w:caps w:val="0"/>
          <w:color w:val="auto"/>
          <w:spacing w:val="0"/>
          <w:kern w:val="0"/>
          <w:sz w:val="32"/>
          <w:szCs w:val="32"/>
          <w:highlight w:val="none"/>
          <w:u w:val="none"/>
          <w:shd w:val="clear" w:fill="FFFFFF"/>
          <w:lang w:val="en-US" w:eastAsia="zh-CN" w:bidi="ar"/>
        </w:rPr>
        <w:t>8.2.4</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公园内的湖泊、河流、池塘等水体应保持清洁、无异味、无垃圾、漂浮物、</w:t>
      </w:r>
      <w:r>
        <w:rPr>
          <w:rFonts w:hint="eastAsia" w:ascii="仿宋_GB2312" w:hAnsi="仿宋_GB2312" w:eastAsia="仿宋_GB2312" w:cs="仿宋_GB2312"/>
          <w:color w:val="auto"/>
          <w:sz w:val="32"/>
          <w:szCs w:val="32"/>
          <w:highlight w:val="none"/>
          <w:u w:val="none"/>
          <w:lang w:val="en-US" w:eastAsia="zh-CN"/>
        </w:rPr>
        <w:t>驳岸完整，水质符合地表水环境相关质量标准，并设置防溺水警示标识。</w:t>
      </w:r>
    </w:p>
    <w:p w14:paraId="28DB9A86">
      <w:pPr>
        <w:pStyle w:val="22"/>
        <w:keepNext w:val="0"/>
        <w:keepLines w:val="0"/>
        <w:pageBreakBefore w:val="0"/>
        <w:kinsoku/>
        <w:wordWrap/>
        <w:overflowPunct/>
        <w:topLinePunct w:val="0"/>
        <w:bidi w:val="0"/>
        <w:spacing w:before="0" w:beforeAutospacing="0" w:after="0" w:afterAutospacing="0" w:line="560" w:lineRule="exact"/>
        <w:ind w:left="0" w:leftChars="0" w:firstLine="0" w:firstLineChars="0"/>
        <w:jc w:val="left"/>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b/>
          <w:bCs/>
          <w:i w:val="0"/>
          <w:iCs w:val="0"/>
          <w:caps w:val="0"/>
          <w:color w:val="auto"/>
          <w:spacing w:val="0"/>
          <w:kern w:val="0"/>
          <w:sz w:val="32"/>
          <w:szCs w:val="32"/>
          <w:highlight w:val="none"/>
          <w:u w:val="none"/>
          <w:shd w:val="clear" w:fill="FFFFFF"/>
          <w:lang w:val="en-US" w:eastAsia="zh-CN" w:bidi="ar"/>
        </w:rPr>
        <w:t>8.2.5</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公园内应科学设置座椅、亭廊等服务设施，保持完好、整洁，定期进行维护和更新；园路铺装应平整、畅通、无坑洼、积水和破损。公园内健身设施应安装牢固，无安全隐患，定期对健身设施进行清洁和维护，保证其正常使用。公园内水上娱乐、特种设备及各类游艺游乐设施应符合国家相关安全标准，定期进行检查和维护，确保运行安全，从业人员须持证上岗。</w:t>
      </w:r>
    </w:p>
    <w:p w14:paraId="26F20901">
      <w:pPr>
        <w:pStyle w:val="22"/>
        <w:keepNext w:val="0"/>
        <w:keepLines w:val="0"/>
        <w:pageBreakBefore w:val="0"/>
        <w:kinsoku/>
        <w:wordWrap/>
        <w:overflowPunct/>
        <w:topLinePunct w:val="0"/>
        <w:bidi w:val="0"/>
        <w:spacing w:before="0" w:beforeAutospacing="0" w:after="0" w:afterAutospacing="0" w:line="560" w:lineRule="exact"/>
        <w:ind w:left="0" w:leftChars="0" w:firstLine="0" w:firstLineChars="0"/>
        <w:jc w:val="left"/>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b/>
          <w:bCs/>
          <w:i w:val="0"/>
          <w:iCs w:val="0"/>
          <w:caps w:val="0"/>
          <w:color w:val="auto"/>
          <w:spacing w:val="0"/>
          <w:kern w:val="0"/>
          <w:sz w:val="32"/>
          <w:szCs w:val="32"/>
          <w:highlight w:val="none"/>
          <w:u w:val="none"/>
          <w:shd w:val="clear" w:fill="FFFFFF"/>
          <w:lang w:val="en-US" w:eastAsia="zh-CN" w:bidi="ar"/>
        </w:rPr>
        <w:t>8.2.6</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公园内的导向标识和信息牌应及时更新，在显眼处张贴公园设施使用说明、安全警示、管理单位及服务电话等信息。一级公园、二级公园还应设置应公园平面图、景点介绍的导览图示。</w:t>
      </w:r>
    </w:p>
    <w:p w14:paraId="6E0739B4">
      <w:pPr>
        <w:pStyle w:val="22"/>
        <w:keepNext w:val="0"/>
        <w:keepLines w:val="0"/>
        <w:pageBreakBefore w:val="0"/>
        <w:kinsoku/>
        <w:wordWrap/>
        <w:overflowPunct/>
        <w:topLinePunct w:val="0"/>
        <w:bidi w:val="0"/>
        <w:spacing w:before="0" w:beforeAutospacing="0" w:after="0" w:afterAutospacing="0" w:line="560" w:lineRule="exact"/>
        <w:ind w:left="0" w:leftChars="0" w:firstLine="0" w:firstLineChars="0"/>
        <w:jc w:val="left"/>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b/>
          <w:bCs/>
          <w:i w:val="0"/>
          <w:iCs w:val="0"/>
          <w:caps w:val="0"/>
          <w:color w:val="auto"/>
          <w:spacing w:val="0"/>
          <w:kern w:val="0"/>
          <w:sz w:val="32"/>
          <w:szCs w:val="32"/>
          <w:highlight w:val="none"/>
          <w:u w:val="none"/>
          <w:shd w:val="clear" w:fill="FFFFFF"/>
          <w:lang w:val="en-US" w:eastAsia="zh-CN" w:bidi="ar"/>
        </w:rPr>
        <w:t>8.2.7</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公园内垃圾桶分布合理，垃圾清运及时，园内无明显积存纸屑、烟蒂、污物、溢臭等；无明显乱刻乱画、违法广告（小广告）乱贴乱扔现象。</w:t>
      </w:r>
    </w:p>
    <w:p w14:paraId="0EDCFEC1">
      <w:pPr>
        <w:pStyle w:val="22"/>
        <w:keepNext w:val="0"/>
        <w:keepLines w:val="0"/>
        <w:pageBreakBefore w:val="0"/>
        <w:kinsoku/>
        <w:wordWrap/>
        <w:overflowPunct/>
        <w:topLinePunct w:val="0"/>
        <w:bidi w:val="0"/>
        <w:spacing w:before="0" w:beforeAutospacing="0" w:after="0" w:afterAutospacing="0" w:line="560" w:lineRule="exact"/>
        <w:ind w:left="0" w:leftChars="0" w:firstLine="0" w:firstLineChars="0"/>
        <w:jc w:val="left"/>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b/>
          <w:bCs/>
          <w:i w:val="0"/>
          <w:iCs w:val="0"/>
          <w:caps w:val="0"/>
          <w:color w:val="auto"/>
          <w:spacing w:val="0"/>
          <w:kern w:val="0"/>
          <w:sz w:val="32"/>
          <w:szCs w:val="32"/>
          <w:highlight w:val="none"/>
          <w:u w:val="none"/>
          <w:shd w:val="clear" w:fill="FFFFFF"/>
          <w:lang w:val="en-US" w:eastAsia="zh-CN" w:bidi="ar"/>
        </w:rPr>
        <w:t>8.2.8</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公园内的建（构）筑物应与公园整体风格相协调，建筑造型、色彩应美观大方。定期对建筑外立面进行清洗、粉刷和维护，保持其整洁、完好。门窗、阳台、雨篷等附属设施应保持完好、整洁，无破损、变形和锈蚀现象，不得影响建筑外观和公园景观。</w:t>
      </w:r>
    </w:p>
    <w:p w14:paraId="13C3B75A">
      <w:pPr>
        <w:pStyle w:val="14"/>
        <w:keepNext w:val="0"/>
        <w:keepLines w:val="0"/>
        <w:widowControl w:val="0"/>
        <w:suppressLineNumbers w:val="0"/>
        <w:autoSpaceDE w:val="0"/>
        <w:autoSpaceDN w:val="0"/>
        <w:adjustRightInd w:val="0"/>
        <w:snapToGrid w:val="0"/>
        <w:spacing w:before="0" w:beforeAutospacing="0" w:after="0" w:afterAutospacing="0" w:line="560" w:lineRule="exact"/>
        <w:ind w:left="0" w:leftChars="0" w:right="0" w:firstLine="0" w:firstLineChars="0"/>
        <w:jc w:val="left"/>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b/>
          <w:bCs/>
          <w:i w:val="0"/>
          <w:iCs w:val="0"/>
          <w:caps w:val="0"/>
          <w:color w:val="auto"/>
          <w:spacing w:val="0"/>
          <w:kern w:val="0"/>
          <w:sz w:val="32"/>
          <w:szCs w:val="32"/>
          <w:highlight w:val="none"/>
          <w:u w:val="none"/>
          <w:shd w:val="clear" w:fill="FFFFFF"/>
          <w:lang w:val="en-US" w:eastAsia="zh-CN" w:bidi="ar"/>
        </w:rPr>
        <w:t>8.2.9</w:t>
      </w: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城市公园智慧化建设应逐步完善智能安防和环境监测系统，通过智能传感器、AI技术等物联网，实时监测人流、设施状况、环境质量等指标，实现公园动态化监管。</w:t>
      </w:r>
    </w:p>
    <w:p w14:paraId="79A7C56D">
      <w:pPr>
        <w:pStyle w:val="14"/>
        <w:keepNext w:val="0"/>
        <w:keepLines w:val="0"/>
        <w:widowControl w:val="0"/>
        <w:suppressLineNumbers w:val="0"/>
        <w:autoSpaceDE w:val="0"/>
        <w:autoSpaceDN w:val="0"/>
        <w:adjustRightInd w:val="0"/>
        <w:snapToGrid w:val="0"/>
        <w:spacing w:before="0" w:beforeAutospacing="0" w:after="0" w:afterAutospacing="0" w:line="560" w:lineRule="exact"/>
        <w:ind w:left="0" w:leftChars="0" w:right="0" w:firstLine="0" w:firstLineChars="0"/>
        <w:jc w:val="left"/>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default" w:ascii="仿宋_GB2312" w:hAnsi="Calibri" w:eastAsia="仿宋_GB2312" w:cs="仿宋_GB2312"/>
          <w:b/>
          <w:bCs/>
          <w:i w:val="0"/>
          <w:iCs w:val="0"/>
          <w:caps w:val="0"/>
          <w:color w:val="auto"/>
          <w:spacing w:val="0"/>
          <w:kern w:val="0"/>
          <w:sz w:val="32"/>
          <w:szCs w:val="32"/>
          <w:shd w:val="clear" w:fill="FFFFFF"/>
          <w:lang w:eastAsia="zh-CN" w:bidi="ar"/>
          <w:woUserID w:val="1"/>
        </w:rPr>
        <w:t>8.2.</w:t>
      </w:r>
      <w:r>
        <w:rPr>
          <w:rFonts w:hint="eastAsia" w:ascii="仿宋_GB2312" w:hAnsi="Calibri" w:eastAsia="仿宋_GB2312" w:cs="仿宋_GB2312"/>
          <w:b/>
          <w:bCs/>
          <w:i w:val="0"/>
          <w:iCs w:val="0"/>
          <w:caps w:val="0"/>
          <w:color w:val="auto"/>
          <w:spacing w:val="0"/>
          <w:kern w:val="0"/>
          <w:sz w:val="32"/>
          <w:szCs w:val="32"/>
          <w:shd w:val="clear" w:fill="FFFFFF"/>
          <w:lang w:val="en-US" w:eastAsia="zh-CN" w:bidi="ar"/>
          <w:woUserID w:val="1"/>
        </w:rPr>
        <w:t>10</w:t>
      </w:r>
      <w:r>
        <w:rPr>
          <w:rFonts w:hint="default"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城市公园内配套服务设施及其周边环境卫生、园林绿化的容貌应参照“门前三包”相关标准，外观符合公园整体风貌，经营业态符合城市公园定位，并向游客提供正常服务。</w:t>
      </w:r>
    </w:p>
    <w:p w14:paraId="41432E24">
      <w:pPr>
        <w:pStyle w:val="14"/>
        <w:keepNext w:val="0"/>
        <w:keepLines w:val="0"/>
        <w:widowControl w:val="0"/>
        <w:suppressLineNumbers w:val="0"/>
        <w:autoSpaceDE w:val="0"/>
        <w:autoSpaceDN w:val="0"/>
        <w:adjustRightInd w:val="0"/>
        <w:snapToGrid w:val="0"/>
        <w:spacing w:before="0" w:beforeAutospacing="0" w:after="0" w:afterAutospacing="0" w:line="560" w:lineRule="exact"/>
        <w:ind w:left="0" w:leftChars="0" w:right="0" w:firstLine="0" w:firstLineChars="0"/>
        <w:jc w:val="left"/>
        <w:rPr>
          <w:rFonts w:hint="default"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b/>
          <w:bCs/>
          <w:i w:val="0"/>
          <w:iCs w:val="0"/>
          <w:caps w:val="0"/>
          <w:color w:val="auto"/>
          <w:spacing w:val="0"/>
          <w:kern w:val="0"/>
          <w:sz w:val="32"/>
          <w:szCs w:val="32"/>
          <w:highlight w:val="none"/>
          <w:u w:val="none"/>
          <w:shd w:val="clear" w:fill="FFFFFF"/>
          <w:lang w:val="en-US" w:eastAsia="zh-CN" w:bidi="ar"/>
        </w:rPr>
        <w:t>8.2.11</w:t>
      </w:r>
      <w:r>
        <w:rPr>
          <w:rFonts w:hint="default"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入园人员应遵循社会公序良俗，不得大声喧哗、制造噪音，需文明养犬；同时倡导文明游园，不投喂、追逐园内动物，主动与野生动物保持安全距离，共同营造和谐安全的游园氛围。</w:t>
      </w:r>
    </w:p>
    <w:p w14:paraId="6D071246">
      <w:pPr>
        <w:pStyle w:val="22"/>
        <w:keepNext w:val="0"/>
        <w:keepLines w:val="0"/>
        <w:pageBreakBefore w:val="0"/>
        <w:kinsoku/>
        <w:wordWrap/>
        <w:overflowPunct/>
        <w:topLinePunct w:val="0"/>
        <w:bidi w:val="0"/>
        <w:spacing w:before="0" w:beforeAutospacing="0" w:after="0" w:afterAutospacing="0" w:line="560" w:lineRule="exact"/>
        <w:ind w:left="0" w:leftChars="0" w:firstLine="0" w:firstLineChars="0"/>
        <w:jc w:val="left"/>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p>
    <w:p w14:paraId="4776E8FE">
      <w:pPr>
        <w:keepNext w:val="0"/>
        <w:keepLines w:val="0"/>
        <w:pageBreakBefore w:val="0"/>
        <w:kinsoku/>
        <w:wordWrap/>
        <w:overflowPunct/>
        <w:topLinePunct w:val="0"/>
        <w:bidi w:val="0"/>
        <w:spacing w:line="360" w:lineRule="auto"/>
        <w:jc w:val="center"/>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181" w:name="_Toc18745"/>
      <w:bookmarkStart w:id="182" w:name="_Toc13814"/>
      <w:bookmarkStart w:id="183" w:name="_Toc31410"/>
      <w:r>
        <w:rPr>
          <w:rFonts w:hint="eastAsia" w:ascii="仿宋_GB2312" w:hAnsi="仿宋_GB2312" w:eastAsia="仿宋_GB2312" w:cs="仿宋_GB2312"/>
          <w:b/>
          <w:bCs/>
          <w:color w:val="auto"/>
          <w:sz w:val="32"/>
          <w:szCs w:val="32"/>
          <w:highlight w:val="none"/>
          <w:u w:val="none"/>
          <w:lang w:val="en-US" w:eastAsia="zh-CN"/>
        </w:rPr>
        <w:t>8.3广场用地</w:t>
      </w:r>
      <w:bookmarkEnd w:id="181"/>
      <w:bookmarkEnd w:id="182"/>
      <w:bookmarkEnd w:id="183"/>
    </w:p>
    <w:p w14:paraId="39311B51">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8.3.1</w:t>
      </w:r>
      <w:r>
        <w:rPr>
          <w:rFonts w:hint="eastAsia" w:ascii="仿宋_GB2312" w:hAnsi="仿宋_GB2312" w:eastAsia="仿宋_GB2312" w:cs="仿宋_GB2312"/>
          <w:color w:val="auto"/>
          <w:sz w:val="32"/>
          <w:szCs w:val="32"/>
          <w:highlight w:val="none"/>
          <w:u w:val="none"/>
          <w:lang w:val="en-US" w:eastAsia="zh-CN"/>
        </w:rPr>
        <w:t>广场绿地整体景观应保持干净整洁、无杂物，垃圾即产即清，植物叶面积尘及时冲洗。</w:t>
      </w:r>
    </w:p>
    <w:p w14:paraId="0BB2B7AF">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8.3.2</w:t>
      </w:r>
      <w:r>
        <w:rPr>
          <w:rFonts w:hint="eastAsia" w:ascii="仿宋_GB2312" w:hAnsi="仿宋_GB2312" w:eastAsia="仿宋_GB2312" w:cs="仿宋_GB2312"/>
          <w:color w:val="auto"/>
          <w:sz w:val="32"/>
          <w:szCs w:val="32"/>
          <w:highlight w:val="none"/>
          <w:u w:val="none"/>
          <w:lang w:val="en-US" w:eastAsia="zh-CN"/>
        </w:rPr>
        <w:t>广场园路、小品及附属设施应保持完好、整洁、无破损，无障碍通道、应急通道应保持畅通。</w:t>
      </w:r>
    </w:p>
    <w:p w14:paraId="19283BCC">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8.3.3</w:t>
      </w:r>
      <w:r>
        <w:rPr>
          <w:rFonts w:hint="eastAsia" w:ascii="仿宋_GB2312" w:hAnsi="仿宋_GB2312" w:eastAsia="仿宋_GB2312" w:cs="仿宋_GB2312"/>
          <w:color w:val="auto"/>
          <w:sz w:val="32"/>
          <w:szCs w:val="32"/>
          <w:highlight w:val="none"/>
          <w:u w:val="none"/>
          <w:lang w:val="en-US" w:eastAsia="zh-CN"/>
        </w:rPr>
        <w:t>广场景观水体水面</w:t>
      </w:r>
      <w:r>
        <w:rPr>
          <w:rFonts w:hint="eastAsia" w:ascii="仿宋_GB2312" w:hAnsi="仿宋_GB2312" w:eastAsia="仿宋_GB2312" w:cs="仿宋_GB2312"/>
          <w:color w:val="auto"/>
          <w:sz w:val="32"/>
          <w:szCs w:val="32"/>
          <w:highlight w:val="none"/>
          <w:u w:val="none"/>
          <w:lang w:eastAsia="zh-CN"/>
        </w:rPr>
        <w:t>应</w:t>
      </w:r>
      <w:r>
        <w:rPr>
          <w:rFonts w:hint="eastAsia" w:ascii="仿宋_GB2312" w:hAnsi="仿宋_GB2312" w:eastAsia="仿宋_GB2312" w:cs="仿宋_GB2312"/>
          <w:color w:val="auto"/>
          <w:sz w:val="32"/>
          <w:szCs w:val="32"/>
          <w:highlight w:val="none"/>
          <w:u w:val="none"/>
          <w:lang w:val="en-US" w:eastAsia="zh-CN"/>
        </w:rPr>
        <w:t>清洁</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无漂浮物、驳岸完整，水质</w:t>
      </w:r>
      <w:r>
        <w:rPr>
          <w:rFonts w:hint="default" w:ascii="仿宋_GB2312" w:hAnsi="仿宋_GB2312" w:eastAsia="仿宋_GB2312" w:cs="仿宋_GB2312"/>
          <w:color w:val="auto"/>
          <w:sz w:val="32"/>
          <w:szCs w:val="32"/>
          <w:highlight w:val="none"/>
          <w:u w:val="none"/>
          <w:lang w:eastAsia="zh-CN"/>
          <w:woUserID w:val="2"/>
        </w:rPr>
        <w:t>应</w:t>
      </w:r>
      <w:r>
        <w:rPr>
          <w:rFonts w:hint="eastAsia" w:ascii="仿宋_GB2312" w:hAnsi="仿宋_GB2312" w:eastAsia="仿宋_GB2312" w:cs="仿宋_GB2312"/>
          <w:color w:val="auto"/>
          <w:sz w:val="32"/>
          <w:szCs w:val="32"/>
          <w:highlight w:val="none"/>
          <w:u w:val="none"/>
          <w:lang w:val="en-US" w:eastAsia="zh-CN"/>
        </w:rPr>
        <w:t>符合相关景观水质量标准的规定，并设置防溺水警示标识。</w:t>
      </w:r>
    </w:p>
    <w:p w14:paraId="3299B416">
      <w:pPr>
        <w:keepNext w:val="0"/>
        <w:keepLines w:val="0"/>
        <w:pageBreakBefore w:val="0"/>
        <w:kinsoku/>
        <w:wordWrap/>
        <w:overflowPunct/>
        <w:topLinePunct w:val="0"/>
        <w:bidi w:val="0"/>
        <w:spacing w:line="360" w:lineRule="auto"/>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8.3.4</w:t>
      </w:r>
      <w:r>
        <w:rPr>
          <w:rFonts w:hint="eastAsia" w:ascii="仿宋_GB2312" w:hAnsi="仿宋_GB2312" w:eastAsia="仿宋_GB2312" w:cs="仿宋_GB2312"/>
          <w:color w:val="auto"/>
          <w:sz w:val="32"/>
          <w:szCs w:val="32"/>
          <w:highlight w:val="none"/>
          <w:u w:val="none"/>
          <w:lang w:val="en-US" w:eastAsia="zh-CN"/>
        </w:rPr>
        <w:t>广场范围内不得擅自占用绿地、采摘花果、攀折损毁植物；不得占用</w:t>
      </w:r>
      <w:r>
        <w:rPr>
          <w:rFonts w:hint="default" w:ascii="仿宋_GB2312" w:hAnsi="仿宋_GB2312" w:eastAsia="仿宋_GB2312" w:cs="仿宋_GB2312"/>
          <w:color w:val="auto"/>
          <w:sz w:val="32"/>
          <w:szCs w:val="32"/>
          <w:highlight w:val="none"/>
          <w:u w:val="none"/>
          <w:lang w:eastAsia="zh-CN"/>
          <w:woUserID w:val="2"/>
        </w:rPr>
        <w:t>和</w:t>
      </w:r>
      <w:r>
        <w:rPr>
          <w:rFonts w:hint="eastAsia" w:ascii="仿宋_GB2312" w:hAnsi="仿宋_GB2312" w:eastAsia="仿宋_GB2312" w:cs="仿宋_GB2312"/>
          <w:color w:val="auto"/>
          <w:sz w:val="32"/>
          <w:szCs w:val="32"/>
          <w:highlight w:val="none"/>
          <w:u w:val="none"/>
          <w:lang w:val="en-US" w:eastAsia="zh-CN"/>
        </w:rPr>
        <w:t>挖掘场地、盗窃损坏水电设施、污染损坏地面水体。</w:t>
      </w:r>
    </w:p>
    <w:p w14:paraId="79BA14BC">
      <w:pPr>
        <w:keepNext w:val="0"/>
        <w:keepLines w:val="0"/>
        <w:pageBreakBefore w:val="0"/>
        <w:kinsoku/>
        <w:wordWrap/>
        <w:overflowPunct/>
        <w:topLinePunct w:val="0"/>
        <w:bidi w:val="0"/>
        <w:spacing w:line="360" w:lineRule="auto"/>
        <w:jc w:val="left"/>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8.3.5</w:t>
      </w:r>
      <w:r>
        <w:rPr>
          <w:rFonts w:hint="eastAsia" w:ascii="仿宋_GB2312" w:hAnsi="仿宋_GB2312" w:eastAsia="仿宋_GB2312" w:cs="仿宋_GB2312"/>
          <w:color w:val="auto"/>
          <w:sz w:val="32"/>
          <w:szCs w:val="32"/>
          <w:highlight w:val="none"/>
          <w:u w:val="none"/>
          <w:lang w:val="en-US" w:eastAsia="zh-CN"/>
        </w:rPr>
        <w:t>不得在建（构）筑物及公共设施刻划张贴、焚烧物品、堆放杂物；不得随地躺卧露宿、摆摊设点经营、燃放烟花爆竹，不得开展杂耍卖艺、赌博、乞讨、迷信活动。</w:t>
      </w:r>
    </w:p>
    <w:p w14:paraId="1A65D132">
      <w:pPr>
        <w:keepNext w:val="0"/>
        <w:keepLines w:val="0"/>
        <w:pageBreakBefore w:val="0"/>
        <w:kinsoku/>
        <w:wordWrap/>
        <w:overflowPunct/>
        <w:topLinePunct w:val="0"/>
        <w:bidi w:val="0"/>
        <w:spacing w:line="360" w:lineRule="auto"/>
        <w:jc w:val="center"/>
        <w:textAlignment w:val="auto"/>
        <w:outlineLvl w:val="1"/>
        <w:rPr>
          <w:rFonts w:hint="eastAsia" w:ascii="仿宋_GB2312" w:hAnsi="仿宋_GB2312" w:eastAsia="仿宋_GB2312" w:cs="仿宋_GB2312"/>
          <w:color w:val="auto"/>
          <w:sz w:val="32"/>
          <w:szCs w:val="32"/>
          <w:highlight w:val="none"/>
          <w:u w:val="none"/>
          <w:lang w:val="en-US" w:eastAsia="zh-CN"/>
        </w:rPr>
      </w:pPr>
      <w:bookmarkStart w:id="184" w:name="_Toc19050"/>
      <w:bookmarkStart w:id="185" w:name="_Toc12459"/>
      <w:bookmarkStart w:id="186" w:name="_Toc23573"/>
      <w:r>
        <w:rPr>
          <w:rFonts w:hint="eastAsia" w:ascii="仿宋_GB2312" w:hAnsi="仿宋_GB2312" w:eastAsia="仿宋_GB2312" w:cs="仿宋_GB2312"/>
          <w:b/>
          <w:bCs/>
          <w:color w:val="auto"/>
          <w:sz w:val="32"/>
          <w:szCs w:val="32"/>
          <w:highlight w:val="none"/>
          <w:u w:val="none"/>
          <w:lang w:val="en-US" w:eastAsia="zh-CN"/>
        </w:rPr>
        <w:t>8.4防护绿地和附属绿地</w:t>
      </w:r>
      <w:bookmarkEnd w:id="184"/>
      <w:bookmarkEnd w:id="185"/>
      <w:bookmarkEnd w:id="186"/>
    </w:p>
    <w:p w14:paraId="3DC9A497">
      <w:pPr>
        <w:keepNext w:val="0"/>
        <w:keepLines w:val="0"/>
        <w:pageBreakBefore w:val="0"/>
        <w:widowControl/>
        <w:suppressLineNumbers w:val="0"/>
        <w:kinsoku/>
        <w:wordWrap/>
        <w:overflowPunct/>
        <w:topLinePunct w:val="0"/>
        <w:bidi w:val="0"/>
        <w:spacing w:line="360" w:lineRule="auto"/>
        <w:jc w:val="lef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8.4.1</w:t>
      </w:r>
      <w:r>
        <w:rPr>
          <w:rFonts w:hint="eastAsia" w:ascii="仿宋_GB2312" w:hAnsi="仿宋_GB2312" w:eastAsia="仿宋_GB2312" w:cs="仿宋_GB2312"/>
          <w:color w:val="auto"/>
          <w:sz w:val="32"/>
          <w:szCs w:val="32"/>
          <w:highlight w:val="none"/>
          <w:u w:val="none"/>
          <w:lang w:val="en-US" w:eastAsia="zh-CN"/>
        </w:rPr>
        <w:t>防护绿地</w:t>
      </w:r>
      <w:r>
        <w:rPr>
          <w:rFonts w:hint="eastAsia" w:ascii="仿宋_GB2312" w:hAnsi="仿宋_GB2312" w:eastAsia="仿宋_GB2312" w:cs="仿宋_GB2312"/>
          <w:color w:val="auto"/>
          <w:sz w:val="32"/>
          <w:szCs w:val="32"/>
          <w:highlight w:val="none"/>
          <w:u w:val="none"/>
          <w:lang w:eastAsia="zh-CN"/>
        </w:rPr>
        <w:t>应</w:t>
      </w:r>
      <w:r>
        <w:rPr>
          <w:rFonts w:hint="eastAsia" w:ascii="仿宋_GB2312" w:hAnsi="仿宋_GB2312" w:eastAsia="仿宋_GB2312" w:cs="仿宋_GB2312"/>
          <w:color w:val="auto"/>
          <w:sz w:val="32"/>
          <w:szCs w:val="32"/>
          <w:highlight w:val="none"/>
          <w:u w:val="none"/>
          <w:lang w:val="en-US" w:eastAsia="zh-CN"/>
        </w:rPr>
        <w:t>充分发挥</w:t>
      </w:r>
      <w:r>
        <w:rPr>
          <w:rFonts w:hint="eastAsia" w:ascii="仿宋_GB2312" w:hAnsi="仿宋_GB2312" w:eastAsia="仿宋_GB2312" w:cs="仿宋_GB2312"/>
          <w:color w:val="auto"/>
          <w:sz w:val="32"/>
          <w:szCs w:val="32"/>
          <w:highlight w:val="none"/>
          <w:u w:val="none"/>
          <w:lang w:eastAsia="zh-CN"/>
        </w:rPr>
        <w:t>净化空气和隔离防护</w:t>
      </w:r>
      <w:r>
        <w:rPr>
          <w:rFonts w:hint="default" w:ascii="仿宋_GB2312" w:hAnsi="仿宋_GB2312" w:eastAsia="仿宋_GB2312" w:cs="仿宋_GB2312"/>
          <w:color w:val="auto"/>
          <w:sz w:val="32"/>
          <w:szCs w:val="32"/>
          <w:highlight w:val="none"/>
          <w:u w:val="none"/>
          <w:lang w:eastAsia="zh-CN"/>
          <w:woUserID w:val="2"/>
        </w:rPr>
        <w:t>等</w:t>
      </w:r>
      <w:r>
        <w:rPr>
          <w:rFonts w:hint="eastAsia" w:ascii="仿宋_GB2312" w:hAnsi="仿宋_GB2312" w:eastAsia="仿宋_GB2312" w:cs="仿宋_GB2312"/>
          <w:color w:val="auto"/>
          <w:sz w:val="32"/>
          <w:szCs w:val="32"/>
          <w:highlight w:val="none"/>
          <w:u w:val="none"/>
          <w:lang w:eastAsia="zh-CN"/>
        </w:rPr>
        <w:t>功</w:t>
      </w:r>
      <w:r>
        <w:rPr>
          <w:rFonts w:hint="eastAsia" w:ascii="仿宋_GB2312" w:hAnsi="仿宋_GB2312" w:eastAsia="仿宋_GB2312" w:cs="仿宋_GB2312"/>
          <w:color w:val="auto"/>
          <w:sz w:val="32"/>
          <w:szCs w:val="32"/>
          <w:highlight w:val="none"/>
          <w:u w:val="none"/>
          <w:lang w:val="en-US" w:eastAsia="zh-CN"/>
        </w:rPr>
        <w:t>能。附属绿地</w:t>
      </w:r>
      <w:r>
        <w:rPr>
          <w:rFonts w:hint="eastAsia" w:ascii="仿宋_GB2312" w:hAnsi="仿宋_GB2312" w:eastAsia="仿宋_GB2312" w:cs="仿宋_GB2312"/>
          <w:color w:val="auto"/>
          <w:sz w:val="32"/>
          <w:szCs w:val="32"/>
          <w:highlight w:val="none"/>
          <w:u w:val="none"/>
          <w:lang w:eastAsia="zh-CN"/>
        </w:rPr>
        <w:t>应</w:t>
      </w:r>
      <w:r>
        <w:rPr>
          <w:rFonts w:hint="eastAsia" w:ascii="仿宋_GB2312" w:hAnsi="仿宋_GB2312" w:eastAsia="仿宋_GB2312" w:cs="仿宋_GB2312"/>
          <w:color w:val="auto"/>
          <w:sz w:val="32"/>
          <w:szCs w:val="32"/>
          <w:highlight w:val="none"/>
          <w:u w:val="none"/>
          <w:lang w:val="en-US" w:eastAsia="zh-CN"/>
        </w:rPr>
        <w:t>兼具</w:t>
      </w:r>
      <w:r>
        <w:rPr>
          <w:rFonts w:hint="eastAsia" w:ascii="仿宋_GB2312" w:hAnsi="仿宋_GB2312" w:eastAsia="仿宋_GB2312" w:cs="仿宋_GB2312"/>
          <w:color w:val="auto"/>
          <w:sz w:val="32"/>
          <w:szCs w:val="32"/>
          <w:highlight w:val="none"/>
          <w:u w:val="none"/>
          <w:lang w:eastAsia="zh-CN"/>
        </w:rPr>
        <w:t>美化和改善局部</w:t>
      </w:r>
      <w:r>
        <w:rPr>
          <w:rFonts w:hint="eastAsia" w:ascii="仿宋_GB2312" w:hAnsi="仿宋_GB2312" w:eastAsia="仿宋_GB2312" w:cs="仿宋_GB2312"/>
          <w:color w:val="auto"/>
          <w:sz w:val="32"/>
          <w:szCs w:val="32"/>
          <w:highlight w:val="none"/>
          <w:u w:val="none"/>
          <w:lang w:val="en-US" w:eastAsia="zh-CN"/>
        </w:rPr>
        <w:t>的</w:t>
      </w:r>
      <w:r>
        <w:rPr>
          <w:rFonts w:hint="eastAsia" w:ascii="仿宋_GB2312" w:hAnsi="仿宋_GB2312" w:eastAsia="仿宋_GB2312" w:cs="仿宋_GB2312"/>
          <w:color w:val="auto"/>
          <w:sz w:val="32"/>
          <w:szCs w:val="32"/>
          <w:highlight w:val="none"/>
          <w:u w:val="none"/>
          <w:lang w:eastAsia="zh-CN"/>
        </w:rPr>
        <w:t>环境</w:t>
      </w:r>
      <w:r>
        <w:rPr>
          <w:rFonts w:hint="eastAsia" w:ascii="仿宋_GB2312" w:hAnsi="仿宋_GB2312" w:eastAsia="仿宋_GB2312" w:cs="仿宋_GB2312"/>
          <w:color w:val="auto"/>
          <w:sz w:val="32"/>
          <w:szCs w:val="32"/>
          <w:highlight w:val="none"/>
          <w:u w:val="none"/>
          <w:lang w:val="en-US" w:eastAsia="zh-CN"/>
        </w:rPr>
        <w:t>功能，布局应科学、合理，无黄土裸露，植物保持生长良好、叶面洁净美观。</w:t>
      </w:r>
    </w:p>
    <w:p w14:paraId="4E265678">
      <w:pPr>
        <w:keepNext w:val="0"/>
        <w:keepLines w:val="0"/>
        <w:pageBreakBefore w:val="0"/>
        <w:widowControl/>
        <w:suppressLineNumbers w:val="0"/>
        <w:kinsoku/>
        <w:wordWrap/>
        <w:overflowPunct/>
        <w:topLinePunct w:val="0"/>
        <w:bidi w:val="0"/>
        <w:spacing w:line="360" w:lineRule="auto"/>
        <w:jc w:val="lef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i w:val="0"/>
          <w:iCs w:val="0"/>
          <w:color w:val="auto"/>
          <w:kern w:val="0"/>
          <w:sz w:val="32"/>
          <w:szCs w:val="32"/>
          <w:highlight w:val="none"/>
          <w:u w:val="none"/>
          <w:lang w:val="en-US" w:eastAsia="zh-CN" w:bidi="ar"/>
        </w:rPr>
        <w:t>8.4.2</w:t>
      </w:r>
      <w:r>
        <w:rPr>
          <w:rFonts w:hint="eastAsia" w:ascii="仿宋_GB2312" w:hAnsi="仿宋_GB2312" w:eastAsia="仿宋_GB2312" w:cs="仿宋_GB2312"/>
          <w:i w:val="0"/>
          <w:iCs w:val="0"/>
          <w:color w:val="auto"/>
          <w:kern w:val="0"/>
          <w:sz w:val="32"/>
          <w:szCs w:val="32"/>
          <w:highlight w:val="none"/>
          <w:u w:val="none"/>
          <w:lang w:val="en-US" w:eastAsia="zh-CN" w:bidi="ar"/>
        </w:rPr>
        <w:t>行道树和绿化带枝叶不得遮挡交通标志、交通信号灯、监控设备、照明等设施，不得影响周边建（构）筑物、地下管线和架空线安全，不应妨碍车辆和行人通行，存在安全隐患应及时修剪或移植。</w:t>
      </w:r>
    </w:p>
    <w:p w14:paraId="1C033C3E">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8.4.3</w:t>
      </w:r>
      <w:r>
        <w:rPr>
          <w:rFonts w:hint="eastAsia" w:ascii="仿宋_GB2312" w:hAnsi="仿宋_GB2312" w:eastAsia="仿宋_GB2312" w:cs="仿宋_GB2312"/>
          <w:color w:val="auto"/>
          <w:sz w:val="32"/>
          <w:szCs w:val="32"/>
          <w:highlight w:val="none"/>
          <w:u w:val="none"/>
          <w:lang w:val="en-US" w:eastAsia="zh-CN"/>
        </w:rPr>
        <w:t>高架道路及人行天桥绿化带浇灌用水不应滴漏至桥下路面；桥身两侧花槽内植物应及时管护，清理残枝败叶。</w:t>
      </w:r>
    </w:p>
    <w:p w14:paraId="631E47C7">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8.4.4</w:t>
      </w:r>
      <w:r>
        <w:rPr>
          <w:rFonts w:hint="eastAsia" w:ascii="仿宋_GB2312" w:hAnsi="仿宋_GB2312" w:eastAsia="仿宋_GB2312" w:cs="仿宋_GB2312"/>
          <w:color w:val="auto"/>
          <w:sz w:val="32"/>
          <w:szCs w:val="32"/>
          <w:highlight w:val="none"/>
          <w:u w:val="none"/>
          <w:lang w:val="en-US" w:eastAsia="zh-CN"/>
        </w:rPr>
        <w:t>临街绿化</w:t>
      </w:r>
      <w:r>
        <w:rPr>
          <w:rFonts w:hint="default" w:ascii="仿宋_GB2312" w:hAnsi="仿宋_GB2312" w:eastAsia="仿宋_GB2312" w:cs="仿宋_GB2312"/>
          <w:color w:val="auto"/>
          <w:sz w:val="32"/>
          <w:szCs w:val="32"/>
          <w:highlight w:val="none"/>
          <w:u w:val="none"/>
          <w:lang w:eastAsia="zh-CN"/>
          <w:woUserID w:val="2"/>
        </w:rPr>
        <w:t>的</w:t>
      </w:r>
      <w:r>
        <w:rPr>
          <w:rFonts w:hint="eastAsia" w:ascii="仿宋_GB2312" w:hAnsi="仿宋_GB2312" w:eastAsia="仿宋_GB2312" w:cs="仿宋_GB2312"/>
          <w:color w:val="auto"/>
          <w:sz w:val="32"/>
          <w:szCs w:val="32"/>
          <w:highlight w:val="none"/>
          <w:u w:val="none"/>
          <w:lang w:val="en-US" w:eastAsia="zh-CN"/>
        </w:rPr>
        <w:t>围栏应通透、整洁；城市森林花园住宅（第四代住宅）植物配置应科学、美观，与建筑立面风格协调统一。</w:t>
      </w:r>
    </w:p>
    <w:p w14:paraId="0E99BA74">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8.4.5</w:t>
      </w:r>
      <w:r>
        <w:rPr>
          <w:rFonts w:hint="eastAsia" w:ascii="仿宋_GB2312" w:hAnsi="仿宋_GB2312" w:eastAsia="仿宋_GB2312" w:cs="仿宋_GB2312"/>
          <w:color w:val="auto"/>
          <w:sz w:val="32"/>
          <w:szCs w:val="32"/>
          <w:highlight w:val="none"/>
          <w:u w:val="none"/>
          <w:lang w:val="en-US" w:eastAsia="zh-CN"/>
        </w:rPr>
        <w:t>中心城区河道两岸宜适当设置栏杆、绿化带、景观设施和亲水平台等公共设施，</w:t>
      </w:r>
      <w:r>
        <w:rPr>
          <w:rFonts w:hint="eastAsia" w:ascii="仿宋_GB2312" w:hAnsi="仿宋_GB2312" w:eastAsia="仿宋_GB2312" w:cs="仿宋_GB2312"/>
          <w:color w:val="auto"/>
          <w:sz w:val="32"/>
          <w:szCs w:val="32"/>
          <w:highlight w:val="none"/>
          <w:u w:val="none"/>
          <w:lang w:val="en-US" w:eastAsia="zh-CN"/>
          <w:woUserID w:val="2"/>
        </w:rPr>
        <w:t>并与周边环境相协调</w:t>
      </w:r>
      <w:r>
        <w:rPr>
          <w:rFonts w:hint="default" w:ascii="仿宋_GB2312" w:hAnsi="仿宋_GB2312" w:eastAsia="仿宋_GB2312" w:cs="仿宋_GB2312"/>
          <w:color w:val="auto"/>
          <w:sz w:val="32"/>
          <w:szCs w:val="32"/>
          <w:highlight w:val="none"/>
          <w:u w:val="none"/>
          <w:lang w:eastAsia="zh-CN"/>
          <w:woUserID w:val="2"/>
        </w:rPr>
        <w:t>，确保整体</w:t>
      </w:r>
      <w:r>
        <w:rPr>
          <w:rFonts w:hint="eastAsia" w:ascii="仿宋_GB2312" w:hAnsi="仿宋_GB2312" w:eastAsia="仿宋_GB2312" w:cs="仿宋_GB2312"/>
          <w:color w:val="auto"/>
          <w:sz w:val="32"/>
          <w:szCs w:val="32"/>
          <w:highlight w:val="none"/>
          <w:u w:val="none"/>
          <w:lang w:val="en-US" w:eastAsia="zh-CN"/>
        </w:rPr>
        <w:t>环境</w:t>
      </w:r>
      <w:r>
        <w:rPr>
          <w:rFonts w:hint="default" w:ascii="仿宋_GB2312" w:hAnsi="仿宋_GB2312" w:eastAsia="仿宋_GB2312" w:cs="仿宋_GB2312"/>
          <w:color w:val="auto"/>
          <w:sz w:val="32"/>
          <w:szCs w:val="32"/>
          <w:highlight w:val="none"/>
          <w:u w:val="none"/>
          <w:lang w:eastAsia="zh-CN"/>
          <w:woUserID w:val="2"/>
        </w:rPr>
        <w:t>安全、</w:t>
      </w:r>
      <w:r>
        <w:rPr>
          <w:rFonts w:hint="eastAsia" w:ascii="仿宋_GB2312" w:hAnsi="仿宋_GB2312" w:eastAsia="仿宋_GB2312" w:cs="仿宋_GB2312"/>
          <w:color w:val="auto"/>
          <w:sz w:val="32"/>
          <w:szCs w:val="32"/>
          <w:highlight w:val="none"/>
          <w:u w:val="none"/>
          <w:lang w:val="en-US" w:eastAsia="zh-CN"/>
        </w:rPr>
        <w:t>美观。</w:t>
      </w:r>
    </w:p>
    <w:p w14:paraId="6AE01667">
      <w:pPr>
        <w:keepNext w:val="0"/>
        <w:keepLines w:val="0"/>
        <w:pageBreakBefore w:val="0"/>
        <w:tabs>
          <w:tab w:val="left" w:pos="2979"/>
          <w:tab w:val="center" w:pos="4481"/>
        </w:tabs>
        <w:kinsoku/>
        <w:wordWrap/>
        <w:overflowPunct/>
        <w:topLinePunct w:val="0"/>
        <w:bidi w:val="0"/>
        <w:spacing w:line="360" w:lineRule="auto"/>
        <w:jc w:val="left"/>
        <w:textAlignment w:val="auto"/>
        <w:rPr>
          <w:rFonts w:hint="eastAsia" w:ascii="仿宋_GB2312" w:hAnsi="仿宋_GB2312" w:eastAsia="仿宋_GB2312" w:cs="仿宋_GB2312"/>
          <w:b/>
          <w:bCs/>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ab/>
      </w:r>
      <w:r>
        <w:rPr>
          <w:rFonts w:hint="eastAsia" w:ascii="仿宋_GB2312" w:hAnsi="仿宋_GB2312" w:eastAsia="仿宋_GB2312" w:cs="仿宋_GB2312"/>
          <w:b/>
          <w:bCs/>
          <w:color w:val="auto"/>
          <w:sz w:val="32"/>
          <w:szCs w:val="32"/>
          <w:highlight w:val="none"/>
          <w:u w:val="none"/>
          <w:lang w:val="en-US" w:eastAsia="zh-CN"/>
        </w:rPr>
        <w:tab/>
      </w:r>
    </w:p>
    <w:p w14:paraId="676643D7">
      <w:pPr>
        <w:keepNext w:val="0"/>
        <w:keepLines w:val="0"/>
        <w:pageBreakBefore w:val="0"/>
        <w:tabs>
          <w:tab w:val="left" w:pos="2979"/>
          <w:tab w:val="center" w:pos="4481"/>
        </w:tabs>
        <w:kinsoku/>
        <w:wordWrap/>
        <w:overflowPunct/>
        <w:topLinePunct w:val="0"/>
        <w:bidi w:val="0"/>
        <w:spacing w:line="360" w:lineRule="auto"/>
        <w:jc w:val="center"/>
        <w:textAlignment w:val="auto"/>
        <w:outlineLvl w:val="1"/>
        <w:rPr>
          <w:rFonts w:hint="eastAsia" w:ascii="仿宋_GB2312" w:hAnsi="仿宋_GB2312" w:eastAsia="仿宋_GB2312" w:cs="仿宋_GB2312"/>
          <w:b/>
          <w:bCs/>
          <w:color w:val="auto"/>
          <w:sz w:val="32"/>
          <w:szCs w:val="32"/>
          <w:highlight w:val="none"/>
          <w:u w:val="none"/>
          <w:lang w:val="en-US" w:eastAsia="zh-CN"/>
        </w:rPr>
      </w:pPr>
      <w:bookmarkStart w:id="187" w:name="_Toc32690"/>
      <w:bookmarkStart w:id="188" w:name="_Toc28204"/>
      <w:bookmarkStart w:id="189" w:name="_Toc2988"/>
      <w:r>
        <w:rPr>
          <w:rFonts w:hint="eastAsia" w:ascii="仿宋_GB2312" w:hAnsi="仿宋_GB2312" w:eastAsia="仿宋_GB2312" w:cs="仿宋_GB2312"/>
          <w:b/>
          <w:bCs/>
          <w:color w:val="auto"/>
          <w:sz w:val="32"/>
          <w:szCs w:val="32"/>
          <w:highlight w:val="none"/>
          <w:u w:val="none"/>
          <w:lang w:val="en-US" w:eastAsia="zh-CN"/>
        </w:rPr>
        <w:t>8.5古树名木大树</w:t>
      </w:r>
      <w:bookmarkEnd w:id="187"/>
      <w:bookmarkEnd w:id="188"/>
      <w:bookmarkEnd w:id="189"/>
    </w:p>
    <w:p w14:paraId="2B04253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8.5.1</w:t>
      </w:r>
      <w:r>
        <w:rPr>
          <w:rFonts w:hint="eastAsia" w:ascii="仿宋_GB2312" w:hAnsi="仿宋_GB2312" w:eastAsia="仿宋_GB2312" w:cs="仿宋_GB2312"/>
          <w:color w:val="auto"/>
          <w:sz w:val="32"/>
          <w:szCs w:val="32"/>
          <w:highlight w:val="none"/>
          <w:u w:val="none"/>
          <w:lang w:val="en-US" w:eastAsia="zh-CN"/>
        </w:rPr>
        <w:t>古树名木大树的保护与管理，应严格遵循国家及省市的相关规定，明确监测、养护责任主体。</w:t>
      </w:r>
    </w:p>
    <w:p w14:paraId="2DFFB9AA">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1010" w:leftChars="0" w:hanging="380" w:firstLineChars="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城市规划区以外的古树名木大树的保护、管理和监督工作由县级以上人民政府林业主管部门负责。</w:t>
      </w:r>
    </w:p>
    <w:p w14:paraId="246065A7">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1010" w:leftChars="0" w:hanging="380" w:firstLineChars="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城市规划区以内的古树名木大树的保护、管理和监督工作由县级以上人民政府林业或者城市园林绿化主管部门负责。</w:t>
      </w:r>
    </w:p>
    <w:p w14:paraId="6ED26E5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8.5.2</w:t>
      </w:r>
      <w:r>
        <w:rPr>
          <w:rFonts w:hint="eastAsia" w:ascii="仿宋_GB2312" w:hAnsi="仿宋_GB2312" w:eastAsia="仿宋_GB2312" w:cs="仿宋_GB2312"/>
          <w:color w:val="auto"/>
          <w:sz w:val="32"/>
          <w:szCs w:val="32"/>
          <w:highlight w:val="none"/>
          <w:u w:val="none"/>
          <w:lang w:val="en-US" w:eastAsia="zh-CN"/>
        </w:rPr>
        <w:t>古树名木大树实施分级保护管理，科学划定保护范围，古树名木保护范围应不小于树冠垂直投影外5米，大树保护范围应不小于树冠垂直投影外3米，3株以上聚集生长的古树名木或大树，应根据实际情况，参照上述标准划定保护范围，确保古树名木大树及生境安全。</w:t>
      </w:r>
    </w:p>
    <w:p w14:paraId="73E27A8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8.5.3</w:t>
      </w:r>
      <w:r>
        <w:rPr>
          <w:rFonts w:hint="eastAsia" w:ascii="仿宋_GB2312" w:hAnsi="仿宋_GB2312" w:eastAsia="仿宋_GB2312" w:cs="仿宋_GB2312"/>
          <w:color w:val="auto"/>
          <w:sz w:val="32"/>
          <w:szCs w:val="32"/>
          <w:highlight w:val="none"/>
          <w:u w:val="none"/>
          <w:lang w:val="en-US" w:eastAsia="zh-CN"/>
        </w:rPr>
        <w:t>不得实施损害古树名木大树及生长环境的行为，包括但不限于：在树体上刻画、缠绕或者悬挂物体、架设线缆；破坏保护设施或标志；擅自移植、恶意修枝、剥皮、掘根、灌注有毒有害物质，以及其他损毁古树名木大树及生境的行为。</w:t>
      </w:r>
    </w:p>
    <w:p w14:paraId="10C92FD8">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8.5.4</w:t>
      </w:r>
      <w:r>
        <w:rPr>
          <w:rFonts w:hint="eastAsia" w:ascii="仿宋_GB2312" w:hAnsi="仿宋_GB2312" w:eastAsia="仿宋_GB2312" w:cs="仿宋_GB2312"/>
          <w:color w:val="auto"/>
          <w:sz w:val="32"/>
          <w:szCs w:val="32"/>
          <w:highlight w:val="none"/>
          <w:u w:val="none"/>
          <w:lang w:val="en-US" w:eastAsia="zh-CN"/>
        </w:rPr>
        <w:t>古树名木大树保护范围内应干净、整洁、有序，严禁搭设建（构）筑物、挖掘取土、使用明火或烧香、排放废水废气、倾倒垃圾、易燃易爆及有毒有害物品等行为。</w:t>
      </w:r>
    </w:p>
    <w:p w14:paraId="40AA846E">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8.5.5</w:t>
      </w:r>
      <w:r>
        <w:rPr>
          <w:rFonts w:hint="default" w:ascii="Times New Roman" w:hAnsi="Times New Roman" w:eastAsia="仿宋_GB2312" w:cs="Times New Roman"/>
          <w:strike w:val="0"/>
          <w:dstrike w:val="0"/>
          <w:color w:val="auto"/>
          <w:sz w:val="32"/>
          <w:szCs w:val="32"/>
          <w:highlight w:val="none"/>
        </w:rPr>
        <w:t>工程项目选址及建设应主动避让古树名木大树，确因特殊情况无法避让或无法进行有效原地保护的，应向县级以上主管部门申请办理审批手续</w:t>
      </w:r>
      <w:r>
        <w:rPr>
          <w:rFonts w:hint="eastAsia" w:ascii="Times New Roman" w:hAnsi="Times New Roman" w:eastAsia="仿宋_GB2312" w:cs="Times New Roman"/>
          <w:strike w:val="0"/>
          <w:dstrike w:val="0"/>
          <w:color w:val="auto"/>
          <w:sz w:val="32"/>
          <w:szCs w:val="32"/>
          <w:highlight w:val="none"/>
          <w:lang w:eastAsia="zh-CN"/>
        </w:rPr>
        <w:t>。</w:t>
      </w:r>
    </w:p>
    <w:p w14:paraId="5781A052">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strike/>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8.5.6</w:t>
      </w:r>
      <w:r>
        <w:rPr>
          <w:rFonts w:hint="eastAsia" w:ascii="仿宋_GB2312" w:hAnsi="仿宋_GB2312" w:eastAsia="仿宋_GB2312" w:cs="仿宋_GB2312"/>
          <w:color w:val="auto"/>
          <w:sz w:val="32"/>
          <w:szCs w:val="32"/>
          <w:highlight w:val="none"/>
          <w:u w:val="none"/>
          <w:lang w:val="en-US" w:eastAsia="zh-CN"/>
        </w:rPr>
        <w:t>在不损害古树名木大树及其生长环境的前提下，可合理利用古树名木大树资源开展科研、旅游、科普等活动。</w:t>
      </w:r>
    </w:p>
    <w:p w14:paraId="1BCA38A4">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8.5.7</w:t>
      </w:r>
      <w:r>
        <w:rPr>
          <w:rFonts w:hint="eastAsia" w:ascii="仿宋_GB2312" w:hAnsi="仿宋_GB2312" w:eastAsia="仿宋_GB2312" w:cs="仿宋_GB2312"/>
          <w:color w:val="auto"/>
          <w:sz w:val="32"/>
          <w:szCs w:val="32"/>
          <w:highlight w:val="none"/>
          <w:u w:val="none"/>
          <w:lang w:val="en-US" w:eastAsia="zh-CN"/>
        </w:rPr>
        <w:t>古树名木大树及古树后备资源的养护、复壮等技术和质量要求应符合相关古树名木养护和复壮工程技术规范的规定。</w:t>
      </w:r>
    </w:p>
    <w:p w14:paraId="305ABACB">
      <w:pPr>
        <w:keepNext w:val="0"/>
        <w:keepLines w:val="0"/>
        <w:pageBreakBefore w:val="0"/>
        <w:kinsoku/>
        <w:wordWrap/>
        <w:overflowPunct/>
        <w:topLinePunct w:val="0"/>
        <w:bidi w:val="0"/>
        <w:spacing w:line="360" w:lineRule="auto"/>
        <w:textAlignment w:val="auto"/>
        <w:rPr>
          <w:rFonts w:hint="default" w:ascii="Times New Roman" w:hAnsi="Times New Roman" w:eastAsia="仿宋_GB2312" w:cs="Times New Roman"/>
          <w:color w:val="auto"/>
          <w:sz w:val="32"/>
          <w:szCs w:val="32"/>
          <w:highlight w:val="none"/>
        </w:rPr>
      </w:pPr>
      <w:r>
        <w:rPr>
          <w:rFonts w:hint="eastAsia" w:ascii="仿宋_GB2312" w:hAnsi="仿宋_GB2312" w:eastAsia="仿宋_GB2312" w:cs="仿宋_GB2312"/>
          <w:b/>
          <w:bCs/>
          <w:color w:val="auto"/>
          <w:sz w:val="32"/>
          <w:szCs w:val="32"/>
          <w:highlight w:val="none"/>
          <w:u w:val="none"/>
          <w:lang w:val="en-US" w:eastAsia="zh-CN"/>
        </w:rPr>
        <w:t>8.5.</w:t>
      </w:r>
      <w:r>
        <w:rPr>
          <w:rFonts w:hint="eastAsia" w:ascii="仿宋_GB2312" w:hAnsi="仿宋_GB2312" w:eastAsia="仿宋_GB2312" w:cs="仿宋_GB2312"/>
          <w:b/>
          <w:bCs/>
          <w:color w:val="auto"/>
          <w:sz w:val="32"/>
          <w:szCs w:val="32"/>
          <w:highlight w:val="none"/>
          <w:u w:val="none"/>
          <w:lang w:eastAsia="zh-CN"/>
        </w:rPr>
        <w:t>8</w:t>
      </w:r>
      <w:r>
        <w:rPr>
          <w:rFonts w:hint="eastAsia" w:ascii="仿宋_GB2312" w:hAnsi="仿宋_GB2312" w:eastAsia="仿宋_GB2312" w:cs="仿宋_GB2312"/>
          <w:strike w:val="0"/>
          <w:dstrike w:val="0"/>
          <w:color w:val="auto"/>
          <w:sz w:val="32"/>
          <w:szCs w:val="32"/>
          <w:highlight w:val="none"/>
          <w:u w:val="none"/>
          <w:lang w:val="en-US" w:eastAsia="zh-CN"/>
        </w:rPr>
        <w:t>不得擅自处置死亡的古树名木大树及其树根、枯枝；死亡的古树名木</w:t>
      </w:r>
      <w:r>
        <w:rPr>
          <w:rFonts w:hint="default" w:ascii="Times New Roman" w:hAnsi="Times New Roman" w:eastAsia="仿宋_GB2312" w:cs="Times New Roman"/>
          <w:color w:val="auto"/>
          <w:sz w:val="32"/>
          <w:szCs w:val="32"/>
          <w:highlight w:val="none"/>
        </w:rPr>
        <w:t>应及时报告</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核实，查明原因和责任，</w:t>
      </w:r>
      <w:r>
        <w:rPr>
          <w:rFonts w:hint="eastAsia" w:ascii="Times New Roman" w:hAnsi="Times New Roman" w:eastAsia="仿宋_GB2312" w:cs="Times New Roman"/>
          <w:color w:val="auto"/>
          <w:sz w:val="32"/>
          <w:szCs w:val="32"/>
          <w:highlight w:val="none"/>
          <w:lang w:val="en-US" w:eastAsia="zh-CN"/>
        </w:rPr>
        <w:t>按规定</w:t>
      </w:r>
      <w:r>
        <w:rPr>
          <w:rFonts w:hint="default" w:ascii="Times New Roman" w:hAnsi="Times New Roman" w:eastAsia="仿宋_GB2312" w:cs="Times New Roman"/>
          <w:color w:val="auto"/>
          <w:sz w:val="32"/>
          <w:szCs w:val="32"/>
          <w:highlight w:val="none"/>
        </w:rPr>
        <w:t>进行处置。</w:t>
      </w:r>
    </w:p>
    <w:p w14:paraId="483C0B8F">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8.5.9</w:t>
      </w:r>
      <w:r>
        <w:rPr>
          <w:rFonts w:hint="eastAsia" w:ascii="仿宋_GB2312" w:hAnsi="仿宋_GB2312" w:eastAsia="仿宋_GB2312" w:cs="仿宋_GB2312"/>
          <w:color w:val="auto"/>
          <w:sz w:val="32"/>
          <w:szCs w:val="32"/>
          <w:highlight w:val="none"/>
          <w:u w:val="none"/>
          <w:lang w:val="en-US" w:eastAsia="zh-CN"/>
        </w:rPr>
        <w:t>鼓励运用物联</w:t>
      </w:r>
      <w:r>
        <w:rPr>
          <w:rFonts w:hint="default" w:ascii="仿宋_GB2312" w:hAnsi="仿宋_GB2312" w:eastAsia="仿宋_GB2312" w:cs="仿宋_GB2312"/>
          <w:color w:val="auto"/>
          <w:sz w:val="32"/>
          <w:szCs w:val="32"/>
          <w:highlight w:val="none"/>
          <w:u w:val="none"/>
          <w:lang w:eastAsia="zh-CN"/>
          <w:woUserID w:val="2"/>
        </w:rPr>
        <w:t>网</w:t>
      </w:r>
      <w:r>
        <w:rPr>
          <w:rFonts w:hint="eastAsia" w:ascii="仿宋_GB2312" w:hAnsi="仿宋_GB2312" w:eastAsia="仿宋_GB2312" w:cs="仿宋_GB2312"/>
          <w:color w:val="auto"/>
          <w:sz w:val="32"/>
          <w:szCs w:val="32"/>
          <w:highlight w:val="none"/>
          <w:u w:val="none"/>
          <w:lang w:val="en-US" w:eastAsia="zh-CN"/>
        </w:rPr>
        <w:t>等现代技术，对重点区域的古树名木实行可视化、智能化监管。</w:t>
      </w:r>
    </w:p>
    <w:p w14:paraId="1B8BE30B">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b/>
          <w:bCs/>
          <w:color w:val="auto"/>
          <w:sz w:val="32"/>
          <w:szCs w:val="32"/>
          <w:highlight w:val="none"/>
          <w:u w:val="none"/>
          <w:lang w:val="en-US" w:eastAsia="zh-CN"/>
        </w:rPr>
        <w:t>8.5.10</w:t>
      </w:r>
      <w:r>
        <w:rPr>
          <w:rFonts w:hint="eastAsia" w:ascii="仿宋_GB2312" w:hAnsi="仿宋_GB2312" w:eastAsia="仿宋_GB2312" w:cs="仿宋_GB2312"/>
          <w:color w:val="auto"/>
          <w:sz w:val="32"/>
          <w:szCs w:val="32"/>
          <w:highlight w:val="none"/>
          <w:u w:val="none"/>
          <w:lang w:val="en-US" w:eastAsia="zh-CN"/>
        </w:rPr>
        <w:t>倡导单位和个人参与举报、劝阻损害古树名木大树及其生境的行为。</w:t>
      </w:r>
    </w:p>
    <w:p w14:paraId="1613E218">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rPr>
          <w:rFonts w:hint="eastAsia" w:ascii="仿宋_GB2312" w:hAnsi="仿宋_GB2312" w:eastAsia="仿宋_GB2312" w:cs="仿宋_GB2312"/>
          <w:color w:val="auto"/>
          <w:sz w:val="32"/>
          <w:szCs w:val="32"/>
          <w:highlight w:val="none"/>
          <w:u w:val="none"/>
          <w:lang w:val="en-US" w:eastAsia="zh-CN"/>
        </w:rPr>
      </w:pPr>
    </w:p>
    <w:p w14:paraId="6F4FA934">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0"/>
        <w:rPr>
          <w:rFonts w:hint="default" w:ascii="黑体" w:hAnsi="黑体" w:eastAsia="黑体" w:cs="黑体"/>
          <w:b w:val="0"/>
          <w:bCs w:val="0"/>
          <w:color w:val="auto"/>
          <w:kern w:val="2"/>
          <w:sz w:val="36"/>
          <w:szCs w:val="36"/>
          <w:highlight w:val="none"/>
          <w:u w:val="none"/>
          <w:lang w:val="en-US" w:eastAsia="zh-CN" w:bidi="ar-SA"/>
        </w:rPr>
      </w:pPr>
      <w:bookmarkStart w:id="190" w:name="_Toc27195"/>
      <w:bookmarkStart w:id="191" w:name="_Toc29845"/>
      <w:bookmarkStart w:id="192" w:name="_Toc505"/>
      <w:r>
        <w:rPr>
          <w:rFonts w:hint="eastAsia" w:ascii="黑体" w:hAnsi="黑体" w:eastAsia="黑体" w:cs="黑体"/>
          <w:b w:val="0"/>
          <w:bCs w:val="0"/>
          <w:color w:val="auto"/>
          <w:kern w:val="2"/>
          <w:sz w:val="36"/>
          <w:szCs w:val="36"/>
          <w:highlight w:val="none"/>
          <w:u w:val="none"/>
          <w:lang w:val="en-US" w:eastAsia="zh-CN" w:bidi="ar-SA"/>
        </w:rPr>
        <w:t>9</w:t>
      </w:r>
      <w:r>
        <w:rPr>
          <w:rFonts w:hint="default" w:ascii="黑体" w:hAnsi="黑体" w:eastAsia="黑体" w:cs="黑体"/>
          <w:b w:val="0"/>
          <w:bCs w:val="0"/>
          <w:color w:val="auto"/>
          <w:kern w:val="2"/>
          <w:sz w:val="36"/>
          <w:szCs w:val="36"/>
          <w:highlight w:val="none"/>
          <w:u w:val="none"/>
          <w:lang w:val="en-US" w:eastAsia="zh-CN" w:bidi="ar-SA"/>
        </w:rPr>
        <w:fldChar w:fldCharType="begin"/>
      </w:r>
      <w:r>
        <w:rPr>
          <w:rFonts w:hint="default" w:ascii="黑体" w:hAnsi="黑体" w:eastAsia="黑体" w:cs="黑体"/>
          <w:b w:val="0"/>
          <w:bCs w:val="0"/>
          <w:color w:val="auto"/>
          <w:kern w:val="2"/>
          <w:sz w:val="36"/>
          <w:szCs w:val="36"/>
          <w:highlight w:val="none"/>
          <w:u w:val="none"/>
          <w:lang w:val="en-US" w:eastAsia="zh-CN" w:bidi="ar-SA"/>
        </w:rPr>
        <w:instrText xml:space="preserve"> HYPERLINK \l _Toc19865 </w:instrText>
      </w:r>
      <w:r>
        <w:rPr>
          <w:rFonts w:hint="default" w:ascii="黑体" w:hAnsi="黑体" w:eastAsia="黑体" w:cs="黑体"/>
          <w:b w:val="0"/>
          <w:bCs w:val="0"/>
          <w:color w:val="auto"/>
          <w:kern w:val="2"/>
          <w:sz w:val="36"/>
          <w:szCs w:val="36"/>
          <w:highlight w:val="none"/>
          <w:u w:val="none"/>
          <w:lang w:val="en-US" w:eastAsia="zh-CN" w:bidi="ar-SA"/>
        </w:rPr>
        <w:fldChar w:fldCharType="separate"/>
      </w:r>
      <w:r>
        <w:rPr>
          <w:rFonts w:hint="default" w:ascii="黑体" w:hAnsi="黑体" w:eastAsia="黑体" w:cs="黑体"/>
          <w:b w:val="0"/>
          <w:bCs w:val="0"/>
          <w:color w:val="auto"/>
          <w:kern w:val="2"/>
          <w:sz w:val="36"/>
          <w:szCs w:val="36"/>
          <w:highlight w:val="none"/>
          <w:u w:val="none"/>
          <w:lang w:val="en-US" w:eastAsia="zh-CN" w:bidi="ar-SA"/>
        </w:rPr>
        <w:t>公共场所</w:t>
      </w:r>
      <w:r>
        <w:rPr>
          <w:rFonts w:hint="default" w:ascii="黑体" w:hAnsi="黑体" w:eastAsia="黑体" w:cs="黑体"/>
          <w:b w:val="0"/>
          <w:bCs w:val="0"/>
          <w:color w:val="auto"/>
          <w:kern w:val="2"/>
          <w:sz w:val="36"/>
          <w:szCs w:val="36"/>
          <w:highlight w:val="none"/>
          <w:u w:val="none"/>
          <w:lang w:val="en-US" w:eastAsia="zh-CN" w:bidi="ar-SA"/>
        </w:rPr>
        <w:fldChar w:fldCharType="end"/>
      </w:r>
      <w:bookmarkEnd w:id="190"/>
      <w:bookmarkEnd w:id="191"/>
      <w:bookmarkEnd w:id="192"/>
    </w:p>
    <w:p w14:paraId="332D3D94">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eastAsia" w:ascii="仿宋_GB2312" w:hAnsi="仿宋_GB2312" w:eastAsia="仿宋_GB2312" w:cs="仿宋_GB2312"/>
          <w:b/>
          <w:bCs/>
          <w:color w:val="auto"/>
          <w:kern w:val="2"/>
          <w:sz w:val="32"/>
          <w:szCs w:val="32"/>
          <w:highlight w:val="none"/>
          <w:u w:val="none"/>
          <w:lang w:val="en-US" w:eastAsia="zh-CN" w:bidi="ar-SA"/>
        </w:rPr>
      </w:pPr>
      <w:bookmarkStart w:id="193" w:name="_Toc5439"/>
      <w:bookmarkStart w:id="194" w:name="_Toc19721"/>
      <w:bookmarkStart w:id="195" w:name="_Toc9855"/>
      <w:r>
        <w:rPr>
          <w:rFonts w:hint="eastAsia" w:ascii="仿宋_GB2312" w:hAnsi="仿宋_GB2312" w:eastAsia="仿宋_GB2312" w:cs="仿宋_GB2312"/>
          <w:b/>
          <w:bCs/>
          <w:color w:val="auto"/>
          <w:kern w:val="2"/>
          <w:sz w:val="32"/>
          <w:szCs w:val="32"/>
          <w:highlight w:val="none"/>
          <w:u w:val="none"/>
          <w:lang w:val="en-US" w:eastAsia="zh-CN" w:bidi="ar-SA"/>
        </w:rPr>
        <w:t>9.1公共停车场</w:t>
      </w:r>
      <w:bookmarkEnd w:id="193"/>
      <w:bookmarkEnd w:id="194"/>
      <w:bookmarkEnd w:id="195"/>
    </w:p>
    <w:p w14:paraId="401569F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9.1.1</w:t>
      </w:r>
      <w:r>
        <w:rPr>
          <w:rFonts w:hint="eastAsia" w:ascii="仿宋_GB2312" w:hAnsi="仿宋_GB2312" w:eastAsia="仿宋_GB2312" w:cs="仿宋_GB2312"/>
          <w:color w:val="auto"/>
          <w:kern w:val="2"/>
          <w:sz w:val="32"/>
          <w:szCs w:val="32"/>
          <w:highlight w:val="none"/>
          <w:u w:val="none"/>
          <w:lang w:val="en-US" w:eastAsia="zh-CN" w:bidi="ar-SA"/>
        </w:rPr>
        <w:t>停车场交通设施设置及信息系统建设应符合地方规范。经营性停车场需按时按要求完成备案、</w:t>
      </w:r>
      <w:r>
        <w:rPr>
          <w:rFonts w:hint="eastAsia" w:ascii="仿宋_GB2312" w:hAnsi="仿宋_GB2312" w:eastAsia="仿宋_GB2312" w:cs="仿宋_GB2312"/>
          <w:color w:val="auto"/>
          <w:kern w:val="0"/>
          <w:sz w:val="32"/>
          <w:szCs w:val="32"/>
          <w:highlight w:val="none"/>
          <w:lang w:val="en-US" w:eastAsia="zh-CN" w:bidi="ar"/>
        </w:rPr>
        <w:t>停车场信息管理</w:t>
      </w:r>
      <w:r>
        <w:rPr>
          <w:rFonts w:hint="eastAsia" w:ascii="仿宋_GB2312" w:hAnsi="仿宋_GB2312" w:eastAsia="仿宋_GB2312" w:cs="仿宋_GB2312"/>
          <w:color w:val="auto"/>
          <w:kern w:val="2"/>
          <w:sz w:val="32"/>
          <w:szCs w:val="32"/>
          <w:highlight w:val="none"/>
          <w:u w:val="none"/>
          <w:lang w:val="en-US" w:eastAsia="zh-CN" w:bidi="ar-SA"/>
        </w:rPr>
        <w:t>系统接入、相关停车场基本信息及收费信息公示公布。</w:t>
      </w:r>
    </w:p>
    <w:p w14:paraId="74750C0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9.1.2</w:t>
      </w:r>
      <w:r>
        <w:rPr>
          <w:rFonts w:hint="eastAsia" w:ascii="仿宋_GB2312" w:hAnsi="仿宋_GB2312" w:eastAsia="仿宋_GB2312" w:cs="仿宋_GB2312"/>
          <w:color w:val="auto"/>
          <w:kern w:val="2"/>
          <w:sz w:val="32"/>
          <w:szCs w:val="32"/>
          <w:highlight w:val="none"/>
          <w:u w:val="none"/>
          <w:lang w:val="en-US" w:eastAsia="zh-CN" w:bidi="ar-SA"/>
        </w:rPr>
        <w:t>停车场的规划、设计与建设宜充分考虑各街区的整体形象、文化特色和景观要求，融入周边环境，避免对城市风貌造成负面影响，鼓励采用创新设计和生态技术，打造具有特色的停车场空间。</w:t>
      </w:r>
    </w:p>
    <w:p w14:paraId="2E57CFE9">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9.1.3</w:t>
      </w:r>
      <w:r>
        <w:rPr>
          <w:rFonts w:hint="eastAsia" w:ascii="仿宋_GB2312" w:hAnsi="仿宋_GB2312" w:eastAsia="仿宋_GB2312" w:cs="仿宋_GB2312"/>
          <w:color w:val="auto"/>
          <w:kern w:val="2"/>
          <w:sz w:val="32"/>
          <w:szCs w:val="32"/>
          <w:highlight w:val="none"/>
          <w:u w:val="none"/>
          <w:lang w:val="en-US" w:eastAsia="zh-CN" w:bidi="ar-SA"/>
        </w:rPr>
        <w:t>停车场内部应划分清晰的车位，确保车辆停放有序。停车场应设置明显的标识牌、指示灯、反光镜等，指示车辆进出口、各区域位置等信息；需要制定明确的停车收费标准，并在合适的位置公示，避免出现乱收费情况；停车场应定期进行巡查和维护，确保设施设备正常运行。</w:t>
      </w:r>
    </w:p>
    <w:p w14:paraId="25ECAF79">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9.1.4</w:t>
      </w:r>
      <w:r>
        <w:rPr>
          <w:rFonts w:hint="eastAsia" w:ascii="仿宋_GB2312" w:hAnsi="仿宋_GB2312" w:eastAsia="仿宋_GB2312" w:cs="仿宋_GB2312"/>
          <w:color w:val="auto"/>
          <w:kern w:val="2"/>
          <w:sz w:val="32"/>
          <w:szCs w:val="32"/>
          <w:highlight w:val="none"/>
          <w:u w:val="none"/>
          <w:lang w:val="en-US" w:eastAsia="zh-CN" w:bidi="ar-SA"/>
        </w:rPr>
        <w:t>停车场应按照国家相关消防标准配备齐全的消防设施，包括消火栓系统、自动喷水灭火系统、火灾自动报警系统、灭火器等。消防设施应定期进行检查、维护和保养，确保其性能完好，能够正常使用。</w:t>
      </w:r>
    </w:p>
    <w:p w14:paraId="3CC0FCBC">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9.1.5</w:t>
      </w:r>
      <w:r>
        <w:rPr>
          <w:rFonts w:hint="eastAsia" w:ascii="仿宋_GB2312" w:hAnsi="仿宋_GB2312" w:eastAsia="仿宋_GB2312" w:cs="仿宋_GB2312"/>
          <w:color w:val="auto"/>
          <w:kern w:val="2"/>
          <w:sz w:val="32"/>
          <w:szCs w:val="32"/>
          <w:highlight w:val="none"/>
          <w:u w:val="none"/>
          <w:lang w:val="en-US" w:eastAsia="zh-CN" w:bidi="ar-SA"/>
        </w:rPr>
        <w:t>停车场应提供方便快捷的缴费方式，如刷卡、移动支付等多种选择；应配建、加装电动汽车充电基础设施或者预留建设安装条件，配套用电设备、线路应当符合相关技术规范，保证用电安全，并组织专项验收合格后方可交付使用；可以与周边商业配套，提供优惠停车服务。</w:t>
      </w:r>
    </w:p>
    <w:p w14:paraId="1640652D">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9.1.6</w:t>
      </w:r>
      <w:r>
        <w:rPr>
          <w:rFonts w:hint="eastAsia" w:ascii="仿宋_GB2312" w:hAnsi="仿宋_GB2312" w:eastAsia="仿宋_GB2312" w:cs="仿宋_GB2312"/>
          <w:color w:val="auto"/>
          <w:kern w:val="2"/>
          <w:sz w:val="32"/>
          <w:szCs w:val="32"/>
          <w:highlight w:val="none"/>
          <w:u w:val="none"/>
          <w:lang w:val="en-US" w:eastAsia="zh-CN" w:bidi="ar-SA"/>
        </w:rPr>
        <w:t>停车场经营者应建立并公示管理制度，配备足够的工作人员，负责引导车辆停放、维护秩序等工作，确保停车场秩序良好。机动车停放者应按照管理人员的引导文明、有序停车。</w:t>
      </w:r>
    </w:p>
    <w:p w14:paraId="0E87BA21">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1"/>
        <w:rPr>
          <w:rFonts w:hint="eastAsia" w:ascii="仿宋_GB2312" w:hAnsi="仿宋_GB2312" w:eastAsia="仿宋_GB2312" w:cs="仿宋_GB2312"/>
          <w:b/>
          <w:bCs/>
          <w:color w:val="auto"/>
          <w:kern w:val="2"/>
          <w:sz w:val="32"/>
          <w:szCs w:val="32"/>
          <w:highlight w:val="none"/>
          <w:u w:val="none"/>
          <w:lang w:val="en-US" w:eastAsia="zh-CN" w:bidi="ar-SA"/>
        </w:rPr>
      </w:pPr>
      <w:bookmarkStart w:id="196" w:name="_Toc7887"/>
      <w:bookmarkStart w:id="197" w:name="_Toc15547"/>
      <w:bookmarkStart w:id="198" w:name="_Toc414"/>
      <w:r>
        <w:rPr>
          <w:rFonts w:hint="eastAsia" w:ascii="仿宋_GB2312" w:hAnsi="仿宋_GB2312" w:eastAsia="仿宋_GB2312" w:cs="仿宋_GB2312"/>
          <w:b/>
          <w:bCs/>
          <w:color w:val="auto"/>
          <w:kern w:val="2"/>
          <w:sz w:val="32"/>
          <w:szCs w:val="32"/>
          <w:highlight w:val="none"/>
          <w:u w:val="none"/>
          <w:lang w:val="en-US" w:eastAsia="zh-CN" w:bidi="ar-SA"/>
        </w:rPr>
        <w:t>9.2公交、轨道站点</w:t>
      </w:r>
      <w:bookmarkEnd w:id="196"/>
      <w:bookmarkEnd w:id="197"/>
      <w:bookmarkEnd w:id="198"/>
    </w:p>
    <w:p w14:paraId="56943FB4">
      <w:pPr>
        <w:pStyle w:val="22"/>
        <w:keepNext w:val="0"/>
        <w:keepLines w:val="0"/>
        <w:pageBreakBefore w:val="0"/>
        <w:kinsoku/>
        <w:wordWrap/>
        <w:overflowPunct/>
        <w:topLinePunct w:val="0"/>
        <w:bidi w:val="0"/>
        <w:spacing w:before="0" w:after="0" w:line="560" w:lineRule="exact"/>
        <w:ind w:left="0" w:leftChars="0" w:firstLine="0" w:firstLineChars="0"/>
        <w:jc w:val="both"/>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9.2.</w:t>
      </w:r>
      <w:r>
        <w:rPr>
          <w:rFonts w:hint="default" w:ascii="仿宋_GB2312" w:hAnsi="仿宋_GB2312" w:eastAsia="仿宋_GB2312" w:cs="仿宋_GB2312"/>
          <w:b/>
          <w:bCs/>
          <w:color w:val="auto"/>
          <w:kern w:val="0"/>
          <w:sz w:val="32"/>
          <w:szCs w:val="32"/>
          <w:highlight w:val="none"/>
          <w:lang w:val="en-US" w:eastAsia="zh-CN" w:bidi="ar"/>
        </w:rPr>
        <w:t>1</w:t>
      </w:r>
      <w:r>
        <w:rPr>
          <w:rFonts w:hint="default" w:ascii="仿宋_GB2312" w:hAnsi="仿宋_GB2312" w:eastAsia="仿宋_GB2312" w:cs="仿宋_GB2312"/>
          <w:color w:val="auto"/>
          <w:kern w:val="0"/>
          <w:sz w:val="32"/>
          <w:szCs w:val="32"/>
          <w:highlight w:val="none"/>
          <w:lang w:val="en-US" w:eastAsia="zh-CN" w:bidi="ar"/>
        </w:rPr>
        <w:t>不得非法占用城市公共交通场站或者出入口，以免危害公共交通运营安全。</w:t>
      </w:r>
    </w:p>
    <w:p w14:paraId="7CF52838">
      <w:pPr>
        <w:pStyle w:val="22"/>
        <w:keepNext w:val="0"/>
        <w:keepLines w:val="0"/>
        <w:pageBreakBefore w:val="0"/>
        <w:kinsoku/>
        <w:wordWrap/>
        <w:overflowPunct/>
        <w:topLinePunct w:val="0"/>
        <w:bidi w:val="0"/>
        <w:spacing w:before="0" w:after="0" w:line="560" w:lineRule="exact"/>
        <w:ind w:left="0" w:leftChars="0" w:firstLine="0" w:firstLineChars="0"/>
        <w:jc w:val="both"/>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9.2.2</w:t>
      </w:r>
      <w:r>
        <w:rPr>
          <w:rFonts w:hint="default" w:ascii="仿宋_GB2312" w:hAnsi="仿宋_GB2312" w:eastAsia="仿宋_GB2312" w:cs="仿宋_GB2312"/>
          <w:color w:val="auto"/>
          <w:kern w:val="0"/>
          <w:sz w:val="32"/>
          <w:szCs w:val="32"/>
          <w:highlight w:val="none"/>
          <w:lang w:val="en-US" w:eastAsia="zh-CN" w:bidi="ar"/>
        </w:rPr>
        <w:t>城市公共汽电车客运首末站和中途站应在规定位置公布线路票价、站点名称和服务时间。</w:t>
      </w:r>
    </w:p>
    <w:p w14:paraId="1BEEDB2A">
      <w:pPr>
        <w:pStyle w:val="22"/>
        <w:keepNext w:val="0"/>
        <w:keepLines w:val="0"/>
        <w:pageBreakBefore w:val="0"/>
        <w:kinsoku/>
        <w:wordWrap/>
        <w:overflowPunct/>
        <w:topLinePunct w:val="0"/>
        <w:bidi w:val="0"/>
        <w:spacing w:before="0" w:after="0" w:line="560" w:lineRule="exact"/>
        <w:ind w:left="0" w:leftChars="0" w:firstLine="0" w:firstLineChars="0"/>
        <w:jc w:val="both"/>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9.2.3</w:t>
      </w:r>
      <w:r>
        <w:rPr>
          <w:rFonts w:hint="default" w:ascii="仿宋_GB2312" w:hAnsi="仿宋_GB2312" w:eastAsia="仿宋_GB2312" w:cs="仿宋_GB2312"/>
          <w:color w:val="auto"/>
          <w:kern w:val="0"/>
          <w:sz w:val="32"/>
          <w:szCs w:val="32"/>
          <w:highlight w:val="none"/>
          <w:lang w:val="en-US" w:eastAsia="zh-CN" w:bidi="ar"/>
        </w:rPr>
        <w:t>乘客应当遵守乘车规则，文明乘车，勿在城市公共汽电车客运场站内饮酒、吸烟、乞讨或者乱扔废弃物。</w:t>
      </w:r>
    </w:p>
    <w:p w14:paraId="6CABA695">
      <w:pPr>
        <w:pStyle w:val="22"/>
        <w:keepNext w:val="0"/>
        <w:keepLines w:val="0"/>
        <w:pageBreakBefore w:val="0"/>
        <w:kinsoku/>
        <w:wordWrap/>
        <w:overflowPunct/>
        <w:topLinePunct w:val="0"/>
        <w:bidi w:val="0"/>
        <w:spacing w:before="0" w:after="0" w:line="560" w:lineRule="exact"/>
        <w:ind w:left="0" w:leftChars="0" w:firstLine="0" w:firstLineChars="0"/>
        <w:jc w:val="both"/>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9.2.4</w:t>
      </w:r>
      <w:r>
        <w:rPr>
          <w:rFonts w:hint="default" w:ascii="仿宋_GB2312" w:hAnsi="仿宋_GB2312" w:eastAsia="仿宋_GB2312" w:cs="仿宋_GB2312"/>
          <w:color w:val="auto"/>
          <w:kern w:val="0"/>
          <w:sz w:val="32"/>
          <w:szCs w:val="32"/>
          <w:highlight w:val="none"/>
          <w:lang w:val="en-US" w:eastAsia="zh-CN" w:bidi="ar"/>
        </w:rPr>
        <w:t>利用城市公共汽电车客运服务设施设置广告的，应当遵守有关广告管理的法律、法规及标准。广告设置不得有覆盖站牌标识和车辆运营标识、妨碍车辆行驶安全视线等影响运营安全的情形。</w:t>
      </w:r>
    </w:p>
    <w:p w14:paraId="37DA5538">
      <w:pPr>
        <w:pStyle w:val="22"/>
        <w:keepNext w:val="0"/>
        <w:keepLines w:val="0"/>
        <w:pageBreakBefore w:val="0"/>
        <w:kinsoku/>
        <w:wordWrap/>
        <w:overflowPunct/>
        <w:topLinePunct w:val="0"/>
        <w:bidi w:val="0"/>
        <w:spacing w:before="0" w:after="0" w:line="560" w:lineRule="exact"/>
        <w:ind w:left="0" w:leftChars="0" w:firstLine="0" w:firstLineChars="0"/>
        <w:jc w:val="both"/>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9.2.5</w:t>
      </w:r>
      <w:r>
        <w:rPr>
          <w:rFonts w:hint="default" w:ascii="仿宋_GB2312" w:hAnsi="仿宋_GB2312" w:eastAsia="仿宋_GB2312" w:cs="仿宋_GB2312"/>
          <w:color w:val="auto"/>
          <w:kern w:val="0"/>
          <w:sz w:val="32"/>
          <w:szCs w:val="32"/>
          <w:highlight w:val="none"/>
          <w:lang w:val="en-US" w:eastAsia="zh-CN" w:bidi="ar"/>
        </w:rPr>
        <w:t>具备条件的轨道车站应设置无障碍卫生间、婴儿护理台、儿童洗手盆等服务设施,宜开辟母婴室,设置自动售货机等便民服务设备,并设置引导标识。</w:t>
      </w:r>
    </w:p>
    <w:p w14:paraId="47F2F270">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9.2.6</w:t>
      </w:r>
      <w:r>
        <w:rPr>
          <w:rFonts w:hint="default" w:ascii="仿宋_GB2312" w:hAnsi="仿宋_GB2312" w:eastAsia="仿宋_GB2312" w:cs="仿宋_GB2312"/>
          <w:color w:val="auto"/>
          <w:kern w:val="0"/>
          <w:sz w:val="32"/>
          <w:szCs w:val="32"/>
          <w:highlight w:val="none"/>
          <w:lang w:val="en-US" w:eastAsia="zh-CN" w:bidi="ar"/>
        </w:rPr>
        <w:t>轨道车站客流流线设置、设施设备布局等应综合考虑反恐防范、安检、治安防范和消防安全需要。与火车站、汽车客运站、机场等相衔接的车站,应加强信息共享、标志接续、流线衔接等服务协同,提供的安检场地应为安检互认提供便利,以减少重复安检,提高通行效率和服务水平。</w:t>
      </w:r>
    </w:p>
    <w:p w14:paraId="6E02C1C5">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rPr>
          <w:rFonts w:hint="default" w:ascii="仿宋_GB2312" w:hAnsi="仿宋_GB2312" w:eastAsia="仿宋_GB2312" w:cs="仿宋_GB2312"/>
          <w:color w:val="auto"/>
          <w:kern w:val="0"/>
          <w:sz w:val="32"/>
          <w:szCs w:val="32"/>
          <w:highlight w:val="none"/>
          <w:lang w:val="en-US" w:eastAsia="zh-CN" w:bidi="ar"/>
        </w:rPr>
      </w:pPr>
    </w:p>
    <w:p w14:paraId="692B9A21">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rPr>
          <w:rFonts w:hint="default" w:ascii="黑体" w:hAnsi="黑体" w:eastAsia="黑体" w:cs="黑体"/>
          <w:b w:val="0"/>
          <w:bCs w:val="0"/>
          <w:color w:val="auto"/>
          <w:kern w:val="2"/>
          <w:sz w:val="36"/>
          <w:szCs w:val="36"/>
          <w:highlight w:val="none"/>
          <w:u w:val="none"/>
          <w:lang w:val="en-US" w:eastAsia="zh-CN" w:bidi="ar-SA"/>
        </w:rPr>
      </w:pPr>
    </w:p>
    <w:p w14:paraId="0D25625A">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rPr>
          <w:rFonts w:hint="default" w:ascii="黑体" w:hAnsi="黑体" w:eastAsia="黑体" w:cs="黑体"/>
          <w:b w:val="0"/>
          <w:bCs w:val="0"/>
          <w:color w:val="auto"/>
          <w:kern w:val="2"/>
          <w:sz w:val="36"/>
          <w:szCs w:val="36"/>
          <w:highlight w:val="none"/>
          <w:u w:val="none"/>
          <w:lang w:val="en-US" w:eastAsia="zh-CN" w:bidi="ar-SA"/>
        </w:rPr>
      </w:pPr>
    </w:p>
    <w:p w14:paraId="1C6EEC2F">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0"/>
        <w:rPr>
          <w:rFonts w:hint="default" w:ascii="黑体" w:hAnsi="黑体" w:eastAsia="黑体" w:cs="黑体"/>
          <w:b w:val="0"/>
          <w:bCs w:val="0"/>
          <w:strike w:val="0"/>
          <w:dstrike w:val="0"/>
          <w:color w:val="auto"/>
          <w:kern w:val="2"/>
          <w:sz w:val="36"/>
          <w:szCs w:val="36"/>
          <w:highlight w:val="none"/>
          <w:u w:val="none"/>
          <w:lang w:val="en-US" w:eastAsia="zh-CN" w:bidi="ar-SA"/>
        </w:rPr>
      </w:pPr>
      <w:bookmarkStart w:id="199" w:name="_Toc916"/>
      <w:bookmarkStart w:id="200" w:name="_Toc31308"/>
      <w:bookmarkStart w:id="201" w:name="_Toc3170"/>
      <w:r>
        <w:rPr>
          <w:rFonts w:hint="eastAsia" w:ascii="黑体" w:hAnsi="黑体" w:eastAsia="黑体" w:cs="黑体"/>
          <w:b w:val="0"/>
          <w:bCs w:val="0"/>
          <w:color w:val="auto"/>
          <w:kern w:val="2"/>
          <w:sz w:val="36"/>
          <w:szCs w:val="36"/>
          <w:highlight w:val="none"/>
          <w:u w:val="none"/>
          <w:lang w:val="en-US" w:eastAsia="zh-CN" w:bidi="ar-SA"/>
        </w:rPr>
        <w:t>10</w:t>
      </w:r>
      <w:r>
        <w:rPr>
          <w:rFonts w:hint="default" w:ascii="黑体" w:hAnsi="黑体" w:eastAsia="黑体" w:cs="黑体"/>
          <w:b w:val="0"/>
          <w:bCs w:val="0"/>
          <w:strike w:val="0"/>
          <w:dstrike w:val="0"/>
          <w:color w:val="auto"/>
          <w:kern w:val="2"/>
          <w:sz w:val="36"/>
          <w:szCs w:val="36"/>
          <w:highlight w:val="none"/>
          <w:u w:val="none"/>
          <w:lang w:val="en-US" w:eastAsia="zh-CN" w:bidi="ar-SA"/>
        </w:rPr>
        <w:t>水域环境</w:t>
      </w:r>
      <w:bookmarkEnd w:id="199"/>
      <w:bookmarkEnd w:id="200"/>
      <w:bookmarkEnd w:id="201"/>
    </w:p>
    <w:p w14:paraId="73E49402">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10.1</w:t>
      </w:r>
      <w:r>
        <w:rPr>
          <w:rFonts w:hint="eastAsia" w:ascii="仿宋_GB2312" w:hAnsi="仿宋_GB2312" w:eastAsia="仿宋_GB2312" w:cs="仿宋_GB2312"/>
          <w:b w:val="0"/>
          <w:bCs w:val="0"/>
          <w:color w:val="auto"/>
          <w:kern w:val="2"/>
          <w:sz w:val="32"/>
          <w:szCs w:val="32"/>
          <w:highlight w:val="none"/>
          <w:u w:val="none"/>
          <w:lang w:val="en-US" w:eastAsia="zh-CN" w:bidi="ar-SA"/>
        </w:rPr>
        <w:t>城镇内与大江大河干（支）流连通的河流、湖泊等天然水域应维持完整的生态系统及地表水（或地下水）水质保护目标值。城镇内为市民提供观赏水景类封闭水域应保持水体清洁、无异味、无漂浮垃圾、内循环不外流，符合贵州省城镇容貌标准规定，水质标准宜根据城市管理需求进行分级管理。观赏水景类水域与河道类、湖泊类天然水域发生连通的应根据受纳水域水质保护目标值确定观赏水景类水域环境保护目标值。</w:t>
      </w:r>
    </w:p>
    <w:p w14:paraId="637ECAE1">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10.2</w:t>
      </w:r>
      <w:r>
        <w:rPr>
          <w:rFonts w:hint="eastAsia" w:ascii="仿宋_GB2312" w:hAnsi="仿宋_GB2312" w:eastAsia="仿宋_GB2312" w:cs="仿宋_GB2312"/>
          <w:b w:val="0"/>
          <w:bCs w:val="0"/>
          <w:color w:val="auto"/>
          <w:kern w:val="2"/>
          <w:sz w:val="32"/>
          <w:szCs w:val="32"/>
          <w:highlight w:val="none"/>
          <w:u w:val="none"/>
          <w:lang w:val="en-US" w:eastAsia="zh-CN" w:bidi="ar-SA"/>
        </w:rPr>
        <w:t>城镇内纳入市级河湖名录管理的河流、湖泊水质应达到贵阳市水功能区划要求,其他未明确的溪流、水库水质目标由属地政府结合管理实际情况确定。</w:t>
      </w:r>
    </w:p>
    <w:p w14:paraId="6F3F1D7A">
      <w:pPr>
        <w:pStyle w:val="27"/>
        <w:pageBreakBefore w:val="0"/>
        <w:widowControl w:val="0"/>
        <w:numPr>
          <w:ilvl w:val="0"/>
          <w:numId w:val="0"/>
        </w:numPr>
        <w:kinsoku/>
        <w:wordWrap/>
        <w:overflowPunct/>
        <w:topLinePunct w:val="0"/>
        <w:bidi w:val="0"/>
        <w:adjustRightInd w:val="0"/>
        <w:snapToGrid w:val="0"/>
        <w:spacing w:before="0" w:after="0" w:line="560" w:lineRule="exact"/>
        <w:ind w:left="0" w:leftChars="0" w:firstLine="0" w:firstLineChars="0"/>
        <w:jc w:val="left"/>
        <w:outlineLvl w:val="9"/>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bCs/>
          <w:color w:val="auto"/>
          <w:kern w:val="2"/>
          <w:sz w:val="32"/>
          <w:szCs w:val="32"/>
          <w:highlight w:val="none"/>
          <w:u w:val="none"/>
          <w:lang w:val="en-US" w:eastAsia="zh-CN" w:bidi="ar-SA"/>
        </w:rPr>
        <w:t>10.3</w:t>
      </w:r>
      <w:r>
        <w:rPr>
          <w:rFonts w:hint="eastAsia" w:ascii="仿宋_GB2312" w:hAnsi="仿宋_GB2312" w:eastAsia="仿宋_GB2312" w:cs="仿宋_GB2312"/>
          <w:b w:val="0"/>
          <w:bCs w:val="0"/>
          <w:color w:val="auto"/>
          <w:kern w:val="2"/>
          <w:sz w:val="32"/>
          <w:szCs w:val="32"/>
          <w:highlight w:val="none"/>
          <w:u w:val="none"/>
          <w:lang w:val="en-US" w:eastAsia="zh-CN" w:bidi="ar-SA"/>
        </w:rPr>
        <w:t>滨水建筑、滨水功能区规划设计应符合城市防洪、排洪标准、相关技术规则和安全规范，符合《中华人民共和国防洪法》规定，河道</w:t>
      </w:r>
      <w:r>
        <w:rPr>
          <w:rFonts w:hint="default" w:ascii="仿宋_GB2312" w:hAnsi="仿宋_GB2312" w:eastAsia="仿宋_GB2312" w:cs="仿宋_GB2312"/>
          <w:b w:val="0"/>
          <w:bCs w:val="0"/>
          <w:color w:val="auto"/>
          <w:kern w:val="2"/>
          <w:sz w:val="32"/>
          <w:szCs w:val="32"/>
          <w:highlight w:val="none"/>
          <w:u w:val="none"/>
          <w:lang w:val="en-US" w:eastAsia="zh-CN" w:bidi="ar-SA"/>
        </w:rPr>
        <w:t>滨水景观设计应优先采用生态护岸，植被覆盖率不低于70%，避免大面积硬质铺装。</w:t>
      </w:r>
    </w:p>
    <w:p w14:paraId="4C49A422">
      <w:pPr>
        <w:pStyle w:val="27"/>
        <w:pageBreakBefore w:val="0"/>
        <w:widowControl w:val="0"/>
        <w:numPr>
          <w:ilvl w:val="0"/>
          <w:numId w:val="0"/>
        </w:numPr>
        <w:kinsoku/>
        <w:wordWrap/>
        <w:overflowPunct/>
        <w:topLinePunct w:val="0"/>
        <w:bidi w:val="0"/>
        <w:adjustRightInd w:val="0"/>
        <w:snapToGrid w:val="0"/>
        <w:spacing w:before="0" w:after="0" w:line="560" w:lineRule="exact"/>
        <w:ind w:left="0" w:leftChars="0" w:firstLine="0" w:firstLineChars="0"/>
        <w:jc w:val="left"/>
        <w:outlineLvl w:val="9"/>
        <w:rPr>
          <w:rFonts w:hint="default" w:ascii="仿宋_GB2312" w:hAnsi="仿宋_GB2312" w:eastAsia="仿宋_GB2312" w:cs="仿宋_GB2312"/>
          <w:b w:val="0"/>
          <w:bCs w:val="0"/>
          <w:color w:val="auto"/>
          <w:kern w:val="2"/>
          <w:sz w:val="32"/>
          <w:szCs w:val="32"/>
          <w:highlight w:val="none"/>
          <w:u w:val="none"/>
          <w:lang w:val="en-US" w:eastAsia="zh-CN" w:bidi="ar-SA"/>
        </w:rPr>
      </w:pPr>
    </w:p>
    <w:p w14:paraId="60BD526E">
      <w:pPr>
        <w:pStyle w:val="27"/>
        <w:pageBreakBefore w:val="0"/>
        <w:widowControl w:val="0"/>
        <w:numPr>
          <w:ilvl w:val="0"/>
          <w:numId w:val="0"/>
        </w:numPr>
        <w:kinsoku/>
        <w:wordWrap/>
        <w:overflowPunct/>
        <w:topLinePunct w:val="0"/>
        <w:bidi w:val="0"/>
        <w:adjustRightInd w:val="0"/>
        <w:snapToGrid w:val="0"/>
        <w:spacing w:before="0" w:after="0" w:line="560" w:lineRule="exact"/>
        <w:ind w:leftChars="0"/>
        <w:jc w:val="center"/>
        <w:outlineLvl w:val="9"/>
        <w:rPr>
          <w:rFonts w:hint="eastAsia" w:ascii="仿宋_GB2312" w:hAnsi="仿宋_GB2312" w:eastAsia="仿宋_GB2312" w:cs="仿宋_GB2312"/>
          <w:b w:val="0"/>
          <w:bCs w:val="0"/>
          <w:color w:val="auto"/>
          <w:kern w:val="2"/>
          <w:sz w:val="32"/>
          <w:szCs w:val="32"/>
          <w:highlight w:val="none"/>
          <w:u w:val="none"/>
          <w:lang w:val="en-US" w:eastAsia="zh-CN" w:bidi="ar-SA"/>
        </w:rPr>
      </w:pPr>
    </w:p>
    <w:p w14:paraId="5FDFA6A7">
      <w:pPr>
        <w:rPr>
          <w:rFonts w:hint="eastAsia" w:ascii="黑体" w:hAnsi="黑体" w:eastAsia="黑体" w:cs="黑体"/>
          <w:b w:val="0"/>
          <w:bCs w:val="0"/>
          <w:color w:val="auto"/>
          <w:kern w:val="2"/>
          <w:sz w:val="32"/>
          <w:szCs w:val="32"/>
          <w:highlight w:val="none"/>
          <w:u w:val="none"/>
          <w:lang w:val="en-US" w:eastAsia="zh-CN" w:bidi="ar-SA"/>
        </w:rPr>
      </w:pPr>
      <w:r>
        <w:rPr>
          <w:rFonts w:hint="eastAsia" w:ascii="黑体" w:hAnsi="黑体" w:eastAsia="黑体" w:cs="黑体"/>
          <w:b w:val="0"/>
          <w:bCs w:val="0"/>
          <w:color w:val="auto"/>
          <w:kern w:val="2"/>
          <w:sz w:val="32"/>
          <w:szCs w:val="32"/>
          <w:highlight w:val="none"/>
          <w:u w:val="none"/>
          <w:lang w:val="en-US" w:eastAsia="zh-CN" w:bidi="ar-SA"/>
        </w:rPr>
        <w:br w:type="page"/>
      </w:r>
    </w:p>
    <w:p w14:paraId="5A3AD97A">
      <w:pPr>
        <w:pStyle w:val="27"/>
        <w:pageBreakBefore w:val="0"/>
        <w:widowControl w:val="0"/>
        <w:numPr>
          <w:ilvl w:val="0"/>
          <w:numId w:val="0"/>
        </w:numPr>
        <w:kinsoku/>
        <w:wordWrap/>
        <w:overflowPunct/>
        <w:topLinePunct w:val="0"/>
        <w:bidi w:val="0"/>
        <w:adjustRightInd w:val="0"/>
        <w:snapToGrid w:val="0"/>
        <w:spacing w:before="0" w:after="0" w:line="560" w:lineRule="exact"/>
        <w:ind w:leftChars="0"/>
        <w:jc w:val="both"/>
        <w:outlineLvl w:val="0"/>
        <w:rPr>
          <w:rFonts w:hint="eastAsia" w:ascii="黑体" w:hAnsi="黑体" w:eastAsia="黑体" w:cs="黑体"/>
          <w:b w:val="0"/>
          <w:bCs w:val="0"/>
          <w:color w:val="auto"/>
          <w:kern w:val="2"/>
          <w:sz w:val="32"/>
          <w:szCs w:val="32"/>
          <w:highlight w:val="none"/>
          <w:u w:val="none"/>
          <w:lang w:val="en-US" w:eastAsia="zh-CN" w:bidi="ar-SA"/>
        </w:rPr>
      </w:pPr>
      <w:bookmarkStart w:id="202" w:name="_Toc14977"/>
      <w:bookmarkStart w:id="203" w:name="_Toc29756"/>
      <w:bookmarkStart w:id="204" w:name="_Toc26513"/>
      <w:r>
        <w:rPr>
          <w:rFonts w:hint="eastAsia" w:ascii="黑体" w:hAnsi="黑体" w:eastAsia="黑体" w:cs="黑体"/>
          <w:b w:val="0"/>
          <w:bCs w:val="0"/>
          <w:color w:val="auto"/>
          <w:kern w:val="2"/>
          <w:sz w:val="32"/>
          <w:szCs w:val="32"/>
          <w:highlight w:val="none"/>
          <w:u w:val="none"/>
          <w:lang w:val="en-US" w:eastAsia="zh-CN" w:bidi="ar-SA"/>
        </w:rPr>
        <w:t>附录1道路保洁分级管理指标</w:t>
      </w:r>
      <w:bookmarkEnd w:id="202"/>
      <w:bookmarkEnd w:id="203"/>
      <w:bookmarkEnd w:id="204"/>
    </w:p>
    <w:p w14:paraId="71B09C13">
      <w:pPr>
        <w:pStyle w:val="27"/>
        <w:pageBreakBefore w:val="0"/>
        <w:widowControl w:val="0"/>
        <w:numPr>
          <w:ilvl w:val="0"/>
          <w:numId w:val="0"/>
        </w:numPr>
        <w:kinsoku/>
        <w:wordWrap/>
        <w:overflowPunct/>
        <w:topLinePunct w:val="0"/>
        <w:bidi w:val="0"/>
        <w:adjustRightInd w:val="0"/>
        <w:snapToGrid w:val="0"/>
        <w:spacing w:before="0" w:after="0" w:line="560" w:lineRule="exact"/>
        <w:ind w:left="0" w:leftChars="0" w:firstLine="640" w:firstLineChars="200"/>
        <w:jc w:val="left"/>
        <w:outlineLvl w:val="9"/>
        <w:rPr>
          <w:rFonts w:hint="eastAsia" w:ascii="仿宋_GB2312" w:hAnsi="Times New Roman" w:eastAsia="仿宋_GB2312" w:cs="Times New Roman"/>
          <w:color w:val="auto"/>
          <w:kern w:val="2"/>
          <w:sz w:val="32"/>
          <w:szCs w:val="32"/>
          <w:highlight w:val="none"/>
          <w:u w:val="none"/>
          <w:shd w:val="clear" w:color="auto" w:fill="FFFFFF"/>
          <w:lang w:val="en-US" w:eastAsia="zh-CN"/>
        </w:rPr>
      </w:pPr>
      <w:r>
        <w:rPr>
          <w:rFonts w:hint="eastAsia" w:ascii="仿宋_GB2312" w:hAnsi="Times New Roman" w:eastAsia="仿宋_GB2312" w:cs="Times New Roman"/>
          <w:color w:val="auto"/>
          <w:kern w:val="2"/>
          <w:sz w:val="32"/>
          <w:szCs w:val="32"/>
          <w:highlight w:val="none"/>
          <w:u w:val="none"/>
          <w:shd w:val="clear" w:color="auto" w:fill="FFFFFF"/>
        </w:rPr>
        <w:t>道路的清扫保洁等级</w:t>
      </w:r>
      <w:r>
        <w:rPr>
          <w:rFonts w:hint="eastAsia" w:ascii="仿宋_GB2312" w:hAnsi="Times New Roman" w:eastAsia="仿宋_GB2312" w:cs="Times New Roman"/>
          <w:color w:val="auto"/>
          <w:kern w:val="2"/>
          <w:sz w:val="32"/>
          <w:szCs w:val="32"/>
          <w:highlight w:val="none"/>
          <w:u w:val="none"/>
          <w:shd w:val="clear" w:color="auto" w:fill="FFFFFF"/>
          <w:lang w:eastAsia="zh-CN"/>
        </w:rPr>
        <w:t>划分应符合《城市道路清扫保洁与质量评价标准》CJJ/T126-2022</w:t>
      </w:r>
      <w:r>
        <w:rPr>
          <w:rFonts w:hint="eastAsia" w:ascii="仿宋_GB2312" w:hAnsi="Times New Roman" w:eastAsia="仿宋_GB2312" w:cs="Times New Roman"/>
          <w:color w:val="auto"/>
          <w:kern w:val="2"/>
          <w:sz w:val="32"/>
          <w:szCs w:val="32"/>
          <w:highlight w:val="none"/>
          <w:u w:val="none"/>
          <w:shd w:val="clear" w:color="auto" w:fill="FFFFFF"/>
          <w:lang w:val="en-US" w:eastAsia="zh-CN"/>
        </w:rPr>
        <w:t>中规定。</w:t>
      </w:r>
    </w:p>
    <w:p w14:paraId="415B9117">
      <w:pPr>
        <w:pStyle w:val="27"/>
        <w:pageBreakBefore w:val="0"/>
        <w:widowControl w:val="0"/>
        <w:numPr>
          <w:ilvl w:val="0"/>
          <w:numId w:val="0"/>
        </w:numPr>
        <w:kinsoku/>
        <w:wordWrap/>
        <w:overflowPunct/>
        <w:topLinePunct w:val="0"/>
        <w:bidi w:val="0"/>
        <w:adjustRightInd w:val="0"/>
        <w:snapToGrid w:val="0"/>
        <w:spacing w:before="0" w:after="0" w:line="560" w:lineRule="exact"/>
        <w:ind w:leftChars="0"/>
        <w:jc w:val="center"/>
        <w:outlineLvl w:val="0"/>
        <w:rPr>
          <w:rFonts w:hint="eastAsia" w:ascii="黑体" w:hAnsi="黑体" w:eastAsia="黑体" w:cs="黑体"/>
          <w:b w:val="0"/>
          <w:bCs w:val="0"/>
          <w:color w:val="auto"/>
          <w:kern w:val="2"/>
          <w:sz w:val="28"/>
          <w:szCs w:val="28"/>
          <w:highlight w:val="none"/>
          <w:u w:val="none"/>
          <w:lang w:val="en-US" w:eastAsia="zh-CN" w:bidi="ar-SA"/>
        </w:rPr>
      </w:pPr>
      <w:bookmarkStart w:id="205" w:name="_Toc19329"/>
      <w:bookmarkStart w:id="206" w:name="_Toc13312"/>
      <w:bookmarkStart w:id="207" w:name="_Toc17008"/>
      <w:r>
        <w:rPr>
          <w:rFonts w:hint="eastAsia" w:ascii="黑体" w:hAnsi="黑体" w:eastAsia="黑体" w:cs="黑体"/>
          <w:b w:val="0"/>
          <w:bCs w:val="0"/>
          <w:color w:val="auto"/>
          <w:kern w:val="2"/>
          <w:sz w:val="28"/>
          <w:szCs w:val="28"/>
          <w:highlight w:val="none"/>
          <w:u w:val="none"/>
          <w:lang w:val="en-US" w:eastAsia="zh-CN" w:bidi="ar-SA"/>
        </w:rPr>
        <w:t>附表1.1城市道路清扫保洁等级</w:t>
      </w:r>
      <w:bookmarkEnd w:id="205"/>
      <w:bookmarkEnd w:id="206"/>
      <w:bookmarkEnd w:id="207"/>
    </w:p>
    <w:tbl>
      <w:tblPr>
        <w:tblStyle w:val="18"/>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0" w:type="dxa"/>
          <w:left w:w="128" w:type="dxa"/>
          <w:bottom w:w="80" w:type="dxa"/>
          <w:right w:w="128" w:type="dxa"/>
        </w:tblCellMar>
      </w:tblPr>
      <w:tblGrid>
        <w:gridCol w:w="965"/>
        <w:gridCol w:w="8096"/>
      </w:tblGrid>
      <w:tr w14:paraId="5344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tblHeader/>
          <w:jc w:val="center"/>
        </w:trPr>
        <w:tc>
          <w:tcPr>
            <w:tcW w:w="965" w:type="dxa"/>
            <w:noWrap w:val="0"/>
            <w:vAlign w:val="center"/>
          </w:tcPr>
          <w:p w14:paraId="5081BD26">
            <w:pPr>
              <w:pStyle w:val="22"/>
              <w:keepNext w:val="0"/>
              <w:keepLines w:val="0"/>
              <w:pageBreakBefore w:val="0"/>
              <w:kinsoku/>
              <w:wordWrap/>
              <w:overflowPunct/>
              <w:topLinePunct w:val="0"/>
              <w:bidi w:val="0"/>
              <w:snapToGrid w:val="0"/>
              <w:spacing w:before="0" w:after="0" w:line="240" w:lineRule="atLeast"/>
              <w:ind w:left="0" w:leftChars="0" w:firstLine="0" w:firstLineChars="0"/>
              <w:jc w:val="center"/>
              <w:textAlignment w:val="auto"/>
              <w:rPr>
                <w:rFonts w:hint="eastAsia" w:ascii="黑体" w:hAnsi="黑体" w:eastAsia="黑体" w:cs="黑体"/>
                <w:b/>
                <w:bCs w:val="0"/>
                <w:color w:val="auto"/>
                <w:kern w:val="2"/>
                <w:sz w:val="28"/>
                <w:szCs w:val="28"/>
                <w:highlight w:val="none"/>
                <w:u w:val="none"/>
                <w:lang w:val="en-US" w:eastAsia="zh-CN" w:bidi="ar-SA"/>
              </w:rPr>
            </w:pPr>
            <w:r>
              <w:rPr>
                <w:rFonts w:hint="eastAsia" w:ascii="黑体" w:hAnsi="黑体" w:eastAsia="黑体" w:cs="黑体"/>
                <w:b/>
                <w:bCs w:val="0"/>
                <w:color w:val="auto"/>
                <w:kern w:val="2"/>
                <w:sz w:val="28"/>
                <w:szCs w:val="28"/>
                <w:highlight w:val="none"/>
                <w:u w:val="none"/>
                <w:lang w:val="en-US" w:eastAsia="zh-CN" w:bidi="ar-SA"/>
              </w:rPr>
              <w:t>等级</w:t>
            </w:r>
          </w:p>
        </w:tc>
        <w:tc>
          <w:tcPr>
            <w:tcW w:w="8096" w:type="dxa"/>
            <w:noWrap w:val="0"/>
            <w:vAlign w:val="center"/>
          </w:tcPr>
          <w:p w14:paraId="2ED45304">
            <w:pPr>
              <w:pStyle w:val="22"/>
              <w:keepNext w:val="0"/>
              <w:keepLines w:val="0"/>
              <w:pageBreakBefore w:val="0"/>
              <w:kinsoku/>
              <w:wordWrap/>
              <w:overflowPunct/>
              <w:topLinePunct w:val="0"/>
              <w:bidi w:val="0"/>
              <w:snapToGrid w:val="0"/>
              <w:spacing w:before="0" w:after="0" w:line="240" w:lineRule="atLeast"/>
              <w:ind w:left="0" w:leftChars="0" w:firstLine="0" w:firstLineChars="0"/>
              <w:jc w:val="center"/>
              <w:textAlignment w:val="auto"/>
              <w:rPr>
                <w:rFonts w:hint="eastAsia" w:ascii="黑体" w:hAnsi="黑体" w:eastAsia="黑体" w:cs="黑体"/>
                <w:b/>
                <w:bCs w:val="0"/>
                <w:color w:val="auto"/>
                <w:kern w:val="2"/>
                <w:sz w:val="28"/>
                <w:szCs w:val="28"/>
                <w:highlight w:val="none"/>
                <w:u w:val="none"/>
                <w:lang w:val="en-US" w:eastAsia="zh-CN" w:bidi="ar-SA"/>
              </w:rPr>
            </w:pPr>
            <w:r>
              <w:rPr>
                <w:rFonts w:hint="eastAsia" w:ascii="黑体" w:hAnsi="黑体" w:eastAsia="黑体" w:cs="黑体"/>
                <w:b/>
                <w:bCs w:val="0"/>
                <w:color w:val="auto"/>
                <w:kern w:val="2"/>
                <w:sz w:val="28"/>
                <w:szCs w:val="28"/>
                <w:highlight w:val="none"/>
                <w:u w:val="none"/>
                <w:lang w:val="en-US" w:eastAsia="zh-CN" w:bidi="ar-SA"/>
              </w:rPr>
              <w:t>划分条件</w:t>
            </w:r>
          </w:p>
        </w:tc>
      </w:tr>
      <w:tr w14:paraId="4527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965" w:type="dxa"/>
            <w:noWrap w:val="0"/>
            <w:vAlign w:val="center"/>
          </w:tcPr>
          <w:p w14:paraId="4438D52F">
            <w:pPr>
              <w:pStyle w:val="22"/>
              <w:keepNext w:val="0"/>
              <w:keepLines w:val="0"/>
              <w:pageBreakBefore w:val="0"/>
              <w:kinsoku/>
              <w:wordWrap/>
              <w:overflowPunct/>
              <w:topLinePunct w:val="0"/>
              <w:bidi w:val="0"/>
              <w:snapToGrid w:val="0"/>
              <w:spacing w:before="0" w:after="0" w:line="240" w:lineRule="atLeast"/>
              <w:ind w:left="0" w:leftChars="0" w:firstLine="0" w:firstLineChars="0"/>
              <w:jc w:val="center"/>
              <w:textAlignment w:val="auto"/>
              <w:rPr>
                <w:rFonts w:hint="eastAsia" w:ascii="仿宋_GB2312" w:hAnsi="仿宋_GB2312" w:eastAsia="仿宋_GB2312" w:cs="仿宋_GB2312"/>
                <w:b w:val="0"/>
                <w:bCs w:val="0"/>
                <w:color w:val="auto"/>
                <w:kern w:val="2"/>
                <w:sz w:val="28"/>
                <w:szCs w:val="28"/>
                <w:highlight w:val="none"/>
                <w:u w:val="none"/>
                <w:lang w:val="en-US" w:eastAsia="zh-CN" w:bidi="ar-SA"/>
              </w:rPr>
            </w:pPr>
            <w:r>
              <w:rPr>
                <w:rFonts w:hint="eastAsia" w:ascii="仿宋_GB2312" w:hAnsi="仿宋_GB2312" w:eastAsia="仿宋_GB2312" w:cs="仿宋_GB2312"/>
                <w:b w:val="0"/>
                <w:bCs w:val="0"/>
                <w:color w:val="auto"/>
                <w:kern w:val="2"/>
                <w:sz w:val="28"/>
                <w:szCs w:val="28"/>
                <w:highlight w:val="none"/>
                <w:u w:val="none"/>
                <w:lang w:val="en-US" w:eastAsia="zh-CN" w:bidi="ar-SA"/>
              </w:rPr>
              <w:t>一级</w:t>
            </w:r>
          </w:p>
        </w:tc>
        <w:tc>
          <w:tcPr>
            <w:tcW w:w="8096" w:type="dxa"/>
            <w:noWrap w:val="0"/>
            <w:vAlign w:val="center"/>
          </w:tcPr>
          <w:p w14:paraId="70B75438">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eastAsia" w:ascii="仿宋_GB2312" w:hAnsi="Times New Roman" w:eastAsia="仿宋_GB2312" w:cs="Times New Roman"/>
                <w:color w:val="auto"/>
                <w:kern w:val="2"/>
                <w:sz w:val="28"/>
                <w:szCs w:val="28"/>
                <w:highlight w:val="none"/>
                <w:u w:val="none"/>
                <w:shd w:val="clear" w:color="auto" w:fill="FFFFFF"/>
                <w:lang w:val="en-US" w:eastAsia="zh-CN" w:bidi="ar-SA"/>
              </w:rPr>
            </w:pP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1.位于主要党政机关、重要外事机构周边的道</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路；</w:t>
            </w:r>
          </w:p>
          <w:p w14:paraId="6116B0B7">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eastAsia" w:ascii="仿宋_GB2312" w:hAnsi="Times New Roman" w:eastAsia="仿宋_GB2312" w:cs="Times New Roman"/>
                <w:color w:val="auto"/>
                <w:kern w:val="2"/>
                <w:sz w:val="28"/>
                <w:szCs w:val="28"/>
                <w:highlight w:val="none"/>
                <w:u w:val="none"/>
                <w:shd w:val="clear" w:color="auto" w:fill="FFFFFF"/>
                <w:lang w:val="en-US" w:eastAsia="zh-CN" w:bidi="ar-SA"/>
              </w:rPr>
            </w:pP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2</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位于大型商业、文化、教育、卫生、体育、旅游等公共场所周边的道路；</w:t>
            </w:r>
          </w:p>
          <w:p w14:paraId="3A142C87">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eastAsia" w:ascii="仿宋_GB2312" w:hAnsi="Times New Roman" w:eastAsia="仿宋_GB2312" w:cs="Times New Roman"/>
                <w:color w:val="auto"/>
                <w:kern w:val="2"/>
                <w:sz w:val="28"/>
                <w:szCs w:val="28"/>
                <w:highlight w:val="none"/>
                <w:u w:val="none"/>
                <w:shd w:val="clear" w:color="auto" w:fill="FFFFFF"/>
                <w:lang w:val="en-US" w:eastAsia="zh-CN" w:bidi="ar-SA"/>
              </w:rPr>
            </w:pP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3</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位于主要交通场站、交通枢纽周边的道路；</w:t>
            </w:r>
          </w:p>
          <w:p w14:paraId="32C934A1">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eastAsia" w:ascii="仿宋_GB2312" w:hAnsi="Times New Roman" w:eastAsia="仿宋_GB2312" w:cs="Times New Roman"/>
                <w:color w:val="auto"/>
                <w:kern w:val="2"/>
                <w:sz w:val="28"/>
                <w:szCs w:val="28"/>
                <w:highlight w:val="none"/>
                <w:u w:val="none"/>
                <w:shd w:val="clear" w:color="auto" w:fill="FFFFFF"/>
                <w:lang w:val="en-US" w:eastAsia="zh-CN" w:bidi="ar-SA"/>
              </w:rPr>
            </w:pP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4</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公共交通线路较多的道路；</w:t>
            </w:r>
          </w:p>
          <w:p w14:paraId="65B34B72">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eastAsia" w:ascii="仿宋_GB2312" w:hAnsi="仿宋_GB2312" w:eastAsia="仿宋_GB2312" w:cs="仿宋_GB2312"/>
                <w:b w:val="0"/>
                <w:bCs w:val="0"/>
                <w:color w:val="auto"/>
                <w:kern w:val="2"/>
                <w:sz w:val="28"/>
                <w:szCs w:val="28"/>
                <w:highlight w:val="none"/>
                <w:u w:val="none"/>
                <w:lang w:val="en-US" w:eastAsia="zh-CN" w:bidi="ar-SA"/>
              </w:rPr>
            </w:pP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5</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城市主干路及其他对城市市容有重大影响的道路</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p>
        </w:tc>
      </w:tr>
      <w:tr w14:paraId="3D23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965" w:type="dxa"/>
            <w:noWrap w:val="0"/>
            <w:vAlign w:val="center"/>
          </w:tcPr>
          <w:p w14:paraId="79AA8DF0">
            <w:pPr>
              <w:pStyle w:val="22"/>
              <w:keepNext w:val="0"/>
              <w:keepLines w:val="0"/>
              <w:pageBreakBefore w:val="0"/>
              <w:kinsoku/>
              <w:wordWrap/>
              <w:overflowPunct/>
              <w:topLinePunct w:val="0"/>
              <w:bidi w:val="0"/>
              <w:snapToGrid w:val="0"/>
              <w:spacing w:before="0" w:after="0" w:line="240" w:lineRule="atLeast"/>
              <w:ind w:left="0" w:leftChars="0" w:firstLine="0" w:firstLineChars="0"/>
              <w:jc w:val="center"/>
              <w:textAlignment w:val="auto"/>
              <w:rPr>
                <w:rFonts w:hint="eastAsia" w:ascii="仿宋_GB2312" w:hAnsi="仿宋_GB2312" w:eastAsia="仿宋_GB2312" w:cs="仿宋_GB2312"/>
                <w:b w:val="0"/>
                <w:bCs w:val="0"/>
                <w:color w:val="auto"/>
                <w:kern w:val="2"/>
                <w:sz w:val="28"/>
                <w:szCs w:val="28"/>
                <w:highlight w:val="none"/>
                <w:u w:val="none"/>
                <w:lang w:val="en-US" w:eastAsia="zh-CN" w:bidi="ar-SA"/>
              </w:rPr>
            </w:pPr>
            <w:r>
              <w:rPr>
                <w:rFonts w:hint="eastAsia" w:ascii="仿宋_GB2312" w:hAnsi="仿宋_GB2312" w:eastAsia="仿宋_GB2312" w:cs="仿宋_GB2312"/>
                <w:b w:val="0"/>
                <w:bCs w:val="0"/>
                <w:color w:val="auto"/>
                <w:kern w:val="2"/>
                <w:sz w:val="28"/>
                <w:szCs w:val="28"/>
                <w:highlight w:val="none"/>
                <w:u w:val="none"/>
                <w:lang w:val="en-US" w:eastAsia="zh-CN" w:bidi="ar-SA"/>
              </w:rPr>
              <w:t>二级</w:t>
            </w:r>
          </w:p>
        </w:tc>
        <w:tc>
          <w:tcPr>
            <w:tcW w:w="8096" w:type="dxa"/>
            <w:noWrap w:val="0"/>
            <w:vAlign w:val="center"/>
          </w:tcPr>
          <w:p w14:paraId="0654C875">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eastAsia" w:ascii="仿宋_GB2312" w:hAnsi="Times New Roman" w:eastAsia="仿宋_GB2312" w:cs="Times New Roman"/>
                <w:color w:val="auto"/>
                <w:kern w:val="2"/>
                <w:sz w:val="28"/>
                <w:szCs w:val="28"/>
                <w:highlight w:val="none"/>
                <w:u w:val="none"/>
                <w:shd w:val="clear" w:color="auto" w:fill="FFFFFF"/>
                <w:lang w:val="en-US" w:eastAsia="zh-CN" w:bidi="ar-SA"/>
              </w:rPr>
            </w:pP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1.</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位于次要党政机关、一般外事机构周边的道路；</w:t>
            </w:r>
          </w:p>
          <w:p w14:paraId="4DAD1907">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eastAsia" w:ascii="仿宋_GB2312" w:hAnsi="Times New Roman" w:eastAsia="仿宋_GB2312" w:cs="Times New Roman"/>
                <w:color w:val="auto"/>
                <w:kern w:val="2"/>
                <w:sz w:val="28"/>
                <w:szCs w:val="28"/>
                <w:highlight w:val="none"/>
                <w:u w:val="none"/>
                <w:shd w:val="clear" w:color="auto" w:fill="FFFFFF"/>
                <w:lang w:val="en-US" w:eastAsia="zh-CN" w:bidi="ar-SA"/>
              </w:rPr>
            </w:pP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2</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位于中小型商业、文化、教育、卫生、体育、旅游等公共场所周边的道路；</w:t>
            </w:r>
          </w:p>
          <w:p w14:paraId="0C3D286F">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eastAsia" w:ascii="仿宋_GB2312" w:hAnsi="Times New Roman" w:eastAsia="仿宋_GB2312" w:cs="Times New Roman"/>
                <w:color w:val="auto"/>
                <w:kern w:val="2"/>
                <w:sz w:val="28"/>
                <w:szCs w:val="28"/>
                <w:highlight w:val="none"/>
                <w:u w:val="none"/>
                <w:shd w:val="clear" w:color="auto" w:fill="FFFFFF"/>
                <w:lang w:val="en-US" w:eastAsia="zh-CN" w:bidi="ar-SA"/>
              </w:rPr>
            </w:pP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3</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位于企事业单位和居住区周边的道路；</w:t>
            </w:r>
          </w:p>
          <w:p w14:paraId="484BB9D9">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eastAsia" w:ascii="仿宋_GB2312" w:hAnsi="Times New Roman" w:eastAsia="仿宋_GB2312" w:cs="Times New Roman"/>
                <w:color w:val="auto"/>
                <w:kern w:val="2"/>
                <w:sz w:val="28"/>
                <w:szCs w:val="28"/>
                <w:highlight w:val="none"/>
                <w:u w:val="none"/>
                <w:shd w:val="clear" w:color="auto" w:fill="FFFFFF"/>
                <w:lang w:val="en-US" w:eastAsia="zh-CN" w:bidi="ar-SA"/>
              </w:rPr>
            </w:pP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4</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有固定交通线路及交通场站的道路；</w:t>
            </w:r>
          </w:p>
          <w:p w14:paraId="3578D97C">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eastAsia" w:ascii="仿宋_GB2312" w:hAnsi="仿宋_GB2312" w:eastAsia="仿宋_GB2312" w:cs="仿宋_GB2312"/>
                <w:b w:val="0"/>
                <w:bCs w:val="0"/>
                <w:color w:val="auto"/>
                <w:kern w:val="2"/>
                <w:sz w:val="28"/>
                <w:szCs w:val="28"/>
                <w:highlight w:val="none"/>
                <w:u w:val="none"/>
                <w:lang w:val="en-US" w:eastAsia="zh-CN" w:bidi="ar-SA"/>
              </w:rPr>
            </w:pP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5</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城市次干路及其周边主要路段</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p>
        </w:tc>
      </w:tr>
      <w:tr w14:paraId="7672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965" w:type="dxa"/>
            <w:noWrap w:val="0"/>
            <w:vAlign w:val="center"/>
          </w:tcPr>
          <w:p w14:paraId="5EA87B6E">
            <w:pPr>
              <w:pStyle w:val="22"/>
              <w:keepNext w:val="0"/>
              <w:keepLines w:val="0"/>
              <w:pageBreakBefore w:val="0"/>
              <w:kinsoku/>
              <w:wordWrap/>
              <w:overflowPunct/>
              <w:topLinePunct w:val="0"/>
              <w:bidi w:val="0"/>
              <w:snapToGrid w:val="0"/>
              <w:spacing w:before="0" w:after="0" w:line="240" w:lineRule="atLeast"/>
              <w:ind w:left="0" w:leftChars="0" w:firstLine="0" w:firstLineChars="0"/>
              <w:jc w:val="center"/>
              <w:textAlignment w:val="auto"/>
              <w:rPr>
                <w:rFonts w:hint="eastAsia" w:ascii="仿宋_GB2312" w:hAnsi="仿宋_GB2312" w:eastAsia="仿宋_GB2312" w:cs="仿宋_GB2312"/>
                <w:b w:val="0"/>
                <w:bCs w:val="0"/>
                <w:color w:val="auto"/>
                <w:kern w:val="2"/>
                <w:sz w:val="28"/>
                <w:szCs w:val="28"/>
                <w:highlight w:val="none"/>
                <w:u w:val="none"/>
                <w:lang w:val="en-US" w:eastAsia="zh-CN" w:bidi="ar-SA"/>
              </w:rPr>
            </w:pPr>
            <w:r>
              <w:rPr>
                <w:rFonts w:hint="eastAsia" w:ascii="仿宋_GB2312" w:hAnsi="仿宋_GB2312" w:eastAsia="仿宋_GB2312" w:cs="仿宋_GB2312"/>
                <w:b w:val="0"/>
                <w:bCs w:val="0"/>
                <w:color w:val="auto"/>
                <w:kern w:val="2"/>
                <w:sz w:val="28"/>
                <w:szCs w:val="28"/>
                <w:highlight w:val="none"/>
                <w:u w:val="none"/>
                <w:lang w:val="en-US" w:eastAsia="zh-CN" w:bidi="ar-SA"/>
              </w:rPr>
              <w:t>三级</w:t>
            </w:r>
          </w:p>
        </w:tc>
        <w:tc>
          <w:tcPr>
            <w:tcW w:w="8096" w:type="dxa"/>
            <w:noWrap w:val="0"/>
            <w:vAlign w:val="center"/>
          </w:tcPr>
          <w:p w14:paraId="2DBED48B">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default" w:ascii="仿宋_GB2312" w:hAnsi="Times New Roman" w:eastAsia="仿宋_GB2312" w:cs="Times New Roman"/>
                <w:color w:val="auto"/>
                <w:kern w:val="2"/>
                <w:sz w:val="28"/>
                <w:szCs w:val="28"/>
                <w:highlight w:val="none"/>
                <w:u w:val="none"/>
                <w:shd w:val="clear" w:color="auto" w:fill="FFFFFF"/>
                <w:lang w:val="en-US" w:eastAsia="zh-CN" w:bidi="ar-SA"/>
              </w:rPr>
            </w:pP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1.</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位于远离党政机关、外事机构、居住区、企事业单位和公共场所地区的道路；</w:t>
            </w:r>
          </w:p>
          <w:p w14:paraId="228E46BB">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default" w:ascii="仿宋_GB2312" w:hAnsi="Times New Roman" w:eastAsia="仿宋_GB2312" w:cs="Times New Roman"/>
                <w:color w:val="auto"/>
                <w:kern w:val="2"/>
                <w:sz w:val="28"/>
                <w:szCs w:val="28"/>
                <w:highlight w:val="none"/>
                <w:u w:val="none"/>
                <w:shd w:val="clear" w:color="auto" w:fill="FFFFFF"/>
                <w:lang w:val="en-US" w:eastAsia="zh-CN" w:bidi="ar-SA"/>
              </w:rPr>
            </w:pP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2</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人流量、车流量较少的路段；</w:t>
            </w:r>
          </w:p>
          <w:p w14:paraId="1C2F8BC3">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default" w:ascii="仿宋_GB2312" w:hAnsi="Times New Roman" w:eastAsia="仿宋_GB2312" w:cs="Times New Roman"/>
                <w:color w:val="auto"/>
                <w:kern w:val="2"/>
                <w:sz w:val="28"/>
                <w:szCs w:val="28"/>
                <w:highlight w:val="none"/>
                <w:u w:val="none"/>
                <w:shd w:val="clear" w:color="auto" w:fill="FFFFFF"/>
                <w:lang w:val="en-US" w:eastAsia="zh-CN" w:bidi="ar-SA"/>
              </w:rPr>
            </w:pP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3</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无排水管道、路缘石和人行道未硬化等简陋的道路；</w:t>
            </w:r>
          </w:p>
          <w:p w14:paraId="6B0414A2">
            <w:pPr>
              <w:keepNext w:val="0"/>
              <w:keepLines w:val="0"/>
              <w:pageBreakBefore w:val="0"/>
              <w:widowControl w:val="0"/>
              <w:suppressLineNumbers w:val="0"/>
              <w:kinsoku/>
              <w:wordWrap/>
              <w:overflowPunct/>
              <w:topLinePunct w:val="0"/>
              <w:bidi w:val="0"/>
              <w:adjustRightInd w:val="0"/>
              <w:snapToGrid w:val="0"/>
              <w:spacing w:line="240" w:lineRule="atLeast"/>
              <w:jc w:val="left"/>
              <w:textAlignment w:val="auto"/>
              <w:rPr>
                <w:rFonts w:hint="eastAsia" w:ascii="仿宋_GB2312" w:hAnsi="仿宋_GB2312" w:eastAsia="仿宋_GB2312" w:cs="仿宋_GB2312"/>
                <w:b w:val="0"/>
                <w:bCs w:val="0"/>
                <w:color w:val="auto"/>
                <w:kern w:val="2"/>
                <w:sz w:val="28"/>
                <w:szCs w:val="28"/>
                <w:highlight w:val="none"/>
                <w:u w:val="none"/>
                <w:lang w:val="en-US" w:eastAsia="zh-CN" w:bidi="ar-SA"/>
              </w:rPr>
            </w:pP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4</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r>
              <w:rPr>
                <w:rFonts w:hint="default" w:ascii="仿宋_GB2312" w:hAnsi="Times New Roman" w:eastAsia="仿宋_GB2312" w:cs="Times New Roman"/>
                <w:color w:val="auto"/>
                <w:kern w:val="2"/>
                <w:sz w:val="28"/>
                <w:szCs w:val="28"/>
                <w:highlight w:val="none"/>
                <w:u w:val="none"/>
                <w:shd w:val="clear" w:color="auto" w:fill="FFFFFF"/>
                <w:lang w:val="en-US" w:eastAsia="zh-CN" w:bidi="ar-SA"/>
              </w:rPr>
              <w:t>其他无法划为一级、二级的道路</w:t>
            </w:r>
            <w:r>
              <w:rPr>
                <w:rFonts w:hint="eastAsia" w:ascii="仿宋_GB2312" w:hAnsi="Times New Roman" w:eastAsia="仿宋_GB2312" w:cs="Times New Roman"/>
                <w:color w:val="auto"/>
                <w:kern w:val="2"/>
                <w:sz w:val="28"/>
                <w:szCs w:val="28"/>
                <w:highlight w:val="none"/>
                <w:u w:val="none"/>
                <w:shd w:val="clear" w:color="auto" w:fill="FFFFFF"/>
                <w:lang w:val="en-US" w:eastAsia="zh-CN" w:bidi="ar-SA"/>
              </w:rPr>
              <w:t>。</w:t>
            </w:r>
          </w:p>
        </w:tc>
      </w:tr>
    </w:tbl>
    <w:p w14:paraId="3A5DC115">
      <w:pPr>
        <w:pStyle w:val="23"/>
        <w:pageBreakBefore w:val="0"/>
        <w:widowControl w:val="0"/>
        <w:tabs>
          <w:tab w:val="right" w:leader="dot" w:pos="8845"/>
        </w:tabs>
        <w:kinsoku/>
        <w:wordWrap/>
        <w:overflowPunct/>
        <w:topLinePunct w:val="0"/>
        <w:bidi w:val="0"/>
        <w:spacing w:line="560" w:lineRule="exact"/>
        <w:rPr>
          <w:rFonts w:hint="eastAsia" w:ascii="仿宋_GB2312" w:hAnsi="Times New Roman" w:eastAsia="仿宋_GB2312" w:cs="Times New Roman"/>
          <w:color w:val="auto"/>
          <w:kern w:val="2"/>
          <w:sz w:val="32"/>
          <w:szCs w:val="32"/>
          <w:highlight w:val="none"/>
          <w:u w:val="none"/>
          <w:shd w:val="clear" w:color="auto" w:fill="FFFFFF"/>
          <w:lang w:val="en-US" w:eastAsia="zh-CN"/>
        </w:rPr>
      </w:pPr>
    </w:p>
    <w:p w14:paraId="4E5669EE">
      <w:pPr>
        <w:pStyle w:val="23"/>
        <w:pageBreakBefore w:val="0"/>
        <w:widowControl w:val="0"/>
        <w:tabs>
          <w:tab w:val="right" w:leader="dot" w:pos="8845"/>
        </w:tabs>
        <w:kinsoku/>
        <w:wordWrap/>
        <w:overflowPunct/>
        <w:topLinePunct w:val="0"/>
        <w:bidi w:val="0"/>
        <w:spacing w:line="560" w:lineRule="exact"/>
        <w:rPr>
          <w:rFonts w:hint="eastAsia" w:ascii="仿宋_GB2312" w:hAnsi="Times New Roman" w:eastAsia="仿宋_GB2312" w:cs="Times New Roman"/>
          <w:color w:val="auto"/>
          <w:kern w:val="2"/>
          <w:sz w:val="32"/>
          <w:szCs w:val="32"/>
          <w:highlight w:val="none"/>
          <w:u w:val="none"/>
          <w:shd w:val="clear" w:color="auto" w:fill="FFFFFF"/>
          <w:lang w:val="en-US" w:eastAsia="zh-CN"/>
        </w:rPr>
      </w:pPr>
    </w:p>
    <w:p w14:paraId="3A1CCEBE">
      <w:pPr>
        <w:pStyle w:val="23"/>
        <w:pageBreakBefore w:val="0"/>
        <w:widowControl w:val="0"/>
        <w:tabs>
          <w:tab w:val="right" w:leader="dot" w:pos="8845"/>
        </w:tabs>
        <w:kinsoku/>
        <w:wordWrap/>
        <w:overflowPunct/>
        <w:topLinePunct w:val="0"/>
        <w:bidi w:val="0"/>
        <w:spacing w:line="560" w:lineRule="exact"/>
        <w:rPr>
          <w:rFonts w:hint="eastAsia" w:ascii="仿宋_GB2312" w:hAnsi="Times New Roman" w:eastAsia="仿宋_GB2312" w:cs="Times New Roman"/>
          <w:color w:val="auto"/>
          <w:kern w:val="2"/>
          <w:sz w:val="32"/>
          <w:szCs w:val="32"/>
          <w:highlight w:val="none"/>
          <w:u w:val="none"/>
          <w:shd w:val="clear" w:color="auto" w:fill="FFFFFF"/>
          <w:lang w:val="en-US" w:eastAsia="zh-CN"/>
        </w:rPr>
        <w:sectPr>
          <w:pgSz w:w="11906" w:h="16838"/>
          <w:pgMar w:top="2098" w:right="1474" w:bottom="1984" w:left="1587" w:header="851" w:footer="1417" w:gutter="0"/>
          <w:pgNumType w:fmt="decimal"/>
          <w:cols w:space="0" w:num="1"/>
          <w:rtlGutter w:val="0"/>
          <w:docGrid w:type="lines" w:linePitch="312" w:charSpace="0"/>
        </w:sectPr>
      </w:pPr>
    </w:p>
    <w:p w14:paraId="650B651A">
      <w:pPr>
        <w:spacing w:line="560" w:lineRule="exact"/>
        <w:jc w:val="center"/>
        <w:outlineLvl w:val="0"/>
        <w:rPr>
          <w:rFonts w:hint="eastAsia"/>
          <w:color w:val="auto"/>
          <w:sz w:val="24"/>
          <w:szCs w:val="32"/>
          <w:highlight w:val="none"/>
          <w:u w:val="none"/>
          <w:lang w:eastAsia="zh-CN"/>
        </w:rPr>
      </w:pPr>
      <w:bookmarkStart w:id="208" w:name="_Toc29336"/>
      <w:bookmarkStart w:id="209" w:name="_Toc26618"/>
      <w:bookmarkStart w:id="210" w:name="_Toc6063"/>
      <w:r>
        <w:rPr>
          <w:rFonts w:hint="eastAsia" w:ascii="黑体" w:hAnsi="黑体" w:eastAsia="黑体" w:cs="黑体"/>
          <w:b w:val="0"/>
          <w:bCs w:val="0"/>
          <w:color w:val="auto"/>
          <w:kern w:val="2"/>
          <w:sz w:val="28"/>
          <w:szCs w:val="28"/>
          <w:highlight w:val="none"/>
          <w:u w:val="none"/>
          <w:lang w:val="en-US" w:eastAsia="zh-CN" w:bidi="ar-SA"/>
        </w:rPr>
        <w:t>附表1.2</w:t>
      </w:r>
      <w:r>
        <w:rPr>
          <w:rFonts w:hint="eastAsia"/>
          <w:color w:val="auto"/>
          <w:sz w:val="24"/>
          <w:szCs w:val="32"/>
          <w:highlight w:val="none"/>
          <w:u w:val="none"/>
          <w:lang w:eastAsia="zh-CN"/>
        </w:rPr>
        <w:t>城市道路清扫保洁作业内容及频次</w:t>
      </w:r>
      <w:bookmarkEnd w:id="208"/>
      <w:bookmarkEnd w:id="209"/>
      <w:bookmarkEnd w:id="210"/>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6" w:type="dxa"/>
          <w:left w:w="96" w:type="dxa"/>
          <w:bottom w:w="56" w:type="dxa"/>
          <w:right w:w="96" w:type="dxa"/>
        </w:tblCellMar>
      </w:tblPr>
      <w:tblGrid>
        <w:gridCol w:w="753"/>
        <w:gridCol w:w="884"/>
        <w:gridCol w:w="886"/>
        <w:gridCol w:w="821"/>
        <w:gridCol w:w="886"/>
        <w:gridCol w:w="824"/>
        <w:gridCol w:w="1596"/>
        <w:gridCol w:w="1564"/>
        <w:gridCol w:w="823"/>
      </w:tblGrid>
      <w:tr w14:paraId="7BE3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17" w:type="pct"/>
            <w:vMerge w:val="restart"/>
            <w:vAlign w:val="center"/>
          </w:tcPr>
          <w:p w14:paraId="690453BB">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sz w:val="24"/>
                <w:szCs w:val="24"/>
                <w:highlight w:val="none"/>
                <w:u w:val="none"/>
                <w:vertAlign w:val="baseline"/>
                <w:lang w:eastAsia="zh-CN"/>
              </w:rPr>
            </w:pPr>
            <w:r>
              <w:rPr>
                <w:rFonts w:hint="eastAsia" w:ascii="仿宋_GB2312" w:hAnsi="仿宋_GB2312" w:eastAsia="仿宋_GB2312" w:cs="仿宋_GB2312"/>
                <w:b w:val="0"/>
                <w:bCs w:val="0"/>
                <w:color w:val="auto"/>
                <w:sz w:val="24"/>
                <w:szCs w:val="24"/>
                <w:highlight w:val="none"/>
                <w:u w:val="none"/>
                <w:vertAlign w:val="baseline"/>
                <w:lang w:eastAsia="zh-CN"/>
              </w:rPr>
              <w:t>清扫保洁等级</w:t>
            </w:r>
          </w:p>
        </w:tc>
        <w:tc>
          <w:tcPr>
            <w:tcW w:w="4582" w:type="pct"/>
            <w:gridSpan w:val="8"/>
            <w:vAlign w:val="center"/>
          </w:tcPr>
          <w:p w14:paraId="076CB38A">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sz w:val="24"/>
                <w:szCs w:val="24"/>
                <w:highlight w:val="none"/>
                <w:u w:val="none"/>
                <w:vertAlign w:val="baseline"/>
                <w:lang w:eastAsia="zh-CN"/>
              </w:rPr>
            </w:pPr>
            <w:r>
              <w:rPr>
                <w:rFonts w:hint="eastAsia" w:ascii="仿宋_GB2312" w:hAnsi="仿宋_GB2312" w:eastAsia="仿宋_GB2312" w:cs="仿宋_GB2312"/>
                <w:b w:val="0"/>
                <w:bCs w:val="0"/>
                <w:color w:val="auto"/>
                <w:sz w:val="24"/>
                <w:szCs w:val="24"/>
                <w:highlight w:val="none"/>
                <w:u w:val="none"/>
                <w:vertAlign w:val="baseline"/>
                <w:lang w:eastAsia="zh-CN"/>
              </w:rPr>
              <w:t>作业内容及频次</w:t>
            </w:r>
          </w:p>
        </w:tc>
      </w:tr>
      <w:tr w14:paraId="0DF0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17" w:type="pct"/>
            <w:vMerge w:val="continue"/>
            <w:vAlign w:val="center"/>
          </w:tcPr>
          <w:p w14:paraId="531AE376">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sz w:val="24"/>
                <w:szCs w:val="24"/>
                <w:highlight w:val="none"/>
                <w:u w:val="none"/>
                <w:vertAlign w:val="baseline"/>
              </w:rPr>
            </w:pPr>
          </w:p>
        </w:tc>
        <w:tc>
          <w:tcPr>
            <w:tcW w:w="2379" w:type="pct"/>
            <w:gridSpan w:val="5"/>
            <w:vAlign w:val="center"/>
          </w:tcPr>
          <w:p w14:paraId="298C234A">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sz w:val="24"/>
                <w:szCs w:val="24"/>
                <w:highlight w:val="none"/>
                <w:u w:val="none"/>
                <w:vertAlign w:val="baseline"/>
              </w:rPr>
            </w:pPr>
            <w:r>
              <w:rPr>
                <w:rFonts w:hint="eastAsia" w:ascii="仿宋_GB2312" w:hAnsi="仿宋_GB2312" w:eastAsia="仿宋_GB2312" w:cs="仿宋_GB2312"/>
                <w:b w:val="0"/>
                <w:bCs w:val="0"/>
                <w:color w:val="auto"/>
                <w:kern w:val="0"/>
                <w:sz w:val="24"/>
                <w:szCs w:val="24"/>
                <w:highlight w:val="none"/>
                <w:u w:val="none"/>
                <w:lang w:val="en-US" w:eastAsia="zh-CN" w:bidi="ar"/>
              </w:rPr>
              <w:t>道路清扫作业</w:t>
            </w:r>
          </w:p>
        </w:tc>
        <w:tc>
          <w:tcPr>
            <w:tcW w:w="2202" w:type="pct"/>
            <w:gridSpan w:val="3"/>
            <w:vAlign w:val="center"/>
          </w:tcPr>
          <w:p w14:paraId="7F24393D">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sz w:val="24"/>
                <w:szCs w:val="24"/>
                <w:highlight w:val="none"/>
                <w:u w:val="none"/>
                <w:vertAlign w:val="baseline"/>
              </w:rPr>
            </w:pPr>
            <w:r>
              <w:rPr>
                <w:rFonts w:hint="eastAsia" w:ascii="仿宋_GB2312" w:hAnsi="仿宋_GB2312" w:eastAsia="仿宋_GB2312" w:cs="仿宋_GB2312"/>
                <w:b w:val="0"/>
                <w:bCs w:val="0"/>
                <w:color w:val="auto"/>
                <w:kern w:val="0"/>
                <w:sz w:val="24"/>
                <w:szCs w:val="24"/>
                <w:highlight w:val="none"/>
                <w:u w:val="none"/>
                <w:lang w:val="en-US" w:eastAsia="zh-CN" w:bidi="ar"/>
              </w:rPr>
              <w:t>道路保洁作业</w:t>
            </w:r>
          </w:p>
        </w:tc>
      </w:tr>
      <w:tr w14:paraId="79BC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17" w:type="pct"/>
            <w:vMerge w:val="continue"/>
            <w:vAlign w:val="center"/>
          </w:tcPr>
          <w:p w14:paraId="3D8B379E">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sz w:val="24"/>
                <w:szCs w:val="24"/>
                <w:highlight w:val="none"/>
                <w:u w:val="none"/>
                <w:vertAlign w:val="baseline"/>
              </w:rPr>
            </w:pPr>
          </w:p>
        </w:tc>
        <w:tc>
          <w:tcPr>
            <w:tcW w:w="979" w:type="pct"/>
            <w:gridSpan w:val="2"/>
            <w:vAlign w:val="center"/>
          </w:tcPr>
          <w:p w14:paraId="37F2CD01">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sz w:val="24"/>
                <w:szCs w:val="24"/>
                <w:highlight w:val="none"/>
                <w:u w:val="none"/>
                <w:vertAlign w:val="baseline"/>
              </w:rPr>
            </w:pPr>
            <w:r>
              <w:rPr>
                <w:rFonts w:hint="eastAsia" w:ascii="仿宋_GB2312" w:hAnsi="仿宋_GB2312" w:eastAsia="仿宋_GB2312" w:cs="仿宋_GB2312"/>
                <w:b w:val="0"/>
                <w:bCs w:val="0"/>
                <w:color w:val="auto"/>
                <w:kern w:val="0"/>
                <w:sz w:val="24"/>
                <w:szCs w:val="24"/>
                <w:highlight w:val="none"/>
                <w:u w:val="none"/>
                <w:lang w:val="en-US" w:eastAsia="zh-CN" w:bidi="ar"/>
              </w:rPr>
              <w:t>机动车道</w:t>
            </w:r>
          </w:p>
        </w:tc>
        <w:tc>
          <w:tcPr>
            <w:tcW w:w="1399" w:type="pct"/>
            <w:gridSpan w:val="3"/>
            <w:shd w:val="clear" w:color="auto" w:fill="auto"/>
            <w:vAlign w:val="center"/>
          </w:tcPr>
          <w:p w14:paraId="7C53E74E">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sz w:val="24"/>
                <w:szCs w:val="24"/>
                <w:highlight w:val="none"/>
                <w:u w:val="none"/>
                <w:vertAlign w:val="baseline"/>
              </w:rPr>
            </w:pPr>
            <w:r>
              <w:rPr>
                <w:rFonts w:hint="eastAsia" w:ascii="仿宋_GB2312" w:hAnsi="仿宋_GB2312" w:eastAsia="仿宋_GB2312" w:cs="仿宋_GB2312"/>
                <w:b w:val="0"/>
                <w:bCs w:val="0"/>
                <w:color w:val="auto"/>
                <w:kern w:val="0"/>
                <w:sz w:val="24"/>
                <w:szCs w:val="24"/>
                <w:highlight w:val="none"/>
                <w:u w:val="none"/>
                <w:lang w:val="en-US" w:eastAsia="zh-CN" w:bidi="ar"/>
              </w:rPr>
              <w:t>非机动车道及人行道</w:t>
            </w:r>
          </w:p>
        </w:tc>
        <w:tc>
          <w:tcPr>
            <w:tcW w:w="883" w:type="pct"/>
            <w:shd w:val="clear" w:color="auto" w:fill="auto"/>
            <w:vAlign w:val="center"/>
          </w:tcPr>
          <w:p w14:paraId="03836760">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机动车道</w:t>
            </w:r>
          </w:p>
        </w:tc>
        <w:tc>
          <w:tcPr>
            <w:tcW w:w="1319" w:type="pct"/>
            <w:gridSpan w:val="2"/>
            <w:shd w:val="clear" w:color="auto" w:fill="auto"/>
            <w:vAlign w:val="center"/>
          </w:tcPr>
          <w:p w14:paraId="66BAC06B">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非机动车道及人行道</w:t>
            </w:r>
          </w:p>
        </w:tc>
      </w:tr>
      <w:tr w14:paraId="68E2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17" w:type="pct"/>
            <w:vMerge w:val="continue"/>
            <w:vAlign w:val="center"/>
          </w:tcPr>
          <w:p w14:paraId="37EC39FA">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sz w:val="24"/>
                <w:szCs w:val="24"/>
                <w:highlight w:val="none"/>
                <w:u w:val="none"/>
                <w:vertAlign w:val="baseline"/>
              </w:rPr>
            </w:pPr>
          </w:p>
        </w:tc>
        <w:tc>
          <w:tcPr>
            <w:tcW w:w="489" w:type="pct"/>
            <w:shd w:val="clear" w:color="auto" w:fill="auto"/>
            <w:vAlign w:val="center"/>
          </w:tcPr>
          <w:p w14:paraId="33AB4A53">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机械清洗</w:t>
            </w:r>
          </w:p>
        </w:tc>
        <w:tc>
          <w:tcPr>
            <w:tcW w:w="490" w:type="pct"/>
            <w:shd w:val="clear" w:color="auto" w:fill="auto"/>
            <w:vAlign w:val="center"/>
          </w:tcPr>
          <w:p w14:paraId="2245D143">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机械洗扫</w:t>
            </w:r>
          </w:p>
        </w:tc>
        <w:tc>
          <w:tcPr>
            <w:tcW w:w="454" w:type="pct"/>
            <w:shd w:val="clear" w:color="auto" w:fill="auto"/>
            <w:vAlign w:val="center"/>
          </w:tcPr>
          <w:p w14:paraId="1CA0E618">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人工清扫</w:t>
            </w:r>
          </w:p>
        </w:tc>
        <w:tc>
          <w:tcPr>
            <w:tcW w:w="490" w:type="pct"/>
            <w:shd w:val="clear" w:color="auto" w:fill="auto"/>
            <w:vAlign w:val="center"/>
          </w:tcPr>
          <w:p w14:paraId="2CD9B7F0">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机械清洗</w:t>
            </w:r>
          </w:p>
        </w:tc>
        <w:tc>
          <w:tcPr>
            <w:tcW w:w="455" w:type="pct"/>
            <w:shd w:val="clear" w:color="auto" w:fill="auto"/>
            <w:vAlign w:val="center"/>
          </w:tcPr>
          <w:p w14:paraId="5BF9D414">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果皮箱清洁</w:t>
            </w:r>
          </w:p>
        </w:tc>
        <w:tc>
          <w:tcPr>
            <w:tcW w:w="883" w:type="pct"/>
            <w:shd w:val="clear" w:color="auto" w:fill="auto"/>
            <w:vAlign w:val="center"/>
          </w:tcPr>
          <w:p w14:paraId="788872EB">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机械扫路</w:t>
            </w:r>
          </w:p>
        </w:tc>
        <w:tc>
          <w:tcPr>
            <w:tcW w:w="865" w:type="pct"/>
            <w:shd w:val="clear" w:color="auto" w:fill="auto"/>
            <w:vAlign w:val="center"/>
          </w:tcPr>
          <w:p w14:paraId="2124A3DB">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人工保洁</w:t>
            </w:r>
          </w:p>
        </w:tc>
        <w:tc>
          <w:tcPr>
            <w:tcW w:w="454" w:type="pct"/>
            <w:shd w:val="clear" w:color="auto" w:fill="auto"/>
            <w:vAlign w:val="center"/>
          </w:tcPr>
          <w:p w14:paraId="40736724">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果皮箱清掏</w:t>
            </w:r>
          </w:p>
        </w:tc>
      </w:tr>
      <w:tr w14:paraId="13B8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17" w:type="pct"/>
            <w:shd w:val="clear" w:color="auto" w:fill="auto"/>
            <w:vAlign w:val="center"/>
          </w:tcPr>
          <w:p w14:paraId="5C1872F5">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Style w:val="20"/>
                <w:rFonts w:hint="eastAsia" w:ascii="仿宋_GB2312" w:hAnsi="仿宋_GB2312" w:eastAsia="仿宋_GB2312" w:cs="仿宋_GB2312"/>
                <w:b w:val="0"/>
                <w:bCs w:val="0"/>
                <w:color w:val="auto"/>
                <w:kern w:val="0"/>
                <w:sz w:val="24"/>
                <w:szCs w:val="24"/>
                <w:highlight w:val="none"/>
                <w:u w:val="none"/>
                <w:lang w:val="en-US" w:eastAsia="zh-CN" w:bidi="ar"/>
              </w:rPr>
              <w:t>一级</w:t>
            </w:r>
          </w:p>
        </w:tc>
        <w:tc>
          <w:tcPr>
            <w:tcW w:w="489" w:type="pct"/>
            <w:shd w:val="clear" w:color="auto" w:fill="auto"/>
            <w:vAlign w:val="center"/>
          </w:tcPr>
          <w:p w14:paraId="0D0200DE">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每日不少于1次</w:t>
            </w:r>
          </w:p>
        </w:tc>
        <w:tc>
          <w:tcPr>
            <w:tcW w:w="490" w:type="pct"/>
            <w:shd w:val="clear" w:color="auto" w:fill="auto"/>
            <w:vAlign w:val="center"/>
          </w:tcPr>
          <w:p w14:paraId="2CE72CB6">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每日不少于1次</w:t>
            </w:r>
          </w:p>
        </w:tc>
        <w:tc>
          <w:tcPr>
            <w:tcW w:w="454" w:type="pct"/>
            <w:shd w:val="clear" w:color="auto" w:fill="auto"/>
            <w:vAlign w:val="center"/>
          </w:tcPr>
          <w:p w14:paraId="1280EBC4">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每日不少于1次</w:t>
            </w:r>
          </w:p>
        </w:tc>
        <w:tc>
          <w:tcPr>
            <w:tcW w:w="490" w:type="pct"/>
            <w:shd w:val="clear" w:color="auto" w:fill="auto"/>
            <w:vAlign w:val="center"/>
          </w:tcPr>
          <w:p w14:paraId="5416A96C">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每3日不少于1次</w:t>
            </w:r>
          </w:p>
        </w:tc>
        <w:tc>
          <w:tcPr>
            <w:tcW w:w="455" w:type="pct"/>
            <w:shd w:val="clear" w:color="auto" w:fill="auto"/>
            <w:vAlign w:val="center"/>
          </w:tcPr>
          <w:p w14:paraId="641CF6DE">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每日不少于1次</w:t>
            </w:r>
          </w:p>
        </w:tc>
        <w:tc>
          <w:tcPr>
            <w:tcW w:w="883" w:type="pct"/>
            <w:shd w:val="clear" w:color="auto" w:fill="auto"/>
            <w:vAlign w:val="center"/>
          </w:tcPr>
          <w:p w14:paraId="2B8CE1C2">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每日巡回作业，巡回时间不少于4.5h</w:t>
            </w:r>
          </w:p>
        </w:tc>
        <w:tc>
          <w:tcPr>
            <w:tcW w:w="865" w:type="pct"/>
            <w:shd w:val="clear" w:color="auto" w:fill="auto"/>
            <w:vAlign w:val="center"/>
          </w:tcPr>
          <w:p w14:paraId="41A5C550">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每日巡回作业，巡回时间不少于12h</w:t>
            </w:r>
          </w:p>
        </w:tc>
        <w:tc>
          <w:tcPr>
            <w:tcW w:w="454" w:type="pct"/>
            <w:shd w:val="clear" w:color="auto" w:fill="auto"/>
            <w:vAlign w:val="center"/>
          </w:tcPr>
          <w:p w14:paraId="4CD7B64A">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每日不少于2次</w:t>
            </w:r>
          </w:p>
        </w:tc>
      </w:tr>
      <w:tr w14:paraId="0413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17" w:type="pct"/>
            <w:shd w:val="clear" w:color="auto" w:fill="auto"/>
            <w:vAlign w:val="center"/>
          </w:tcPr>
          <w:p w14:paraId="1AA78A2B">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Style w:val="20"/>
                <w:rFonts w:hint="eastAsia" w:ascii="仿宋_GB2312" w:hAnsi="仿宋_GB2312" w:eastAsia="仿宋_GB2312" w:cs="仿宋_GB2312"/>
                <w:b w:val="0"/>
                <w:bCs w:val="0"/>
                <w:color w:val="auto"/>
                <w:kern w:val="0"/>
                <w:sz w:val="24"/>
                <w:szCs w:val="24"/>
                <w:highlight w:val="none"/>
                <w:u w:val="none"/>
                <w:lang w:val="en-US" w:eastAsia="zh-CN" w:bidi="ar"/>
              </w:rPr>
              <w:t>二级</w:t>
            </w:r>
          </w:p>
        </w:tc>
        <w:tc>
          <w:tcPr>
            <w:tcW w:w="489" w:type="pct"/>
            <w:shd w:val="clear" w:color="auto" w:fill="auto"/>
            <w:vAlign w:val="center"/>
          </w:tcPr>
          <w:p w14:paraId="6B833089">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每3日不少于1次</w:t>
            </w:r>
          </w:p>
        </w:tc>
        <w:tc>
          <w:tcPr>
            <w:tcW w:w="490" w:type="pct"/>
            <w:shd w:val="clear" w:color="auto" w:fill="auto"/>
            <w:vAlign w:val="center"/>
          </w:tcPr>
          <w:p w14:paraId="187F281E">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每3日不少于1次</w:t>
            </w:r>
          </w:p>
        </w:tc>
        <w:tc>
          <w:tcPr>
            <w:tcW w:w="454" w:type="pct"/>
            <w:shd w:val="clear" w:color="auto" w:fill="auto"/>
            <w:vAlign w:val="center"/>
          </w:tcPr>
          <w:p w14:paraId="231E07EE">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每日不少于1次</w:t>
            </w:r>
          </w:p>
        </w:tc>
        <w:tc>
          <w:tcPr>
            <w:tcW w:w="490" w:type="pct"/>
            <w:shd w:val="clear" w:color="auto" w:fill="auto"/>
            <w:vAlign w:val="center"/>
          </w:tcPr>
          <w:p w14:paraId="30F85A60">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每周不少于1次</w:t>
            </w:r>
          </w:p>
        </w:tc>
        <w:tc>
          <w:tcPr>
            <w:tcW w:w="455" w:type="pct"/>
            <w:shd w:val="clear" w:color="auto" w:fill="auto"/>
            <w:vAlign w:val="center"/>
          </w:tcPr>
          <w:p w14:paraId="0800BFB8">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每周不少于2次</w:t>
            </w:r>
          </w:p>
        </w:tc>
        <w:tc>
          <w:tcPr>
            <w:tcW w:w="883" w:type="pct"/>
            <w:shd w:val="clear" w:color="auto" w:fill="auto"/>
            <w:vAlign w:val="center"/>
          </w:tcPr>
          <w:p w14:paraId="56308E98">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每日巡回作业，巡回时间不少于4.5h</w:t>
            </w:r>
          </w:p>
        </w:tc>
        <w:tc>
          <w:tcPr>
            <w:tcW w:w="865" w:type="pct"/>
            <w:shd w:val="clear" w:color="auto" w:fill="auto"/>
            <w:vAlign w:val="center"/>
          </w:tcPr>
          <w:p w14:paraId="49293E03">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每日巡回作业，巡回时间不少于12h</w:t>
            </w:r>
          </w:p>
        </w:tc>
        <w:tc>
          <w:tcPr>
            <w:tcW w:w="454" w:type="pct"/>
            <w:shd w:val="clear" w:color="auto" w:fill="auto"/>
            <w:vAlign w:val="center"/>
          </w:tcPr>
          <w:p w14:paraId="6D73B8FE">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每日不少于2次</w:t>
            </w:r>
          </w:p>
        </w:tc>
      </w:tr>
      <w:tr w14:paraId="1F0C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17" w:type="pct"/>
            <w:shd w:val="clear" w:color="auto" w:fill="auto"/>
            <w:vAlign w:val="center"/>
          </w:tcPr>
          <w:p w14:paraId="3653E5B6">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Style w:val="20"/>
                <w:rFonts w:hint="eastAsia" w:ascii="仿宋_GB2312" w:hAnsi="仿宋_GB2312" w:eastAsia="仿宋_GB2312" w:cs="仿宋_GB2312"/>
                <w:b w:val="0"/>
                <w:bCs w:val="0"/>
                <w:color w:val="auto"/>
                <w:kern w:val="0"/>
                <w:sz w:val="24"/>
                <w:szCs w:val="24"/>
                <w:highlight w:val="none"/>
                <w:u w:val="none"/>
                <w:lang w:val="en-US" w:eastAsia="zh-CN" w:bidi="ar"/>
              </w:rPr>
              <w:t>三级</w:t>
            </w:r>
          </w:p>
        </w:tc>
        <w:tc>
          <w:tcPr>
            <w:tcW w:w="489" w:type="pct"/>
            <w:shd w:val="clear" w:color="auto" w:fill="auto"/>
            <w:vAlign w:val="center"/>
          </w:tcPr>
          <w:p w14:paraId="398901A2">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w:t>
            </w:r>
          </w:p>
        </w:tc>
        <w:tc>
          <w:tcPr>
            <w:tcW w:w="490" w:type="pct"/>
            <w:shd w:val="clear" w:color="auto" w:fill="auto"/>
            <w:vAlign w:val="center"/>
          </w:tcPr>
          <w:p w14:paraId="7B5392FC">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w:t>
            </w:r>
          </w:p>
        </w:tc>
        <w:tc>
          <w:tcPr>
            <w:tcW w:w="454" w:type="pct"/>
            <w:shd w:val="clear" w:color="auto" w:fill="auto"/>
            <w:vAlign w:val="center"/>
          </w:tcPr>
          <w:p w14:paraId="6737555A">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每日不少于1次</w:t>
            </w:r>
          </w:p>
        </w:tc>
        <w:tc>
          <w:tcPr>
            <w:tcW w:w="490" w:type="pct"/>
            <w:shd w:val="clear" w:color="auto" w:fill="auto"/>
            <w:vAlign w:val="center"/>
          </w:tcPr>
          <w:p w14:paraId="4EFB6910">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w:t>
            </w:r>
          </w:p>
        </w:tc>
        <w:tc>
          <w:tcPr>
            <w:tcW w:w="455" w:type="pct"/>
            <w:shd w:val="clear" w:color="auto" w:fill="auto"/>
            <w:vAlign w:val="center"/>
          </w:tcPr>
          <w:p w14:paraId="649435D0">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每周不少于1次</w:t>
            </w:r>
          </w:p>
        </w:tc>
        <w:tc>
          <w:tcPr>
            <w:tcW w:w="883" w:type="pct"/>
            <w:shd w:val="clear" w:color="auto" w:fill="auto"/>
            <w:vAlign w:val="center"/>
          </w:tcPr>
          <w:p w14:paraId="3C3105AE">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w:t>
            </w:r>
          </w:p>
        </w:tc>
        <w:tc>
          <w:tcPr>
            <w:tcW w:w="865" w:type="pct"/>
            <w:shd w:val="clear" w:color="auto" w:fill="auto"/>
            <w:vAlign w:val="center"/>
          </w:tcPr>
          <w:p w14:paraId="466122BB">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每日巡回作业，巡回时间不少于8h</w:t>
            </w:r>
          </w:p>
        </w:tc>
        <w:tc>
          <w:tcPr>
            <w:tcW w:w="454" w:type="pct"/>
            <w:shd w:val="clear" w:color="auto" w:fill="auto"/>
            <w:vAlign w:val="center"/>
          </w:tcPr>
          <w:p w14:paraId="456648F8">
            <w:pPr>
              <w:keepNext w:val="0"/>
              <w:keepLines w:val="0"/>
              <w:pageBreakBefore w:val="0"/>
              <w:widowControl w:val="0"/>
              <w:suppressLineNumbers w:val="0"/>
              <w:kinsoku/>
              <w:wordWrap/>
              <w:overflowPunct/>
              <w:topLinePunct w:val="0"/>
              <w:autoSpaceDE/>
              <w:autoSpaceDN/>
              <w:bidi w:val="0"/>
              <w:adjustRightInd/>
              <w:snapToGrid w:val="0"/>
              <w:spacing w:line="240" w:lineRule="atLeast"/>
              <w:jc w:val="center"/>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u w:val="none"/>
                <w:lang w:val="en-US" w:eastAsia="zh-CN" w:bidi="ar"/>
              </w:rPr>
              <w:t>每日不少于1次</w:t>
            </w:r>
          </w:p>
        </w:tc>
      </w:tr>
    </w:tbl>
    <w:p w14:paraId="24C38C59">
      <w:pPr>
        <w:spacing w:line="560" w:lineRule="exact"/>
        <w:jc w:val="center"/>
        <w:rPr>
          <w:rFonts w:hint="eastAsia" w:ascii="黑体" w:hAnsi="黑体" w:eastAsia="黑体" w:cs="黑体"/>
          <w:b w:val="0"/>
          <w:bCs w:val="0"/>
          <w:color w:val="auto"/>
          <w:kern w:val="2"/>
          <w:sz w:val="28"/>
          <w:szCs w:val="28"/>
          <w:highlight w:val="none"/>
          <w:u w:val="none"/>
          <w:lang w:val="en-US" w:eastAsia="zh-CN" w:bidi="ar-SA"/>
        </w:rPr>
      </w:pPr>
    </w:p>
    <w:p w14:paraId="6B20CA6F">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textAlignment w:val="auto"/>
        <w:rPr>
          <w:rStyle w:val="20"/>
          <w:rFonts w:hint="default" w:ascii="Segoe UI" w:hAnsi="Segoe UI" w:eastAsia="Segoe UI" w:cs="Segoe UI"/>
          <w:i w:val="0"/>
          <w:iCs w:val="0"/>
          <w:caps w:val="0"/>
          <w:color w:val="auto"/>
          <w:spacing w:val="0"/>
          <w:sz w:val="24"/>
          <w:szCs w:val="24"/>
          <w:highlight w:val="none"/>
          <w:u w:val="none"/>
          <w:shd w:val="clear" w:fill="FFFFFF"/>
        </w:rPr>
      </w:pPr>
      <w:r>
        <w:rPr>
          <w:rStyle w:val="20"/>
          <w:rFonts w:hint="default" w:ascii="Segoe UI" w:hAnsi="Segoe UI" w:eastAsia="Segoe UI" w:cs="Segoe UI"/>
          <w:i w:val="0"/>
          <w:iCs w:val="0"/>
          <w:caps w:val="0"/>
          <w:color w:val="auto"/>
          <w:spacing w:val="0"/>
          <w:sz w:val="24"/>
          <w:szCs w:val="24"/>
          <w:highlight w:val="none"/>
          <w:u w:val="none"/>
          <w:shd w:val="clear" w:fill="FFFFFF"/>
        </w:rPr>
        <w:t>注：</w:t>
      </w:r>
    </w:p>
    <w:p w14:paraId="4535B653">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textAlignment w:val="auto"/>
        <w:rPr>
          <w:color w:val="auto"/>
          <w:highlight w:val="none"/>
          <w:u w:val="none"/>
        </w:rPr>
      </w:pPr>
      <w:r>
        <w:rPr>
          <w:rFonts w:hint="eastAsia" w:ascii="Segoe UI" w:hAnsi="Segoe UI" w:eastAsia="宋体" w:cs="Segoe UI"/>
          <w:i w:val="0"/>
          <w:iCs w:val="0"/>
          <w:caps w:val="0"/>
          <w:color w:val="auto"/>
          <w:spacing w:val="0"/>
          <w:sz w:val="24"/>
          <w:szCs w:val="24"/>
          <w:highlight w:val="none"/>
          <w:u w:val="none"/>
          <w:shd w:val="clear" w:fill="FFFFFF"/>
          <w:lang w:val="en-US" w:eastAsia="zh-CN"/>
        </w:rPr>
        <w:t>1.</w:t>
      </w:r>
      <w:r>
        <w:rPr>
          <w:rFonts w:hint="default" w:ascii="Segoe UI" w:hAnsi="Segoe UI" w:eastAsia="Segoe UI" w:cs="Segoe UI"/>
          <w:i w:val="0"/>
          <w:iCs w:val="0"/>
          <w:caps w:val="0"/>
          <w:color w:val="auto"/>
          <w:spacing w:val="0"/>
          <w:sz w:val="24"/>
          <w:szCs w:val="24"/>
          <w:highlight w:val="none"/>
          <w:u w:val="none"/>
          <w:shd w:val="clear" w:fill="FFFFFF"/>
        </w:rPr>
        <w:t>机械清洗作业应在机械洗扫作业前进行。机械洗扫作业与机械清洗作业间隔时间不宜大于30min。</w:t>
      </w:r>
    </w:p>
    <w:p w14:paraId="1355BD5C">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textAlignment w:val="auto"/>
        <w:rPr>
          <w:color w:val="auto"/>
          <w:highlight w:val="none"/>
          <w:u w:val="none"/>
        </w:rPr>
      </w:pPr>
      <w:r>
        <w:rPr>
          <w:rFonts w:hint="eastAsia" w:ascii="Segoe UI" w:hAnsi="Segoe UI" w:eastAsia="宋体" w:cs="Segoe UI"/>
          <w:i w:val="0"/>
          <w:iCs w:val="0"/>
          <w:caps w:val="0"/>
          <w:color w:val="auto"/>
          <w:spacing w:val="0"/>
          <w:sz w:val="24"/>
          <w:szCs w:val="24"/>
          <w:highlight w:val="none"/>
          <w:u w:val="none"/>
          <w:shd w:val="clear" w:fill="FFFFFF"/>
          <w:lang w:val="en-US" w:eastAsia="zh-CN"/>
        </w:rPr>
        <w:t>2.</w:t>
      </w:r>
      <w:r>
        <w:rPr>
          <w:rFonts w:hint="default" w:ascii="Segoe UI" w:hAnsi="Segoe UI" w:eastAsia="Segoe UI" w:cs="Segoe UI"/>
          <w:i w:val="0"/>
          <w:iCs w:val="0"/>
          <w:caps w:val="0"/>
          <w:color w:val="auto"/>
          <w:spacing w:val="0"/>
          <w:sz w:val="24"/>
          <w:szCs w:val="24"/>
          <w:highlight w:val="none"/>
          <w:u w:val="none"/>
          <w:shd w:val="clear" w:fill="FFFFFF"/>
        </w:rPr>
        <w:t>机械清洗应覆盖全部机动车道，机械洗扫可只在最外侧和最内侧机动车道进行。</w:t>
      </w:r>
    </w:p>
    <w:p w14:paraId="6CD0CC8B">
      <w:pPr>
        <w:pStyle w:val="23"/>
        <w:pageBreakBefore w:val="0"/>
        <w:widowControl w:val="0"/>
        <w:tabs>
          <w:tab w:val="right" w:leader="dot" w:pos="8845"/>
        </w:tabs>
        <w:kinsoku/>
        <w:wordWrap/>
        <w:overflowPunct/>
        <w:topLinePunct w:val="0"/>
        <w:bidi w:val="0"/>
        <w:spacing w:line="560" w:lineRule="exact"/>
        <w:rPr>
          <w:rFonts w:hint="eastAsia" w:ascii="仿宋_GB2312" w:hAnsi="Times New Roman" w:eastAsia="仿宋_GB2312" w:cs="Times New Roman"/>
          <w:color w:val="auto"/>
          <w:kern w:val="2"/>
          <w:sz w:val="32"/>
          <w:szCs w:val="32"/>
          <w:highlight w:val="none"/>
          <w:u w:val="none"/>
          <w:shd w:val="clear" w:color="auto" w:fill="FFFFFF"/>
          <w:lang w:val="en-US" w:eastAsia="zh-CN"/>
        </w:rPr>
        <w:sectPr>
          <w:pgSz w:w="11906" w:h="16838"/>
          <w:pgMar w:top="2098" w:right="1474" w:bottom="1984" w:left="1587" w:header="851" w:footer="1417" w:gutter="0"/>
          <w:pgNumType w:fmt="decimal"/>
          <w:cols w:space="0" w:num="1"/>
          <w:rtlGutter w:val="0"/>
          <w:docGrid w:type="lines" w:linePitch="312" w:charSpace="0"/>
        </w:sectPr>
      </w:pPr>
    </w:p>
    <w:p w14:paraId="1B0AB182">
      <w:pPr>
        <w:keepNext w:val="0"/>
        <w:keepLines w:val="0"/>
        <w:pageBreakBefore w:val="0"/>
        <w:kinsoku/>
        <w:wordWrap/>
        <w:overflowPunct/>
        <w:topLinePunct w:val="0"/>
        <w:bidi w:val="0"/>
        <w:spacing w:before="0" w:after="0" w:line="560" w:lineRule="exact"/>
        <w:ind w:left="0" w:leftChars="0" w:firstLineChars="0"/>
        <w:jc w:val="left"/>
        <w:textAlignment w:val="auto"/>
        <w:outlineLvl w:val="0"/>
        <w:rPr>
          <w:rFonts w:hint="eastAsia" w:ascii="黑体" w:hAnsi="黑体" w:eastAsia="黑体" w:cs="黑体"/>
          <w:b w:val="0"/>
          <w:bCs w:val="0"/>
          <w:color w:val="auto"/>
          <w:kern w:val="2"/>
          <w:sz w:val="32"/>
          <w:szCs w:val="32"/>
          <w:highlight w:val="none"/>
          <w:u w:val="none"/>
          <w:lang w:val="en-US" w:eastAsia="zh-CN" w:bidi="ar-SA"/>
        </w:rPr>
      </w:pPr>
      <w:bookmarkStart w:id="211" w:name="_Toc14939"/>
      <w:bookmarkStart w:id="212" w:name="_Toc10462"/>
      <w:bookmarkStart w:id="213" w:name="_Toc15549"/>
      <w:r>
        <w:rPr>
          <w:rFonts w:hint="eastAsia" w:ascii="黑体" w:hAnsi="黑体" w:eastAsia="黑体" w:cs="黑体"/>
          <w:b w:val="0"/>
          <w:bCs w:val="0"/>
          <w:color w:val="auto"/>
          <w:kern w:val="2"/>
          <w:sz w:val="32"/>
          <w:szCs w:val="32"/>
          <w:highlight w:val="none"/>
          <w:u w:val="none"/>
          <w:lang w:val="en-US" w:eastAsia="zh-CN" w:bidi="ar-SA"/>
        </w:rPr>
        <w:t>附录2</w:t>
      </w:r>
      <w:bookmarkEnd w:id="211"/>
      <w:bookmarkEnd w:id="212"/>
      <w:bookmarkEnd w:id="213"/>
    </w:p>
    <w:p w14:paraId="0BC42212">
      <w:pPr>
        <w:pStyle w:val="23"/>
        <w:pageBreakBefore w:val="0"/>
        <w:widowControl w:val="0"/>
        <w:tabs>
          <w:tab w:val="right" w:leader="dot" w:pos="8845"/>
        </w:tabs>
        <w:kinsoku/>
        <w:wordWrap/>
        <w:overflowPunct/>
        <w:topLinePunct w:val="0"/>
        <w:bidi w:val="0"/>
        <w:spacing w:line="560" w:lineRule="exact"/>
        <w:ind w:firstLine="640" w:firstLineChars="200"/>
        <w:rPr>
          <w:rFonts w:hint="default" w:ascii="仿宋_GB2312" w:eastAsia="仿宋_GB2312" w:cs="Times New Roman"/>
          <w:color w:val="auto"/>
          <w:kern w:val="2"/>
          <w:sz w:val="32"/>
          <w:szCs w:val="32"/>
          <w:highlight w:val="none"/>
          <w:u w:val="none"/>
          <w:shd w:val="clear" w:color="auto" w:fill="FFFFFF"/>
          <w:lang w:val="en-US" w:eastAsia="zh-CN"/>
        </w:rPr>
      </w:pPr>
      <w:r>
        <w:rPr>
          <w:rFonts w:hint="eastAsia" w:ascii="仿宋_GB2312" w:eastAsia="仿宋_GB2312" w:cs="Times New Roman"/>
          <w:color w:val="auto"/>
          <w:kern w:val="2"/>
          <w:sz w:val="32"/>
          <w:szCs w:val="32"/>
          <w:highlight w:val="none"/>
          <w:u w:val="none"/>
          <w:shd w:val="clear" w:color="auto" w:fill="FFFFFF"/>
          <w:lang w:val="en-US" w:eastAsia="zh-CN"/>
        </w:rPr>
        <w:t>居民小区生活垃圾分类收集房建设面积和服务半径应满足附表2居民小区垃圾收集房设置面积标准</w:t>
      </w:r>
    </w:p>
    <w:p w14:paraId="4671D842">
      <w:pPr>
        <w:pStyle w:val="22"/>
        <w:keepNext w:val="0"/>
        <w:keepLines w:val="0"/>
        <w:pageBreakBefore w:val="0"/>
        <w:kinsoku/>
        <w:wordWrap/>
        <w:overflowPunct/>
        <w:topLinePunct w:val="0"/>
        <w:bidi w:val="0"/>
        <w:spacing w:before="0" w:after="0" w:line="560" w:lineRule="exact"/>
        <w:ind w:left="0" w:leftChars="0" w:firstLine="0" w:firstLineChars="0"/>
        <w:jc w:val="center"/>
        <w:textAlignment w:val="auto"/>
        <w:outlineLvl w:val="0"/>
        <w:rPr>
          <w:rFonts w:hint="eastAsia" w:ascii="黑体" w:hAnsi="黑体" w:eastAsia="黑体" w:cs="黑体"/>
          <w:b w:val="0"/>
          <w:bCs w:val="0"/>
          <w:color w:val="auto"/>
          <w:kern w:val="2"/>
          <w:sz w:val="28"/>
          <w:szCs w:val="28"/>
          <w:highlight w:val="none"/>
          <w:u w:val="none"/>
          <w:lang w:val="en-US" w:eastAsia="zh-CN" w:bidi="ar-SA"/>
        </w:rPr>
      </w:pPr>
      <w:bookmarkStart w:id="214" w:name="_Toc30465"/>
      <w:bookmarkStart w:id="215" w:name="_Toc15116"/>
      <w:bookmarkStart w:id="216" w:name="_Toc24558"/>
      <w:r>
        <w:rPr>
          <w:rFonts w:hint="eastAsia" w:ascii="黑体" w:hAnsi="黑体" w:eastAsia="黑体" w:cs="黑体"/>
          <w:b w:val="0"/>
          <w:bCs w:val="0"/>
          <w:color w:val="auto"/>
          <w:kern w:val="2"/>
          <w:sz w:val="28"/>
          <w:szCs w:val="28"/>
          <w:highlight w:val="none"/>
          <w:u w:val="none"/>
          <w:lang w:val="en-US" w:eastAsia="zh-CN" w:bidi="ar-SA"/>
        </w:rPr>
        <w:t>附表2居民小区垃圾收集房设置面积标准</w:t>
      </w:r>
      <w:bookmarkEnd w:id="214"/>
      <w:bookmarkEnd w:id="215"/>
      <w:bookmarkEnd w:id="216"/>
    </w:p>
    <w:tbl>
      <w:tblPr>
        <w:tblStyle w:val="17"/>
        <w:tblW w:w="9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6" w:type="dxa"/>
          <w:left w:w="96" w:type="dxa"/>
          <w:bottom w:w="56" w:type="dxa"/>
          <w:right w:w="96" w:type="dxa"/>
        </w:tblCellMar>
      </w:tblPr>
      <w:tblGrid>
        <w:gridCol w:w="1757"/>
        <w:gridCol w:w="2808"/>
        <w:gridCol w:w="2925"/>
        <w:gridCol w:w="2460"/>
      </w:tblGrid>
      <w:tr w14:paraId="058F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1757" w:type="dxa"/>
            <w:noWrap w:val="0"/>
            <w:vAlign w:val="center"/>
          </w:tcPr>
          <w:p w14:paraId="09F38027">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ascii="黑体" w:hAnsi="黑体" w:eastAsia="黑体"/>
                <w:color w:val="auto"/>
                <w:kern w:val="2"/>
                <w:sz w:val="28"/>
                <w:szCs w:val="28"/>
                <w:highlight w:val="none"/>
                <w:u w:val="none"/>
              </w:rPr>
            </w:pPr>
            <w:r>
              <w:rPr>
                <w:rFonts w:hint="eastAsia" w:ascii="黑体" w:hAnsi="黑体" w:eastAsia="黑体"/>
                <w:color w:val="auto"/>
                <w:kern w:val="2"/>
                <w:sz w:val="28"/>
                <w:szCs w:val="28"/>
                <w:highlight w:val="none"/>
                <w:u w:val="none"/>
              </w:rPr>
              <w:t>服务户数</w:t>
            </w:r>
          </w:p>
        </w:tc>
        <w:tc>
          <w:tcPr>
            <w:tcW w:w="2808" w:type="dxa"/>
            <w:noWrap w:val="0"/>
            <w:vAlign w:val="center"/>
          </w:tcPr>
          <w:p w14:paraId="20EDC90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黑体" w:hAnsi="黑体" w:eastAsia="黑体"/>
                <w:color w:val="auto"/>
                <w:kern w:val="2"/>
                <w:sz w:val="28"/>
                <w:szCs w:val="28"/>
                <w:highlight w:val="none"/>
                <w:u w:val="none"/>
                <w:lang w:val="en-US" w:eastAsia="zh-CN"/>
              </w:rPr>
            </w:pPr>
            <w:r>
              <w:rPr>
                <w:rFonts w:hint="eastAsia" w:ascii="黑体" w:hAnsi="黑体" w:eastAsia="黑体"/>
                <w:color w:val="auto"/>
                <w:kern w:val="2"/>
                <w:sz w:val="28"/>
                <w:szCs w:val="28"/>
                <w:highlight w:val="none"/>
                <w:u w:val="none"/>
                <w:lang w:val="en-US" w:eastAsia="zh-CN"/>
              </w:rPr>
              <w:t>其他垃圾、厨余垃圾</w:t>
            </w:r>
          </w:p>
          <w:p w14:paraId="276A2AFF">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ascii="黑体" w:hAnsi="黑体" w:eastAsia="黑体"/>
                <w:color w:val="auto"/>
                <w:kern w:val="2"/>
                <w:sz w:val="28"/>
                <w:szCs w:val="28"/>
                <w:highlight w:val="none"/>
                <w:u w:val="none"/>
              </w:rPr>
            </w:pPr>
            <w:r>
              <w:rPr>
                <w:rFonts w:hint="eastAsia" w:ascii="黑体" w:hAnsi="黑体" w:eastAsia="黑体"/>
                <w:color w:val="auto"/>
                <w:kern w:val="2"/>
                <w:sz w:val="28"/>
                <w:szCs w:val="28"/>
                <w:highlight w:val="none"/>
                <w:u w:val="none"/>
              </w:rPr>
              <w:t>收集间面积</w:t>
            </w:r>
          </w:p>
        </w:tc>
        <w:tc>
          <w:tcPr>
            <w:tcW w:w="2925" w:type="dxa"/>
            <w:noWrap w:val="0"/>
            <w:vAlign w:val="center"/>
          </w:tcPr>
          <w:p w14:paraId="510DD40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ascii="黑体" w:hAnsi="黑体" w:eastAsia="黑体"/>
                <w:color w:val="auto"/>
                <w:kern w:val="2"/>
                <w:sz w:val="28"/>
                <w:szCs w:val="28"/>
                <w:highlight w:val="none"/>
                <w:u w:val="none"/>
              </w:rPr>
            </w:pPr>
            <w:r>
              <w:rPr>
                <w:rFonts w:hint="eastAsia" w:ascii="黑体" w:hAnsi="黑体" w:eastAsia="黑体"/>
                <w:color w:val="auto"/>
                <w:kern w:val="2"/>
                <w:sz w:val="28"/>
                <w:szCs w:val="28"/>
                <w:highlight w:val="none"/>
                <w:u w:val="none"/>
              </w:rPr>
              <w:t>可回收物、有害垃圾</w:t>
            </w:r>
          </w:p>
          <w:p w14:paraId="345130CE">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ascii="黑体" w:hAnsi="黑体" w:eastAsia="黑体"/>
                <w:color w:val="auto"/>
                <w:kern w:val="2"/>
                <w:sz w:val="28"/>
                <w:szCs w:val="28"/>
                <w:highlight w:val="none"/>
                <w:u w:val="none"/>
              </w:rPr>
            </w:pPr>
            <w:r>
              <w:rPr>
                <w:rFonts w:hint="eastAsia" w:ascii="黑体" w:hAnsi="黑体" w:eastAsia="黑体"/>
                <w:color w:val="auto"/>
                <w:kern w:val="2"/>
                <w:sz w:val="28"/>
                <w:szCs w:val="28"/>
                <w:highlight w:val="none"/>
                <w:u w:val="none"/>
              </w:rPr>
              <w:t>暂存间面积</w:t>
            </w:r>
          </w:p>
        </w:tc>
        <w:tc>
          <w:tcPr>
            <w:tcW w:w="2460" w:type="dxa"/>
            <w:noWrap w:val="0"/>
            <w:vAlign w:val="center"/>
          </w:tcPr>
          <w:p w14:paraId="5136F0A0">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ascii="黑体" w:hAnsi="黑体" w:eastAsia="黑体"/>
                <w:color w:val="auto"/>
                <w:kern w:val="2"/>
                <w:sz w:val="28"/>
                <w:szCs w:val="28"/>
                <w:highlight w:val="none"/>
                <w:u w:val="none"/>
              </w:rPr>
            </w:pPr>
            <w:r>
              <w:rPr>
                <w:rFonts w:hint="eastAsia" w:ascii="黑体" w:hAnsi="黑体" w:eastAsia="黑体"/>
                <w:color w:val="auto"/>
                <w:kern w:val="2"/>
                <w:sz w:val="28"/>
                <w:szCs w:val="28"/>
                <w:highlight w:val="none"/>
                <w:u w:val="none"/>
              </w:rPr>
              <w:t>服务半径</w:t>
            </w:r>
          </w:p>
        </w:tc>
      </w:tr>
      <w:tr w14:paraId="7CD1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1757" w:type="dxa"/>
            <w:noWrap w:val="0"/>
            <w:vAlign w:val="top"/>
          </w:tcPr>
          <w:p w14:paraId="3490D032">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700-1000户</w:t>
            </w:r>
          </w:p>
        </w:tc>
        <w:tc>
          <w:tcPr>
            <w:tcW w:w="2808" w:type="dxa"/>
            <w:noWrap w:val="0"/>
            <w:vAlign w:val="top"/>
          </w:tcPr>
          <w:p w14:paraId="7FBA0F81">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原则不小于40平方米</w:t>
            </w:r>
          </w:p>
        </w:tc>
        <w:tc>
          <w:tcPr>
            <w:tcW w:w="2925" w:type="dxa"/>
            <w:noWrap w:val="0"/>
            <w:vAlign w:val="top"/>
          </w:tcPr>
          <w:p w14:paraId="6592DE65">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原则不小于40平方米</w:t>
            </w:r>
          </w:p>
        </w:tc>
        <w:tc>
          <w:tcPr>
            <w:tcW w:w="2460" w:type="dxa"/>
            <w:noWrap w:val="0"/>
            <w:vAlign w:val="top"/>
          </w:tcPr>
          <w:p w14:paraId="616DD4D3">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原则不大于300米</w:t>
            </w:r>
          </w:p>
        </w:tc>
      </w:tr>
      <w:tr w14:paraId="2247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1757" w:type="dxa"/>
            <w:noWrap w:val="0"/>
            <w:vAlign w:val="top"/>
          </w:tcPr>
          <w:p w14:paraId="36439C3A">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500-700户</w:t>
            </w:r>
          </w:p>
        </w:tc>
        <w:tc>
          <w:tcPr>
            <w:tcW w:w="2808" w:type="dxa"/>
            <w:noWrap w:val="0"/>
            <w:vAlign w:val="top"/>
          </w:tcPr>
          <w:p w14:paraId="2BF1AFF5">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原则不小于30平方米</w:t>
            </w:r>
          </w:p>
        </w:tc>
        <w:tc>
          <w:tcPr>
            <w:tcW w:w="2925" w:type="dxa"/>
            <w:noWrap w:val="0"/>
            <w:vAlign w:val="top"/>
          </w:tcPr>
          <w:p w14:paraId="5853C393">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原则不小于30平方米</w:t>
            </w:r>
          </w:p>
        </w:tc>
        <w:tc>
          <w:tcPr>
            <w:tcW w:w="2460" w:type="dxa"/>
            <w:noWrap w:val="0"/>
            <w:vAlign w:val="top"/>
          </w:tcPr>
          <w:p w14:paraId="1A1B9981">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原则不大于200米</w:t>
            </w:r>
          </w:p>
        </w:tc>
      </w:tr>
      <w:tr w14:paraId="06D1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1757" w:type="dxa"/>
            <w:noWrap w:val="0"/>
            <w:vAlign w:val="top"/>
          </w:tcPr>
          <w:p w14:paraId="5A797B6E">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300-500户</w:t>
            </w:r>
          </w:p>
        </w:tc>
        <w:tc>
          <w:tcPr>
            <w:tcW w:w="2808" w:type="dxa"/>
            <w:noWrap w:val="0"/>
            <w:vAlign w:val="top"/>
          </w:tcPr>
          <w:p w14:paraId="1088EC04">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原则不小于20平方米</w:t>
            </w:r>
          </w:p>
        </w:tc>
        <w:tc>
          <w:tcPr>
            <w:tcW w:w="2925" w:type="dxa"/>
            <w:noWrap w:val="0"/>
            <w:vAlign w:val="top"/>
          </w:tcPr>
          <w:p w14:paraId="529DF8E8">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原则不小于20平方米</w:t>
            </w:r>
          </w:p>
        </w:tc>
        <w:tc>
          <w:tcPr>
            <w:tcW w:w="2460" w:type="dxa"/>
            <w:noWrap w:val="0"/>
            <w:vAlign w:val="top"/>
          </w:tcPr>
          <w:p w14:paraId="7C15EE46">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原则不大于150米</w:t>
            </w:r>
          </w:p>
        </w:tc>
      </w:tr>
      <w:tr w14:paraId="3C44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1757" w:type="dxa"/>
            <w:noWrap w:val="0"/>
            <w:vAlign w:val="top"/>
          </w:tcPr>
          <w:p w14:paraId="3168F9DE">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100-300户</w:t>
            </w:r>
          </w:p>
        </w:tc>
        <w:tc>
          <w:tcPr>
            <w:tcW w:w="2808" w:type="dxa"/>
            <w:noWrap w:val="0"/>
            <w:vAlign w:val="top"/>
          </w:tcPr>
          <w:p w14:paraId="134BF002">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原则不小于15平方米</w:t>
            </w:r>
          </w:p>
        </w:tc>
        <w:tc>
          <w:tcPr>
            <w:tcW w:w="2925" w:type="dxa"/>
            <w:noWrap w:val="0"/>
            <w:vAlign w:val="top"/>
          </w:tcPr>
          <w:p w14:paraId="27C27966">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原则不小于15平方米</w:t>
            </w:r>
          </w:p>
        </w:tc>
        <w:tc>
          <w:tcPr>
            <w:tcW w:w="2460" w:type="dxa"/>
            <w:noWrap w:val="0"/>
            <w:vAlign w:val="top"/>
          </w:tcPr>
          <w:p w14:paraId="18836FFD">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原则不大于100米</w:t>
            </w:r>
          </w:p>
        </w:tc>
      </w:tr>
      <w:tr w14:paraId="6059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1757" w:type="dxa"/>
            <w:noWrap w:val="0"/>
            <w:vAlign w:val="top"/>
          </w:tcPr>
          <w:p w14:paraId="2859AED7">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小于100户</w:t>
            </w:r>
          </w:p>
        </w:tc>
        <w:tc>
          <w:tcPr>
            <w:tcW w:w="2808" w:type="dxa"/>
            <w:noWrap w:val="0"/>
            <w:vAlign w:val="top"/>
          </w:tcPr>
          <w:p w14:paraId="27CB572F">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原则不小于10平方米</w:t>
            </w:r>
          </w:p>
        </w:tc>
        <w:tc>
          <w:tcPr>
            <w:tcW w:w="2925" w:type="dxa"/>
            <w:noWrap w:val="0"/>
            <w:vAlign w:val="top"/>
          </w:tcPr>
          <w:p w14:paraId="6F8C8744">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原则不小于10平方米</w:t>
            </w:r>
          </w:p>
        </w:tc>
        <w:tc>
          <w:tcPr>
            <w:tcW w:w="2460" w:type="dxa"/>
            <w:noWrap w:val="0"/>
            <w:vAlign w:val="top"/>
          </w:tcPr>
          <w:p w14:paraId="1727EB2C">
            <w:pPr>
              <w:keepNext w:val="0"/>
              <w:keepLines w:val="0"/>
              <w:pageBreakBefore w:val="0"/>
              <w:widowControl w:val="0"/>
              <w:kinsoku/>
              <w:wordWrap/>
              <w:overflowPunct/>
              <w:topLinePunct w:val="0"/>
              <w:bidi w:val="0"/>
              <w:adjustRightInd/>
              <w:snapToGrid w:val="0"/>
              <w:spacing w:line="560" w:lineRule="exact"/>
              <w:jc w:val="center"/>
              <w:rPr>
                <w:rFonts w:hint="eastAsia" w:ascii="仿宋_GB2312" w:hAnsi="仿宋_GB2312" w:eastAsia="仿宋_GB2312" w:cs="仿宋_GB2312"/>
                <w:color w:val="auto"/>
                <w:kern w:val="2"/>
                <w:sz w:val="28"/>
                <w:szCs w:val="28"/>
                <w:highlight w:val="none"/>
                <w:u w:val="none"/>
              </w:rPr>
            </w:pPr>
            <w:r>
              <w:rPr>
                <w:rFonts w:hint="eastAsia" w:ascii="仿宋_GB2312" w:hAnsi="仿宋_GB2312" w:eastAsia="仿宋_GB2312" w:cs="仿宋_GB2312"/>
                <w:color w:val="auto"/>
                <w:kern w:val="2"/>
                <w:sz w:val="28"/>
                <w:szCs w:val="28"/>
                <w:highlight w:val="none"/>
                <w:u w:val="none"/>
              </w:rPr>
              <w:t>原则不大于50米</w:t>
            </w:r>
          </w:p>
        </w:tc>
      </w:tr>
    </w:tbl>
    <w:p w14:paraId="538E7625">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outlineLvl w:val="9"/>
        <w:rPr>
          <w:rFonts w:hint="eastAsia" w:ascii="黑体" w:hAnsi="黑体" w:eastAsia="黑体" w:cs="黑体"/>
          <w:b w:val="0"/>
          <w:bCs w:val="0"/>
          <w:color w:val="auto"/>
          <w:kern w:val="2"/>
          <w:sz w:val="32"/>
          <w:szCs w:val="32"/>
          <w:highlight w:val="none"/>
          <w:u w:val="none"/>
          <w:lang w:val="en-US" w:eastAsia="zh-CN" w:bidi="ar-SA"/>
        </w:rPr>
      </w:pPr>
    </w:p>
    <w:p w14:paraId="62F56F9D">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outlineLvl w:val="9"/>
        <w:rPr>
          <w:rFonts w:hint="eastAsia" w:ascii="黑体" w:hAnsi="黑体" w:eastAsia="黑体" w:cs="黑体"/>
          <w:b w:val="0"/>
          <w:bCs w:val="0"/>
          <w:color w:val="auto"/>
          <w:kern w:val="2"/>
          <w:sz w:val="32"/>
          <w:szCs w:val="32"/>
          <w:highlight w:val="none"/>
          <w:u w:val="none"/>
          <w:lang w:val="en-US" w:eastAsia="zh-CN" w:bidi="ar-SA"/>
        </w:rPr>
      </w:pPr>
    </w:p>
    <w:p w14:paraId="03E03D48">
      <w:pPr>
        <w:rPr>
          <w:rFonts w:hint="eastAsia" w:ascii="黑体" w:hAnsi="黑体" w:eastAsia="黑体" w:cs="黑体"/>
          <w:b w:val="0"/>
          <w:bCs w:val="0"/>
          <w:color w:val="auto"/>
          <w:kern w:val="2"/>
          <w:sz w:val="32"/>
          <w:szCs w:val="32"/>
          <w:highlight w:val="none"/>
          <w:u w:val="none"/>
          <w:lang w:val="en-US" w:eastAsia="zh-CN" w:bidi="ar-SA"/>
        </w:rPr>
      </w:pPr>
      <w:r>
        <w:rPr>
          <w:rFonts w:hint="eastAsia" w:ascii="黑体" w:hAnsi="黑体" w:eastAsia="黑体" w:cs="黑体"/>
          <w:b w:val="0"/>
          <w:bCs w:val="0"/>
          <w:color w:val="auto"/>
          <w:kern w:val="2"/>
          <w:sz w:val="32"/>
          <w:szCs w:val="32"/>
          <w:highlight w:val="none"/>
          <w:u w:val="none"/>
          <w:lang w:val="en-US" w:eastAsia="zh-CN" w:bidi="ar-SA"/>
        </w:rPr>
        <w:br w:type="page"/>
      </w:r>
    </w:p>
    <w:p w14:paraId="310CCB81">
      <w:pPr>
        <w:pStyle w:val="22"/>
        <w:keepNext w:val="0"/>
        <w:keepLines w:val="0"/>
        <w:pageBreakBefore w:val="0"/>
        <w:kinsoku/>
        <w:wordWrap/>
        <w:overflowPunct/>
        <w:topLinePunct w:val="0"/>
        <w:bidi w:val="0"/>
        <w:spacing w:before="0" w:after="0" w:line="560" w:lineRule="exact"/>
        <w:ind w:left="0" w:leftChars="0" w:firstLine="0" w:firstLineChars="0"/>
        <w:jc w:val="left"/>
        <w:textAlignment w:val="auto"/>
        <w:outlineLvl w:val="0"/>
        <w:rPr>
          <w:rFonts w:hint="eastAsia" w:ascii="黑体" w:hAnsi="黑体" w:eastAsia="黑体" w:cs="黑体"/>
          <w:b w:val="0"/>
          <w:bCs w:val="0"/>
          <w:color w:val="auto"/>
          <w:kern w:val="2"/>
          <w:sz w:val="32"/>
          <w:szCs w:val="32"/>
          <w:highlight w:val="none"/>
          <w:u w:val="none"/>
          <w:lang w:val="en-US" w:eastAsia="zh-CN" w:bidi="ar-SA"/>
        </w:rPr>
      </w:pPr>
      <w:bookmarkStart w:id="217" w:name="_Toc14662"/>
      <w:bookmarkStart w:id="218" w:name="_Toc1022"/>
      <w:bookmarkStart w:id="219" w:name="_Toc10241"/>
      <w:r>
        <w:rPr>
          <w:rFonts w:hint="eastAsia" w:ascii="黑体" w:hAnsi="黑体" w:eastAsia="黑体" w:cs="黑体"/>
          <w:b w:val="0"/>
          <w:bCs w:val="0"/>
          <w:color w:val="auto"/>
          <w:kern w:val="2"/>
          <w:sz w:val="32"/>
          <w:szCs w:val="32"/>
          <w:highlight w:val="none"/>
          <w:u w:val="none"/>
          <w:lang w:val="en-US" w:eastAsia="zh-CN" w:bidi="ar-SA"/>
        </w:rPr>
        <w:t>附录3绿地容貌分级管护质量要求</w:t>
      </w:r>
      <w:bookmarkEnd w:id="217"/>
      <w:bookmarkEnd w:id="218"/>
      <w:bookmarkEnd w:id="219"/>
    </w:p>
    <w:p w14:paraId="2D1F7010">
      <w:pPr>
        <w:pStyle w:val="14"/>
        <w:spacing w:before="0" w:beforeAutospacing="0" w:after="0" w:afterAutospacing="0" w:line="600" w:lineRule="exact"/>
        <w:jc w:val="center"/>
        <w:outlineLvl w:val="9"/>
        <w:rPr>
          <w:b/>
          <w:color w:val="auto"/>
          <w:sz w:val="24"/>
          <w:szCs w:val="24"/>
          <w:highlight w:val="none"/>
          <w:u w:val="none"/>
        </w:rPr>
      </w:pPr>
      <w:r>
        <w:rPr>
          <w:rFonts w:hint="eastAsia"/>
          <w:b/>
          <w:color w:val="auto"/>
          <w:sz w:val="24"/>
          <w:szCs w:val="24"/>
          <w:highlight w:val="none"/>
          <w:u w:val="none"/>
        </w:rPr>
        <w:t>表</w:t>
      </w:r>
      <w:r>
        <w:rPr>
          <w:rFonts w:hint="eastAsia"/>
          <w:b/>
          <w:color w:val="auto"/>
          <w:sz w:val="24"/>
          <w:szCs w:val="24"/>
          <w:highlight w:val="none"/>
          <w:u w:val="none"/>
          <w:lang w:val="en-US" w:eastAsia="zh-CN"/>
        </w:rPr>
        <w:t>3-1</w:t>
      </w:r>
      <w:r>
        <w:rPr>
          <w:rFonts w:hint="eastAsia"/>
          <w:b/>
          <w:color w:val="auto"/>
          <w:sz w:val="24"/>
          <w:szCs w:val="24"/>
          <w:highlight w:val="none"/>
          <w:u w:val="none"/>
        </w:rPr>
        <w:t>城镇园</w:t>
      </w:r>
      <w:r>
        <w:rPr>
          <w:b/>
          <w:color w:val="auto"/>
          <w:sz w:val="24"/>
          <w:szCs w:val="24"/>
          <w:highlight w:val="none"/>
          <w:u w:val="none"/>
        </w:rPr>
        <w:t>林</w:t>
      </w:r>
      <w:r>
        <w:rPr>
          <w:rFonts w:hint="eastAsia"/>
          <w:b/>
          <w:color w:val="auto"/>
          <w:sz w:val="24"/>
          <w:szCs w:val="24"/>
          <w:highlight w:val="none"/>
          <w:u w:val="none"/>
        </w:rPr>
        <w:t>绿</w:t>
      </w:r>
      <w:r>
        <w:rPr>
          <w:rFonts w:hint="eastAsia"/>
          <w:b/>
          <w:color w:val="auto"/>
          <w:sz w:val="24"/>
          <w:szCs w:val="24"/>
          <w:highlight w:val="none"/>
          <w:u w:val="none"/>
          <w:lang w:val="en-US" w:eastAsia="zh-CN"/>
        </w:rPr>
        <w:t>地</w:t>
      </w:r>
      <w:r>
        <w:rPr>
          <w:rFonts w:hint="eastAsia"/>
          <w:b/>
          <w:color w:val="auto"/>
          <w:sz w:val="24"/>
          <w:szCs w:val="24"/>
          <w:highlight w:val="none"/>
          <w:u w:val="none"/>
        </w:rPr>
        <w:t>管护区域分级</w:t>
      </w:r>
    </w:p>
    <w:tbl>
      <w:tblPr>
        <w:tblStyle w:val="17"/>
        <w:tblW w:w="8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537"/>
        <w:gridCol w:w="1530"/>
        <w:gridCol w:w="2645"/>
        <w:gridCol w:w="2710"/>
        <w:gridCol w:w="1551"/>
      </w:tblGrid>
      <w:tr w14:paraId="22E5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30" w:type="dxa"/>
            <w:gridSpan w:val="2"/>
            <w:vAlign w:val="center"/>
          </w:tcPr>
          <w:p w14:paraId="671096E8">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城镇园</w:t>
            </w:r>
            <w:r>
              <w:rPr>
                <w:b/>
                <w:color w:val="auto"/>
                <w:sz w:val="18"/>
                <w:szCs w:val="18"/>
                <w:highlight w:val="none"/>
                <w:u w:val="none"/>
              </w:rPr>
              <w:t>林</w:t>
            </w:r>
            <w:r>
              <w:rPr>
                <w:rFonts w:hint="eastAsia"/>
                <w:b/>
                <w:color w:val="auto"/>
                <w:sz w:val="18"/>
                <w:szCs w:val="18"/>
                <w:highlight w:val="none"/>
                <w:u w:val="none"/>
              </w:rPr>
              <w:t>绿地类别名称</w:t>
            </w:r>
          </w:p>
        </w:tc>
        <w:tc>
          <w:tcPr>
            <w:tcW w:w="2645" w:type="dxa"/>
            <w:vAlign w:val="center"/>
          </w:tcPr>
          <w:p w14:paraId="171A6A2D">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一级绿地管护</w:t>
            </w:r>
          </w:p>
        </w:tc>
        <w:tc>
          <w:tcPr>
            <w:tcW w:w="2710" w:type="dxa"/>
            <w:vAlign w:val="center"/>
          </w:tcPr>
          <w:p w14:paraId="06881213">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二级绿地管护</w:t>
            </w:r>
          </w:p>
        </w:tc>
        <w:tc>
          <w:tcPr>
            <w:tcW w:w="1551" w:type="dxa"/>
            <w:vAlign w:val="center"/>
          </w:tcPr>
          <w:p w14:paraId="700909FD">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三级绿地管护</w:t>
            </w:r>
          </w:p>
        </w:tc>
      </w:tr>
      <w:tr w14:paraId="177D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537" w:type="dxa"/>
            <w:vMerge w:val="restart"/>
            <w:vAlign w:val="center"/>
          </w:tcPr>
          <w:p w14:paraId="1A26D0CC">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公园绿地</w:t>
            </w:r>
          </w:p>
        </w:tc>
        <w:tc>
          <w:tcPr>
            <w:tcW w:w="1530" w:type="dxa"/>
            <w:vAlign w:val="center"/>
          </w:tcPr>
          <w:p w14:paraId="60B6800C">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综合公园</w:t>
            </w:r>
          </w:p>
        </w:tc>
        <w:tc>
          <w:tcPr>
            <w:tcW w:w="2645" w:type="dxa"/>
            <w:vAlign w:val="center"/>
          </w:tcPr>
          <w:p w14:paraId="79051C3E">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主出入口、园内主干道两侧、人流集散、重要景观及科普功能区域</w:t>
            </w:r>
          </w:p>
        </w:tc>
        <w:tc>
          <w:tcPr>
            <w:tcW w:w="2710" w:type="dxa"/>
            <w:vAlign w:val="center"/>
          </w:tcPr>
          <w:p w14:paraId="335EC6EE">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次出入口、园内次干道两侧区域</w:t>
            </w:r>
          </w:p>
        </w:tc>
        <w:tc>
          <w:tcPr>
            <w:tcW w:w="1551" w:type="dxa"/>
            <w:vAlign w:val="center"/>
          </w:tcPr>
          <w:p w14:paraId="1DA7BA25">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除一、二级外区域</w:t>
            </w:r>
          </w:p>
        </w:tc>
      </w:tr>
      <w:tr w14:paraId="07FB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537" w:type="dxa"/>
            <w:vMerge w:val="continue"/>
            <w:vAlign w:val="center"/>
          </w:tcPr>
          <w:p w14:paraId="0C54A6A1">
            <w:pPr>
              <w:pStyle w:val="14"/>
              <w:snapToGrid w:val="0"/>
              <w:spacing w:before="60" w:beforeAutospacing="0" w:after="60" w:afterAutospacing="0" w:line="240" w:lineRule="exact"/>
              <w:jc w:val="center"/>
              <w:rPr>
                <w:b/>
                <w:color w:val="auto"/>
                <w:sz w:val="18"/>
                <w:szCs w:val="18"/>
                <w:highlight w:val="none"/>
                <w:u w:val="none"/>
              </w:rPr>
            </w:pPr>
          </w:p>
        </w:tc>
        <w:tc>
          <w:tcPr>
            <w:tcW w:w="1530" w:type="dxa"/>
            <w:vAlign w:val="center"/>
          </w:tcPr>
          <w:p w14:paraId="1211551D">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专类公园</w:t>
            </w:r>
          </w:p>
        </w:tc>
        <w:tc>
          <w:tcPr>
            <w:tcW w:w="2645" w:type="dxa"/>
            <w:vAlign w:val="center"/>
          </w:tcPr>
          <w:p w14:paraId="1585B3F2">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主出入口、园内主干道两侧、人流集散、重要景观及科普功能区域</w:t>
            </w:r>
          </w:p>
        </w:tc>
        <w:tc>
          <w:tcPr>
            <w:tcW w:w="2710" w:type="dxa"/>
            <w:vAlign w:val="center"/>
          </w:tcPr>
          <w:p w14:paraId="47915794">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次出入口、园内次干道两侧区域</w:t>
            </w:r>
          </w:p>
        </w:tc>
        <w:tc>
          <w:tcPr>
            <w:tcW w:w="1551" w:type="dxa"/>
            <w:vAlign w:val="center"/>
          </w:tcPr>
          <w:p w14:paraId="2F194A8E">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除一、二级外区域</w:t>
            </w:r>
          </w:p>
        </w:tc>
      </w:tr>
      <w:tr w14:paraId="5FBB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537" w:type="dxa"/>
            <w:vMerge w:val="continue"/>
            <w:vAlign w:val="center"/>
          </w:tcPr>
          <w:p w14:paraId="478D9B85">
            <w:pPr>
              <w:pStyle w:val="14"/>
              <w:snapToGrid w:val="0"/>
              <w:spacing w:before="60" w:beforeAutospacing="0" w:after="60" w:afterAutospacing="0" w:line="240" w:lineRule="exact"/>
              <w:jc w:val="center"/>
              <w:rPr>
                <w:b/>
                <w:color w:val="auto"/>
                <w:sz w:val="18"/>
                <w:szCs w:val="18"/>
                <w:highlight w:val="none"/>
                <w:u w:val="none"/>
              </w:rPr>
            </w:pPr>
          </w:p>
        </w:tc>
        <w:tc>
          <w:tcPr>
            <w:tcW w:w="1530" w:type="dxa"/>
            <w:vAlign w:val="center"/>
          </w:tcPr>
          <w:p w14:paraId="150859C9">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社区公园</w:t>
            </w:r>
          </w:p>
        </w:tc>
        <w:tc>
          <w:tcPr>
            <w:tcW w:w="2645" w:type="dxa"/>
            <w:vAlign w:val="center"/>
          </w:tcPr>
          <w:p w14:paraId="5FB819A9">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重要位置、重要地段、人流集散区域</w:t>
            </w:r>
          </w:p>
        </w:tc>
        <w:tc>
          <w:tcPr>
            <w:tcW w:w="2710" w:type="dxa"/>
            <w:vAlign w:val="center"/>
          </w:tcPr>
          <w:p w14:paraId="0C9C43FA">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次要位置、一般地段区域</w:t>
            </w:r>
          </w:p>
        </w:tc>
        <w:tc>
          <w:tcPr>
            <w:tcW w:w="1551" w:type="dxa"/>
            <w:vAlign w:val="center"/>
          </w:tcPr>
          <w:p w14:paraId="467AF204">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除一、二级外区域</w:t>
            </w:r>
          </w:p>
        </w:tc>
      </w:tr>
      <w:tr w14:paraId="3DBB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537" w:type="dxa"/>
            <w:vMerge w:val="continue"/>
            <w:vAlign w:val="center"/>
          </w:tcPr>
          <w:p w14:paraId="2398ED43">
            <w:pPr>
              <w:pStyle w:val="14"/>
              <w:snapToGrid w:val="0"/>
              <w:spacing w:before="60" w:beforeAutospacing="0" w:after="60" w:afterAutospacing="0" w:line="240" w:lineRule="exact"/>
              <w:jc w:val="center"/>
              <w:rPr>
                <w:b/>
                <w:color w:val="auto"/>
                <w:sz w:val="18"/>
                <w:szCs w:val="18"/>
                <w:highlight w:val="none"/>
                <w:u w:val="none"/>
              </w:rPr>
            </w:pPr>
          </w:p>
        </w:tc>
        <w:tc>
          <w:tcPr>
            <w:tcW w:w="1530" w:type="dxa"/>
            <w:vAlign w:val="center"/>
          </w:tcPr>
          <w:p w14:paraId="2CD5D30D">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游园</w:t>
            </w:r>
          </w:p>
        </w:tc>
        <w:tc>
          <w:tcPr>
            <w:tcW w:w="2645" w:type="dxa"/>
            <w:vAlign w:val="center"/>
          </w:tcPr>
          <w:p w14:paraId="52E154D9">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重要位置、重要地段、人流集散区域</w:t>
            </w:r>
          </w:p>
        </w:tc>
        <w:tc>
          <w:tcPr>
            <w:tcW w:w="2710" w:type="dxa"/>
            <w:vAlign w:val="center"/>
          </w:tcPr>
          <w:p w14:paraId="6019D4D9">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次要位置、一般地段区域</w:t>
            </w:r>
          </w:p>
        </w:tc>
        <w:tc>
          <w:tcPr>
            <w:tcW w:w="1551" w:type="dxa"/>
            <w:vAlign w:val="center"/>
          </w:tcPr>
          <w:p w14:paraId="5F181684">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城市支路及背街小巷区域</w:t>
            </w:r>
          </w:p>
        </w:tc>
      </w:tr>
      <w:tr w14:paraId="474E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30" w:type="dxa"/>
            <w:gridSpan w:val="2"/>
            <w:vAlign w:val="center"/>
          </w:tcPr>
          <w:p w14:paraId="490522FE">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防护绿地</w:t>
            </w:r>
          </w:p>
        </w:tc>
        <w:tc>
          <w:tcPr>
            <w:tcW w:w="2645" w:type="dxa"/>
            <w:vAlign w:val="center"/>
          </w:tcPr>
          <w:p w14:paraId="213D4BC0">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不设一级</w:t>
            </w:r>
          </w:p>
        </w:tc>
        <w:tc>
          <w:tcPr>
            <w:tcW w:w="2710" w:type="dxa"/>
            <w:vAlign w:val="center"/>
          </w:tcPr>
          <w:p w14:paraId="6F5C2AD1">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不设二级</w:t>
            </w:r>
          </w:p>
        </w:tc>
        <w:tc>
          <w:tcPr>
            <w:tcW w:w="1551" w:type="dxa"/>
            <w:vAlign w:val="center"/>
          </w:tcPr>
          <w:p w14:paraId="3954A120">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所有城镇建设用地内的防护绿地区域</w:t>
            </w:r>
          </w:p>
        </w:tc>
      </w:tr>
      <w:tr w14:paraId="1515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530" w:type="dxa"/>
            <w:gridSpan w:val="2"/>
            <w:vAlign w:val="center"/>
          </w:tcPr>
          <w:p w14:paraId="52E141A5">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广场用地</w:t>
            </w:r>
          </w:p>
        </w:tc>
        <w:tc>
          <w:tcPr>
            <w:tcW w:w="2645" w:type="dxa"/>
            <w:vAlign w:val="center"/>
          </w:tcPr>
          <w:p w14:paraId="18C13F3A">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重要位置、重要地段、人流集散及主干路附近区域</w:t>
            </w:r>
          </w:p>
        </w:tc>
        <w:tc>
          <w:tcPr>
            <w:tcW w:w="2710" w:type="dxa"/>
            <w:vAlign w:val="center"/>
          </w:tcPr>
          <w:p w14:paraId="1A8F4436">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次要位置、一般地段区域</w:t>
            </w:r>
          </w:p>
        </w:tc>
        <w:tc>
          <w:tcPr>
            <w:tcW w:w="1551" w:type="dxa"/>
            <w:vAlign w:val="center"/>
          </w:tcPr>
          <w:p w14:paraId="1BED464C">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除一、二级外区域</w:t>
            </w:r>
          </w:p>
        </w:tc>
      </w:tr>
      <w:tr w14:paraId="533F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537" w:type="dxa"/>
            <w:vMerge w:val="restart"/>
            <w:vAlign w:val="center"/>
          </w:tcPr>
          <w:p w14:paraId="2C05969C">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附属绿地</w:t>
            </w:r>
          </w:p>
        </w:tc>
        <w:tc>
          <w:tcPr>
            <w:tcW w:w="1530" w:type="dxa"/>
            <w:vAlign w:val="center"/>
          </w:tcPr>
          <w:p w14:paraId="33525F34">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居住用地附属绿地</w:t>
            </w:r>
          </w:p>
        </w:tc>
        <w:tc>
          <w:tcPr>
            <w:tcW w:w="2645" w:type="dxa"/>
            <w:vAlign w:val="center"/>
          </w:tcPr>
          <w:p w14:paraId="5994E48C">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园林式居住区、绿色社区、重要位置区域</w:t>
            </w:r>
          </w:p>
        </w:tc>
        <w:tc>
          <w:tcPr>
            <w:tcW w:w="2710" w:type="dxa"/>
            <w:vAlign w:val="center"/>
          </w:tcPr>
          <w:p w14:paraId="24ABD89A">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除一级外区域</w:t>
            </w:r>
          </w:p>
        </w:tc>
        <w:tc>
          <w:tcPr>
            <w:tcW w:w="1551" w:type="dxa"/>
            <w:vAlign w:val="center"/>
          </w:tcPr>
          <w:p w14:paraId="5B757E52">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不设三级</w:t>
            </w:r>
          </w:p>
        </w:tc>
      </w:tr>
      <w:tr w14:paraId="54E1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537" w:type="dxa"/>
            <w:vMerge w:val="continue"/>
            <w:vAlign w:val="center"/>
          </w:tcPr>
          <w:p w14:paraId="5CE202F9">
            <w:pPr>
              <w:pStyle w:val="14"/>
              <w:snapToGrid w:val="0"/>
              <w:spacing w:before="60" w:beforeAutospacing="0" w:after="60" w:afterAutospacing="0" w:line="240" w:lineRule="exact"/>
              <w:jc w:val="center"/>
              <w:rPr>
                <w:b/>
                <w:color w:val="auto"/>
                <w:sz w:val="18"/>
                <w:szCs w:val="18"/>
                <w:highlight w:val="none"/>
                <w:u w:val="none"/>
              </w:rPr>
            </w:pPr>
          </w:p>
        </w:tc>
        <w:tc>
          <w:tcPr>
            <w:tcW w:w="1530" w:type="dxa"/>
            <w:vAlign w:val="center"/>
          </w:tcPr>
          <w:p w14:paraId="4B5817CA">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公共管理与公共服务设施用地附属绿地</w:t>
            </w:r>
          </w:p>
        </w:tc>
        <w:tc>
          <w:tcPr>
            <w:tcW w:w="2645" w:type="dxa"/>
            <w:vAlign w:val="center"/>
          </w:tcPr>
          <w:p w14:paraId="17EAABE6">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重要位置、重要地段区域</w:t>
            </w:r>
          </w:p>
        </w:tc>
        <w:tc>
          <w:tcPr>
            <w:tcW w:w="2710" w:type="dxa"/>
            <w:vAlign w:val="center"/>
          </w:tcPr>
          <w:p w14:paraId="64B286E4">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次要位置、一般地段区域</w:t>
            </w:r>
          </w:p>
        </w:tc>
        <w:tc>
          <w:tcPr>
            <w:tcW w:w="1551" w:type="dxa"/>
            <w:vAlign w:val="center"/>
          </w:tcPr>
          <w:p w14:paraId="421257F2">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除一、二级外区域</w:t>
            </w:r>
          </w:p>
        </w:tc>
      </w:tr>
      <w:tr w14:paraId="51EA9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537" w:type="dxa"/>
            <w:vMerge w:val="continue"/>
            <w:vAlign w:val="center"/>
          </w:tcPr>
          <w:p w14:paraId="7CB14DCD">
            <w:pPr>
              <w:pStyle w:val="14"/>
              <w:snapToGrid w:val="0"/>
              <w:spacing w:before="60" w:beforeAutospacing="0" w:after="60" w:afterAutospacing="0" w:line="240" w:lineRule="exact"/>
              <w:jc w:val="center"/>
              <w:rPr>
                <w:b/>
                <w:color w:val="auto"/>
                <w:sz w:val="18"/>
                <w:szCs w:val="18"/>
                <w:highlight w:val="none"/>
                <w:u w:val="none"/>
              </w:rPr>
            </w:pPr>
          </w:p>
        </w:tc>
        <w:tc>
          <w:tcPr>
            <w:tcW w:w="1530" w:type="dxa"/>
            <w:vAlign w:val="center"/>
          </w:tcPr>
          <w:p w14:paraId="386941FF">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商业服务业设施用地附属绿地</w:t>
            </w:r>
          </w:p>
        </w:tc>
        <w:tc>
          <w:tcPr>
            <w:tcW w:w="2645" w:type="dxa"/>
            <w:vAlign w:val="center"/>
          </w:tcPr>
          <w:p w14:paraId="31A0B663">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重要位置、重要地段区域</w:t>
            </w:r>
          </w:p>
        </w:tc>
        <w:tc>
          <w:tcPr>
            <w:tcW w:w="2710" w:type="dxa"/>
            <w:vAlign w:val="center"/>
          </w:tcPr>
          <w:p w14:paraId="297F87AB">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次要位置、一般地段区域</w:t>
            </w:r>
          </w:p>
        </w:tc>
        <w:tc>
          <w:tcPr>
            <w:tcW w:w="1551" w:type="dxa"/>
            <w:vAlign w:val="center"/>
          </w:tcPr>
          <w:p w14:paraId="2AD97F90">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除一、二级外区域</w:t>
            </w:r>
          </w:p>
        </w:tc>
      </w:tr>
      <w:tr w14:paraId="3CA3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537" w:type="dxa"/>
            <w:vMerge w:val="continue"/>
            <w:vAlign w:val="center"/>
          </w:tcPr>
          <w:p w14:paraId="4607A46B">
            <w:pPr>
              <w:pStyle w:val="14"/>
              <w:snapToGrid w:val="0"/>
              <w:spacing w:before="60" w:beforeAutospacing="0" w:after="60" w:afterAutospacing="0" w:line="240" w:lineRule="exact"/>
              <w:jc w:val="center"/>
              <w:rPr>
                <w:b/>
                <w:color w:val="auto"/>
                <w:sz w:val="18"/>
                <w:szCs w:val="18"/>
                <w:highlight w:val="none"/>
                <w:u w:val="none"/>
              </w:rPr>
            </w:pPr>
          </w:p>
        </w:tc>
        <w:tc>
          <w:tcPr>
            <w:tcW w:w="1530" w:type="dxa"/>
            <w:vAlign w:val="center"/>
          </w:tcPr>
          <w:p w14:paraId="608A34A8">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工业用地附属绿地</w:t>
            </w:r>
          </w:p>
        </w:tc>
        <w:tc>
          <w:tcPr>
            <w:tcW w:w="2645" w:type="dxa"/>
            <w:vAlign w:val="center"/>
          </w:tcPr>
          <w:p w14:paraId="504E93EB">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对环境有特殊要求或要求较高的区域</w:t>
            </w:r>
          </w:p>
        </w:tc>
        <w:tc>
          <w:tcPr>
            <w:tcW w:w="2710" w:type="dxa"/>
            <w:vAlign w:val="center"/>
          </w:tcPr>
          <w:p w14:paraId="688959DB">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无特殊要求厂区（或园区）内主要道路及工业用地单位划定的重点区域</w:t>
            </w:r>
          </w:p>
        </w:tc>
        <w:tc>
          <w:tcPr>
            <w:tcW w:w="1551" w:type="dxa"/>
            <w:vAlign w:val="center"/>
          </w:tcPr>
          <w:p w14:paraId="12F2DE25">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除一、二级外区域</w:t>
            </w:r>
          </w:p>
        </w:tc>
      </w:tr>
      <w:tr w14:paraId="0C67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537" w:type="dxa"/>
            <w:vMerge w:val="continue"/>
            <w:vAlign w:val="center"/>
          </w:tcPr>
          <w:p w14:paraId="236B8A67">
            <w:pPr>
              <w:pStyle w:val="14"/>
              <w:snapToGrid w:val="0"/>
              <w:spacing w:before="60" w:beforeAutospacing="0" w:after="60" w:afterAutospacing="0" w:line="240" w:lineRule="exact"/>
              <w:jc w:val="center"/>
              <w:rPr>
                <w:b/>
                <w:color w:val="auto"/>
                <w:sz w:val="18"/>
                <w:szCs w:val="18"/>
                <w:highlight w:val="none"/>
                <w:u w:val="none"/>
              </w:rPr>
            </w:pPr>
          </w:p>
        </w:tc>
        <w:tc>
          <w:tcPr>
            <w:tcW w:w="1530" w:type="dxa"/>
            <w:vAlign w:val="center"/>
          </w:tcPr>
          <w:p w14:paraId="0AFF1032">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物流仓储用地附属绿地</w:t>
            </w:r>
          </w:p>
        </w:tc>
        <w:tc>
          <w:tcPr>
            <w:tcW w:w="2645" w:type="dxa"/>
            <w:vAlign w:val="center"/>
          </w:tcPr>
          <w:p w14:paraId="31E8CC44">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不设一级</w:t>
            </w:r>
          </w:p>
        </w:tc>
        <w:tc>
          <w:tcPr>
            <w:tcW w:w="2710" w:type="dxa"/>
            <w:vAlign w:val="center"/>
          </w:tcPr>
          <w:p w14:paraId="5B4792EB">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物流仓储用地内主要道路区域</w:t>
            </w:r>
          </w:p>
        </w:tc>
        <w:tc>
          <w:tcPr>
            <w:tcW w:w="1551" w:type="dxa"/>
            <w:vAlign w:val="center"/>
          </w:tcPr>
          <w:p w14:paraId="1990FE8C">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除二级外区域</w:t>
            </w:r>
          </w:p>
        </w:tc>
      </w:tr>
      <w:tr w14:paraId="3A0F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537" w:type="dxa"/>
            <w:vMerge w:val="continue"/>
            <w:vAlign w:val="center"/>
          </w:tcPr>
          <w:p w14:paraId="21FC380E">
            <w:pPr>
              <w:pStyle w:val="14"/>
              <w:snapToGrid w:val="0"/>
              <w:spacing w:before="60" w:beforeAutospacing="0" w:after="60" w:afterAutospacing="0" w:line="240" w:lineRule="exact"/>
              <w:jc w:val="center"/>
              <w:rPr>
                <w:b/>
                <w:color w:val="auto"/>
                <w:sz w:val="18"/>
                <w:szCs w:val="18"/>
                <w:highlight w:val="none"/>
                <w:u w:val="none"/>
              </w:rPr>
            </w:pPr>
          </w:p>
        </w:tc>
        <w:tc>
          <w:tcPr>
            <w:tcW w:w="1530" w:type="dxa"/>
            <w:vAlign w:val="center"/>
          </w:tcPr>
          <w:p w14:paraId="5BE99523">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道路与交通设施用地附属绿地</w:t>
            </w:r>
          </w:p>
        </w:tc>
        <w:tc>
          <w:tcPr>
            <w:tcW w:w="2645" w:type="dxa"/>
            <w:vAlign w:val="center"/>
          </w:tcPr>
          <w:p w14:paraId="4CB6B123">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重要位置、主要路段区域</w:t>
            </w:r>
          </w:p>
        </w:tc>
        <w:tc>
          <w:tcPr>
            <w:tcW w:w="2710" w:type="dxa"/>
            <w:vAlign w:val="center"/>
          </w:tcPr>
          <w:p w14:paraId="7B4F45C9">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次要位置、一般路段区域</w:t>
            </w:r>
          </w:p>
        </w:tc>
        <w:tc>
          <w:tcPr>
            <w:tcW w:w="1551" w:type="dxa"/>
            <w:vAlign w:val="center"/>
          </w:tcPr>
          <w:p w14:paraId="452A6EE4">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除一、二级外区域</w:t>
            </w:r>
          </w:p>
        </w:tc>
      </w:tr>
      <w:tr w14:paraId="1012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537" w:type="dxa"/>
            <w:vMerge w:val="continue"/>
            <w:vAlign w:val="center"/>
          </w:tcPr>
          <w:p w14:paraId="28AD081C">
            <w:pPr>
              <w:pStyle w:val="14"/>
              <w:snapToGrid w:val="0"/>
              <w:spacing w:before="60" w:beforeAutospacing="0" w:after="60" w:afterAutospacing="0" w:line="240" w:lineRule="exact"/>
              <w:jc w:val="center"/>
              <w:rPr>
                <w:b/>
                <w:color w:val="auto"/>
                <w:sz w:val="18"/>
                <w:szCs w:val="18"/>
                <w:highlight w:val="none"/>
                <w:u w:val="none"/>
              </w:rPr>
            </w:pPr>
          </w:p>
        </w:tc>
        <w:tc>
          <w:tcPr>
            <w:tcW w:w="1530" w:type="dxa"/>
            <w:vAlign w:val="center"/>
          </w:tcPr>
          <w:p w14:paraId="340033C9">
            <w:pPr>
              <w:pStyle w:val="14"/>
              <w:snapToGrid w:val="0"/>
              <w:spacing w:before="60" w:beforeAutospacing="0" w:after="60" w:afterAutospacing="0" w:line="240" w:lineRule="exact"/>
              <w:jc w:val="center"/>
              <w:rPr>
                <w:b/>
                <w:color w:val="auto"/>
                <w:sz w:val="18"/>
                <w:szCs w:val="18"/>
                <w:highlight w:val="none"/>
                <w:u w:val="none"/>
              </w:rPr>
            </w:pPr>
            <w:r>
              <w:rPr>
                <w:rFonts w:hint="eastAsia"/>
                <w:b/>
                <w:color w:val="auto"/>
                <w:sz w:val="18"/>
                <w:szCs w:val="18"/>
                <w:highlight w:val="none"/>
                <w:u w:val="none"/>
              </w:rPr>
              <w:t>公用设施用地附属绿地</w:t>
            </w:r>
          </w:p>
        </w:tc>
        <w:tc>
          <w:tcPr>
            <w:tcW w:w="2645" w:type="dxa"/>
            <w:vAlign w:val="center"/>
          </w:tcPr>
          <w:p w14:paraId="7E7E177C">
            <w:pPr>
              <w:pStyle w:val="14"/>
              <w:snapToGrid w:val="0"/>
              <w:spacing w:before="60" w:beforeAutospacing="0" w:after="60" w:afterAutospacing="0" w:line="240" w:lineRule="exact"/>
              <w:ind w:firstLine="180" w:firstLineChars="100"/>
              <w:jc w:val="left"/>
              <w:rPr>
                <w:color w:val="auto"/>
                <w:sz w:val="18"/>
                <w:szCs w:val="18"/>
                <w:highlight w:val="none"/>
                <w:u w:val="none"/>
              </w:rPr>
            </w:pPr>
            <w:r>
              <w:rPr>
                <w:rFonts w:hint="eastAsia"/>
                <w:color w:val="auto"/>
                <w:sz w:val="18"/>
                <w:szCs w:val="18"/>
                <w:highlight w:val="none"/>
                <w:u w:val="none"/>
              </w:rPr>
              <w:t>重要位置、重要地段区域</w:t>
            </w:r>
          </w:p>
        </w:tc>
        <w:tc>
          <w:tcPr>
            <w:tcW w:w="2710" w:type="dxa"/>
            <w:vAlign w:val="center"/>
          </w:tcPr>
          <w:p w14:paraId="74916D52">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次要位置、一般地段区域</w:t>
            </w:r>
          </w:p>
        </w:tc>
        <w:tc>
          <w:tcPr>
            <w:tcW w:w="1551" w:type="dxa"/>
            <w:vAlign w:val="center"/>
          </w:tcPr>
          <w:p w14:paraId="772FB714">
            <w:pPr>
              <w:pStyle w:val="14"/>
              <w:snapToGrid w:val="0"/>
              <w:spacing w:before="60" w:beforeAutospacing="0" w:after="60" w:afterAutospacing="0" w:line="240" w:lineRule="exact"/>
              <w:jc w:val="left"/>
              <w:rPr>
                <w:color w:val="auto"/>
                <w:sz w:val="18"/>
                <w:szCs w:val="18"/>
                <w:highlight w:val="none"/>
                <w:u w:val="none"/>
              </w:rPr>
            </w:pPr>
            <w:r>
              <w:rPr>
                <w:rFonts w:hint="eastAsia"/>
                <w:color w:val="auto"/>
                <w:sz w:val="18"/>
                <w:szCs w:val="18"/>
                <w:highlight w:val="none"/>
                <w:u w:val="none"/>
              </w:rPr>
              <w:t>除一、二级外区域</w:t>
            </w:r>
          </w:p>
        </w:tc>
      </w:tr>
    </w:tbl>
    <w:p w14:paraId="2A7C5CF6">
      <w:pPr>
        <w:pStyle w:val="14"/>
        <w:spacing w:before="0" w:beforeAutospacing="0" w:after="0" w:afterAutospacing="0" w:line="600" w:lineRule="exact"/>
        <w:jc w:val="center"/>
        <w:rPr>
          <w:rFonts w:hint="eastAsia"/>
          <w:b/>
          <w:color w:val="auto"/>
          <w:sz w:val="24"/>
          <w:szCs w:val="24"/>
          <w:highlight w:val="none"/>
          <w:u w:val="none"/>
        </w:rPr>
      </w:pPr>
      <w:bookmarkStart w:id="220" w:name="_Toc530644281"/>
      <w:bookmarkStart w:id="221" w:name="_Toc530583292"/>
      <w:bookmarkStart w:id="222" w:name="_Toc530581701"/>
      <w:bookmarkStart w:id="223" w:name="_Toc530644566"/>
    </w:p>
    <w:p w14:paraId="39ED45AA">
      <w:pPr>
        <w:pStyle w:val="14"/>
        <w:spacing w:before="0" w:beforeAutospacing="0" w:after="0" w:afterAutospacing="0" w:line="600" w:lineRule="exact"/>
        <w:ind w:left="0" w:leftChars="0" w:right="0" w:rightChars="0"/>
        <w:jc w:val="center"/>
        <w:outlineLvl w:val="9"/>
        <w:rPr>
          <w:rFonts w:hint="eastAsia"/>
          <w:b/>
          <w:color w:val="auto"/>
          <w:sz w:val="24"/>
          <w:szCs w:val="24"/>
          <w:highlight w:val="none"/>
          <w:u w:val="none"/>
        </w:rPr>
      </w:pPr>
      <w:r>
        <w:rPr>
          <w:rFonts w:hint="eastAsia"/>
          <w:b/>
          <w:color w:val="auto"/>
          <w:sz w:val="24"/>
          <w:szCs w:val="24"/>
          <w:highlight w:val="none"/>
          <w:u w:val="none"/>
        </w:rPr>
        <w:t>表</w:t>
      </w:r>
      <w:r>
        <w:rPr>
          <w:rFonts w:hint="eastAsia"/>
          <w:b/>
          <w:color w:val="auto"/>
          <w:sz w:val="24"/>
          <w:szCs w:val="24"/>
          <w:highlight w:val="none"/>
          <w:u w:val="none"/>
          <w:lang w:val="en-US" w:eastAsia="zh-CN"/>
        </w:rPr>
        <w:t>3</w:t>
      </w:r>
      <w:r>
        <w:rPr>
          <w:rFonts w:hint="eastAsia"/>
          <w:b/>
          <w:color w:val="auto"/>
          <w:sz w:val="24"/>
          <w:szCs w:val="24"/>
          <w:highlight w:val="none"/>
          <w:u w:val="none"/>
        </w:rPr>
        <w:t>-2特殊绿化管护区域分级</w:t>
      </w:r>
    </w:p>
    <w:tbl>
      <w:tblPr>
        <w:tblStyle w:val="17"/>
        <w:tblW w:w="11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3"/>
        <w:gridCol w:w="3638"/>
        <w:gridCol w:w="3162"/>
        <w:gridCol w:w="2275"/>
      </w:tblGrid>
      <w:tr w14:paraId="40A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783" w:type="dxa"/>
            <w:vAlign w:val="center"/>
          </w:tcPr>
          <w:p w14:paraId="5F196031">
            <w:pPr>
              <w:spacing w:line="280" w:lineRule="exact"/>
              <w:ind w:firstLine="0" w:firstLineChars="0"/>
              <w:jc w:val="center"/>
              <w:rPr>
                <w:rFonts w:ascii="宋体" w:hAnsi="宋体"/>
                <w:color w:val="auto"/>
                <w:sz w:val="18"/>
                <w:szCs w:val="18"/>
                <w:highlight w:val="none"/>
                <w:u w:val="none"/>
              </w:rPr>
            </w:pPr>
            <w:r>
              <w:rPr>
                <w:rFonts w:hint="eastAsia" w:ascii="宋体" w:hAnsi="宋体"/>
                <w:b/>
                <w:bCs/>
                <w:color w:val="auto"/>
                <w:sz w:val="18"/>
                <w:szCs w:val="18"/>
                <w:highlight w:val="none"/>
                <w:u w:val="none"/>
              </w:rPr>
              <w:t>特殊绿化方式</w:t>
            </w:r>
          </w:p>
        </w:tc>
        <w:tc>
          <w:tcPr>
            <w:tcW w:w="3638" w:type="dxa"/>
            <w:vAlign w:val="center"/>
          </w:tcPr>
          <w:p w14:paraId="6D7A48BC">
            <w:pPr>
              <w:pStyle w:val="14"/>
              <w:spacing w:before="60" w:beforeAutospacing="0" w:after="60" w:afterAutospacing="0" w:line="280" w:lineRule="exact"/>
              <w:jc w:val="center"/>
              <w:rPr>
                <w:rFonts w:cs="Times New Roman"/>
                <w:b/>
                <w:color w:val="auto"/>
                <w:sz w:val="18"/>
                <w:szCs w:val="18"/>
                <w:highlight w:val="none"/>
                <w:u w:val="none"/>
              </w:rPr>
            </w:pPr>
            <w:r>
              <w:rPr>
                <w:rFonts w:hint="eastAsia" w:cs="Times New Roman"/>
                <w:b/>
                <w:color w:val="auto"/>
                <w:sz w:val="18"/>
                <w:szCs w:val="18"/>
                <w:highlight w:val="none"/>
                <w:u w:val="none"/>
              </w:rPr>
              <w:t>一级绿地管护</w:t>
            </w:r>
          </w:p>
        </w:tc>
        <w:tc>
          <w:tcPr>
            <w:tcW w:w="3162" w:type="dxa"/>
            <w:vAlign w:val="center"/>
          </w:tcPr>
          <w:p w14:paraId="36C94368">
            <w:pPr>
              <w:pStyle w:val="14"/>
              <w:spacing w:before="60" w:beforeAutospacing="0" w:after="60" w:afterAutospacing="0" w:line="280" w:lineRule="exact"/>
              <w:jc w:val="center"/>
              <w:rPr>
                <w:rFonts w:cs="Times New Roman"/>
                <w:b/>
                <w:color w:val="auto"/>
                <w:sz w:val="18"/>
                <w:szCs w:val="18"/>
                <w:highlight w:val="none"/>
                <w:u w:val="none"/>
              </w:rPr>
            </w:pPr>
            <w:r>
              <w:rPr>
                <w:rFonts w:hint="eastAsia" w:cs="Times New Roman"/>
                <w:b/>
                <w:color w:val="auto"/>
                <w:sz w:val="18"/>
                <w:szCs w:val="18"/>
                <w:highlight w:val="none"/>
                <w:u w:val="none"/>
              </w:rPr>
              <w:t>二级绿地管护</w:t>
            </w:r>
          </w:p>
        </w:tc>
        <w:tc>
          <w:tcPr>
            <w:tcW w:w="2275" w:type="dxa"/>
            <w:vAlign w:val="center"/>
          </w:tcPr>
          <w:p w14:paraId="6A950379">
            <w:pPr>
              <w:pStyle w:val="14"/>
              <w:spacing w:before="60" w:beforeAutospacing="0" w:after="60" w:afterAutospacing="0" w:line="280" w:lineRule="exact"/>
              <w:jc w:val="center"/>
              <w:rPr>
                <w:rFonts w:cs="Times New Roman"/>
                <w:b/>
                <w:color w:val="auto"/>
                <w:sz w:val="18"/>
                <w:szCs w:val="18"/>
                <w:highlight w:val="none"/>
                <w:u w:val="none"/>
              </w:rPr>
            </w:pPr>
            <w:r>
              <w:rPr>
                <w:rFonts w:hint="eastAsia" w:cs="Times New Roman"/>
                <w:b/>
                <w:color w:val="auto"/>
                <w:sz w:val="18"/>
                <w:szCs w:val="18"/>
                <w:highlight w:val="none"/>
                <w:u w:val="none"/>
              </w:rPr>
              <w:t>三级绿地管护</w:t>
            </w:r>
          </w:p>
        </w:tc>
      </w:tr>
      <w:tr w14:paraId="009C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3" w:type="dxa"/>
            <w:vAlign w:val="center"/>
          </w:tcPr>
          <w:p w14:paraId="0747ECFF">
            <w:pPr>
              <w:spacing w:line="280" w:lineRule="exact"/>
              <w:ind w:firstLine="0" w:firstLineChars="0"/>
              <w:jc w:val="center"/>
              <w:rPr>
                <w:rFonts w:ascii="宋体" w:hAnsi="宋体"/>
                <w:b/>
                <w:color w:val="auto"/>
                <w:sz w:val="18"/>
                <w:szCs w:val="18"/>
                <w:highlight w:val="none"/>
                <w:u w:val="none"/>
              </w:rPr>
            </w:pPr>
            <w:r>
              <w:rPr>
                <w:rFonts w:hint="eastAsia" w:ascii="宋体" w:hAnsi="宋体"/>
                <w:b/>
                <w:color w:val="auto"/>
                <w:sz w:val="18"/>
                <w:szCs w:val="18"/>
                <w:highlight w:val="none"/>
                <w:u w:val="none"/>
              </w:rPr>
              <w:t>山体公园化绿化</w:t>
            </w:r>
          </w:p>
        </w:tc>
        <w:tc>
          <w:tcPr>
            <w:tcW w:w="3638" w:type="dxa"/>
            <w:vAlign w:val="center"/>
          </w:tcPr>
          <w:p w14:paraId="1E486E07">
            <w:pPr>
              <w:pStyle w:val="14"/>
              <w:spacing w:before="60" w:beforeAutospacing="0" w:after="60" w:afterAutospacing="0" w:line="280" w:lineRule="exact"/>
              <w:ind w:firstLine="180" w:firstLineChars="100"/>
              <w:jc w:val="left"/>
              <w:rPr>
                <w:rFonts w:cs="Times New Roman"/>
                <w:color w:val="auto"/>
                <w:sz w:val="18"/>
                <w:szCs w:val="18"/>
                <w:highlight w:val="none"/>
                <w:u w:val="none"/>
              </w:rPr>
            </w:pPr>
            <w:r>
              <w:rPr>
                <w:rFonts w:hint="eastAsia" w:ascii="Times New Roman" w:hAnsi="Times New Roman" w:cs="Times New Roman"/>
                <w:color w:val="auto"/>
                <w:sz w:val="18"/>
                <w:szCs w:val="18"/>
                <w:highlight w:val="none"/>
                <w:u w:val="none"/>
              </w:rPr>
              <w:t>主出入口、园内主干道两侧、人流集散、重要景观及功能区域</w:t>
            </w:r>
          </w:p>
        </w:tc>
        <w:tc>
          <w:tcPr>
            <w:tcW w:w="3162" w:type="dxa"/>
            <w:vAlign w:val="center"/>
          </w:tcPr>
          <w:p w14:paraId="577365DA">
            <w:pPr>
              <w:pStyle w:val="14"/>
              <w:spacing w:before="60" w:beforeAutospacing="0" w:after="60" w:afterAutospacing="0" w:line="280" w:lineRule="exact"/>
              <w:jc w:val="left"/>
              <w:rPr>
                <w:rFonts w:cs="Times New Roman"/>
                <w:color w:val="auto"/>
                <w:sz w:val="18"/>
                <w:szCs w:val="18"/>
                <w:highlight w:val="none"/>
                <w:u w:val="none"/>
              </w:rPr>
            </w:pPr>
            <w:r>
              <w:rPr>
                <w:rFonts w:hint="eastAsia" w:cs="Times New Roman"/>
                <w:color w:val="auto"/>
                <w:sz w:val="18"/>
                <w:szCs w:val="18"/>
                <w:highlight w:val="none"/>
                <w:u w:val="none"/>
              </w:rPr>
              <w:t>次出入口、园内次干道两侧区域</w:t>
            </w:r>
          </w:p>
        </w:tc>
        <w:tc>
          <w:tcPr>
            <w:tcW w:w="2275" w:type="dxa"/>
            <w:vAlign w:val="center"/>
          </w:tcPr>
          <w:p w14:paraId="7EC563E1">
            <w:pPr>
              <w:pStyle w:val="14"/>
              <w:spacing w:before="60" w:beforeAutospacing="0" w:after="60" w:afterAutospacing="0" w:line="280" w:lineRule="exact"/>
              <w:jc w:val="left"/>
              <w:rPr>
                <w:rFonts w:cs="Times New Roman"/>
                <w:color w:val="auto"/>
                <w:sz w:val="18"/>
                <w:szCs w:val="18"/>
                <w:highlight w:val="none"/>
                <w:u w:val="none"/>
              </w:rPr>
            </w:pPr>
            <w:r>
              <w:rPr>
                <w:rFonts w:hint="eastAsia" w:cs="Times New Roman"/>
                <w:color w:val="auto"/>
                <w:sz w:val="18"/>
                <w:szCs w:val="18"/>
                <w:highlight w:val="none"/>
                <w:u w:val="none"/>
              </w:rPr>
              <w:t>除一、二级外区域</w:t>
            </w:r>
          </w:p>
        </w:tc>
      </w:tr>
      <w:tr w14:paraId="02AD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3" w:type="dxa"/>
            <w:vAlign w:val="center"/>
          </w:tcPr>
          <w:p w14:paraId="6FAEE968">
            <w:pPr>
              <w:spacing w:line="280" w:lineRule="exact"/>
              <w:ind w:firstLine="0" w:firstLineChars="0"/>
              <w:jc w:val="center"/>
              <w:rPr>
                <w:rFonts w:ascii="宋体" w:hAnsi="宋体"/>
                <w:b/>
                <w:color w:val="auto"/>
                <w:sz w:val="18"/>
                <w:szCs w:val="18"/>
                <w:highlight w:val="none"/>
                <w:u w:val="none"/>
              </w:rPr>
            </w:pPr>
            <w:r>
              <w:rPr>
                <w:rFonts w:hint="eastAsia" w:ascii="宋体" w:hAnsi="宋体"/>
                <w:b/>
                <w:color w:val="auto"/>
                <w:sz w:val="18"/>
                <w:szCs w:val="18"/>
                <w:highlight w:val="none"/>
                <w:u w:val="none"/>
              </w:rPr>
              <w:t>边坡绿化</w:t>
            </w:r>
          </w:p>
        </w:tc>
        <w:tc>
          <w:tcPr>
            <w:tcW w:w="3638" w:type="dxa"/>
            <w:vAlign w:val="center"/>
          </w:tcPr>
          <w:p w14:paraId="652B6DC2">
            <w:pPr>
              <w:spacing w:line="280" w:lineRule="exact"/>
              <w:ind w:firstLine="180" w:firstLineChars="100"/>
              <w:jc w:val="left"/>
              <w:rPr>
                <w:rFonts w:ascii="宋体" w:hAnsi="宋体"/>
                <w:color w:val="auto"/>
                <w:sz w:val="18"/>
                <w:szCs w:val="18"/>
                <w:highlight w:val="none"/>
                <w:u w:val="none"/>
              </w:rPr>
            </w:pPr>
            <w:r>
              <w:rPr>
                <w:rFonts w:hint="eastAsia" w:ascii="宋体" w:hAnsi="宋体"/>
                <w:color w:val="auto"/>
                <w:sz w:val="18"/>
                <w:szCs w:val="18"/>
                <w:highlight w:val="none"/>
                <w:u w:val="none"/>
              </w:rPr>
              <w:t>重要位置、重要地段区域</w:t>
            </w:r>
          </w:p>
        </w:tc>
        <w:tc>
          <w:tcPr>
            <w:tcW w:w="3162" w:type="dxa"/>
            <w:vAlign w:val="center"/>
          </w:tcPr>
          <w:p w14:paraId="58BAC718">
            <w:pPr>
              <w:pStyle w:val="14"/>
              <w:spacing w:before="60" w:beforeAutospacing="0" w:after="60" w:afterAutospacing="0" w:line="240" w:lineRule="exact"/>
              <w:ind w:firstLine="180" w:firstLineChars="100"/>
              <w:jc w:val="left"/>
              <w:rPr>
                <w:color w:val="auto"/>
                <w:sz w:val="18"/>
                <w:szCs w:val="18"/>
                <w:highlight w:val="none"/>
                <w:u w:val="none"/>
              </w:rPr>
            </w:pPr>
            <w:r>
              <w:rPr>
                <w:rFonts w:hint="eastAsia" w:cs="Times New Roman"/>
                <w:color w:val="auto"/>
                <w:sz w:val="18"/>
                <w:szCs w:val="18"/>
                <w:highlight w:val="none"/>
                <w:u w:val="none"/>
              </w:rPr>
              <w:t>次要位置、</w:t>
            </w:r>
            <w:r>
              <w:rPr>
                <w:rFonts w:hint="eastAsia" w:ascii="Times New Roman" w:hAnsi="Times New Roman" w:cs="Times New Roman"/>
                <w:color w:val="auto"/>
                <w:sz w:val="18"/>
                <w:szCs w:val="18"/>
                <w:highlight w:val="none"/>
                <w:u w:val="none"/>
              </w:rPr>
              <w:t>一般地段区域</w:t>
            </w:r>
          </w:p>
        </w:tc>
        <w:tc>
          <w:tcPr>
            <w:tcW w:w="2275" w:type="dxa"/>
            <w:vAlign w:val="center"/>
          </w:tcPr>
          <w:p w14:paraId="27584D7F">
            <w:pPr>
              <w:pStyle w:val="14"/>
              <w:spacing w:before="60" w:beforeAutospacing="0" w:after="60" w:afterAutospacing="0" w:line="240" w:lineRule="exact"/>
              <w:jc w:val="left"/>
              <w:rPr>
                <w:color w:val="auto"/>
                <w:sz w:val="18"/>
                <w:szCs w:val="18"/>
                <w:highlight w:val="none"/>
                <w:u w:val="none"/>
              </w:rPr>
            </w:pPr>
            <w:r>
              <w:rPr>
                <w:rFonts w:hint="eastAsia" w:ascii="Times New Roman" w:hAnsi="Times New Roman" w:cs="Times New Roman"/>
                <w:color w:val="auto"/>
                <w:sz w:val="18"/>
                <w:szCs w:val="18"/>
                <w:highlight w:val="none"/>
                <w:u w:val="none"/>
              </w:rPr>
              <w:t>除一、二级外区域</w:t>
            </w:r>
          </w:p>
        </w:tc>
      </w:tr>
      <w:tr w14:paraId="7096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3" w:type="dxa"/>
            <w:vAlign w:val="center"/>
          </w:tcPr>
          <w:p w14:paraId="419727F6">
            <w:pPr>
              <w:spacing w:line="280" w:lineRule="exact"/>
              <w:ind w:firstLine="0" w:firstLineChars="0"/>
              <w:jc w:val="center"/>
              <w:rPr>
                <w:rFonts w:ascii="宋体" w:hAnsi="宋体"/>
                <w:b/>
                <w:color w:val="auto"/>
                <w:sz w:val="18"/>
                <w:szCs w:val="18"/>
                <w:highlight w:val="none"/>
                <w:u w:val="none"/>
              </w:rPr>
            </w:pPr>
            <w:r>
              <w:rPr>
                <w:rFonts w:hint="eastAsia" w:ascii="宋体" w:hAnsi="宋体"/>
                <w:b/>
                <w:color w:val="auto"/>
                <w:sz w:val="18"/>
                <w:szCs w:val="18"/>
                <w:highlight w:val="none"/>
                <w:u w:val="none"/>
              </w:rPr>
              <w:t>垂直绿化</w:t>
            </w:r>
          </w:p>
        </w:tc>
        <w:tc>
          <w:tcPr>
            <w:tcW w:w="3638" w:type="dxa"/>
            <w:vAlign w:val="center"/>
          </w:tcPr>
          <w:p w14:paraId="0F9F5376">
            <w:pPr>
              <w:spacing w:line="280" w:lineRule="exact"/>
              <w:ind w:firstLine="180" w:firstLineChars="100"/>
              <w:jc w:val="left"/>
              <w:rPr>
                <w:rFonts w:ascii="宋体" w:hAnsi="宋体"/>
                <w:color w:val="auto"/>
                <w:sz w:val="18"/>
                <w:szCs w:val="18"/>
                <w:highlight w:val="none"/>
                <w:u w:val="none"/>
              </w:rPr>
            </w:pPr>
            <w:r>
              <w:rPr>
                <w:rFonts w:hint="eastAsia" w:ascii="宋体" w:hAnsi="宋体"/>
                <w:color w:val="auto"/>
                <w:sz w:val="18"/>
                <w:szCs w:val="18"/>
                <w:highlight w:val="none"/>
                <w:u w:val="none"/>
              </w:rPr>
              <w:t>重要位置、重要地段区域</w:t>
            </w:r>
          </w:p>
        </w:tc>
        <w:tc>
          <w:tcPr>
            <w:tcW w:w="3162" w:type="dxa"/>
            <w:vAlign w:val="center"/>
          </w:tcPr>
          <w:p w14:paraId="20C19D3C">
            <w:pPr>
              <w:pStyle w:val="14"/>
              <w:spacing w:before="60" w:beforeAutospacing="0" w:after="60" w:afterAutospacing="0" w:line="240" w:lineRule="exact"/>
              <w:ind w:firstLine="180" w:firstLineChars="100"/>
              <w:jc w:val="left"/>
              <w:rPr>
                <w:color w:val="auto"/>
                <w:sz w:val="18"/>
                <w:szCs w:val="18"/>
                <w:highlight w:val="none"/>
                <w:u w:val="none"/>
              </w:rPr>
            </w:pPr>
            <w:r>
              <w:rPr>
                <w:rFonts w:hint="eastAsia" w:cs="Times New Roman"/>
                <w:color w:val="auto"/>
                <w:sz w:val="18"/>
                <w:szCs w:val="18"/>
                <w:highlight w:val="none"/>
                <w:u w:val="none"/>
              </w:rPr>
              <w:t>次要位置、</w:t>
            </w:r>
            <w:r>
              <w:rPr>
                <w:rFonts w:hint="eastAsia" w:ascii="Times New Roman" w:hAnsi="Times New Roman" w:cs="Times New Roman"/>
                <w:color w:val="auto"/>
                <w:sz w:val="18"/>
                <w:szCs w:val="18"/>
                <w:highlight w:val="none"/>
                <w:u w:val="none"/>
              </w:rPr>
              <w:t>一般地段区域</w:t>
            </w:r>
          </w:p>
        </w:tc>
        <w:tc>
          <w:tcPr>
            <w:tcW w:w="2275" w:type="dxa"/>
            <w:vAlign w:val="center"/>
          </w:tcPr>
          <w:p w14:paraId="73DD6582">
            <w:pPr>
              <w:pStyle w:val="14"/>
              <w:spacing w:before="60" w:beforeAutospacing="0" w:after="60" w:afterAutospacing="0" w:line="240" w:lineRule="exact"/>
              <w:jc w:val="left"/>
              <w:rPr>
                <w:color w:val="auto"/>
                <w:sz w:val="18"/>
                <w:szCs w:val="18"/>
                <w:highlight w:val="none"/>
                <w:u w:val="none"/>
              </w:rPr>
            </w:pPr>
            <w:r>
              <w:rPr>
                <w:rFonts w:hint="eastAsia" w:ascii="Times New Roman" w:hAnsi="Times New Roman" w:cs="Times New Roman"/>
                <w:color w:val="auto"/>
                <w:sz w:val="18"/>
                <w:szCs w:val="18"/>
                <w:highlight w:val="none"/>
                <w:u w:val="none"/>
              </w:rPr>
              <w:t>除一、二级外区域</w:t>
            </w:r>
          </w:p>
        </w:tc>
      </w:tr>
      <w:tr w14:paraId="7AAC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3" w:type="dxa"/>
            <w:vAlign w:val="center"/>
          </w:tcPr>
          <w:p w14:paraId="62D4241B">
            <w:pPr>
              <w:spacing w:line="280" w:lineRule="exact"/>
              <w:ind w:firstLine="0" w:firstLineChars="0"/>
              <w:jc w:val="center"/>
              <w:rPr>
                <w:rFonts w:ascii="宋体" w:hAnsi="宋体"/>
                <w:b/>
                <w:color w:val="auto"/>
                <w:sz w:val="18"/>
                <w:szCs w:val="18"/>
                <w:highlight w:val="none"/>
                <w:u w:val="none"/>
              </w:rPr>
            </w:pPr>
            <w:r>
              <w:rPr>
                <w:rFonts w:hint="eastAsia" w:ascii="宋体" w:hAnsi="宋体"/>
                <w:b/>
                <w:color w:val="auto"/>
                <w:sz w:val="18"/>
                <w:szCs w:val="18"/>
                <w:highlight w:val="none"/>
                <w:u w:val="none"/>
              </w:rPr>
              <w:t>设施空间及屋顶绿化</w:t>
            </w:r>
          </w:p>
        </w:tc>
        <w:tc>
          <w:tcPr>
            <w:tcW w:w="3638" w:type="dxa"/>
            <w:vAlign w:val="center"/>
          </w:tcPr>
          <w:p w14:paraId="35FA1454">
            <w:pPr>
              <w:spacing w:line="280" w:lineRule="exact"/>
              <w:ind w:firstLine="180" w:firstLineChars="100"/>
              <w:jc w:val="left"/>
              <w:rPr>
                <w:rFonts w:ascii="宋体" w:hAnsi="宋体"/>
                <w:color w:val="auto"/>
                <w:sz w:val="18"/>
                <w:szCs w:val="18"/>
                <w:highlight w:val="none"/>
                <w:u w:val="none"/>
              </w:rPr>
            </w:pPr>
            <w:r>
              <w:rPr>
                <w:rFonts w:hint="eastAsia" w:ascii="宋体" w:hAnsi="宋体"/>
                <w:color w:val="auto"/>
                <w:sz w:val="18"/>
                <w:szCs w:val="18"/>
                <w:highlight w:val="none"/>
                <w:u w:val="none"/>
              </w:rPr>
              <w:t>重要位置、重要地段区域</w:t>
            </w:r>
          </w:p>
        </w:tc>
        <w:tc>
          <w:tcPr>
            <w:tcW w:w="3162" w:type="dxa"/>
            <w:vAlign w:val="center"/>
          </w:tcPr>
          <w:p w14:paraId="061A2FA1">
            <w:pPr>
              <w:pStyle w:val="14"/>
              <w:spacing w:before="60" w:beforeAutospacing="0" w:after="60" w:afterAutospacing="0" w:line="240" w:lineRule="exact"/>
              <w:ind w:firstLine="180" w:firstLineChars="100"/>
              <w:jc w:val="left"/>
              <w:rPr>
                <w:color w:val="auto"/>
                <w:sz w:val="18"/>
                <w:szCs w:val="18"/>
                <w:highlight w:val="none"/>
                <w:u w:val="none"/>
              </w:rPr>
            </w:pPr>
            <w:r>
              <w:rPr>
                <w:rFonts w:hint="eastAsia" w:cs="Times New Roman"/>
                <w:color w:val="auto"/>
                <w:sz w:val="18"/>
                <w:szCs w:val="18"/>
                <w:highlight w:val="none"/>
                <w:u w:val="none"/>
              </w:rPr>
              <w:t>次要位置、</w:t>
            </w:r>
            <w:r>
              <w:rPr>
                <w:rFonts w:hint="eastAsia" w:ascii="Times New Roman" w:hAnsi="Times New Roman" w:cs="Times New Roman"/>
                <w:color w:val="auto"/>
                <w:sz w:val="18"/>
                <w:szCs w:val="18"/>
                <w:highlight w:val="none"/>
                <w:u w:val="none"/>
              </w:rPr>
              <w:t>一般地段区域</w:t>
            </w:r>
          </w:p>
        </w:tc>
        <w:tc>
          <w:tcPr>
            <w:tcW w:w="2275" w:type="dxa"/>
            <w:vAlign w:val="center"/>
          </w:tcPr>
          <w:p w14:paraId="061CE4F9">
            <w:pPr>
              <w:pStyle w:val="14"/>
              <w:spacing w:before="60" w:beforeAutospacing="0" w:after="60" w:afterAutospacing="0" w:line="240" w:lineRule="exact"/>
              <w:ind w:firstLine="180" w:firstLineChars="100"/>
              <w:jc w:val="left"/>
              <w:rPr>
                <w:color w:val="auto"/>
                <w:sz w:val="18"/>
                <w:szCs w:val="18"/>
                <w:highlight w:val="none"/>
                <w:u w:val="none"/>
              </w:rPr>
            </w:pPr>
            <w:r>
              <w:rPr>
                <w:rFonts w:hint="eastAsia" w:ascii="Times New Roman" w:hAnsi="Times New Roman" w:cs="Times New Roman"/>
                <w:color w:val="auto"/>
                <w:sz w:val="18"/>
                <w:szCs w:val="18"/>
                <w:highlight w:val="none"/>
                <w:u w:val="none"/>
              </w:rPr>
              <w:t>不设三级</w:t>
            </w:r>
          </w:p>
        </w:tc>
      </w:tr>
      <w:tr w14:paraId="66B4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783" w:type="dxa"/>
            <w:vAlign w:val="center"/>
          </w:tcPr>
          <w:p w14:paraId="3749D1EE">
            <w:pPr>
              <w:spacing w:line="280" w:lineRule="exact"/>
              <w:ind w:firstLine="0" w:firstLineChars="0"/>
              <w:jc w:val="center"/>
              <w:rPr>
                <w:rFonts w:ascii="宋体" w:hAnsi="宋体"/>
                <w:b/>
                <w:color w:val="auto"/>
                <w:sz w:val="18"/>
                <w:szCs w:val="18"/>
                <w:highlight w:val="none"/>
                <w:u w:val="none"/>
              </w:rPr>
            </w:pPr>
            <w:r>
              <w:rPr>
                <w:rFonts w:hint="eastAsia" w:ascii="宋体" w:hAnsi="宋体"/>
                <w:b/>
                <w:color w:val="auto"/>
                <w:sz w:val="18"/>
                <w:szCs w:val="18"/>
                <w:highlight w:val="none"/>
                <w:u w:val="none"/>
              </w:rPr>
              <w:t>容器绿化、植物雕塑、景观生态墙</w:t>
            </w:r>
          </w:p>
        </w:tc>
        <w:tc>
          <w:tcPr>
            <w:tcW w:w="3638" w:type="dxa"/>
            <w:vAlign w:val="center"/>
          </w:tcPr>
          <w:p w14:paraId="4EE73857">
            <w:pPr>
              <w:spacing w:line="280" w:lineRule="exact"/>
              <w:ind w:firstLine="180" w:firstLineChars="100"/>
              <w:jc w:val="left"/>
              <w:rPr>
                <w:rFonts w:ascii="宋体" w:hAnsi="宋体"/>
                <w:color w:val="auto"/>
                <w:sz w:val="18"/>
                <w:szCs w:val="18"/>
                <w:highlight w:val="none"/>
                <w:u w:val="none"/>
              </w:rPr>
            </w:pPr>
            <w:r>
              <w:rPr>
                <w:rFonts w:hint="eastAsia" w:ascii="宋体" w:hAnsi="宋体"/>
                <w:color w:val="auto"/>
                <w:sz w:val="18"/>
                <w:szCs w:val="18"/>
                <w:highlight w:val="none"/>
                <w:u w:val="none"/>
              </w:rPr>
              <w:t>不同位置、不同地段区域</w:t>
            </w:r>
          </w:p>
        </w:tc>
        <w:tc>
          <w:tcPr>
            <w:tcW w:w="3162" w:type="dxa"/>
            <w:vAlign w:val="center"/>
          </w:tcPr>
          <w:p w14:paraId="0109A396">
            <w:pPr>
              <w:spacing w:line="280" w:lineRule="exact"/>
              <w:ind w:firstLine="180" w:firstLineChars="100"/>
              <w:jc w:val="left"/>
              <w:rPr>
                <w:rFonts w:ascii="宋体" w:hAnsi="宋体"/>
                <w:color w:val="auto"/>
                <w:sz w:val="18"/>
                <w:szCs w:val="18"/>
                <w:highlight w:val="none"/>
                <w:u w:val="none"/>
              </w:rPr>
            </w:pPr>
            <w:r>
              <w:rPr>
                <w:rFonts w:hint="eastAsia" w:ascii="宋体" w:hAnsi="宋体"/>
                <w:color w:val="auto"/>
                <w:sz w:val="18"/>
                <w:szCs w:val="18"/>
                <w:highlight w:val="none"/>
                <w:u w:val="none"/>
              </w:rPr>
              <w:t>不设二级</w:t>
            </w:r>
          </w:p>
        </w:tc>
        <w:tc>
          <w:tcPr>
            <w:tcW w:w="2275" w:type="dxa"/>
            <w:vAlign w:val="center"/>
          </w:tcPr>
          <w:p w14:paraId="70A1D059">
            <w:pPr>
              <w:spacing w:line="280" w:lineRule="exact"/>
              <w:ind w:firstLine="180" w:firstLineChars="100"/>
              <w:jc w:val="left"/>
              <w:rPr>
                <w:rFonts w:ascii="宋体" w:hAnsi="宋体"/>
                <w:color w:val="auto"/>
                <w:sz w:val="18"/>
                <w:szCs w:val="18"/>
                <w:highlight w:val="none"/>
                <w:u w:val="none"/>
              </w:rPr>
            </w:pPr>
            <w:r>
              <w:rPr>
                <w:rFonts w:hint="eastAsia" w:ascii="宋体" w:hAnsi="宋体"/>
                <w:color w:val="auto"/>
                <w:sz w:val="18"/>
                <w:szCs w:val="18"/>
                <w:highlight w:val="none"/>
                <w:u w:val="none"/>
              </w:rPr>
              <w:t>不设三级</w:t>
            </w:r>
          </w:p>
        </w:tc>
      </w:tr>
    </w:tbl>
    <w:p w14:paraId="4D3ED092">
      <w:pPr>
        <w:rPr>
          <w:rFonts w:hint="eastAsia"/>
          <w:b/>
          <w:color w:val="auto"/>
          <w:sz w:val="24"/>
          <w:szCs w:val="24"/>
          <w:highlight w:val="none"/>
          <w:u w:val="none"/>
        </w:rPr>
      </w:pPr>
      <w:r>
        <w:rPr>
          <w:rFonts w:hint="eastAsia"/>
          <w:b/>
          <w:color w:val="auto"/>
          <w:sz w:val="24"/>
          <w:szCs w:val="24"/>
          <w:highlight w:val="none"/>
          <w:u w:val="none"/>
        </w:rPr>
        <w:br w:type="page"/>
      </w:r>
    </w:p>
    <w:p w14:paraId="48001454">
      <w:pPr>
        <w:pStyle w:val="14"/>
        <w:spacing w:before="0" w:beforeAutospacing="0" w:after="0" w:afterAutospacing="0" w:line="600" w:lineRule="exact"/>
        <w:ind w:left="0" w:leftChars="0" w:right="0" w:rightChars="0"/>
        <w:jc w:val="center"/>
        <w:outlineLvl w:val="9"/>
        <w:rPr>
          <w:rFonts w:hint="eastAsia"/>
          <w:b/>
          <w:color w:val="auto"/>
          <w:sz w:val="24"/>
          <w:szCs w:val="24"/>
          <w:highlight w:val="none"/>
          <w:u w:val="none"/>
        </w:rPr>
      </w:pPr>
      <w:r>
        <w:rPr>
          <w:rFonts w:hint="eastAsia"/>
          <w:b/>
          <w:color w:val="auto"/>
          <w:sz w:val="24"/>
          <w:szCs w:val="24"/>
          <w:highlight w:val="none"/>
          <w:u w:val="none"/>
        </w:rPr>
        <w:t>表</w:t>
      </w:r>
      <w:r>
        <w:rPr>
          <w:rFonts w:hint="eastAsia"/>
          <w:b/>
          <w:color w:val="auto"/>
          <w:sz w:val="24"/>
          <w:szCs w:val="24"/>
          <w:highlight w:val="none"/>
          <w:u w:val="none"/>
          <w:lang w:val="en-US" w:eastAsia="zh-CN"/>
        </w:rPr>
        <w:t>3</w:t>
      </w:r>
      <w:r>
        <w:rPr>
          <w:rFonts w:hint="eastAsia"/>
          <w:b/>
          <w:color w:val="auto"/>
          <w:sz w:val="24"/>
          <w:szCs w:val="24"/>
          <w:highlight w:val="none"/>
          <w:u w:val="none"/>
        </w:rPr>
        <w:t>-</w:t>
      </w:r>
      <w:r>
        <w:rPr>
          <w:rFonts w:hint="eastAsia"/>
          <w:b/>
          <w:color w:val="auto"/>
          <w:sz w:val="24"/>
          <w:szCs w:val="24"/>
          <w:highlight w:val="none"/>
          <w:u w:val="none"/>
          <w:lang w:val="en-US" w:eastAsia="zh-CN"/>
        </w:rPr>
        <w:t>3</w:t>
      </w:r>
      <w:r>
        <w:rPr>
          <w:rFonts w:hint="eastAsia"/>
          <w:b/>
          <w:color w:val="auto"/>
          <w:sz w:val="24"/>
          <w:szCs w:val="24"/>
          <w:highlight w:val="none"/>
          <w:u w:val="none"/>
        </w:rPr>
        <w:t>绿地容貌管护质量要求</w:t>
      </w:r>
    </w:p>
    <w:tbl>
      <w:tblPr>
        <w:tblStyle w:val="17"/>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0" w:type="dxa"/>
          <w:left w:w="128" w:type="dxa"/>
          <w:bottom w:w="80" w:type="dxa"/>
          <w:right w:w="128" w:type="dxa"/>
        </w:tblCellMar>
      </w:tblPr>
      <w:tblGrid>
        <w:gridCol w:w="1014"/>
        <w:gridCol w:w="2853"/>
        <w:gridCol w:w="3004"/>
        <w:gridCol w:w="2694"/>
      </w:tblGrid>
      <w:tr w14:paraId="3476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1014" w:type="dxa"/>
            <w:vAlign w:val="center"/>
          </w:tcPr>
          <w:p w14:paraId="03B22CB1">
            <w:pPr>
              <w:pStyle w:val="14"/>
              <w:snapToGrid w:val="0"/>
              <w:spacing w:before="60" w:beforeAutospacing="0" w:after="60" w:afterAutospacing="0" w:line="220" w:lineRule="atLeast"/>
              <w:jc w:val="center"/>
              <w:rPr>
                <w:rFonts w:hint="eastAsia" w:ascii="Calibri" w:eastAsia="宋体"/>
                <w:b/>
                <w:color w:val="auto"/>
                <w:sz w:val="18"/>
                <w:szCs w:val="18"/>
                <w:highlight w:val="none"/>
                <w:u w:val="none"/>
                <w:lang w:eastAsia="zh-CN"/>
              </w:rPr>
            </w:pPr>
            <w:r>
              <w:rPr>
                <w:rFonts w:hint="eastAsia" w:ascii="Calibri" w:eastAsia="宋体"/>
                <w:b/>
                <w:color w:val="auto"/>
                <w:sz w:val="18"/>
                <w:szCs w:val="18"/>
                <w:highlight w:val="none"/>
                <w:u w:val="none"/>
                <w:lang w:eastAsia="zh-CN"/>
              </w:rPr>
              <w:t>项目名称</w:t>
            </w:r>
          </w:p>
        </w:tc>
        <w:tc>
          <w:tcPr>
            <w:tcW w:w="2853" w:type="dxa"/>
            <w:vAlign w:val="center"/>
          </w:tcPr>
          <w:p w14:paraId="5EF06588">
            <w:pPr>
              <w:snapToGrid w:val="0"/>
              <w:spacing w:line="240" w:lineRule="exact"/>
              <w:ind w:firstLine="0" w:firstLineChars="0"/>
              <w:jc w:val="center"/>
              <w:rPr>
                <w:rFonts w:hint="eastAsia" w:ascii="Calibri" w:hAnsi="宋体" w:eastAsia="宋体" w:cs="宋体"/>
                <w:b/>
                <w:color w:val="auto"/>
                <w:kern w:val="0"/>
                <w:sz w:val="18"/>
                <w:szCs w:val="18"/>
                <w:highlight w:val="none"/>
                <w:u w:val="none"/>
                <w:lang w:eastAsia="zh-CN"/>
              </w:rPr>
            </w:pPr>
            <w:r>
              <w:rPr>
                <w:rFonts w:hint="eastAsia" w:ascii="Calibri" w:hAnsi="宋体" w:eastAsia="宋体" w:cs="宋体"/>
                <w:b/>
                <w:color w:val="auto"/>
                <w:kern w:val="0"/>
                <w:sz w:val="18"/>
                <w:szCs w:val="18"/>
                <w:highlight w:val="none"/>
                <w:u w:val="none"/>
                <w:lang w:eastAsia="zh-CN"/>
              </w:rPr>
              <w:t>一级绿地管护</w:t>
            </w:r>
          </w:p>
        </w:tc>
        <w:tc>
          <w:tcPr>
            <w:tcW w:w="3004" w:type="dxa"/>
            <w:vAlign w:val="center"/>
          </w:tcPr>
          <w:p w14:paraId="31CC0009">
            <w:pPr>
              <w:snapToGrid w:val="0"/>
              <w:spacing w:line="240" w:lineRule="exact"/>
              <w:ind w:firstLine="0" w:firstLineChars="0"/>
              <w:jc w:val="center"/>
              <w:rPr>
                <w:rFonts w:hint="eastAsia" w:ascii="Calibri" w:hAnsi="宋体" w:eastAsia="宋体" w:cs="宋体"/>
                <w:b/>
                <w:color w:val="auto"/>
                <w:kern w:val="0"/>
                <w:sz w:val="18"/>
                <w:szCs w:val="18"/>
                <w:highlight w:val="none"/>
                <w:u w:val="none"/>
                <w:lang w:eastAsia="zh-CN"/>
              </w:rPr>
            </w:pPr>
            <w:r>
              <w:rPr>
                <w:rFonts w:hint="eastAsia" w:ascii="Calibri" w:hAnsi="宋体" w:eastAsia="宋体" w:cs="宋体"/>
                <w:b/>
                <w:color w:val="auto"/>
                <w:kern w:val="0"/>
                <w:sz w:val="18"/>
                <w:szCs w:val="18"/>
                <w:highlight w:val="none"/>
                <w:u w:val="none"/>
                <w:lang w:eastAsia="zh-CN"/>
              </w:rPr>
              <w:t>二级绿地管护</w:t>
            </w:r>
          </w:p>
        </w:tc>
        <w:tc>
          <w:tcPr>
            <w:tcW w:w="2694" w:type="dxa"/>
            <w:vAlign w:val="center"/>
          </w:tcPr>
          <w:p w14:paraId="106F4762">
            <w:pPr>
              <w:pStyle w:val="14"/>
              <w:snapToGrid w:val="0"/>
              <w:spacing w:before="60" w:beforeAutospacing="0" w:after="60" w:afterAutospacing="0" w:line="240" w:lineRule="exact"/>
              <w:jc w:val="center"/>
              <w:rPr>
                <w:rFonts w:hint="eastAsia" w:ascii="Calibri" w:eastAsia="宋体"/>
                <w:b/>
                <w:color w:val="auto"/>
                <w:sz w:val="18"/>
                <w:szCs w:val="18"/>
                <w:highlight w:val="none"/>
                <w:u w:val="none"/>
                <w:lang w:eastAsia="zh-CN"/>
              </w:rPr>
            </w:pPr>
            <w:r>
              <w:rPr>
                <w:rFonts w:hint="eastAsia" w:ascii="Calibri" w:eastAsia="宋体"/>
                <w:b/>
                <w:color w:val="auto"/>
                <w:sz w:val="18"/>
                <w:szCs w:val="18"/>
                <w:highlight w:val="none"/>
                <w:u w:val="none"/>
                <w:lang w:eastAsia="zh-CN"/>
              </w:rPr>
              <w:t>三级绿地管护</w:t>
            </w:r>
          </w:p>
        </w:tc>
      </w:tr>
      <w:tr w14:paraId="3A77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1014" w:type="dxa"/>
            <w:vAlign w:val="center"/>
          </w:tcPr>
          <w:p w14:paraId="28C1CBC6">
            <w:pPr>
              <w:snapToGrid w:val="0"/>
              <w:spacing w:line="220" w:lineRule="atLeast"/>
              <w:ind w:firstLine="0" w:firstLineChars="0"/>
              <w:jc w:val="center"/>
              <w:rPr>
                <w:rFonts w:ascii="宋体" w:hAnsi="宋体" w:cs="宋体"/>
                <w:b/>
                <w:color w:val="auto"/>
                <w:sz w:val="18"/>
                <w:szCs w:val="18"/>
                <w:highlight w:val="none"/>
                <w:u w:val="none"/>
              </w:rPr>
            </w:pPr>
            <w:r>
              <w:rPr>
                <w:rFonts w:hint="eastAsia" w:ascii="宋体" w:hAnsi="宋体" w:cs="宋体"/>
                <w:b/>
                <w:color w:val="auto"/>
                <w:sz w:val="18"/>
                <w:szCs w:val="18"/>
                <w:highlight w:val="none"/>
                <w:u w:val="none"/>
              </w:rPr>
              <w:t>整体景观</w:t>
            </w:r>
          </w:p>
        </w:tc>
        <w:tc>
          <w:tcPr>
            <w:tcW w:w="2853" w:type="dxa"/>
            <w:vAlign w:val="center"/>
          </w:tcPr>
          <w:p w14:paraId="307C9023">
            <w:pPr>
              <w:snapToGrid w:val="0"/>
              <w:spacing w:line="220" w:lineRule="atLeast"/>
              <w:ind w:firstLine="180" w:firstLineChars="100"/>
              <w:jc w:val="left"/>
              <w:rPr>
                <w:rFonts w:ascii="宋体" w:hAnsi="宋体" w:cs="宋体"/>
                <w:color w:val="auto"/>
                <w:sz w:val="18"/>
                <w:szCs w:val="18"/>
                <w:highlight w:val="none"/>
                <w:u w:val="none"/>
              </w:rPr>
            </w:pPr>
            <w:r>
              <w:rPr>
                <w:rFonts w:hint="eastAsia" w:ascii="宋体" w:hAnsi="宋体" w:cs="宋体"/>
                <w:color w:val="auto"/>
                <w:sz w:val="18"/>
                <w:szCs w:val="18"/>
                <w:highlight w:val="none"/>
                <w:u w:val="none"/>
              </w:rPr>
              <w:t>绿地整体观感好；植物生长良好，乔、灌、草及花卉层次分明，无黄土裸露；园林附属设施外观无破损，设备运行正常。</w:t>
            </w:r>
          </w:p>
        </w:tc>
        <w:tc>
          <w:tcPr>
            <w:tcW w:w="3004" w:type="dxa"/>
            <w:vAlign w:val="center"/>
          </w:tcPr>
          <w:p w14:paraId="3C51DFED">
            <w:pPr>
              <w:snapToGrid w:val="0"/>
              <w:spacing w:line="220" w:lineRule="atLeast"/>
              <w:ind w:firstLine="180" w:firstLineChars="100"/>
              <w:jc w:val="left"/>
              <w:rPr>
                <w:rFonts w:ascii="宋体" w:hAnsi="宋体" w:cs="宋体"/>
                <w:color w:val="auto"/>
                <w:sz w:val="18"/>
                <w:szCs w:val="18"/>
                <w:highlight w:val="none"/>
                <w:u w:val="none"/>
              </w:rPr>
            </w:pPr>
            <w:r>
              <w:rPr>
                <w:rFonts w:hint="eastAsia" w:ascii="宋体" w:hAnsi="宋体" w:cs="宋体"/>
                <w:color w:val="auto"/>
                <w:sz w:val="18"/>
                <w:szCs w:val="18"/>
                <w:highlight w:val="none"/>
                <w:u w:val="none"/>
              </w:rPr>
              <w:t>绿地整体观感较好；植物生长较好,乔、灌、草及花卉界限基本清晰，基本无黄土裸露；园林附属设施外观基本无破损，设备运行正常。</w:t>
            </w:r>
          </w:p>
        </w:tc>
        <w:tc>
          <w:tcPr>
            <w:tcW w:w="2694" w:type="dxa"/>
            <w:vAlign w:val="center"/>
          </w:tcPr>
          <w:p w14:paraId="02657317">
            <w:pPr>
              <w:snapToGrid w:val="0"/>
              <w:spacing w:line="220" w:lineRule="atLeast"/>
              <w:ind w:firstLine="180" w:firstLineChars="100"/>
              <w:jc w:val="left"/>
              <w:rPr>
                <w:rFonts w:ascii="宋体" w:hAnsi="宋体" w:cs="宋体"/>
                <w:color w:val="auto"/>
                <w:sz w:val="18"/>
                <w:szCs w:val="18"/>
                <w:highlight w:val="none"/>
                <w:u w:val="none"/>
              </w:rPr>
            </w:pPr>
            <w:r>
              <w:rPr>
                <w:rFonts w:hint="eastAsia" w:ascii="宋体" w:hAnsi="宋体" w:cs="宋体"/>
                <w:color w:val="auto"/>
                <w:sz w:val="18"/>
                <w:szCs w:val="18"/>
                <w:highlight w:val="none"/>
                <w:u w:val="none"/>
              </w:rPr>
              <w:t>绿地整体观感一般；植物生长一般，无明显黄土裸露；园林附属设施外观无明显破损、设</w:t>
            </w:r>
            <w:r>
              <w:rPr>
                <w:rFonts w:ascii="宋体" w:hAnsi="宋体" w:cs="宋体"/>
                <w:color w:val="auto"/>
                <w:sz w:val="18"/>
                <w:szCs w:val="18"/>
                <w:highlight w:val="none"/>
                <w:u w:val="none"/>
              </w:rPr>
              <w:t>备</w:t>
            </w:r>
            <w:r>
              <w:rPr>
                <w:rFonts w:hint="eastAsia" w:ascii="宋体" w:hAnsi="宋体" w:cs="宋体"/>
                <w:color w:val="auto"/>
                <w:sz w:val="18"/>
                <w:szCs w:val="18"/>
                <w:highlight w:val="none"/>
                <w:u w:val="none"/>
              </w:rPr>
              <w:t>运行基本正常。</w:t>
            </w:r>
          </w:p>
        </w:tc>
      </w:tr>
      <w:tr w14:paraId="14E0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1014" w:type="dxa"/>
            <w:vAlign w:val="center"/>
          </w:tcPr>
          <w:p w14:paraId="4E09CA2D">
            <w:pPr>
              <w:snapToGrid w:val="0"/>
              <w:spacing w:line="220" w:lineRule="atLeast"/>
              <w:ind w:firstLine="0" w:firstLineChars="0"/>
              <w:jc w:val="center"/>
              <w:rPr>
                <w:rFonts w:ascii="宋体" w:hAnsi="宋体" w:cs="宋体"/>
                <w:b/>
                <w:color w:val="auto"/>
                <w:sz w:val="18"/>
                <w:szCs w:val="18"/>
                <w:highlight w:val="none"/>
                <w:u w:val="none"/>
              </w:rPr>
            </w:pPr>
            <w:r>
              <w:rPr>
                <w:rFonts w:hint="eastAsia" w:ascii="宋体" w:hAnsi="宋体" w:cs="宋体"/>
                <w:b/>
                <w:color w:val="auto"/>
                <w:sz w:val="18"/>
                <w:szCs w:val="18"/>
                <w:highlight w:val="none"/>
                <w:u w:val="none"/>
              </w:rPr>
              <w:t>绿地卫生</w:t>
            </w:r>
          </w:p>
        </w:tc>
        <w:tc>
          <w:tcPr>
            <w:tcW w:w="2853" w:type="dxa"/>
            <w:vAlign w:val="center"/>
          </w:tcPr>
          <w:p w14:paraId="19E745AC">
            <w:pPr>
              <w:snapToGrid w:val="0"/>
              <w:spacing w:line="220" w:lineRule="atLeast"/>
              <w:ind w:firstLine="180" w:firstLineChars="100"/>
              <w:jc w:val="left"/>
              <w:rPr>
                <w:rFonts w:ascii="宋体" w:hAnsi="宋体" w:cs="宋体"/>
                <w:color w:val="auto"/>
                <w:sz w:val="18"/>
                <w:szCs w:val="18"/>
                <w:highlight w:val="none"/>
                <w:u w:val="none"/>
              </w:rPr>
            </w:pPr>
            <w:r>
              <w:rPr>
                <w:rFonts w:hint="eastAsia" w:ascii="宋体" w:hAnsi="宋体" w:cs="宋体"/>
                <w:color w:val="auto"/>
                <w:sz w:val="18"/>
                <w:szCs w:val="18"/>
                <w:highlight w:val="none"/>
                <w:u w:val="none"/>
              </w:rPr>
              <w:t>绿地整洁，无杂物，水面无漂浮物；绿化垃圾随产随清；树池积水清理≤4小时；绿化植物积灰积尘及时冲洗；园林附属设施干净整洁。</w:t>
            </w:r>
          </w:p>
        </w:tc>
        <w:tc>
          <w:tcPr>
            <w:tcW w:w="3004" w:type="dxa"/>
            <w:vAlign w:val="center"/>
          </w:tcPr>
          <w:p w14:paraId="0BF3C618">
            <w:pPr>
              <w:snapToGrid w:val="0"/>
              <w:spacing w:line="220" w:lineRule="atLeast"/>
              <w:ind w:firstLine="180" w:firstLineChars="100"/>
              <w:jc w:val="left"/>
              <w:rPr>
                <w:rFonts w:ascii="宋体" w:hAnsi="宋体" w:cs="宋体"/>
                <w:color w:val="auto"/>
                <w:sz w:val="18"/>
                <w:szCs w:val="18"/>
                <w:highlight w:val="none"/>
                <w:u w:val="none"/>
              </w:rPr>
            </w:pPr>
            <w:r>
              <w:rPr>
                <w:rFonts w:hint="eastAsia" w:ascii="宋体" w:hAnsi="宋体" w:cs="宋体"/>
                <w:color w:val="auto"/>
                <w:sz w:val="18"/>
                <w:szCs w:val="18"/>
                <w:highlight w:val="none"/>
                <w:u w:val="none"/>
              </w:rPr>
              <w:t>绿地整洁，基本无杂物，水面基本无漂浮物；绿化垃圾日产日清；树池积水清理≤8小时；绿化植物积灰积尘适时冲洗；园林附属设施基本整洁。</w:t>
            </w:r>
          </w:p>
        </w:tc>
        <w:tc>
          <w:tcPr>
            <w:tcW w:w="2694" w:type="dxa"/>
            <w:vAlign w:val="center"/>
          </w:tcPr>
          <w:p w14:paraId="2F6E7652">
            <w:pPr>
              <w:snapToGrid w:val="0"/>
              <w:spacing w:line="220" w:lineRule="atLeast"/>
              <w:ind w:firstLine="180" w:firstLineChars="100"/>
              <w:jc w:val="left"/>
              <w:rPr>
                <w:rFonts w:ascii="宋体" w:hAnsi="宋体" w:cs="宋体"/>
                <w:color w:val="auto"/>
                <w:sz w:val="18"/>
                <w:szCs w:val="18"/>
                <w:highlight w:val="none"/>
                <w:u w:val="none"/>
              </w:rPr>
            </w:pPr>
            <w:r>
              <w:rPr>
                <w:rFonts w:hint="eastAsia" w:ascii="宋体" w:hAnsi="宋体" w:cs="宋体"/>
                <w:color w:val="auto"/>
                <w:sz w:val="18"/>
                <w:szCs w:val="18"/>
                <w:highlight w:val="none"/>
                <w:u w:val="none"/>
              </w:rPr>
              <w:t>绿地无明显垃圾，绿化垃圾清运≤48小时；树池积水清理≤12小时；绿化植物积灰积尘定期冲洗；园林附属设施无明显污物。</w:t>
            </w:r>
          </w:p>
        </w:tc>
      </w:tr>
      <w:bookmarkEnd w:id="220"/>
      <w:bookmarkEnd w:id="221"/>
      <w:bookmarkEnd w:id="222"/>
      <w:bookmarkEnd w:id="223"/>
    </w:tbl>
    <w:p w14:paraId="287BBC7F">
      <w:pPr>
        <w:pStyle w:val="14"/>
        <w:spacing w:before="0" w:beforeAutospacing="0" w:after="0" w:afterAutospacing="0" w:line="600" w:lineRule="exact"/>
        <w:jc w:val="both"/>
        <w:rPr>
          <w:rFonts w:hint="eastAsia"/>
          <w:b/>
          <w:color w:val="auto"/>
          <w:sz w:val="18"/>
          <w:szCs w:val="18"/>
          <w:highlight w:val="none"/>
          <w:u w:val="none"/>
          <w:lang w:val="en-US" w:eastAsia="zh-CN"/>
        </w:rPr>
      </w:pPr>
    </w:p>
    <w:p w14:paraId="37958428">
      <w:pPr>
        <w:rPr>
          <w:rFonts w:hint="eastAsia" w:ascii="黑体" w:hAnsi="黑体" w:eastAsia="黑体" w:cs="黑体"/>
          <w:b w:val="0"/>
          <w:bCs w:val="0"/>
          <w:color w:val="auto"/>
          <w:kern w:val="2"/>
          <w:sz w:val="32"/>
          <w:szCs w:val="32"/>
          <w:highlight w:val="none"/>
          <w:u w:val="none"/>
          <w:lang w:val="en-US" w:eastAsia="zh-CN" w:bidi="ar-SA"/>
        </w:rPr>
      </w:pPr>
      <w:bookmarkStart w:id="224" w:name="_Toc14487"/>
      <w:bookmarkStart w:id="225" w:name="_Toc30889"/>
      <w:bookmarkStart w:id="226" w:name="_Toc11701"/>
      <w:r>
        <w:rPr>
          <w:rFonts w:hint="eastAsia" w:ascii="黑体" w:hAnsi="黑体" w:eastAsia="黑体" w:cs="黑体"/>
          <w:b w:val="0"/>
          <w:bCs w:val="0"/>
          <w:color w:val="auto"/>
          <w:kern w:val="2"/>
          <w:sz w:val="32"/>
          <w:szCs w:val="32"/>
          <w:highlight w:val="none"/>
          <w:u w:val="none"/>
          <w:lang w:val="en-US" w:eastAsia="zh-CN" w:bidi="ar-SA"/>
        </w:rPr>
        <w:br w:type="page"/>
      </w:r>
    </w:p>
    <w:p w14:paraId="08ED696D">
      <w:pPr>
        <w:pStyle w:val="23"/>
        <w:keepNext w:val="0"/>
        <w:keepLines w:val="0"/>
        <w:pageBreakBefore w:val="0"/>
        <w:widowControl w:val="0"/>
        <w:tabs>
          <w:tab w:val="right" w:leader="dot" w:pos="8845"/>
        </w:tabs>
        <w:kinsoku/>
        <w:wordWrap/>
        <w:overflowPunct/>
        <w:topLinePunct w:val="0"/>
        <w:bidi w:val="0"/>
        <w:spacing w:line="560" w:lineRule="exact"/>
        <w:jc w:val="both"/>
        <w:textAlignment w:val="auto"/>
        <w:outlineLvl w:val="0"/>
        <w:rPr>
          <w:rFonts w:hint="eastAsia" w:ascii="黑体" w:hAnsi="黑体" w:eastAsia="黑体" w:cs="黑体"/>
          <w:b w:val="0"/>
          <w:bCs/>
          <w:color w:val="auto"/>
          <w:kern w:val="44"/>
          <w:sz w:val="36"/>
          <w:szCs w:val="36"/>
          <w:highlight w:val="none"/>
          <w:u w:val="none"/>
          <w:lang w:val="en-US" w:eastAsia="zh-CN" w:bidi="ar-SA"/>
        </w:rPr>
      </w:pPr>
      <w:r>
        <w:rPr>
          <w:rFonts w:hint="eastAsia" w:ascii="黑体" w:hAnsi="黑体" w:eastAsia="黑体" w:cs="黑体"/>
          <w:b w:val="0"/>
          <w:bCs w:val="0"/>
          <w:color w:val="auto"/>
          <w:kern w:val="2"/>
          <w:sz w:val="32"/>
          <w:szCs w:val="32"/>
          <w:highlight w:val="none"/>
          <w:u w:val="none"/>
          <w:lang w:val="en-US" w:eastAsia="zh-CN" w:bidi="ar-SA"/>
        </w:rPr>
        <w:t>附录4规范性引用文件</w:t>
      </w:r>
      <w:bookmarkEnd w:id="224"/>
      <w:bookmarkEnd w:id="225"/>
      <w:bookmarkEnd w:id="226"/>
    </w:p>
    <w:p w14:paraId="2BDD1BD5">
      <w:pPr>
        <w:pStyle w:val="22"/>
        <w:keepNext w:val="0"/>
        <w:keepLines w:val="0"/>
        <w:pageBreakBefore w:val="0"/>
        <w:widowControl w:val="0"/>
        <w:kinsoku/>
        <w:wordWrap/>
        <w:overflowPunct/>
        <w:topLinePunct w:val="0"/>
        <w:bidi w:val="0"/>
        <w:spacing w:before="0" w:after="0" w:line="560" w:lineRule="exact"/>
        <w:ind w:firstLine="640"/>
        <w:textAlignment w:val="auto"/>
        <w:rPr>
          <w:rFonts w:hint="default"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市容：</w:t>
      </w:r>
    </w:p>
    <w:p w14:paraId="7F256907">
      <w:pPr>
        <w:pStyle w:val="22"/>
        <w:keepNext w:val="0"/>
        <w:keepLines w:val="0"/>
        <w:pageBreakBefore w:val="0"/>
        <w:widowControl w:val="0"/>
        <w:kinsoku/>
        <w:wordWrap/>
        <w:overflowPunct/>
        <w:topLinePunct w:val="0"/>
        <w:bidi w:val="0"/>
        <w:spacing w:before="0" w:after="0" w:line="560" w:lineRule="exact"/>
        <w:textAlignment w:val="auto"/>
        <w:rPr>
          <w:rFonts w:hint="default" w:ascii="仿宋_GB2312" w:hAnsi="仿宋_GB2312" w:eastAsia="仿宋_GB2312" w:cs="仿宋_GB2312"/>
          <w:color w:val="auto"/>
          <w:kern w:val="2"/>
          <w:sz w:val="32"/>
          <w:szCs w:val="32"/>
          <w:highlight w:val="none"/>
          <w:u w:val="none"/>
          <w:lang w:val="en-US" w:eastAsia="zh-CN" w:bidi="ar-SA"/>
        </w:rPr>
      </w:pPr>
      <w:r>
        <w:rPr>
          <w:rFonts w:hint="default" w:ascii="仿宋_GB2312" w:hAnsi="仿宋_GB2312" w:eastAsia="仿宋_GB2312" w:cs="仿宋_GB2312"/>
          <w:color w:val="auto"/>
          <w:kern w:val="2"/>
          <w:sz w:val="32"/>
          <w:szCs w:val="32"/>
          <w:highlight w:val="none"/>
          <w:u w:val="none"/>
          <w:lang w:val="en-US" w:eastAsia="zh-CN" w:bidi="ar-SA"/>
        </w:rPr>
        <w:t>《城市市容和环境卫生管理条例》</w:t>
      </w:r>
    </w:p>
    <w:p w14:paraId="2A3F1B1F">
      <w:pPr>
        <w:pStyle w:val="22"/>
        <w:keepNext w:val="0"/>
        <w:keepLines w:val="0"/>
        <w:pageBreakBefore w:val="0"/>
        <w:widowControl w:val="0"/>
        <w:kinsoku/>
        <w:wordWrap/>
        <w:overflowPunct/>
        <w:topLinePunct w:val="0"/>
        <w:bidi w:val="0"/>
        <w:spacing w:before="0" w:after="0" w:line="560" w:lineRule="exact"/>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《贵州省城市市容和环境卫生管理条例》</w:t>
      </w:r>
    </w:p>
    <w:p w14:paraId="34D8E520">
      <w:pPr>
        <w:pStyle w:val="22"/>
        <w:keepNext w:val="0"/>
        <w:keepLines w:val="0"/>
        <w:pageBreakBefore w:val="0"/>
        <w:widowControl w:val="0"/>
        <w:kinsoku/>
        <w:wordWrap/>
        <w:overflowPunct/>
        <w:topLinePunct w:val="0"/>
        <w:bidi w:val="0"/>
        <w:spacing w:before="0" w:after="0" w:line="560" w:lineRule="exact"/>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《贵阳市城市市容和环境卫生管理办法》</w:t>
      </w:r>
    </w:p>
    <w:p w14:paraId="4B6C54E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《贵阳市“门前三包”责任制管理规定》</w:t>
      </w:r>
    </w:p>
    <w:p w14:paraId="0FFE4B4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《城市容貌标准》GB50449</w:t>
      </w:r>
      <w:r>
        <w:rPr>
          <w:rFonts w:hint="eastAsia" w:ascii="仿宋_GB2312" w:hAnsi="仿宋_GB2312" w:eastAsia="仿宋_GB2312" w:cs="仿宋_GB2312"/>
          <w:color w:val="auto"/>
          <w:sz w:val="32"/>
          <w:szCs w:val="32"/>
          <w:highlight w:val="none"/>
          <w:u w:val="none"/>
          <w:lang w:val="en-US" w:eastAsia="zh-CN"/>
        </w:rPr>
        <w:t>-2008</w:t>
      </w:r>
    </w:p>
    <w:p w14:paraId="36E8FDA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《贵州省城镇容貌标准》DBJ52/T98—2020</w:t>
      </w:r>
    </w:p>
    <w:p w14:paraId="74D10C7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《城市户外广告和招牌设施技术标准》CJJ/T149-2021</w:t>
      </w:r>
    </w:p>
    <w:p w14:paraId="330AAE82">
      <w:pPr>
        <w:pStyle w:val="22"/>
        <w:keepNext w:val="0"/>
        <w:keepLines w:val="0"/>
        <w:pageBreakBefore w:val="0"/>
        <w:widowControl w:val="0"/>
        <w:kinsoku/>
        <w:wordWrap/>
        <w:overflowPunct/>
        <w:topLinePunct w:val="0"/>
        <w:bidi w:val="0"/>
        <w:spacing w:before="0" w:after="0" w:line="560" w:lineRule="exact"/>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《城市市容市貌干净整洁有序安全标准（试行）》</w:t>
      </w:r>
    </w:p>
    <w:p w14:paraId="67C27B70">
      <w:pPr>
        <w:pStyle w:val="22"/>
        <w:keepNext w:val="0"/>
        <w:keepLines w:val="0"/>
        <w:pageBreakBefore w:val="0"/>
        <w:widowControl w:val="0"/>
        <w:kinsoku/>
        <w:wordWrap/>
        <w:overflowPunct/>
        <w:topLinePunct w:val="0"/>
        <w:bidi w:val="0"/>
        <w:spacing w:before="0" w:after="0" w:line="560" w:lineRule="exact"/>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 w:hAnsi="仿宋" w:eastAsia="仿宋" w:cs="仿宋"/>
          <w:b w:val="0"/>
          <w:bCs w:val="0"/>
          <w:color w:val="auto"/>
          <w:sz w:val="32"/>
          <w:szCs w:val="32"/>
          <w:highlight w:val="none"/>
          <w:lang w:val="en-US" w:eastAsia="zh-CN"/>
        </w:rPr>
        <w:t>《建筑施工安全检查标准》JGJ59-2011</w:t>
      </w:r>
    </w:p>
    <w:p w14:paraId="3B710D61">
      <w:pPr>
        <w:pStyle w:val="22"/>
        <w:keepNext w:val="0"/>
        <w:keepLines w:val="0"/>
        <w:pageBreakBefore w:val="0"/>
        <w:widowControl w:val="0"/>
        <w:kinsoku/>
        <w:wordWrap/>
        <w:overflowPunct/>
        <w:topLinePunct w:val="0"/>
        <w:bidi w:val="0"/>
        <w:spacing w:before="0" w:after="0" w:line="560" w:lineRule="exact"/>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市政：</w:t>
      </w:r>
    </w:p>
    <w:p w14:paraId="6AD9655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《城市道路管理条例》</w:t>
      </w:r>
    </w:p>
    <w:p w14:paraId="0A4A2E3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《贵阳市市政设施管理办法》</w:t>
      </w:r>
    </w:p>
    <w:p w14:paraId="5907B945">
      <w:pPr>
        <w:pStyle w:val="10"/>
        <w:spacing w:line="560" w:lineRule="exact"/>
        <w:ind w:firstLine="640" w:firstLineChars="200"/>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《贵阳市城市地下管线管理办法》</w:t>
      </w:r>
    </w:p>
    <w:p w14:paraId="45B3A67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《城市道路养护技术规范》CJJ36-2016</w:t>
      </w:r>
    </w:p>
    <w:p w14:paraId="0F7C0573">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pPr>
      <w:r>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t>《城市道路照明设计标准》</w:t>
      </w:r>
      <w:r>
        <w:rPr>
          <w:rFonts w:hint="eastAsia" w:ascii="仿宋_GB2312" w:hAnsi="仿宋_GB2312" w:eastAsia="仿宋_GB2312" w:cs="仿宋_GB2312"/>
          <w:color w:val="auto"/>
          <w:kern w:val="0"/>
          <w:sz w:val="32"/>
          <w:szCs w:val="32"/>
          <w:highlight w:val="none"/>
          <w:u w:val="none"/>
          <w:lang w:val="en-US" w:eastAsia="zh-CN" w:bidi="ar"/>
        </w:rPr>
        <w:t>CJJ45-2015</w:t>
      </w:r>
    </w:p>
    <w:p w14:paraId="71409BB3">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pPr>
      <w:r>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t>《城市夜景照明设计规范》JGJT163-2008</w:t>
      </w:r>
    </w:p>
    <w:p w14:paraId="45AECA15">
      <w:pPr>
        <w:keepNext w:val="0"/>
        <w:keepLines w:val="0"/>
        <w:pageBreakBefore w:val="0"/>
        <w:kinsoku/>
        <w:wordWrap/>
        <w:overflowPunct/>
        <w:topLinePunct w:val="0"/>
        <w:bidi w:val="0"/>
        <w:spacing w:line="560" w:lineRule="exact"/>
        <w:ind w:firstLine="640" w:firstLineChars="200"/>
        <w:textAlignment w:val="auto"/>
        <w:rPr>
          <w:rFonts w:hint="default" w:ascii="仿宋_GB2312" w:hAnsi="仿宋_GB2312" w:eastAsia="仿宋_GB2312" w:cs="仿宋_GB2312"/>
          <w:i w:val="0"/>
          <w:iCs w:val="0"/>
          <w:caps w:val="0"/>
          <w:color w:val="auto"/>
          <w:spacing w:val="0"/>
          <w:sz w:val="32"/>
          <w:szCs w:val="32"/>
          <w:highlight w:val="none"/>
          <w:u w:val="none"/>
          <w:shd w:val="clear" w:fill="FFFFFF"/>
          <w:lang w:val="en-US" w:eastAsia="zh-CN"/>
        </w:rPr>
      </w:pPr>
      <w:r>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t>《城市道路照明设施运行维护技术标准》TCMEA21-2021</w:t>
      </w:r>
    </w:p>
    <w:p w14:paraId="52B3C8C7">
      <w:pPr>
        <w:keepNext w:val="0"/>
        <w:keepLines w:val="0"/>
        <w:pageBreakBefore w:val="0"/>
        <w:kinsoku/>
        <w:wordWrap/>
        <w:overflowPunct/>
        <w:topLinePunct w:val="0"/>
        <w:bidi w:val="0"/>
        <w:spacing w:line="560" w:lineRule="exact"/>
        <w:ind w:left="958" w:leftChars="304" w:hanging="320" w:hangingChars="100"/>
        <w:textAlignment w:val="auto"/>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pPr>
      <w:r>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t>《城市道路占道作业交通组织与安全设施设置要求》DB52/T1723-2023</w:t>
      </w:r>
    </w:p>
    <w:p w14:paraId="3D0C7687">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pPr>
      <w:r>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t>《城市桥梁养护技术标准》CJJ99-2017</w:t>
      </w:r>
    </w:p>
    <w:p w14:paraId="5CE5DE8E">
      <w:pPr>
        <w:pStyle w:val="22"/>
        <w:keepNext w:val="0"/>
        <w:keepLines w:val="0"/>
        <w:pageBreakBefore w:val="0"/>
        <w:widowControl w:val="0"/>
        <w:kinsoku/>
        <w:wordWrap/>
        <w:overflowPunct/>
        <w:topLinePunct w:val="0"/>
        <w:bidi w:val="0"/>
        <w:spacing w:before="0" w:after="0" w:line="560" w:lineRule="exact"/>
        <w:textAlignment w:val="auto"/>
        <w:rPr>
          <w:rFonts w:hint="default"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环境卫生：</w:t>
      </w:r>
    </w:p>
    <w:p w14:paraId="76CC071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《城市公厕管理办法》</w:t>
      </w:r>
    </w:p>
    <w:p w14:paraId="0D736A8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《贵阳市城镇生活垃圾分类管理条例》</w:t>
      </w:r>
    </w:p>
    <w:p w14:paraId="2645EC2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《贵阳贵安城市居民生活垃圾分类投放和收运设施设置导则（试行）》</w:t>
      </w:r>
    </w:p>
    <w:p w14:paraId="38F4024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《城市环境卫生质量标准》</w:t>
      </w:r>
      <w:r>
        <w:rPr>
          <w:rFonts w:hint="eastAsia" w:ascii="仿宋_GB2312" w:hAnsi="仿宋_GB2312" w:eastAsia="仿宋_GB2312" w:cs="仿宋_GB2312"/>
          <w:color w:val="auto"/>
          <w:sz w:val="32"/>
          <w:szCs w:val="32"/>
          <w:highlight w:val="none"/>
          <w:u w:val="none"/>
          <w:lang w:val="en-US" w:eastAsia="zh-CN"/>
        </w:rPr>
        <w:t>（</w:t>
      </w:r>
      <w:r>
        <w:rPr>
          <w:rFonts w:hint="default" w:ascii="仿宋_GB2312" w:hAnsi="仿宋_GB2312" w:eastAsia="仿宋_GB2312" w:cs="仿宋_GB2312"/>
          <w:color w:val="auto"/>
          <w:sz w:val="32"/>
          <w:szCs w:val="32"/>
          <w:highlight w:val="none"/>
          <w:u w:val="none"/>
          <w:lang w:val="en-US" w:eastAsia="zh-CN"/>
        </w:rPr>
        <w:t>建城</w:t>
      </w:r>
      <w:r>
        <w:rPr>
          <w:rFonts w:hint="eastAsia" w:ascii="仿宋_GB2312" w:hAnsi="仿宋_GB2312" w:eastAsia="仿宋_GB2312" w:cs="仿宋_GB2312"/>
          <w:color w:val="auto"/>
          <w:sz w:val="32"/>
          <w:szCs w:val="32"/>
          <w:highlight w:val="none"/>
          <w:u w:val="none"/>
          <w:lang w:val="en-US" w:eastAsia="zh-CN"/>
        </w:rPr>
        <w:t>〔</w:t>
      </w:r>
      <w:r>
        <w:rPr>
          <w:rFonts w:hint="default" w:ascii="仿宋_GB2312" w:hAnsi="仿宋_GB2312" w:eastAsia="仿宋_GB2312" w:cs="仿宋_GB2312"/>
          <w:color w:val="auto"/>
          <w:sz w:val="32"/>
          <w:szCs w:val="32"/>
          <w:highlight w:val="none"/>
          <w:u w:val="none"/>
          <w:lang w:val="en-US" w:eastAsia="zh-CN"/>
        </w:rPr>
        <w:t>1997</w:t>
      </w:r>
      <w:r>
        <w:rPr>
          <w:rFonts w:hint="eastAsia" w:ascii="仿宋_GB2312" w:hAnsi="仿宋_GB2312" w:eastAsia="仿宋_GB2312" w:cs="仿宋_GB2312"/>
          <w:color w:val="auto"/>
          <w:sz w:val="32"/>
          <w:szCs w:val="32"/>
          <w:highlight w:val="none"/>
          <w:u w:val="none"/>
          <w:lang w:val="en-US" w:eastAsia="zh-CN"/>
        </w:rPr>
        <w:t>〕</w:t>
      </w:r>
      <w:r>
        <w:rPr>
          <w:rFonts w:hint="default" w:ascii="仿宋_GB2312" w:hAnsi="仿宋_GB2312" w:eastAsia="仿宋_GB2312" w:cs="仿宋_GB2312"/>
          <w:color w:val="auto"/>
          <w:sz w:val="32"/>
          <w:szCs w:val="32"/>
          <w:highlight w:val="none"/>
          <w:u w:val="none"/>
          <w:lang w:val="en-US" w:eastAsia="zh-CN"/>
        </w:rPr>
        <w:t>21号</w:t>
      </w:r>
      <w:r>
        <w:rPr>
          <w:rFonts w:hint="eastAsia" w:ascii="仿宋_GB2312" w:hAnsi="仿宋_GB2312" w:eastAsia="仿宋_GB2312" w:cs="仿宋_GB2312"/>
          <w:color w:val="auto"/>
          <w:sz w:val="32"/>
          <w:szCs w:val="32"/>
          <w:highlight w:val="none"/>
          <w:u w:val="none"/>
          <w:lang w:val="en-US" w:eastAsia="zh-CN"/>
        </w:rPr>
        <w:t>）</w:t>
      </w:r>
    </w:p>
    <w:p w14:paraId="2BDA458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《市容环境卫生术语标准》CJJ/T65</w:t>
      </w:r>
      <w:r>
        <w:rPr>
          <w:rFonts w:hint="eastAsia" w:ascii="仿宋_GB2312" w:hAnsi="仿宋_GB2312" w:eastAsia="仿宋_GB2312" w:cs="仿宋_GB2312"/>
          <w:color w:val="auto"/>
          <w:sz w:val="32"/>
          <w:szCs w:val="32"/>
          <w:highlight w:val="none"/>
          <w:u w:val="none"/>
          <w:lang w:val="en-US" w:eastAsia="zh-CN"/>
        </w:rPr>
        <w:t>-2024</w:t>
      </w:r>
    </w:p>
    <w:p w14:paraId="683974D9">
      <w:pPr>
        <w:keepNext w:val="0"/>
        <w:keepLines w:val="0"/>
        <w:pageBreakBefore w:val="0"/>
        <w:kinsoku/>
        <w:wordWrap/>
        <w:overflowPunct/>
        <w:topLinePunct w:val="0"/>
        <w:bidi w:val="0"/>
        <w:spacing w:line="560" w:lineRule="exact"/>
        <w:ind w:firstLine="640" w:firstLineChars="200"/>
        <w:textAlignment w:val="auto"/>
        <w:rPr>
          <w:rFonts w:hint="default" w:ascii="仿宋_GB2312" w:hAnsi="仿宋_GB2312" w:cs="仿宋_GB2312" w:eastAsiaTheme="minorEastAsia"/>
          <w:b w:val="0"/>
          <w:bCs w:val="0"/>
          <w:color w:val="auto"/>
          <w:kern w:val="2"/>
          <w:sz w:val="32"/>
          <w:szCs w:val="32"/>
          <w:highlight w:val="none"/>
          <w:u w:val="none"/>
          <w:lang w:val="en-US" w:eastAsia="zh-CN" w:bidi="ar-SA"/>
        </w:rPr>
      </w:pPr>
      <w:r>
        <w:rPr>
          <w:rFonts w:hint="default" w:ascii="仿宋_GB2312" w:hAnsi="仿宋_GB2312" w:eastAsia="仿宋_GB2312" w:cs="仿宋_GB2312"/>
          <w:b w:val="0"/>
          <w:bCs w:val="0"/>
          <w:color w:val="auto"/>
          <w:kern w:val="2"/>
          <w:sz w:val="32"/>
          <w:szCs w:val="32"/>
          <w:highlight w:val="none"/>
          <w:u w:val="none"/>
          <w:lang w:val="en-US" w:eastAsia="zh-CN" w:bidi="ar-SA"/>
        </w:rPr>
        <w:t>《环境卫生图形符号标准》CJJ/T125</w:t>
      </w:r>
      <w:r>
        <w:rPr>
          <w:rFonts w:hint="eastAsia" w:ascii="仿宋_GB2312" w:hAnsi="仿宋_GB2312" w:eastAsia="仿宋_GB2312" w:cs="仿宋_GB2312"/>
          <w:color w:val="auto"/>
          <w:sz w:val="32"/>
          <w:szCs w:val="32"/>
          <w:highlight w:val="none"/>
          <w:u w:val="none"/>
          <w:lang w:val="en-US" w:eastAsia="zh-CN"/>
        </w:rPr>
        <w:t>-2021</w:t>
      </w:r>
    </w:p>
    <w:p w14:paraId="3339D94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《城市环境卫生设施规划标准》（GB/T50337-2018）</w:t>
      </w:r>
    </w:p>
    <w:p w14:paraId="6585D4FC">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pPr>
      <w:r>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t>《环境卫生设施设置标准》CJJ27-2012</w:t>
      </w:r>
    </w:p>
    <w:p w14:paraId="370FA64F">
      <w:pPr>
        <w:keepNext w:val="0"/>
        <w:keepLines w:val="0"/>
        <w:pageBreakBefore w:val="0"/>
        <w:kinsoku/>
        <w:wordWrap/>
        <w:overflowPunct/>
        <w:topLinePunct w:val="0"/>
        <w:bidi w:val="0"/>
        <w:spacing w:line="560" w:lineRule="exact"/>
        <w:ind w:firstLine="640" w:firstLineChars="200"/>
        <w:textAlignment w:val="auto"/>
        <w:rPr>
          <w:rFonts w:hint="default" w:ascii="仿宋_GB2312" w:hAnsi="仿宋_GB2312" w:eastAsia="仿宋_GB2312" w:cs="仿宋_GB2312"/>
          <w:i w:val="0"/>
          <w:iCs w:val="0"/>
          <w:caps w:val="0"/>
          <w:color w:val="auto"/>
          <w:spacing w:val="0"/>
          <w:sz w:val="32"/>
          <w:szCs w:val="32"/>
          <w:highlight w:val="none"/>
          <w:u w:val="none"/>
          <w:shd w:val="clear" w:fill="FFFFFF"/>
          <w:lang w:val="en-US" w:eastAsia="zh-CN"/>
        </w:rPr>
      </w:pPr>
      <w:r>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t>《市容环卫工程项目规范》GB55013</w:t>
      </w:r>
      <w:r>
        <w:rPr>
          <w:rFonts w:hint="eastAsia" w:ascii="仿宋_GB2312" w:hAnsi="仿宋_GB2312" w:eastAsia="仿宋_GB2312" w:cs="仿宋_GB2312"/>
          <w:color w:val="auto"/>
          <w:sz w:val="32"/>
          <w:szCs w:val="32"/>
          <w:highlight w:val="none"/>
          <w:u w:val="none"/>
          <w:lang w:val="en-US" w:eastAsia="zh-CN"/>
        </w:rPr>
        <w:t>-2021</w:t>
      </w:r>
    </w:p>
    <w:p w14:paraId="204FC0A3">
      <w:pPr>
        <w:keepNext w:val="0"/>
        <w:keepLines w:val="0"/>
        <w:pageBreakBefore w:val="0"/>
        <w:kinsoku/>
        <w:wordWrap/>
        <w:overflowPunct/>
        <w:topLinePunct w:val="0"/>
        <w:bidi w:val="0"/>
        <w:spacing w:line="560" w:lineRule="exact"/>
        <w:ind w:firstLine="640" w:firstLineChars="200"/>
        <w:textAlignment w:val="auto"/>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t>《城市公共厕所设计标准》CJJ14-2016</w:t>
      </w:r>
    </w:p>
    <w:p w14:paraId="7CA202BF">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pPr>
      <w:r>
        <w:rPr>
          <w:rFonts w:hint="eastAsia" w:ascii="仿宋_GB2312" w:hAnsi="仿宋_GB2312" w:eastAsia="仿宋_GB2312" w:cs="仿宋_GB2312"/>
          <w:i w:val="0"/>
          <w:iCs w:val="0"/>
          <w:caps w:val="0"/>
          <w:color w:val="auto"/>
          <w:spacing w:val="0"/>
          <w:sz w:val="32"/>
          <w:szCs w:val="32"/>
          <w:highlight w:val="none"/>
          <w:u w:val="none"/>
          <w:shd w:val="clear" w:fill="FFFFFF"/>
          <w:lang w:val="en-US" w:eastAsia="zh-CN"/>
        </w:rPr>
        <w:t>《城市道路清扫保洁与质量评价标准》CJJ/T126-2022</w:t>
      </w:r>
    </w:p>
    <w:p w14:paraId="2DAC41A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《城镇市容环境卫生劳动定额》HLD47-101-2008</w:t>
      </w:r>
    </w:p>
    <w:p w14:paraId="1EF91FB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《建筑垃圾处理技术规范》CJJ134</w:t>
      </w:r>
      <w:r>
        <w:rPr>
          <w:rFonts w:hint="eastAsia" w:ascii="仿宋_GB2312" w:hAnsi="仿宋_GB2312" w:eastAsia="仿宋_GB2312" w:cs="仿宋_GB2312"/>
          <w:color w:val="auto"/>
          <w:sz w:val="32"/>
          <w:szCs w:val="32"/>
          <w:highlight w:val="none"/>
          <w:u w:val="none"/>
          <w:lang w:val="en-US" w:eastAsia="zh-CN"/>
        </w:rPr>
        <w:t>-2019</w:t>
      </w:r>
    </w:p>
    <w:p w14:paraId="47E9B1A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《建筑施工现场环境与卫生标准》JGJ146</w:t>
      </w:r>
      <w:r>
        <w:rPr>
          <w:rFonts w:hint="eastAsia" w:ascii="仿宋_GB2312" w:hAnsi="仿宋_GB2312" w:eastAsia="仿宋_GB2312" w:cs="仿宋_GB2312"/>
          <w:color w:val="auto"/>
          <w:sz w:val="32"/>
          <w:szCs w:val="32"/>
          <w:highlight w:val="none"/>
          <w:u w:val="none"/>
          <w:lang w:val="en-US" w:eastAsia="zh-CN"/>
        </w:rPr>
        <w:t>-2013</w:t>
      </w:r>
    </w:p>
    <w:p w14:paraId="13D2764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《中华人民共和国固体废物污染环境防治法》</w:t>
      </w:r>
    </w:p>
    <w:p w14:paraId="031B12C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《贵阳市建筑垃圾管理规定》</w:t>
      </w:r>
    </w:p>
    <w:p w14:paraId="4147B15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lang w:val="en-US" w:eastAsia="zh-CN"/>
        </w:rPr>
      </w:pPr>
      <w:r>
        <w:rPr>
          <w:rFonts w:hint="default" w:ascii="仿宋_GB2312" w:hAnsi="仿宋_GB2312" w:eastAsia="仿宋_GB2312" w:cs="仿宋_GB2312"/>
          <w:color w:val="auto"/>
          <w:sz w:val="32"/>
          <w:szCs w:val="32"/>
          <w:highlight w:val="none"/>
          <w:u w:val="none"/>
          <w:lang w:val="en-US" w:eastAsia="zh-CN"/>
        </w:rPr>
        <w:t>《贵阳贵安建筑垃圾全过程管理体系建设工作方案》</w:t>
      </w:r>
    </w:p>
    <w:p w14:paraId="46643A6F">
      <w:pPr>
        <w:pStyle w:val="10"/>
        <w:spacing w:line="560" w:lineRule="exact"/>
        <w:ind w:firstLine="640" w:firstLineChars="200"/>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绿化：</w:t>
      </w:r>
    </w:p>
    <w:p w14:paraId="72010703">
      <w:pPr>
        <w:pStyle w:val="10"/>
        <w:spacing w:line="560" w:lineRule="exact"/>
        <w:ind w:firstLine="640" w:firstLineChars="200"/>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《古树名木保护条例》</w:t>
      </w:r>
    </w:p>
    <w:p w14:paraId="11C0C77B">
      <w:pPr>
        <w:pStyle w:val="10"/>
        <w:spacing w:line="560" w:lineRule="exact"/>
        <w:ind w:firstLine="640" w:firstLineChars="200"/>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《贵州省古树名木大树保护条例》</w:t>
      </w:r>
    </w:p>
    <w:p w14:paraId="0796352A">
      <w:pPr>
        <w:pStyle w:val="10"/>
        <w:spacing w:line="560" w:lineRule="exact"/>
        <w:ind w:firstLine="640" w:firstLineChars="200"/>
        <w:rPr>
          <w:rFonts w:hint="eastAsia" w:ascii="仿宋_GB2312" w:hAnsi="仿宋_GB2312" w:eastAsia="仿宋_GB2312" w:cs="仿宋_GB2312"/>
          <w:i w:val="0"/>
          <w:iCs w:val="0"/>
          <w:caps w:val="0"/>
          <w:color w:val="auto"/>
          <w:spacing w:val="0"/>
          <w:kern w:val="0"/>
          <w:sz w:val="32"/>
          <w:szCs w:val="32"/>
          <w:highlight w:val="none"/>
          <w:u w:val="none"/>
          <w:shd w:val="clear" w:fill="FFFFFF"/>
          <w:lang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eastAsia="zh-CN" w:bidi="ar"/>
        </w:rPr>
        <w:t>《贵阳市绿化条例》</w:t>
      </w:r>
    </w:p>
    <w:p w14:paraId="0790D25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color w:val="auto"/>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《贵阳市公园和绿化广场管理办法》</w:t>
      </w:r>
    </w:p>
    <w:p w14:paraId="580FC2A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《城市公园管理办法》</w:t>
      </w:r>
    </w:p>
    <w:p w14:paraId="181C990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《城市公园配套服务项目经营管理暂行办法》</w:t>
      </w:r>
    </w:p>
    <w:p w14:paraId="05034351">
      <w:pPr>
        <w:pStyle w:val="10"/>
        <w:spacing w:line="560" w:lineRule="exact"/>
        <w:ind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《贵阳市筑城广场管理暂行办法》</w:t>
      </w:r>
    </w:p>
    <w:p w14:paraId="10900014">
      <w:pPr>
        <w:pStyle w:val="10"/>
        <w:spacing w:line="560" w:lineRule="exact"/>
        <w:ind w:firstLine="640" w:firstLineChars="200"/>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《中华人民共和国环境保护法》</w:t>
      </w:r>
    </w:p>
    <w:p w14:paraId="24279E7B">
      <w:pPr>
        <w:pStyle w:val="10"/>
        <w:spacing w:line="560" w:lineRule="exact"/>
        <w:ind w:firstLine="640" w:firstLineChars="200"/>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《中华人民共和国水污染防治法》</w:t>
      </w:r>
    </w:p>
    <w:p w14:paraId="61D03423">
      <w:pPr>
        <w:pStyle w:val="10"/>
        <w:spacing w:line="560" w:lineRule="exact"/>
        <w:ind w:firstLine="640" w:firstLineChars="200"/>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《环境影响评价技术导则 地表水环境》HJ2.3—2018</w:t>
      </w:r>
    </w:p>
    <w:p w14:paraId="29C64AD8">
      <w:pPr>
        <w:pStyle w:val="10"/>
        <w:spacing w:line="560" w:lineRule="exact"/>
        <w:ind w:firstLine="640" w:firstLineChars="200"/>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《洪水影响评价技术导则》SL/T 808—2025</w:t>
      </w:r>
    </w:p>
    <w:p w14:paraId="1A768CCE">
      <w:pPr>
        <w:pStyle w:val="22"/>
        <w:keepNext w:val="0"/>
        <w:keepLines w:val="0"/>
        <w:pageBreakBefore w:val="0"/>
        <w:widowControl w:val="0"/>
        <w:kinsoku/>
        <w:wordWrap/>
        <w:overflowPunct/>
        <w:topLinePunct w:val="0"/>
        <w:bidi w:val="0"/>
        <w:spacing w:before="0" w:after="0" w:line="560" w:lineRule="exact"/>
        <w:textAlignment w:val="auto"/>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default" w:ascii="仿宋_GB2312" w:hAnsi="仿宋_GB2312" w:eastAsia="仿宋_GB2312" w:cs="仿宋_GB2312"/>
          <w:b w:val="0"/>
          <w:bCs w:val="0"/>
          <w:color w:val="auto"/>
          <w:kern w:val="2"/>
          <w:sz w:val="32"/>
          <w:szCs w:val="32"/>
          <w:highlight w:val="none"/>
          <w:u w:val="none"/>
          <w:lang w:val="en-US" w:eastAsia="zh-CN" w:bidi="ar-SA"/>
        </w:rPr>
        <w:t>《城市污水再生利用景观环境用水水质》GB/T18921-2019</w:t>
      </w:r>
    </w:p>
    <w:p w14:paraId="3BD4A1B4">
      <w:pPr>
        <w:pStyle w:val="10"/>
        <w:spacing w:line="560" w:lineRule="exact"/>
        <w:ind w:firstLine="640" w:firstLineChars="200"/>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《地表水环境质量标准》GB3838-2002</w:t>
      </w:r>
    </w:p>
    <w:p w14:paraId="0D1BA3E0">
      <w:pPr>
        <w:pStyle w:val="10"/>
        <w:spacing w:line="560" w:lineRule="exact"/>
        <w:ind w:firstLine="640" w:firstLineChars="200"/>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《城镇污水处理厂污染物排放标准》GB18918-2002</w:t>
      </w:r>
    </w:p>
    <w:p w14:paraId="2F430B8F">
      <w:pPr>
        <w:pStyle w:val="10"/>
        <w:spacing w:line="560" w:lineRule="exact"/>
        <w:ind w:firstLine="640" w:firstLineChars="200"/>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《贵州省河道条例》</w:t>
      </w:r>
    </w:p>
    <w:p w14:paraId="6F14C7A6">
      <w:pPr>
        <w:pStyle w:val="10"/>
        <w:spacing w:line="560" w:lineRule="exact"/>
        <w:ind w:firstLine="640" w:firstLineChars="200"/>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《贵州省渔业条例》</w:t>
      </w:r>
    </w:p>
    <w:p w14:paraId="7A9CAB6D">
      <w:pPr>
        <w:pStyle w:val="10"/>
        <w:spacing w:line="560" w:lineRule="exact"/>
        <w:ind w:firstLine="640" w:firstLineChars="200"/>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《贵州省封闭水域水上交通安全管理办法》</w:t>
      </w:r>
    </w:p>
    <w:p w14:paraId="3872D097">
      <w:pPr>
        <w:pStyle w:val="10"/>
        <w:spacing w:line="560" w:lineRule="exact"/>
        <w:ind w:firstLine="640" w:firstLineChars="200"/>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《水利部水文司大江大河名录》</w:t>
      </w:r>
    </w:p>
    <w:p w14:paraId="12E48665">
      <w:pPr>
        <w:pStyle w:val="10"/>
        <w:spacing w:line="560" w:lineRule="exact"/>
        <w:ind w:firstLine="640" w:firstLineChars="200"/>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《水土保持规划编制规范》SL/T 335-2024</w:t>
      </w:r>
    </w:p>
    <w:p w14:paraId="560B635B">
      <w:pPr>
        <w:pStyle w:val="10"/>
        <w:spacing w:line="560" w:lineRule="exact"/>
        <w:ind w:firstLine="640" w:firstLineChars="200"/>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《城市古树名木养护和复壮工程技术规范》GB/T51168-2016</w:t>
      </w:r>
    </w:p>
    <w:p w14:paraId="73E1AEA6">
      <w:pPr>
        <w:pStyle w:val="10"/>
        <w:spacing w:line="560" w:lineRule="exact"/>
        <w:ind w:firstLine="640" w:firstLineChars="200"/>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《城市道路绿化设计标准》CJJ/T75-2023</w:t>
      </w:r>
    </w:p>
    <w:p w14:paraId="275C4EC3">
      <w:pPr>
        <w:pStyle w:val="10"/>
        <w:spacing w:line="560" w:lineRule="exact"/>
        <w:ind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《贵州省城镇园林绿化管护规范》DBJ52T107-2021</w:t>
      </w:r>
    </w:p>
    <w:p w14:paraId="1AF1A7BD">
      <w:pPr>
        <w:pStyle w:val="10"/>
        <w:spacing w:line="560" w:lineRule="exact"/>
        <w:ind w:left="958" w:leftChars="304" w:hanging="320" w:hangingChars="1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kern w:val="0"/>
          <w:sz w:val="32"/>
          <w:szCs w:val="32"/>
          <w:highlight w:val="none"/>
          <w:u w:val="none"/>
          <w:shd w:val="clear" w:fill="FFFFFF"/>
          <w:lang w:val="en-US" w:eastAsia="zh-CN" w:bidi="ar"/>
        </w:rPr>
        <w:t>《贵州省城镇园林绿化工程施工及验收规范》</w:t>
      </w:r>
      <w:r>
        <w:rPr>
          <w:rFonts w:hint="eastAsia" w:ascii="仿宋_GB2312" w:hAnsi="仿宋_GB2312" w:eastAsia="仿宋_GB2312" w:cs="仿宋_GB2312"/>
          <w:color w:val="auto"/>
          <w:sz w:val="32"/>
          <w:szCs w:val="32"/>
          <w:highlight w:val="none"/>
          <w:u w:val="none"/>
          <w:lang w:val="en-US" w:eastAsia="zh-CN"/>
        </w:rPr>
        <w:t>DBJ52T109-2021</w:t>
      </w:r>
    </w:p>
    <w:p w14:paraId="640C311B">
      <w:pPr>
        <w:pStyle w:val="22"/>
        <w:rPr>
          <w:rFonts w:hint="eastAsia"/>
          <w:color w:val="auto"/>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《口袋公园建设指南》（</w:t>
      </w:r>
      <w:r>
        <w:rPr>
          <w:rFonts w:hint="default" w:ascii="仿宋_GB2312" w:hAnsi="仿宋_GB2312" w:eastAsia="仿宋_GB2312" w:cs="仿宋_GB2312"/>
          <w:color w:val="auto"/>
          <w:sz w:val="32"/>
          <w:szCs w:val="32"/>
          <w:highlight w:val="none"/>
          <w:u w:val="none"/>
          <w:lang w:val="en-US" w:eastAsia="zh-CN"/>
        </w:rPr>
        <w:t>建</w:t>
      </w:r>
      <w:r>
        <w:rPr>
          <w:rFonts w:hint="eastAsia" w:ascii="仿宋_GB2312" w:hAnsi="仿宋_GB2312" w:eastAsia="仿宋_GB2312" w:cs="仿宋_GB2312"/>
          <w:color w:val="auto"/>
          <w:sz w:val="32"/>
          <w:szCs w:val="32"/>
          <w:highlight w:val="none"/>
          <w:u w:val="none"/>
          <w:lang w:val="en-US" w:eastAsia="zh-CN"/>
        </w:rPr>
        <w:t>办</w:t>
      </w:r>
      <w:r>
        <w:rPr>
          <w:rFonts w:hint="default" w:ascii="仿宋_GB2312" w:hAnsi="仿宋_GB2312" w:eastAsia="仿宋_GB2312" w:cs="仿宋_GB2312"/>
          <w:color w:val="auto"/>
          <w:sz w:val="32"/>
          <w:szCs w:val="32"/>
          <w:highlight w:val="none"/>
          <w:u w:val="none"/>
          <w:lang w:val="en-US" w:eastAsia="zh-CN"/>
        </w:rPr>
        <w:t>城</w:t>
      </w:r>
      <w:r>
        <w:rPr>
          <w:rFonts w:hint="eastAsia" w:ascii="仿宋_GB2312" w:hAnsi="仿宋_GB2312" w:eastAsia="仿宋_GB2312" w:cs="仿宋_GB2312"/>
          <w:color w:val="auto"/>
          <w:sz w:val="32"/>
          <w:szCs w:val="32"/>
          <w:highlight w:val="none"/>
          <w:u w:val="none"/>
          <w:lang w:val="en-US" w:eastAsia="zh-CN"/>
        </w:rPr>
        <w:t>函〔2024〕</w:t>
      </w:r>
      <w:r>
        <w:rPr>
          <w:rFonts w:hint="default" w:ascii="仿宋_GB2312" w:hAnsi="仿宋_GB2312" w:eastAsia="仿宋_GB2312" w:cs="仿宋_GB2312"/>
          <w:color w:val="auto"/>
          <w:sz w:val="32"/>
          <w:szCs w:val="32"/>
          <w:highlight w:val="none"/>
          <w:u w:val="none"/>
          <w:lang w:val="en-US" w:eastAsia="zh-CN"/>
        </w:rPr>
        <w:t>21</w:t>
      </w:r>
      <w:r>
        <w:rPr>
          <w:rFonts w:hint="eastAsia" w:ascii="仿宋_GB2312" w:hAnsi="仿宋_GB2312" w:eastAsia="仿宋_GB2312" w:cs="仿宋_GB2312"/>
          <w:color w:val="auto"/>
          <w:sz w:val="32"/>
          <w:szCs w:val="32"/>
          <w:highlight w:val="none"/>
          <w:u w:val="none"/>
          <w:lang w:val="en-US" w:eastAsia="zh-CN"/>
        </w:rPr>
        <w:t>4</w:t>
      </w:r>
      <w:r>
        <w:rPr>
          <w:rFonts w:hint="default" w:ascii="仿宋_GB2312" w:hAnsi="仿宋_GB2312" w:eastAsia="仿宋_GB2312" w:cs="仿宋_GB2312"/>
          <w:color w:val="auto"/>
          <w:sz w:val="32"/>
          <w:szCs w:val="32"/>
          <w:highlight w:val="none"/>
          <w:u w:val="none"/>
          <w:lang w:val="en-US" w:eastAsia="zh-CN"/>
        </w:rPr>
        <w:t>号</w:t>
      </w:r>
      <w:r>
        <w:rPr>
          <w:rFonts w:hint="eastAsia" w:ascii="仿宋_GB2312" w:hAnsi="仿宋_GB2312" w:eastAsia="仿宋_GB2312" w:cs="仿宋_GB2312"/>
          <w:color w:val="auto"/>
          <w:sz w:val="32"/>
          <w:szCs w:val="32"/>
          <w:highlight w:val="none"/>
          <w:u w:val="none"/>
          <w:lang w:val="en-US" w:eastAsia="zh-CN"/>
        </w:rPr>
        <w:t>）</w:t>
      </w:r>
    </w:p>
    <w:p w14:paraId="53C7733D">
      <w:pPr>
        <w:pStyle w:val="10"/>
        <w:spacing w:line="560" w:lineRule="exact"/>
        <w:ind w:firstLine="640" w:firstLineChars="200"/>
        <w:rPr>
          <w:rFonts w:hint="default"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其他：</w:t>
      </w:r>
    </w:p>
    <w:p w14:paraId="7E4290C4">
      <w:pPr>
        <w:pStyle w:val="10"/>
        <w:spacing w:line="560" w:lineRule="exact"/>
        <w:ind w:firstLine="640" w:firstLineChars="200"/>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《贵州省停车场管理办法》</w:t>
      </w:r>
    </w:p>
    <w:p w14:paraId="4E51B4EB">
      <w:pPr>
        <w:pStyle w:val="10"/>
        <w:spacing w:line="560" w:lineRule="exact"/>
        <w:ind w:firstLine="640" w:firstLineChars="200"/>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《贵阳市停车场条例》</w:t>
      </w:r>
    </w:p>
    <w:p w14:paraId="34900220">
      <w:pPr>
        <w:pStyle w:val="22"/>
        <w:keepNext w:val="0"/>
        <w:keepLines w:val="0"/>
        <w:pageBreakBefore w:val="0"/>
        <w:widowControl w:val="0"/>
        <w:kinsoku/>
        <w:wordWrap/>
        <w:overflowPunct/>
        <w:topLinePunct w:val="0"/>
        <w:bidi w:val="0"/>
        <w:spacing w:before="0" w:after="0" w:line="560" w:lineRule="exact"/>
        <w:ind w:left="0" w:leftChars="0" w:firstLine="640" w:firstLineChars="200"/>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《道路交通标志和标线》</w:t>
      </w:r>
      <w:r>
        <w:rPr>
          <w:rFonts w:hint="eastAsia" w:ascii="仿宋_GB2312" w:hAnsi="仿宋_GB2312" w:eastAsia="仿宋_GB2312" w:cs="仿宋_GB2312"/>
          <w:color w:val="auto"/>
          <w:kern w:val="0"/>
          <w:sz w:val="32"/>
          <w:szCs w:val="32"/>
          <w:highlight w:val="none"/>
          <w:u w:val="none"/>
          <w:lang w:val="en-US" w:eastAsia="zh-CN" w:bidi="ar"/>
        </w:rPr>
        <w:t>(</w:t>
      </w:r>
      <w:r>
        <w:rPr>
          <w:rFonts w:hint="default" w:ascii="仿宋_GB2312" w:hAnsi="仿宋_GB2312" w:eastAsia="仿宋_GB2312" w:cs="仿宋_GB2312"/>
          <w:color w:val="auto"/>
          <w:kern w:val="0"/>
          <w:sz w:val="32"/>
          <w:szCs w:val="32"/>
          <w:highlight w:val="none"/>
          <w:u w:val="none"/>
          <w:lang w:val="en-US" w:eastAsia="zh-CN" w:bidi="ar"/>
        </w:rPr>
        <w:t>GB5768</w:t>
      </w:r>
      <w:r>
        <w:rPr>
          <w:rFonts w:hint="eastAsia" w:ascii="仿宋_GB2312" w:hAnsi="仿宋_GB2312" w:eastAsia="仿宋_GB2312" w:cs="仿宋_GB2312"/>
          <w:color w:val="auto"/>
          <w:kern w:val="0"/>
          <w:sz w:val="32"/>
          <w:szCs w:val="32"/>
          <w:highlight w:val="none"/>
          <w:u w:val="none"/>
          <w:lang w:val="en-US" w:eastAsia="zh-CN" w:bidi="ar"/>
        </w:rPr>
        <w:t>)</w:t>
      </w:r>
    </w:p>
    <w:p w14:paraId="379B9910">
      <w:pPr>
        <w:pStyle w:val="22"/>
        <w:keepNext w:val="0"/>
        <w:keepLines w:val="0"/>
        <w:pageBreakBefore w:val="0"/>
        <w:widowControl w:val="0"/>
        <w:kinsoku/>
        <w:wordWrap/>
        <w:overflowPunct/>
        <w:topLinePunct w:val="0"/>
        <w:bidi w:val="0"/>
        <w:spacing w:before="0" w:after="0" w:line="560" w:lineRule="exact"/>
        <w:ind w:left="0" w:leftChars="0" w:firstLine="640" w:firstLineChars="200"/>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eastAsia" w:ascii="仿宋_GB2312" w:hAnsi="仿宋_GB2312" w:eastAsia="仿宋_GB2312" w:cs="仿宋_GB2312"/>
          <w:color w:val="auto"/>
          <w:kern w:val="0"/>
          <w:sz w:val="32"/>
          <w:szCs w:val="32"/>
          <w:highlight w:val="none"/>
          <w:u w:val="none"/>
          <w:lang w:val="en-US" w:eastAsia="zh-CN" w:bidi="ar"/>
        </w:rPr>
        <w:t>《城市道路交通标志和标线设置规范》（GB51038-2015）</w:t>
      </w:r>
    </w:p>
    <w:p w14:paraId="3D3AB790">
      <w:pPr>
        <w:pStyle w:val="22"/>
        <w:keepNext w:val="0"/>
        <w:keepLines w:val="0"/>
        <w:pageBreakBefore w:val="0"/>
        <w:widowControl w:val="0"/>
        <w:kinsoku/>
        <w:wordWrap/>
        <w:overflowPunct/>
        <w:topLinePunct w:val="0"/>
        <w:bidi w:val="0"/>
        <w:spacing w:before="0" w:after="0" w:line="560" w:lineRule="exact"/>
        <w:ind w:left="0" w:leftChars="0" w:firstLine="640" w:firstLineChars="200"/>
        <w:textAlignment w:val="auto"/>
        <w:rPr>
          <w:rFonts w:hint="eastAsia" w:ascii="仿宋_GB2312" w:hAnsi="仿宋_GB2312" w:eastAsia="仿宋_GB2312" w:cs="仿宋_GB2312"/>
          <w:color w:val="auto"/>
          <w:kern w:val="0"/>
          <w:sz w:val="32"/>
          <w:szCs w:val="32"/>
          <w:highlight w:val="none"/>
          <w:u w:val="none"/>
          <w:lang w:val="en-US" w:eastAsia="zh-CN" w:bidi="ar"/>
        </w:rPr>
      </w:pPr>
      <w:r>
        <w:rPr>
          <w:rFonts w:hint="default" w:ascii="仿宋_GB2312" w:hAnsi="仿宋_GB2312" w:eastAsia="仿宋_GB2312" w:cs="仿宋_GB2312"/>
          <w:color w:val="auto"/>
          <w:kern w:val="0"/>
          <w:sz w:val="32"/>
          <w:szCs w:val="32"/>
          <w:highlight w:val="none"/>
          <w:u w:val="none"/>
          <w:lang w:val="en-US" w:eastAsia="zh-CN" w:bidi="ar"/>
        </w:rPr>
        <w:t>《</w:t>
      </w:r>
      <w:r>
        <w:rPr>
          <w:rFonts w:hint="eastAsia" w:ascii="仿宋_GB2312" w:hAnsi="仿宋_GB2312" w:eastAsia="仿宋_GB2312" w:cs="仿宋_GB2312"/>
          <w:color w:val="auto"/>
          <w:kern w:val="0"/>
          <w:sz w:val="32"/>
          <w:szCs w:val="32"/>
          <w:highlight w:val="none"/>
          <w:u w:val="none"/>
          <w:lang w:val="en-US" w:eastAsia="zh-CN" w:bidi="ar"/>
        </w:rPr>
        <w:t>道路交通信号灯设置与安装规范》（GB14886）</w:t>
      </w:r>
    </w:p>
    <w:p w14:paraId="090E383A">
      <w:pPr>
        <w:pStyle w:val="22"/>
        <w:keepNext w:val="0"/>
        <w:keepLines w:val="0"/>
        <w:pageBreakBefore w:val="0"/>
        <w:widowControl w:val="0"/>
        <w:kinsoku/>
        <w:wordWrap/>
        <w:overflowPunct/>
        <w:topLinePunct w:val="0"/>
        <w:bidi w:val="0"/>
        <w:spacing w:before="0" w:after="0" w:line="560" w:lineRule="exact"/>
        <w:ind w:left="0" w:leftChars="0" w:firstLine="640" w:firstLineChars="200"/>
        <w:textAlignment w:val="auto"/>
        <w:rPr>
          <w:rFonts w:hint="eastAsia"/>
          <w:color w:val="auto"/>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bidi="ar"/>
        </w:rPr>
        <w:t>《城市道路交通隔离栏设置指南》（GA/T1567）</w:t>
      </w:r>
    </w:p>
    <w:p w14:paraId="7AC6DD9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《城市道路工程涉及规范》CJJ37-2012</w:t>
      </w:r>
    </w:p>
    <w:p w14:paraId="69888026">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《贵阳市停车场（库）信息系统建设规范》DB5201T124-2022</w:t>
      </w:r>
    </w:p>
    <w:p w14:paraId="2F6BA31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《贵阳市停车场（库）交通设施设置规范》DB5201T125-2022</w:t>
      </w:r>
    </w:p>
    <w:p w14:paraId="71C9E0C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《城市公共交通条例》</w:t>
      </w:r>
    </w:p>
    <w:p w14:paraId="4BB2134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《城市公共汽车和电车客运管理规定》</w:t>
      </w:r>
    </w:p>
    <w:p w14:paraId="0EB0A80D">
      <w:pPr>
        <w:pStyle w:val="14"/>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《城市轨道交通客运组织与服务管理办法》</w:t>
      </w:r>
    </w:p>
    <w:p w14:paraId="6B01A4ED">
      <w:pPr>
        <w:rPr>
          <w:rFonts w:hint="eastAsia" w:ascii="仿宋_GB2312" w:hAnsi="仿宋_GB2312" w:eastAsia="仿宋_GB2312" w:cs="仿宋_GB2312"/>
          <w:color w:val="auto"/>
          <w:sz w:val="32"/>
          <w:szCs w:val="32"/>
          <w:highlight w:val="none"/>
          <w:lang w:val="en-US" w:eastAsia="zh-CN"/>
        </w:rPr>
      </w:pPr>
    </w:p>
    <w:sectPr>
      <w:pgSz w:w="11906" w:h="16838"/>
      <w:pgMar w:top="2098" w:right="1474" w:bottom="1984" w:left="1587" w:header="851" w:footer="1417"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263DC08-E760-4A78-9480-C9537743BB80}"/>
  </w:font>
  <w:font w:name="黑体">
    <w:panose1 w:val="02010609060101010101"/>
    <w:charset w:val="86"/>
    <w:family w:val="auto"/>
    <w:pitch w:val="default"/>
    <w:sig w:usb0="800002BF" w:usb1="38CF7CFA" w:usb2="00000016" w:usb3="00000000" w:csb0="00040001" w:csb1="00000000"/>
    <w:embedRegular r:id="rId2" w:fontKey="{6194296C-0B4E-4E7D-922E-F433E658EDB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F068B8D-4A6E-45A0-8B62-EA0AD2757F9B}"/>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embedRegular r:id="rId4" w:fontKey="{58880A34-02C8-4B29-AF36-0B0E93C26FA1}"/>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5" w:fontKey="{9A8BDB3C-B6BD-4CA7-953A-ECF00EDB3B2B}"/>
  </w:font>
  <w:font w:name="楷体_GB2312">
    <w:altName w:val="楷体"/>
    <w:panose1 w:val="02010609030101010101"/>
    <w:charset w:val="86"/>
    <w:family w:val="auto"/>
    <w:pitch w:val="default"/>
    <w:sig w:usb0="00000000" w:usb1="00000000" w:usb2="00000000" w:usb3="00000000" w:csb0="00040000" w:csb1="00000000"/>
    <w:embedRegular r:id="rId6" w:fontKey="{08749190-78D4-43CA-A401-965AC67CD0CD}"/>
  </w:font>
  <w:font w:name="微软雅黑">
    <w:panose1 w:val="020B0503020204020204"/>
    <w:charset w:val="86"/>
    <w:family w:val="auto"/>
    <w:pitch w:val="default"/>
    <w:sig w:usb0="80000287" w:usb1="2ACF3C50" w:usb2="00000016" w:usb3="00000000" w:csb0="0004001F" w:csb1="00000000"/>
    <w:embedRegular r:id="rId7" w:fontKey="{5D61DFA1-8EA9-4294-8913-E5350AF4C716}"/>
  </w:font>
  <w:font w:name="仿宋">
    <w:panose1 w:val="02010609060101010101"/>
    <w:charset w:val="86"/>
    <w:family w:val="auto"/>
    <w:pitch w:val="default"/>
    <w:sig w:usb0="800002BF" w:usb1="38CF7CFA" w:usb2="00000016" w:usb3="00000000" w:csb0="00040001" w:csb1="00000000"/>
    <w:embedRegular r:id="rId8" w:fontKey="{A46F4B54-BC8E-4410-8F7F-C904C9446E31}"/>
  </w:font>
  <w:font w:name="Segoe UI">
    <w:panose1 w:val="020B0502040204020203"/>
    <w:charset w:val="00"/>
    <w:family w:val="auto"/>
    <w:pitch w:val="default"/>
    <w:sig w:usb0="E4002EFF" w:usb1="C000E47F" w:usb2="00000009" w:usb3="00000000" w:csb0="200001FF" w:csb1="00000000"/>
    <w:embedRegular r:id="rId9" w:fontKey="{63C72E07-3217-45DE-BD67-054827FFEC08}"/>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9D39B">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22E7F">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5022E7F">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11BD9">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47F46">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3447F46">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26AFE7"/>
    <w:multiLevelType w:val="singleLevel"/>
    <w:tmpl w:val="8C26AFE7"/>
    <w:lvl w:ilvl="0" w:tentative="0">
      <w:start w:val="1"/>
      <w:numFmt w:val="decimal"/>
      <w:lvlText w:val="%1."/>
      <w:lvlJc w:val="left"/>
      <w:pPr>
        <w:ind w:left="420" w:leftChars="0" w:hanging="420" w:firstLineChars="0"/>
      </w:pPr>
      <w:rPr>
        <w:rFonts w:hint="default"/>
      </w:rPr>
    </w:lvl>
  </w:abstractNum>
  <w:abstractNum w:abstractNumId="1">
    <w:nsid w:val="9902CE50"/>
    <w:multiLevelType w:val="singleLevel"/>
    <w:tmpl w:val="9902CE50"/>
    <w:lvl w:ilvl="0" w:tentative="0">
      <w:start w:val="1"/>
      <w:numFmt w:val="decimal"/>
      <w:suff w:val="nothing"/>
      <w:lvlText w:val="%1."/>
      <w:lvlJc w:val="left"/>
      <w:pPr>
        <w:ind w:left="635" w:hanging="425"/>
      </w:pPr>
      <w:rPr>
        <w:rFonts w:hint="default"/>
      </w:rPr>
    </w:lvl>
  </w:abstractNum>
  <w:abstractNum w:abstractNumId="2">
    <w:nsid w:val="B412DFBF"/>
    <w:multiLevelType w:val="singleLevel"/>
    <w:tmpl w:val="B412DFBF"/>
    <w:lvl w:ilvl="0" w:tentative="0">
      <w:start w:val="1"/>
      <w:numFmt w:val="decimal"/>
      <w:suff w:val="nothing"/>
      <w:lvlText w:val="%1."/>
      <w:lvlJc w:val="left"/>
      <w:pPr>
        <w:ind w:left="635" w:hanging="425"/>
      </w:pPr>
      <w:rPr>
        <w:rFonts w:hint="default"/>
      </w:rPr>
    </w:lvl>
  </w:abstractNum>
  <w:abstractNum w:abstractNumId="3">
    <w:nsid w:val="D065D4B8"/>
    <w:multiLevelType w:val="singleLevel"/>
    <w:tmpl w:val="D065D4B8"/>
    <w:lvl w:ilvl="0" w:tentative="0">
      <w:start w:val="1"/>
      <w:numFmt w:val="decimal"/>
      <w:suff w:val="nothing"/>
      <w:lvlText w:val="%1."/>
      <w:lvlJc w:val="left"/>
      <w:pPr>
        <w:ind w:left="635" w:hanging="425"/>
      </w:pPr>
      <w:rPr>
        <w:rFonts w:hint="default"/>
      </w:rPr>
    </w:lvl>
  </w:abstractNum>
  <w:abstractNum w:abstractNumId="4">
    <w:nsid w:val="E009FDB8"/>
    <w:multiLevelType w:val="singleLevel"/>
    <w:tmpl w:val="E009FDB8"/>
    <w:lvl w:ilvl="0" w:tentative="0">
      <w:start w:val="1"/>
      <w:numFmt w:val="decimal"/>
      <w:suff w:val="nothing"/>
      <w:lvlText w:val="%1."/>
      <w:lvlJc w:val="left"/>
      <w:pPr>
        <w:ind w:left="635" w:hanging="425"/>
      </w:pPr>
      <w:rPr>
        <w:rFonts w:hint="default"/>
      </w:rPr>
    </w:lvl>
  </w:abstractNum>
  <w:abstractNum w:abstractNumId="5">
    <w:nsid w:val="E6287B31"/>
    <w:multiLevelType w:val="singleLevel"/>
    <w:tmpl w:val="E6287B31"/>
    <w:lvl w:ilvl="0" w:tentative="0">
      <w:start w:val="1"/>
      <w:numFmt w:val="decimal"/>
      <w:lvlText w:val="%1."/>
      <w:lvlJc w:val="left"/>
      <w:pPr>
        <w:ind w:left="-9" w:leftChars="0" w:hanging="380" w:firstLineChars="0"/>
      </w:pPr>
      <w:rPr>
        <w:rFonts w:hint="default"/>
      </w:rPr>
    </w:lvl>
  </w:abstractNum>
  <w:abstractNum w:abstractNumId="6">
    <w:nsid w:val="E67F3131"/>
    <w:multiLevelType w:val="singleLevel"/>
    <w:tmpl w:val="E67F3131"/>
    <w:lvl w:ilvl="0" w:tentative="0">
      <w:start w:val="1"/>
      <w:numFmt w:val="decimal"/>
      <w:lvlText w:val="%1."/>
      <w:lvlJc w:val="left"/>
      <w:pPr>
        <w:ind w:left="415" w:hanging="425"/>
      </w:pPr>
      <w:rPr>
        <w:rFonts w:hint="default"/>
      </w:rPr>
    </w:lvl>
  </w:abstractNum>
  <w:abstractNum w:abstractNumId="7">
    <w:nsid w:val="07B6C800"/>
    <w:multiLevelType w:val="singleLevel"/>
    <w:tmpl w:val="07B6C800"/>
    <w:lvl w:ilvl="0" w:tentative="0">
      <w:start w:val="1"/>
      <w:numFmt w:val="decimal"/>
      <w:suff w:val="nothing"/>
      <w:lvlText w:val="%1."/>
      <w:lvlJc w:val="left"/>
      <w:pPr>
        <w:ind w:left="1055" w:hanging="425"/>
      </w:pPr>
      <w:rPr>
        <w:rFonts w:hint="default"/>
      </w:rPr>
    </w:lvl>
  </w:abstractNum>
  <w:abstractNum w:abstractNumId="8">
    <w:nsid w:val="45E84061"/>
    <w:multiLevelType w:val="singleLevel"/>
    <w:tmpl w:val="45E84061"/>
    <w:lvl w:ilvl="0" w:tentative="0">
      <w:start w:val="1"/>
      <w:numFmt w:val="decimal"/>
      <w:lvlText w:val="%1."/>
      <w:lvlJc w:val="left"/>
      <w:pPr>
        <w:ind w:left="425" w:hanging="425"/>
      </w:pPr>
      <w:rPr>
        <w:rFonts w:hint="default"/>
      </w:rPr>
    </w:lvl>
  </w:abstractNum>
  <w:abstractNum w:abstractNumId="9">
    <w:nsid w:val="50048A3B"/>
    <w:multiLevelType w:val="singleLevel"/>
    <w:tmpl w:val="50048A3B"/>
    <w:lvl w:ilvl="0" w:tentative="0">
      <w:start w:val="1"/>
      <w:numFmt w:val="decimal"/>
      <w:suff w:val="nothing"/>
      <w:lvlText w:val="%1."/>
      <w:lvlJc w:val="left"/>
      <w:pPr>
        <w:ind w:left="635" w:hanging="425"/>
      </w:pPr>
      <w:rPr>
        <w:rFonts w:hint="default"/>
      </w:rPr>
    </w:lvl>
  </w:abstractNum>
  <w:abstractNum w:abstractNumId="10">
    <w:nsid w:val="51C066A6"/>
    <w:multiLevelType w:val="singleLevel"/>
    <w:tmpl w:val="51C066A6"/>
    <w:lvl w:ilvl="0" w:tentative="0">
      <w:start w:val="1"/>
      <w:numFmt w:val="decimal"/>
      <w:lvlText w:val="%1."/>
      <w:lvlJc w:val="left"/>
      <w:pPr>
        <w:ind w:left="1010" w:leftChars="0" w:hanging="380" w:firstLineChars="0"/>
      </w:pPr>
      <w:rPr>
        <w:rFonts w:hint="default"/>
      </w:rPr>
    </w:lvl>
  </w:abstractNum>
  <w:abstractNum w:abstractNumId="11">
    <w:nsid w:val="57115E4F"/>
    <w:multiLevelType w:val="singleLevel"/>
    <w:tmpl w:val="57115E4F"/>
    <w:lvl w:ilvl="0" w:tentative="0">
      <w:start w:val="1"/>
      <w:numFmt w:val="decimal"/>
      <w:suff w:val="nothing"/>
      <w:lvlText w:val="%1."/>
      <w:lvlJc w:val="left"/>
      <w:pPr>
        <w:ind w:left="845" w:hanging="425"/>
      </w:pPr>
      <w:rPr>
        <w:rFonts w:hint="default"/>
      </w:rPr>
    </w:lvl>
  </w:abstractNum>
  <w:abstractNum w:abstractNumId="12">
    <w:nsid w:val="5786A6B8"/>
    <w:multiLevelType w:val="singleLevel"/>
    <w:tmpl w:val="5786A6B8"/>
    <w:lvl w:ilvl="0" w:tentative="0">
      <w:start w:val="1"/>
      <w:numFmt w:val="decimal"/>
      <w:suff w:val="nothing"/>
      <w:lvlText w:val="%1."/>
      <w:lvlJc w:val="left"/>
      <w:pPr>
        <w:ind w:left="1055" w:hanging="425"/>
      </w:pPr>
      <w:rPr>
        <w:rFonts w:hint="default"/>
      </w:rPr>
    </w:lvl>
  </w:abstractNum>
  <w:abstractNum w:abstractNumId="13">
    <w:nsid w:val="7C75951A"/>
    <w:multiLevelType w:val="singleLevel"/>
    <w:tmpl w:val="7C75951A"/>
    <w:lvl w:ilvl="0" w:tentative="0">
      <w:start w:val="1"/>
      <w:numFmt w:val="decimal"/>
      <w:lvlText w:val="%1."/>
      <w:lvlJc w:val="left"/>
      <w:pPr>
        <w:ind w:left="-9" w:leftChars="0" w:hanging="380" w:firstLineChars="0"/>
      </w:pPr>
      <w:rPr>
        <w:rFonts w:hint="default"/>
      </w:rPr>
    </w:lvl>
  </w:abstractNum>
  <w:num w:numId="1">
    <w:abstractNumId w:val="12"/>
  </w:num>
  <w:num w:numId="2">
    <w:abstractNumId w:val="7"/>
  </w:num>
  <w:num w:numId="3">
    <w:abstractNumId w:val="3"/>
  </w:num>
  <w:num w:numId="4">
    <w:abstractNumId w:val="2"/>
  </w:num>
  <w:num w:numId="5">
    <w:abstractNumId w:val="11"/>
  </w:num>
  <w:num w:numId="6">
    <w:abstractNumId w:val="1"/>
  </w:num>
  <w:num w:numId="7">
    <w:abstractNumId w:val="9"/>
  </w:num>
  <w:num w:numId="8">
    <w:abstractNumId w:val="4"/>
  </w:num>
  <w:num w:numId="9">
    <w:abstractNumId w:val="6"/>
  </w:num>
  <w:num w:numId="10">
    <w:abstractNumId w:val="8"/>
  </w:num>
  <w:num w:numId="11">
    <w:abstractNumId w:val="0"/>
  </w:num>
  <w:num w:numId="12">
    <w:abstractNumId w:val="13"/>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4N2ZjMzViZjk0MmE3NzgzZjE3ZjYxMmYzMDVkOWEifQ=="/>
  </w:docVars>
  <w:rsids>
    <w:rsidRoot w:val="00172A27"/>
    <w:rsid w:val="00041E63"/>
    <w:rsid w:val="00135135"/>
    <w:rsid w:val="008C1848"/>
    <w:rsid w:val="00AA338F"/>
    <w:rsid w:val="00F036C9"/>
    <w:rsid w:val="016731DD"/>
    <w:rsid w:val="018750D4"/>
    <w:rsid w:val="022D7EEF"/>
    <w:rsid w:val="024236C1"/>
    <w:rsid w:val="02477318"/>
    <w:rsid w:val="029B473F"/>
    <w:rsid w:val="02BB7F52"/>
    <w:rsid w:val="03242113"/>
    <w:rsid w:val="03505229"/>
    <w:rsid w:val="0422224B"/>
    <w:rsid w:val="04BD1B14"/>
    <w:rsid w:val="04D22367"/>
    <w:rsid w:val="05616943"/>
    <w:rsid w:val="057C43B7"/>
    <w:rsid w:val="061A6BAB"/>
    <w:rsid w:val="06385A43"/>
    <w:rsid w:val="06C673A5"/>
    <w:rsid w:val="06FF6401"/>
    <w:rsid w:val="073F6F5B"/>
    <w:rsid w:val="07EF5809"/>
    <w:rsid w:val="07F67816"/>
    <w:rsid w:val="07FF618A"/>
    <w:rsid w:val="08836BD0"/>
    <w:rsid w:val="08A74FB5"/>
    <w:rsid w:val="08A90D2D"/>
    <w:rsid w:val="08CB1D92"/>
    <w:rsid w:val="08D935A1"/>
    <w:rsid w:val="091635F1"/>
    <w:rsid w:val="09166F09"/>
    <w:rsid w:val="095C42F6"/>
    <w:rsid w:val="09886582"/>
    <w:rsid w:val="0A785AB4"/>
    <w:rsid w:val="0A850A09"/>
    <w:rsid w:val="0AAF6639"/>
    <w:rsid w:val="0AB970DA"/>
    <w:rsid w:val="0BAD643E"/>
    <w:rsid w:val="0C570BFD"/>
    <w:rsid w:val="0C72775D"/>
    <w:rsid w:val="0C892117"/>
    <w:rsid w:val="0CAB3E4B"/>
    <w:rsid w:val="0D9B7981"/>
    <w:rsid w:val="0DA4444E"/>
    <w:rsid w:val="0E211C32"/>
    <w:rsid w:val="0E301CE8"/>
    <w:rsid w:val="0E8D6EDD"/>
    <w:rsid w:val="0E9C452B"/>
    <w:rsid w:val="0EAA75B1"/>
    <w:rsid w:val="0EAC66EA"/>
    <w:rsid w:val="0EB14497"/>
    <w:rsid w:val="0EFE3455"/>
    <w:rsid w:val="0F1F3AF7"/>
    <w:rsid w:val="0F4B4B2C"/>
    <w:rsid w:val="0FBB54F4"/>
    <w:rsid w:val="0FD23A66"/>
    <w:rsid w:val="0FEB3FB9"/>
    <w:rsid w:val="102631A0"/>
    <w:rsid w:val="10BB784F"/>
    <w:rsid w:val="11276C93"/>
    <w:rsid w:val="112C0022"/>
    <w:rsid w:val="123F625E"/>
    <w:rsid w:val="1266144C"/>
    <w:rsid w:val="12746441"/>
    <w:rsid w:val="12780400"/>
    <w:rsid w:val="129D1894"/>
    <w:rsid w:val="12A63A7D"/>
    <w:rsid w:val="12C03990"/>
    <w:rsid w:val="12C42121"/>
    <w:rsid w:val="13615C6C"/>
    <w:rsid w:val="13761EAE"/>
    <w:rsid w:val="139129A8"/>
    <w:rsid w:val="13BD7BFE"/>
    <w:rsid w:val="140B3F47"/>
    <w:rsid w:val="14246C30"/>
    <w:rsid w:val="144731A8"/>
    <w:rsid w:val="14BF0B88"/>
    <w:rsid w:val="14D20C07"/>
    <w:rsid w:val="14E844ED"/>
    <w:rsid w:val="14F61151"/>
    <w:rsid w:val="158C2634"/>
    <w:rsid w:val="15E264F9"/>
    <w:rsid w:val="16591D98"/>
    <w:rsid w:val="16870F53"/>
    <w:rsid w:val="170503B5"/>
    <w:rsid w:val="170717EA"/>
    <w:rsid w:val="17514A69"/>
    <w:rsid w:val="18470FD9"/>
    <w:rsid w:val="18BD7EDC"/>
    <w:rsid w:val="19337AF8"/>
    <w:rsid w:val="1A1670E6"/>
    <w:rsid w:val="1A9F313B"/>
    <w:rsid w:val="1B3D724B"/>
    <w:rsid w:val="1B60161C"/>
    <w:rsid w:val="1C307FDC"/>
    <w:rsid w:val="1C74400E"/>
    <w:rsid w:val="1C7D718E"/>
    <w:rsid w:val="1C8773DE"/>
    <w:rsid w:val="1CD777BF"/>
    <w:rsid w:val="1D052F29"/>
    <w:rsid w:val="1D344C11"/>
    <w:rsid w:val="1D354183"/>
    <w:rsid w:val="1D765A20"/>
    <w:rsid w:val="1D9E1FD4"/>
    <w:rsid w:val="1E43073E"/>
    <w:rsid w:val="1E607CC8"/>
    <w:rsid w:val="1E677A57"/>
    <w:rsid w:val="1ECB441C"/>
    <w:rsid w:val="1ED12529"/>
    <w:rsid w:val="1F15637C"/>
    <w:rsid w:val="1F21346C"/>
    <w:rsid w:val="1F3C09C0"/>
    <w:rsid w:val="1F8C6A82"/>
    <w:rsid w:val="1FA542BE"/>
    <w:rsid w:val="1FAA11BB"/>
    <w:rsid w:val="1FE168F0"/>
    <w:rsid w:val="20047F3A"/>
    <w:rsid w:val="20955704"/>
    <w:rsid w:val="20F41793"/>
    <w:rsid w:val="2123408C"/>
    <w:rsid w:val="21643D27"/>
    <w:rsid w:val="21A713AA"/>
    <w:rsid w:val="21F100C4"/>
    <w:rsid w:val="22190CE8"/>
    <w:rsid w:val="22C32593"/>
    <w:rsid w:val="22D95CAD"/>
    <w:rsid w:val="230942F2"/>
    <w:rsid w:val="230C616A"/>
    <w:rsid w:val="23C95987"/>
    <w:rsid w:val="246266BF"/>
    <w:rsid w:val="24AA3D15"/>
    <w:rsid w:val="24DC492A"/>
    <w:rsid w:val="2549036D"/>
    <w:rsid w:val="25BF5294"/>
    <w:rsid w:val="262D48F3"/>
    <w:rsid w:val="26536E6E"/>
    <w:rsid w:val="26656337"/>
    <w:rsid w:val="27193DD0"/>
    <w:rsid w:val="273E1940"/>
    <w:rsid w:val="276343C3"/>
    <w:rsid w:val="27E50448"/>
    <w:rsid w:val="28277120"/>
    <w:rsid w:val="284C2692"/>
    <w:rsid w:val="28784BFA"/>
    <w:rsid w:val="28E463EA"/>
    <w:rsid w:val="29424EDD"/>
    <w:rsid w:val="2979652A"/>
    <w:rsid w:val="29CF276E"/>
    <w:rsid w:val="29F279E1"/>
    <w:rsid w:val="29F47DD0"/>
    <w:rsid w:val="2A826ADE"/>
    <w:rsid w:val="2A8F52C2"/>
    <w:rsid w:val="2AD3160A"/>
    <w:rsid w:val="2ADC2D19"/>
    <w:rsid w:val="2B131BC6"/>
    <w:rsid w:val="2C00554D"/>
    <w:rsid w:val="2C0C01DE"/>
    <w:rsid w:val="2C6F14EE"/>
    <w:rsid w:val="2C78619D"/>
    <w:rsid w:val="2CE926DC"/>
    <w:rsid w:val="2D8A5AFF"/>
    <w:rsid w:val="2E113EB6"/>
    <w:rsid w:val="2E4511F3"/>
    <w:rsid w:val="2E4D60BC"/>
    <w:rsid w:val="2EC4290F"/>
    <w:rsid w:val="2F176A19"/>
    <w:rsid w:val="2F863E24"/>
    <w:rsid w:val="2F9C161F"/>
    <w:rsid w:val="2FA02FA9"/>
    <w:rsid w:val="2FC07845"/>
    <w:rsid w:val="300264A9"/>
    <w:rsid w:val="301F091D"/>
    <w:rsid w:val="303C3BBD"/>
    <w:rsid w:val="307979DE"/>
    <w:rsid w:val="30FA4C39"/>
    <w:rsid w:val="31AF4A3A"/>
    <w:rsid w:val="31B667AF"/>
    <w:rsid w:val="31FD5849"/>
    <w:rsid w:val="32AD2B0C"/>
    <w:rsid w:val="337558F7"/>
    <w:rsid w:val="345103A1"/>
    <w:rsid w:val="347F2794"/>
    <w:rsid w:val="34A504E0"/>
    <w:rsid w:val="355C4B57"/>
    <w:rsid w:val="355F7EFA"/>
    <w:rsid w:val="35F965A0"/>
    <w:rsid w:val="364C2B74"/>
    <w:rsid w:val="365F540A"/>
    <w:rsid w:val="36605C8E"/>
    <w:rsid w:val="370D3D45"/>
    <w:rsid w:val="371231E8"/>
    <w:rsid w:val="38152673"/>
    <w:rsid w:val="38224D40"/>
    <w:rsid w:val="383B6EC1"/>
    <w:rsid w:val="388233F6"/>
    <w:rsid w:val="389B6D46"/>
    <w:rsid w:val="38C833D5"/>
    <w:rsid w:val="391C7B3B"/>
    <w:rsid w:val="391E3E98"/>
    <w:rsid w:val="39292516"/>
    <w:rsid w:val="3955268D"/>
    <w:rsid w:val="399118CF"/>
    <w:rsid w:val="39F94C2D"/>
    <w:rsid w:val="3A1430A0"/>
    <w:rsid w:val="3A992100"/>
    <w:rsid w:val="3AAB3A9A"/>
    <w:rsid w:val="3B801A3F"/>
    <w:rsid w:val="3BE3164C"/>
    <w:rsid w:val="3C0C7537"/>
    <w:rsid w:val="3C0F7B06"/>
    <w:rsid w:val="3C5A58BF"/>
    <w:rsid w:val="3C7234FB"/>
    <w:rsid w:val="3E081B68"/>
    <w:rsid w:val="3E5A7DF8"/>
    <w:rsid w:val="3F270238"/>
    <w:rsid w:val="3FB55213"/>
    <w:rsid w:val="3FBE34D2"/>
    <w:rsid w:val="3FE2313F"/>
    <w:rsid w:val="40355B97"/>
    <w:rsid w:val="407F10EA"/>
    <w:rsid w:val="408A1CCB"/>
    <w:rsid w:val="40A56901"/>
    <w:rsid w:val="40AC2A86"/>
    <w:rsid w:val="40BB2F43"/>
    <w:rsid w:val="415723CD"/>
    <w:rsid w:val="4203524B"/>
    <w:rsid w:val="4234018E"/>
    <w:rsid w:val="426B7359"/>
    <w:rsid w:val="429428DE"/>
    <w:rsid w:val="42967273"/>
    <w:rsid w:val="42A35210"/>
    <w:rsid w:val="42C50931"/>
    <w:rsid w:val="43014CE6"/>
    <w:rsid w:val="43232C66"/>
    <w:rsid w:val="4387343D"/>
    <w:rsid w:val="44C15A21"/>
    <w:rsid w:val="45735D61"/>
    <w:rsid w:val="46125A46"/>
    <w:rsid w:val="46C16C66"/>
    <w:rsid w:val="46DE0780"/>
    <w:rsid w:val="46E2098A"/>
    <w:rsid w:val="46ED3173"/>
    <w:rsid w:val="473016F6"/>
    <w:rsid w:val="481B604A"/>
    <w:rsid w:val="484206EC"/>
    <w:rsid w:val="48643D4D"/>
    <w:rsid w:val="48806AEF"/>
    <w:rsid w:val="48855A71"/>
    <w:rsid w:val="48857B02"/>
    <w:rsid w:val="48CC6262"/>
    <w:rsid w:val="48F33703"/>
    <w:rsid w:val="48F42983"/>
    <w:rsid w:val="4915109F"/>
    <w:rsid w:val="494B18A5"/>
    <w:rsid w:val="49561C2E"/>
    <w:rsid w:val="4A026F38"/>
    <w:rsid w:val="4A1B2EA4"/>
    <w:rsid w:val="4A3814BE"/>
    <w:rsid w:val="4ADB5E1D"/>
    <w:rsid w:val="4B3B24B9"/>
    <w:rsid w:val="4BB87F0C"/>
    <w:rsid w:val="4C2A23C1"/>
    <w:rsid w:val="4CB03465"/>
    <w:rsid w:val="4CBD1D79"/>
    <w:rsid w:val="4CC052CA"/>
    <w:rsid w:val="4CEB0AF3"/>
    <w:rsid w:val="4D18037F"/>
    <w:rsid w:val="4D587C26"/>
    <w:rsid w:val="4DAC25DD"/>
    <w:rsid w:val="4E3441C2"/>
    <w:rsid w:val="4FA76E82"/>
    <w:rsid w:val="4FAA3F1B"/>
    <w:rsid w:val="4FB3209D"/>
    <w:rsid w:val="4FB851EC"/>
    <w:rsid w:val="4FC43323"/>
    <w:rsid w:val="4FF63544"/>
    <w:rsid w:val="50175B49"/>
    <w:rsid w:val="502322A4"/>
    <w:rsid w:val="50260530"/>
    <w:rsid w:val="5032201C"/>
    <w:rsid w:val="503E1327"/>
    <w:rsid w:val="50414BBA"/>
    <w:rsid w:val="507117F6"/>
    <w:rsid w:val="50907841"/>
    <w:rsid w:val="50911545"/>
    <w:rsid w:val="50A5223E"/>
    <w:rsid w:val="50DB410A"/>
    <w:rsid w:val="517D1054"/>
    <w:rsid w:val="5196744F"/>
    <w:rsid w:val="51A33E68"/>
    <w:rsid w:val="524D13AE"/>
    <w:rsid w:val="5264494A"/>
    <w:rsid w:val="52844FD6"/>
    <w:rsid w:val="52A82A88"/>
    <w:rsid w:val="52AB4326"/>
    <w:rsid w:val="52AD50FC"/>
    <w:rsid w:val="535E4700"/>
    <w:rsid w:val="53721EB0"/>
    <w:rsid w:val="539D7C25"/>
    <w:rsid w:val="53DD2085"/>
    <w:rsid w:val="54216F96"/>
    <w:rsid w:val="54394F3D"/>
    <w:rsid w:val="547370C6"/>
    <w:rsid w:val="54AD7595"/>
    <w:rsid w:val="54E2127F"/>
    <w:rsid w:val="55047079"/>
    <w:rsid w:val="55A10186"/>
    <w:rsid w:val="55A1027C"/>
    <w:rsid w:val="5609552D"/>
    <w:rsid w:val="565A0E06"/>
    <w:rsid w:val="56FB1D20"/>
    <w:rsid w:val="5715646F"/>
    <w:rsid w:val="57671164"/>
    <w:rsid w:val="576A5486"/>
    <w:rsid w:val="576D604E"/>
    <w:rsid w:val="57AA1051"/>
    <w:rsid w:val="57B95BED"/>
    <w:rsid w:val="57C27A4A"/>
    <w:rsid w:val="58221542"/>
    <w:rsid w:val="58790B0E"/>
    <w:rsid w:val="59592152"/>
    <w:rsid w:val="596B7C0F"/>
    <w:rsid w:val="59967ADE"/>
    <w:rsid w:val="59FC47AA"/>
    <w:rsid w:val="5A5D684E"/>
    <w:rsid w:val="5A7A0666"/>
    <w:rsid w:val="5B037105"/>
    <w:rsid w:val="5B466280"/>
    <w:rsid w:val="5CE52559"/>
    <w:rsid w:val="5D647A40"/>
    <w:rsid w:val="5E333473"/>
    <w:rsid w:val="5E760115"/>
    <w:rsid w:val="5EA527F2"/>
    <w:rsid w:val="5EFA2293"/>
    <w:rsid w:val="5F38023A"/>
    <w:rsid w:val="5F3C5DBB"/>
    <w:rsid w:val="5F4416A6"/>
    <w:rsid w:val="5FF72914"/>
    <w:rsid w:val="607758C6"/>
    <w:rsid w:val="60787BDA"/>
    <w:rsid w:val="609B1E7E"/>
    <w:rsid w:val="60CC009E"/>
    <w:rsid w:val="60D32FFA"/>
    <w:rsid w:val="61624457"/>
    <w:rsid w:val="61791195"/>
    <w:rsid w:val="61A811DF"/>
    <w:rsid w:val="61B85EE1"/>
    <w:rsid w:val="620B185B"/>
    <w:rsid w:val="62301FAC"/>
    <w:rsid w:val="623709BC"/>
    <w:rsid w:val="62C04957"/>
    <w:rsid w:val="62F51D01"/>
    <w:rsid w:val="6374297A"/>
    <w:rsid w:val="63A24383"/>
    <w:rsid w:val="641A7B46"/>
    <w:rsid w:val="643378C4"/>
    <w:rsid w:val="643447E4"/>
    <w:rsid w:val="64787BDF"/>
    <w:rsid w:val="64B54635"/>
    <w:rsid w:val="64EC4A56"/>
    <w:rsid w:val="64F95AA1"/>
    <w:rsid w:val="650E37AA"/>
    <w:rsid w:val="661A1A97"/>
    <w:rsid w:val="665A7368"/>
    <w:rsid w:val="666D31B2"/>
    <w:rsid w:val="66714BC5"/>
    <w:rsid w:val="66742F55"/>
    <w:rsid w:val="66881244"/>
    <w:rsid w:val="669030F5"/>
    <w:rsid w:val="66E15801"/>
    <w:rsid w:val="66EF2D78"/>
    <w:rsid w:val="671309C0"/>
    <w:rsid w:val="67191B1C"/>
    <w:rsid w:val="672F3320"/>
    <w:rsid w:val="67EA1118"/>
    <w:rsid w:val="67FF5ED2"/>
    <w:rsid w:val="685532B6"/>
    <w:rsid w:val="685C7E46"/>
    <w:rsid w:val="6862350A"/>
    <w:rsid w:val="688B38FF"/>
    <w:rsid w:val="691B590A"/>
    <w:rsid w:val="6A06557C"/>
    <w:rsid w:val="6AAD394B"/>
    <w:rsid w:val="6B160A7F"/>
    <w:rsid w:val="6B56531F"/>
    <w:rsid w:val="6B7C2195"/>
    <w:rsid w:val="6C494E84"/>
    <w:rsid w:val="6C64581A"/>
    <w:rsid w:val="6D0A1681"/>
    <w:rsid w:val="6D1276A6"/>
    <w:rsid w:val="6D335E9B"/>
    <w:rsid w:val="6D704FB4"/>
    <w:rsid w:val="6D8A5754"/>
    <w:rsid w:val="6D9C64B2"/>
    <w:rsid w:val="6DFA6436"/>
    <w:rsid w:val="6E0F63E1"/>
    <w:rsid w:val="6E2F291C"/>
    <w:rsid w:val="6E67025A"/>
    <w:rsid w:val="6EB20ABF"/>
    <w:rsid w:val="6EDC7801"/>
    <w:rsid w:val="6F3157EB"/>
    <w:rsid w:val="6F521FE2"/>
    <w:rsid w:val="6FA865ED"/>
    <w:rsid w:val="6FAF6616"/>
    <w:rsid w:val="6FBC02BE"/>
    <w:rsid w:val="6FC514E5"/>
    <w:rsid w:val="700905CC"/>
    <w:rsid w:val="705A40AE"/>
    <w:rsid w:val="71411637"/>
    <w:rsid w:val="71F413EE"/>
    <w:rsid w:val="733817AF"/>
    <w:rsid w:val="7395275D"/>
    <w:rsid w:val="73A155A6"/>
    <w:rsid w:val="73AA7DBF"/>
    <w:rsid w:val="73F531FC"/>
    <w:rsid w:val="740F587F"/>
    <w:rsid w:val="7435685F"/>
    <w:rsid w:val="74737064"/>
    <w:rsid w:val="74AF5AA0"/>
    <w:rsid w:val="751A3A82"/>
    <w:rsid w:val="75357D54"/>
    <w:rsid w:val="75414E24"/>
    <w:rsid w:val="75596138"/>
    <w:rsid w:val="75BC5758"/>
    <w:rsid w:val="75CB06B8"/>
    <w:rsid w:val="75D119BB"/>
    <w:rsid w:val="761D4644"/>
    <w:rsid w:val="764A782F"/>
    <w:rsid w:val="765B7C8E"/>
    <w:rsid w:val="766528BB"/>
    <w:rsid w:val="76C43A85"/>
    <w:rsid w:val="76F73CBD"/>
    <w:rsid w:val="774C7C01"/>
    <w:rsid w:val="77FA662C"/>
    <w:rsid w:val="781400F4"/>
    <w:rsid w:val="78634636"/>
    <w:rsid w:val="79B7342D"/>
    <w:rsid w:val="7A086517"/>
    <w:rsid w:val="7A1F4327"/>
    <w:rsid w:val="7A85780E"/>
    <w:rsid w:val="7ACD0BC4"/>
    <w:rsid w:val="7ADE20E7"/>
    <w:rsid w:val="7B234AF2"/>
    <w:rsid w:val="7B3F5288"/>
    <w:rsid w:val="7B646616"/>
    <w:rsid w:val="7BBE7290"/>
    <w:rsid w:val="7C0A7761"/>
    <w:rsid w:val="7C7C32FE"/>
    <w:rsid w:val="7D11554A"/>
    <w:rsid w:val="7DBF13F6"/>
    <w:rsid w:val="7DFF3B4A"/>
    <w:rsid w:val="7E1626EC"/>
    <w:rsid w:val="7E7722A7"/>
    <w:rsid w:val="7E794B0E"/>
    <w:rsid w:val="7F1E6EF7"/>
    <w:rsid w:val="7FEEE15B"/>
    <w:rsid w:val="7FF6158C"/>
    <w:rsid w:val="8EBC1428"/>
    <w:rsid w:val="9FFB66ED"/>
    <w:rsid w:val="B7F23FD7"/>
    <w:rsid w:val="BDBF2A94"/>
    <w:rsid w:val="CB9E91FB"/>
    <w:rsid w:val="DDBE51EA"/>
    <w:rsid w:val="EFFEDDA4"/>
    <w:rsid w:val="FDB521E5"/>
    <w:rsid w:val="FDFEB130"/>
    <w:rsid w:val="FED8B84B"/>
    <w:rsid w:val="FF6E23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widowControl w:val="0"/>
      <w:spacing w:beforeLines="0" w:afterLines="0" w:line="560" w:lineRule="exact"/>
      <w:ind w:firstLine="1041" w:firstLineChars="200"/>
      <w:outlineLvl w:val="1"/>
    </w:pPr>
    <w:rPr>
      <w:rFonts w:ascii="Cambria" w:hAnsi="Cambria" w:eastAsia="仿宋_GB2312"/>
      <w:b/>
      <w:bCs/>
      <w:sz w:val="32"/>
      <w:szCs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9">
    <w:name w:val="Default Paragraph Font"/>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next w:val="7"/>
    <w:qFormat/>
    <w:uiPriority w:val="0"/>
    <w:pPr>
      <w:jc w:val="center"/>
    </w:pPr>
    <w:rPr>
      <w:b/>
      <w:sz w:val="36"/>
    </w:rPr>
  </w:style>
  <w:style w:type="paragraph" w:customStyle="1" w:styleId="7">
    <w:name w:val="_Style 2"/>
    <w:next w:val="1"/>
    <w:qFormat/>
    <w:uiPriority w:val="0"/>
    <w:pPr>
      <w:wordWrap w:val="0"/>
    </w:pPr>
    <w:rPr>
      <w:rFonts w:ascii="Times New Roman" w:hAnsi="Times New Roman" w:eastAsia="Times New Roman" w:cs="宋体"/>
      <w:sz w:val="32"/>
      <w:szCs w:val="22"/>
      <w:lang w:val="en-US" w:eastAsia="zh-CN" w:bidi="ar-SA"/>
    </w:rPr>
  </w:style>
  <w:style w:type="paragraph" w:styleId="8">
    <w:name w:val="Body Text Indent"/>
    <w:basedOn w:val="1"/>
    <w:unhideWhenUsed/>
    <w:qFormat/>
    <w:uiPriority w:val="99"/>
    <w:pPr>
      <w:spacing w:after="120"/>
      <w:ind w:left="420" w:leftChars="200"/>
    </w:pPr>
  </w:style>
  <w:style w:type="paragraph" w:styleId="9">
    <w:name w:val="Plain Text"/>
    <w:basedOn w:val="1"/>
    <w:unhideWhenUsed/>
    <w:qFormat/>
    <w:uiPriority w:val="99"/>
    <w:rPr>
      <w:rFonts w:ascii="宋体" w:hAnsi="Courier New" w:eastAsia="宋体" w:cs="Courier New"/>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Body Text First Indent"/>
    <w:basedOn w:val="6"/>
    <w:unhideWhenUsed/>
    <w:qFormat/>
    <w:uiPriority w:val="99"/>
    <w:pPr>
      <w:ind w:firstLine="420" w:firstLineChars="100"/>
    </w:pPr>
  </w:style>
  <w:style w:type="paragraph" w:styleId="16">
    <w:name w:val="Body Text First Indent 2"/>
    <w:basedOn w:val="8"/>
    <w:unhideWhenUsed/>
    <w:qFormat/>
    <w:uiPriority w:val="99"/>
    <w:pPr>
      <w:spacing w:after="0" w:line="360" w:lineRule="auto"/>
      <w:ind w:left="0" w:leftChars="0" w:firstLine="420" w:firstLineChars="200"/>
    </w:pPr>
    <w:rPr>
      <w:rFonts w:eastAsia="仿宋_GB2312" w:cs="黑体"/>
      <w:sz w:val="32"/>
      <w:szCs w:val="32"/>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Emphasis"/>
    <w:basedOn w:val="19"/>
    <w:qFormat/>
    <w:uiPriority w:val="0"/>
    <w:rPr>
      <w:i/>
    </w:rPr>
  </w:style>
  <w:style w:type="paragraph" w:customStyle="1" w:styleId="22">
    <w:name w:val="Char1"/>
    <w:basedOn w:val="1"/>
    <w:qFormat/>
    <w:uiPriority w:val="0"/>
    <w:pPr>
      <w:autoSpaceDE w:val="0"/>
      <w:autoSpaceDN w:val="0"/>
      <w:adjustRightInd w:val="0"/>
      <w:snapToGrid w:val="0"/>
      <w:spacing w:before="50" w:after="50" w:line="360" w:lineRule="auto"/>
      <w:ind w:firstLine="200" w:firstLineChars="200"/>
    </w:pPr>
    <w:rPr>
      <w:color w:val="000000"/>
      <w:sz w:val="24"/>
      <w:szCs w:val="20"/>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paragraph" w:customStyle="1" w:styleId="25">
    <w:name w:val="WPSOffice手动目录 3"/>
    <w:qFormat/>
    <w:uiPriority w:val="0"/>
    <w:pPr>
      <w:ind w:leftChars="400"/>
    </w:pPr>
    <w:rPr>
      <w:rFonts w:ascii="Times New Roman" w:hAnsi="Times New Roman" w:eastAsia="宋体" w:cs="Times New Roman"/>
      <w:sz w:val="20"/>
      <w:szCs w:val="20"/>
    </w:rPr>
  </w:style>
  <w:style w:type="paragraph" w:customStyle="1" w:styleId="26">
    <w:name w:val="普通(网站) Char"/>
    <w:basedOn w:val="1"/>
    <w:qFormat/>
    <w:uiPriority w:val="0"/>
    <w:pPr>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paragraph" w:customStyle="1" w:styleId="27">
    <w:name w:val="2"/>
    <w:qFormat/>
    <w:uiPriority w:val="0"/>
    <w:pPr>
      <w:spacing w:before="120" w:after="120" w:line="288" w:lineRule="auto"/>
    </w:pPr>
    <w:rPr>
      <w:rFonts w:ascii="Arial" w:hAnsi="Arial" w:eastAsia="等线" w:cs="Arial"/>
      <w:sz w:val="22"/>
      <w:szCs w:val="22"/>
      <w:lang w:val="en-US" w:eastAsia="zh-CN" w:bidi="ar-SA"/>
    </w:rPr>
  </w:style>
  <w:style w:type="paragraph" w:customStyle="1" w:styleId="28">
    <w:name w:val="List Paragraph"/>
    <w:basedOn w:val="1"/>
    <w:qFormat/>
    <w:uiPriority w:val="34"/>
    <w:pPr>
      <w:ind w:firstLine="420" w:firstLineChars="200"/>
    </w:pPr>
  </w:style>
  <w:style w:type="paragraph" w:customStyle="1" w:styleId="29">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56</Pages>
  <Words>22305</Words>
  <Characters>23744</Characters>
  <Lines>0</Lines>
  <Paragraphs>0</Paragraphs>
  <TotalTime>66</TotalTime>
  <ScaleCrop>false</ScaleCrop>
  <LinksUpToDate>false</LinksUpToDate>
  <CharactersWithSpaces>23894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2025-01-07T15:12:00Z</dcterms:created>
  <dc:creator>Administrator</dc:creator>
  <cp:lastModifiedBy>你憋说话</cp:lastModifiedBy>
  <cp:lastPrinted>2025-02-09T13:05:00Z</cp:lastPrinted>
  <dcterms:modified xsi:type="dcterms:W3CDTF">2025-09-30T09:20:44Z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5D51DBE9E44A422EA21D3279D8F11662_13</vt:lpwstr>
  </property>
  <property fmtid="{D5CDD505-2E9C-101B-9397-08002B2CF9AE}" pid="4" name="KSOTemplateDocerSaveRecord">
    <vt:lpwstr>eyJoZGlkIjoiMmE0NzI4NjU4NDkwZjhmMTYwMTczZDhhOWIxNzQ3ODciLCJ1c2VySWQiOiI2NDIxMTg0NzUifQ==</vt:lpwstr>
  </property>
</Properties>
</file>