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Style w:val="13"/>
          <w:rFonts w:ascii="Times New Roman" w:hAnsi="Times New Roman" w:cs="Times New Roman"/>
          <w:b w:val="0"/>
          <w:bCs/>
          <w:color w:val="auto"/>
          <w:highlight w:val="none"/>
          <w:u w:val="none"/>
          <w:shd w:val="clear" w:color="auto" w:fill="FFFFFF"/>
        </w:rPr>
      </w:pPr>
      <w:r>
        <w:rPr>
          <w:rStyle w:val="13"/>
          <w:rFonts w:hint="eastAsia" w:ascii="Times New Roman" w:hAnsi="Times New Roman" w:cs="Times New Roman"/>
          <w:b w:val="0"/>
          <w:bCs/>
          <w:color w:val="auto"/>
          <w:highlight w:val="none"/>
          <w:u w:val="none"/>
          <w:shd w:val="clear" w:color="auto" w:fill="FFFFFF"/>
        </w:rPr>
        <w:t>贵阳市贵安新区</w:t>
      </w:r>
      <w:r>
        <w:rPr>
          <w:rStyle w:val="13"/>
          <w:rFonts w:ascii="Times New Roman" w:hAnsi="Times New Roman" w:cs="Times New Roman"/>
          <w:b w:val="0"/>
          <w:bCs/>
          <w:color w:val="auto"/>
          <w:highlight w:val="none"/>
          <w:u w:val="none"/>
          <w:shd w:val="clear" w:color="auto" w:fill="FFFFFF"/>
        </w:rPr>
        <w:t>公共数据管理办法</w:t>
      </w:r>
    </w:p>
    <w:p>
      <w:pPr>
        <w:widowControl w:val="0"/>
        <w:kinsoku w:val="0"/>
        <w:ind w:firstLine="640" w:firstLineChars="200"/>
        <w:jc w:val="center"/>
        <w:rPr>
          <w:highlight w:val="none"/>
          <w:u w:val="none"/>
        </w:rPr>
      </w:pPr>
      <w:r>
        <w:rPr>
          <w:highlight w:val="none"/>
          <w:u w:val="none"/>
        </w:rPr>
        <w:t>（</w:t>
      </w:r>
      <w:r>
        <w:rPr>
          <w:rFonts w:hint="eastAsia"/>
          <w:highlight w:val="none"/>
          <w:u w:val="none"/>
        </w:rPr>
        <w:t>征求意见</w:t>
      </w:r>
      <w:r>
        <w:rPr>
          <w:highlight w:val="none"/>
          <w:u w:val="none"/>
        </w:rPr>
        <w:t>稿）</w:t>
      </w:r>
    </w:p>
    <w:p>
      <w:pPr>
        <w:widowControl w:val="0"/>
        <w:kinsoku w:val="0"/>
        <w:ind w:firstLine="640" w:firstLineChars="200"/>
        <w:jc w:val="left"/>
        <w:rPr>
          <w:highlight w:val="none"/>
          <w:u w:val="none"/>
        </w:rPr>
      </w:pPr>
    </w:p>
    <w:p>
      <w:pPr>
        <w:pStyle w:val="3"/>
        <w:autoSpaceDE/>
        <w:autoSpaceDN/>
        <w:ind w:firstLine="0" w:firstLineChars="0"/>
        <w:jc w:val="center"/>
        <w:rPr>
          <w:highlight w:val="none"/>
          <w:u w:val="none"/>
        </w:rPr>
      </w:pPr>
      <w:r>
        <w:rPr>
          <w:highlight w:val="none"/>
          <w:u w:val="none"/>
        </w:rPr>
        <w:t xml:space="preserve">第一章 总  </w:t>
      </w:r>
      <w:bookmarkStart w:id="2" w:name="_GoBack"/>
      <w:bookmarkEnd w:id="2"/>
      <w:r>
        <w:rPr>
          <w:highlight w:val="none"/>
          <w:u w:val="none"/>
        </w:rPr>
        <w:t>则</w:t>
      </w:r>
    </w:p>
    <w:p>
      <w:pPr>
        <w:widowControl w:val="0"/>
        <w:kinsoku w:val="0"/>
        <w:ind w:firstLine="638"/>
        <w:rPr>
          <w:rFonts w:eastAsia="黑体"/>
          <w:spacing w:val="4"/>
          <w:szCs w:val="32"/>
          <w:highlight w:val="none"/>
          <w:u w:val="none"/>
        </w:rPr>
      </w:pPr>
      <w:r>
        <w:rPr>
          <w:rFonts w:eastAsia="黑体"/>
          <w:spacing w:val="-1"/>
          <w:szCs w:val="32"/>
          <w:highlight w:val="none"/>
          <w:u w:val="none"/>
        </w:rPr>
        <w:t>第一条</w:t>
      </w:r>
      <w:r>
        <w:rPr>
          <w:highlight w:val="none"/>
          <w:u w:val="none"/>
        </w:rPr>
        <w:t>【编制目的】为进一步加强和规范</w:t>
      </w:r>
      <w:r>
        <w:rPr>
          <w:rFonts w:hint="eastAsia"/>
          <w:highlight w:val="none"/>
          <w:u w:val="none"/>
        </w:rPr>
        <w:t>贵阳市贵安新区（以下简称：贵阳贵安）</w:t>
      </w:r>
      <w:r>
        <w:rPr>
          <w:highlight w:val="none"/>
          <w:u w:val="none"/>
        </w:rPr>
        <w:t>公共数据管理，</w:t>
      </w:r>
      <w:r>
        <w:rPr>
          <w:rFonts w:hint="eastAsia"/>
          <w:highlight w:val="none"/>
          <w:u w:val="none"/>
        </w:rPr>
        <w:t>保障公共数据安全，</w:t>
      </w:r>
      <w:r>
        <w:rPr>
          <w:highlight w:val="none"/>
          <w:u w:val="none"/>
        </w:rPr>
        <w:t>推进公共数据共享、开放和开发应用，</w:t>
      </w:r>
      <w:r>
        <w:rPr>
          <w:rFonts w:hint="eastAsia"/>
          <w:highlight w:val="none"/>
          <w:u w:val="none"/>
        </w:rPr>
        <w:t>释放公共数据价值，进一步</w:t>
      </w:r>
      <w:r>
        <w:rPr>
          <w:highlight w:val="none"/>
          <w:u w:val="none"/>
        </w:rPr>
        <w:t>提升政府治理能力和公共服务能力。根据《中华人民共和国网络安全法》《中华人民共和国数据安全法》《中华人民共和国个人信息保护法》</w:t>
      </w:r>
      <w:r>
        <w:rPr>
          <w:rFonts w:hint="eastAsia"/>
          <w:highlight w:val="none"/>
          <w:u w:val="none"/>
        </w:rPr>
        <w:t>《财政部关于加强数据资产管理的指导意见》</w:t>
      </w:r>
      <w:r>
        <w:rPr>
          <w:highlight w:val="none"/>
          <w:u w:val="none"/>
        </w:rPr>
        <w:t>《贵州省大数据发展应用促进条例》《贵州省大数据安全保障条例》</w:t>
      </w:r>
      <w:r>
        <w:rPr>
          <w:rFonts w:hint="eastAsia"/>
          <w:highlight w:val="none"/>
          <w:u w:val="none"/>
        </w:rPr>
        <w:t>《贵阳市大数据安全管理条例》</w:t>
      </w:r>
      <w:r>
        <w:rPr>
          <w:highlight w:val="none"/>
          <w:u w:val="none"/>
        </w:rPr>
        <w:t>等</w:t>
      </w:r>
      <w:r>
        <w:rPr>
          <w:rFonts w:hint="eastAsia"/>
          <w:highlight w:val="none"/>
          <w:u w:val="none"/>
        </w:rPr>
        <w:t>相关法律法规</w:t>
      </w:r>
      <w:r>
        <w:rPr>
          <w:rFonts w:hint="eastAsia"/>
          <w:highlight w:val="none"/>
          <w:u w:val="none"/>
          <w:lang w:val="en-US" w:eastAsia="zh-CN"/>
        </w:rPr>
        <w:t>和</w:t>
      </w:r>
      <w:r>
        <w:rPr>
          <w:highlight w:val="none"/>
          <w:u w:val="none"/>
        </w:rPr>
        <w:t>规定，结合</w:t>
      </w:r>
      <w:r>
        <w:rPr>
          <w:rFonts w:hint="eastAsia"/>
          <w:highlight w:val="none"/>
          <w:u w:val="none"/>
        </w:rPr>
        <w:t>贵阳贵安</w:t>
      </w:r>
      <w:r>
        <w:rPr>
          <w:highlight w:val="none"/>
          <w:u w:val="none"/>
        </w:rPr>
        <w:t>实际，制定本办法</w:t>
      </w:r>
      <w:r>
        <w:rPr>
          <w:rFonts w:eastAsia="仿宋"/>
          <w:spacing w:val="8"/>
          <w:szCs w:val="32"/>
          <w:highlight w:val="none"/>
          <w:u w:val="none"/>
        </w:rPr>
        <w:t>。</w:t>
      </w:r>
    </w:p>
    <w:p>
      <w:pPr>
        <w:widowControl w:val="0"/>
        <w:kinsoku w:val="0"/>
        <w:autoSpaceDE w:val="0"/>
        <w:autoSpaceDN w:val="0"/>
        <w:ind w:firstLine="648"/>
        <w:jc w:val="left"/>
        <w:rPr>
          <w:rFonts w:ascii="Times New Roman" w:hAnsi="Times New Roman" w:eastAsia="仿宋" w:cs="Times New Roman"/>
          <w:highlight w:val="none"/>
          <w:u w:val="none"/>
        </w:rPr>
      </w:pPr>
      <w:r>
        <w:rPr>
          <w:rFonts w:ascii="Times New Roman" w:hAnsi="Times New Roman" w:eastAsia="黑体" w:cs="Times New Roman"/>
          <w:spacing w:val="4"/>
          <w:highlight w:val="none"/>
          <w:u w:val="none"/>
        </w:rPr>
        <w:t>第</w:t>
      </w:r>
      <w:r>
        <w:rPr>
          <w:rFonts w:hint="eastAsia" w:ascii="Times New Roman" w:hAnsi="Times New Roman" w:eastAsia="黑体" w:cs="Times New Roman"/>
          <w:spacing w:val="4"/>
          <w:highlight w:val="none"/>
          <w:u w:val="none"/>
        </w:rPr>
        <w:t>二</w:t>
      </w:r>
      <w:r>
        <w:rPr>
          <w:rFonts w:ascii="Times New Roman" w:hAnsi="Times New Roman" w:eastAsia="黑体" w:cs="Times New Roman"/>
          <w:spacing w:val="4"/>
          <w:highlight w:val="none"/>
          <w:u w:val="none"/>
        </w:rPr>
        <w:t>条</w:t>
      </w:r>
      <w:r>
        <w:rPr>
          <w:rFonts w:ascii="Times New Roman" w:hAnsi="Times New Roman" w:eastAsia="仿宋" w:cs="Times New Roman"/>
          <w:spacing w:val="4"/>
          <w:highlight w:val="none"/>
          <w:u w:val="none"/>
        </w:rPr>
        <w:t>【</w:t>
      </w:r>
      <w:r>
        <w:rPr>
          <w:rFonts w:ascii="Times New Roman" w:hAnsi="Times New Roman" w:cs="Times New Roman"/>
          <w:color w:val="auto"/>
          <w:highlight w:val="none"/>
          <w:u w:val="none"/>
        </w:rPr>
        <w:t>适用范围</w:t>
      </w:r>
      <w:r>
        <w:rPr>
          <w:rFonts w:ascii="Times New Roman" w:hAnsi="Times New Roman" w:eastAsia="仿宋" w:cs="Times New Roman"/>
          <w:highlight w:val="none"/>
          <w:u w:val="none"/>
        </w:rPr>
        <w:t>】</w:t>
      </w:r>
      <w:r>
        <w:rPr>
          <w:rFonts w:hint="eastAsia"/>
          <w:highlight w:val="none"/>
          <w:u w:val="none"/>
        </w:rPr>
        <w:t>本办法适用于贵阳贵安行政区域内公共数据的</w:t>
      </w:r>
      <w:r>
        <w:rPr>
          <w:rFonts w:hint="eastAsia"/>
          <w:color w:val="auto"/>
          <w:highlight w:val="none"/>
          <w:u w:val="none"/>
        </w:rPr>
        <w:t>采集、存储、共享、开放利用、授权运营</w:t>
      </w:r>
      <w:r>
        <w:rPr>
          <w:rFonts w:hint="eastAsia"/>
          <w:highlight w:val="none"/>
          <w:u w:val="none"/>
        </w:rPr>
        <w:t>及其相关管理活动</w:t>
      </w:r>
      <w:r>
        <w:rPr>
          <w:rFonts w:hint="eastAsia"/>
          <w:highlight w:val="none"/>
          <w:u w:val="none"/>
          <w:lang w:eastAsia="zh-CN"/>
        </w:rPr>
        <w:t>。</w:t>
      </w:r>
      <w:r>
        <w:rPr>
          <w:rFonts w:hint="eastAsia"/>
          <w:highlight w:val="none"/>
          <w:u w:val="none"/>
        </w:rPr>
        <w:t>法律</w:t>
      </w:r>
      <w:r>
        <w:rPr>
          <w:rFonts w:hint="eastAsia"/>
          <w:highlight w:val="none"/>
          <w:u w:val="none"/>
          <w:lang w:eastAsia="zh-CN"/>
        </w:rPr>
        <w:t>、</w:t>
      </w:r>
      <w:r>
        <w:rPr>
          <w:rFonts w:hint="eastAsia"/>
          <w:highlight w:val="none"/>
          <w:u w:val="none"/>
        </w:rPr>
        <w:t>法规另有规定的，按相关规定执行。</w:t>
      </w:r>
    </w:p>
    <w:p>
      <w:pPr>
        <w:widowControl w:val="0"/>
        <w:kinsoku w:val="0"/>
        <w:autoSpaceDE w:val="0"/>
        <w:autoSpaceDN w:val="0"/>
        <w:ind w:firstLine="656"/>
        <w:jc w:val="left"/>
        <w:rPr>
          <w:highlight w:val="none"/>
          <w:u w:val="none"/>
        </w:rPr>
      </w:pPr>
      <w:r>
        <w:rPr>
          <w:rFonts w:eastAsia="黑体"/>
          <w:spacing w:val="8"/>
          <w:szCs w:val="32"/>
          <w:highlight w:val="none"/>
          <w:u w:val="none"/>
        </w:rPr>
        <w:t>第三条</w:t>
      </w:r>
      <w:r>
        <w:rPr>
          <w:rFonts w:eastAsia="仿宋"/>
          <w:spacing w:val="8"/>
          <w:szCs w:val="32"/>
          <w:highlight w:val="none"/>
          <w:u w:val="none"/>
        </w:rPr>
        <w:t>【</w:t>
      </w:r>
      <w:r>
        <w:rPr>
          <w:color w:val="auto"/>
          <w:highlight w:val="none"/>
          <w:u w:val="none"/>
        </w:rPr>
        <w:t>概念定义</w:t>
      </w:r>
      <w:r>
        <w:rPr>
          <w:rFonts w:eastAsia="仿宋"/>
          <w:spacing w:val="8"/>
          <w:szCs w:val="32"/>
          <w:highlight w:val="none"/>
          <w:u w:val="none"/>
        </w:rPr>
        <w:t>】</w:t>
      </w:r>
      <w:r>
        <w:rPr>
          <w:color w:val="auto"/>
          <w:highlight w:val="none"/>
          <w:u w:val="none"/>
        </w:rPr>
        <w:t>本办法所称公共数据，</w:t>
      </w:r>
      <w:r>
        <w:rPr>
          <w:highlight w:val="none"/>
          <w:u w:val="none"/>
        </w:rPr>
        <w:t>是指行政机关和公共企事业单位在依法履职或者</w:t>
      </w:r>
      <w:r>
        <w:rPr>
          <w:rFonts w:hint="eastAsia"/>
          <w:highlight w:val="none"/>
          <w:u w:val="none"/>
        </w:rPr>
        <w:t>提供公共服务过程中</w:t>
      </w:r>
      <w:r>
        <w:rPr>
          <w:highlight w:val="none"/>
          <w:u w:val="none"/>
        </w:rPr>
        <w:t>生成和管理，以一定形式记录、存储和传输的文字、图像、音频、视频等各类可机读的数据，或者依法委托第三方收集和产生的数据。</w:t>
      </w:r>
    </w:p>
    <w:p>
      <w:pPr>
        <w:widowControl w:val="0"/>
        <w:kinsoku w:val="0"/>
        <w:autoSpaceDE w:val="0"/>
        <w:autoSpaceDN w:val="0"/>
        <w:ind w:firstLine="640"/>
        <w:jc w:val="left"/>
        <w:rPr>
          <w:highlight w:val="none"/>
          <w:u w:val="none"/>
        </w:rPr>
      </w:pPr>
      <w:r>
        <w:rPr>
          <w:highlight w:val="none"/>
          <w:u w:val="none"/>
        </w:rPr>
        <w:t>本办法所称数据共享，指行政机关因履行职责</w:t>
      </w:r>
      <w:r>
        <w:rPr>
          <w:rFonts w:hint="eastAsia"/>
          <w:highlight w:val="none"/>
          <w:u w:val="none"/>
        </w:rPr>
        <w:t>或</w:t>
      </w:r>
      <w:r>
        <w:rPr>
          <w:highlight w:val="none"/>
          <w:u w:val="none"/>
        </w:rPr>
        <w:t>提供服务需要，使用其他行政机关</w:t>
      </w:r>
      <w:r>
        <w:rPr>
          <w:rFonts w:hint="eastAsia"/>
          <w:highlight w:val="none"/>
          <w:u w:val="none"/>
        </w:rPr>
        <w:t>或公共企事业</w:t>
      </w:r>
      <w:r>
        <w:rPr>
          <w:highlight w:val="none"/>
          <w:u w:val="none"/>
        </w:rPr>
        <w:t>单位的公共数据，以及</w:t>
      </w:r>
      <w:r>
        <w:rPr>
          <w:rFonts w:hint="eastAsia"/>
          <w:highlight w:val="none"/>
          <w:u w:val="none"/>
        </w:rPr>
        <w:t>行政机关、公共企事业单位</w:t>
      </w:r>
      <w:r>
        <w:rPr>
          <w:highlight w:val="none"/>
          <w:u w:val="none"/>
        </w:rPr>
        <w:t>为其他</w:t>
      </w:r>
      <w:r>
        <w:rPr>
          <w:rFonts w:hint="eastAsia"/>
          <w:highlight w:val="none"/>
          <w:u w:val="none"/>
        </w:rPr>
        <w:t>行政机关</w:t>
      </w:r>
      <w:r>
        <w:rPr>
          <w:highlight w:val="none"/>
          <w:u w:val="none"/>
        </w:rPr>
        <w:t>提供公共数据的行为。</w:t>
      </w:r>
    </w:p>
    <w:p>
      <w:pPr>
        <w:widowControl w:val="0"/>
        <w:kinsoku w:val="0"/>
        <w:autoSpaceDE w:val="0"/>
        <w:autoSpaceDN w:val="0"/>
        <w:ind w:firstLine="640"/>
        <w:jc w:val="left"/>
        <w:rPr>
          <w:highlight w:val="none"/>
          <w:u w:val="none"/>
        </w:rPr>
      </w:pPr>
      <w:r>
        <w:rPr>
          <w:highlight w:val="none"/>
          <w:u w:val="none"/>
        </w:rPr>
        <w:t>本办法所称数据开放，是指行政机关和公共企事业单位面向社会依法提供公共数据的行为。</w:t>
      </w:r>
    </w:p>
    <w:p>
      <w:pPr>
        <w:widowControl w:val="0"/>
        <w:ind w:firstLine="640"/>
        <w:rPr>
          <w:highlight w:val="none"/>
          <w:u w:val="none"/>
        </w:rPr>
      </w:pPr>
      <w:r>
        <w:rPr>
          <w:highlight w:val="none"/>
          <w:u w:val="none"/>
        </w:rPr>
        <w:t>本办法所称行政机关，是指</w:t>
      </w:r>
      <w:r>
        <w:rPr>
          <w:rFonts w:hint="eastAsia" w:eastAsia="仿宋"/>
          <w:spacing w:val="2"/>
          <w:szCs w:val="32"/>
          <w:highlight w:val="none"/>
          <w:u w:val="none"/>
        </w:rPr>
        <w:t>贵阳贵安</w:t>
      </w:r>
      <w:r>
        <w:rPr>
          <w:highlight w:val="none"/>
          <w:u w:val="none"/>
        </w:rPr>
        <w:t>行政区域内县级以上人民政府及其工作部门和派出机构</w:t>
      </w:r>
      <w:r>
        <w:rPr>
          <w:rFonts w:hint="eastAsia"/>
          <w:highlight w:val="none"/>
          <w:u w:val="none"/>
        </w:rPr>
        <w:t>、乡镇人民政府</w:t>
      </w:r>
      <w:r>
        <w:rPr>
          <w:highlight w:val="none"/>
          <w:u w:val="none"/>
        </w:rPr>
        <w:t>。</w:t>
      </w:r>
    </w:p>
    <w:p>
      <w:pPr>
        <w:widowControl w:val="0"/>
        <w:kinsoku w:val="0"/>
        <w:autoSpaceDE w:val="0"/>
        <w:autoSpaceDN w:val="0"/>
        <w:ind w:firstLine="640"/>
        <w:jc w:val="left"/>
        <w:rPr>
          <w:highlight w:val="none"/>
          <w:u w:val="none"/>
        </w:rPr>
      </w:pPr>
      <w:r>
        <w:rPr>
          <w:highlight w:val="none"/>
          <w:u w:val="none"/>
        </w:rPr>
        <w:t>本办法所称公共企事业单位，包括</w:t>
      </w:r>
      <w:r>
        <w:rPr>
          <w:rFonts w:hint="eastAsia" w:eastAsia="仿宋"/>
          <w:spacing w:val="2"/>
          <w:szCs w:val="32"/>
          <w:highlight w:val="none"/>
          <w:u w:val="none"/>
        </w:rPr>
        <w:t>贵阳贵安</w:t>
      </w:r>
      <w:r>
        <w:rPr>
          <w:highlight w:val="none"/>
          <w:u w:val="none"/>
        </w:rPr>
        <w:t>教育、卫生、供水、供电、供气、通信、环境、交通等承担公共服务职能的企事业单位。</w:t>
      </w:r>
    </w:p>
    <w:p>
      <w:pPr>
        <w:widowControl w:val="0"/>
        <w:kinsoku w:val="0"/>
        <w:ind w:firstLine="618"/>
        <w:jc w:val="left"/>
        <w:rPr>
          <w:highlight w:val="none"/>
          <w:u w:val="none"/>
        </w:rPr>
      </w:pPr>
      <w:r>
        <w:rPr>
          <w:rFonts w:eastAsia="黑体"/>
          <w:spacing w:val="-11"/>
          <w:szCs w:val="32"/>
          <w:highlight w:val="none"/>
          <w:u w:val="none"/>
        </w:rPr>
        <w:t>第</w:t>
      </w:r>
      <w:r>
        <w:rPr>
          <w:rFonts w:hint="eastAsia" w:eastAsia="黑体"/>
          <w:spacing w:val="-11"/>
          <w:szCs w:val="32"/>
          <w:highlight w:val="none"/>
          <w:u w:val="none"/>
        </w:rPr>
        <w:t>四</w:t>
      </w:r>
      <w:r>
        <w:rPr>
          <w:rFonts w:eastAsia="黑体"/>
          <w:spacing w:val="-6"/>
          <w:szCs w:val="32"/>
          <w:highlight w:val="none"/>
          <w:u w:val="none"/>
        </w:rPr>
        <w:t>条</w:t>
      </w:r>
      <w:r>
        <w:rPr>
          <w:highlight w:val="none"/>
          <w:u w:val="none"/>
        </w:rPr>
        <w:t>【基本原则】公共数据管理应当遵循</w:t>
      </w:r>
      <w:r>
        <w:rPr>
          <w:rFonts w:hint="eastAsia"/>
          <w:highlight w:val="none"/>
          <w:u w:val="none"/>
        </w:rPr>
        <w:t>多级协同</w:t>
      </w:r>
      <w:r>
        <w:rPr>
          <w:highlight w:val="none"/>
          <w:u w:val="none"/>
        </w:rPr>
        <w:t>、汇聚治理、共享开放、</w:t>
      </w:r>
      <w:r>
        <w:rPr>
          <w:rFonts w:hint="eastAsia"/>
          <w:highlight w:val="none"/>
          <w:u w:val="none"/>
        </w:rPr>
        <w:t>合规应用</w:t>
      </w:r>
      <w:r>
        <w:rPr>
          <w:highlight w:val="none"/>
          <w:u w:val="none"/>
        </w:rPr>
        <w:t>、安全有序的原则。</w:t>
      </w:r>
    </w:p>
    <w:p>
      <w:pPr>
        <w:widowControl w:val="0"/>
        <w:kinsoku w:val="0"/>
        <w:autoSpaceDE w:val="0"/>
        <w:autoSpaceDN w:val="0"/>
        <w:ind w:firstLine="648"/>
        <w:jc w:val="left"/>
        <w:rPr>
          <w:highlight w:val="none"/>
          <w:u w:val="none"/>
        </w:rPr>
      </w:pPr>
      <w:r>
        <w:rPr>
          <w:rFonts w:eastAsia="黑体"/>
          <w:spacing w:val="4"/>
          <w:szCs w:val="32"/>
          <w:highlight w:val="none"/>
          <w:u w:val="none"/>
        </w:rPr>
        <w:t>第五条</w:t>
      </w:r>
      <w:r>
        <w:rPr>
          <w:rFonts w:eastAsia="仿宋"/>
          <w:spacing w:val="4"/>
          <w:szCs w:val="32"/>
          <w:highlight w:val="none"/>
          <w:u w:val="none"/>
        </w:rPr>
        <w:t>【</w:t>
      </w:r>
      <w:r>
        <w:rPr>
          <w:highlight w:val="none"/>
          <w:u w:val="none"/>
        </w:rPr>
        <w:t>政府职责</w:t>
      </w:r>
      <w:r>
        <w:rPr>
          <w:rFonts w:eastAsia="仿宋"/>
          <w:spacing w:val="2"/>
          <w:szCs w:val="32"/>
          <w:highlight w:val="none"/>
          <w:u w:val="none"/>
        </w:rPr>
        <w:t>】</w:t>
      </w:r>
      <w:r>
        <w:rPr>
          <w:rFonts w:hint="eastAsia"/>
          <w:highlight w:val="none"/>
          <w:u w:val="none"/>
        </w:rPr>
        <w:t>贵阳市人民政府（贵安新区管理委员会）</w:t>
      </w:r>
      <w:r>
        <w:rPr>
          <w:highlight w:val="none"/>
          <w:u w:val="none"/>
        </w:rPr>
        <w:t>统一领导并统筹</w:t>
      </w:r>
      <w:r>
        <w:rPr>
          <w:rFonts w:hint="eastAsia"/>
          <w:highlight w:val="none"/>
          <w:u w:val="none"/>
        </w:rPr>
        <w:t>本地区</w:t>
      </w:r>
      <w:r>
        <w:rPr>
          <w:highlight w:val="none"/>
          <w:u w:val="none"/>
        </w:rPr>
        <w:t>公共数据管理工作，协调解决公共数据管理工作中的重大问题。</w:t>
      </w:r>
    </w:p>
    <w:p>
      <w:pPr>
        <w:widowControl w:val="0"/>
        <w:kinsoku w:val="0"/>
        <w:ind w:firstLine="640"/>
        <w:jc w:val="left"/>
        <w:rPr>
          <w:highlight w:val="none"/>
          <w:u w:val="none"/>
        </w:rPr>
      </w:pPr>
      <w:r>
        <w:rPr>
          <w:rFonts w:hint="eastAsia"/>
          <w:highlight w:val="none"/>
          <w:u w:val="none"/>
        </w:rPr>
        <w:t>区（市、县、开发区）级</w:t>
      </w:r>
      <w:r>
        <w:rPr>
          <w:highlight w:val="none"/>
          <w:u w:val="none"/>
        </w:rPr>
        <w:t>人民政府</w:t>
      </w:r>
      <w:r>
        <w:rPr>
          <w:rFonts w:hint="eastAsia"/>
          <w:highlight w:val="none"/>
          <w:u w:val="none"/>
          <w:lang w:eastAsia="zh-CN"/>
        </w:rPr>
        <w:t>（</w:t>
      </w:r>
      <w:r>
        <w:rPr>
          <w:rFonts w:hint="eastAsia"/>
          <w:highlight w:val="none"/>
          <w:u w:val="none"/>
          <w:lang w:val="en-US" w:eastAsia="zh-CN"/>
        </w:rPr>
        <w:t>管委会</w:t>
      </w:r>
      <w:r>
        <w:rPr>
          <w:rFonts w:hint="eastAsia"/>
          <w:highlight w:val="none"/>
          <w:u w:val="none"/>
          <w:lang w:eastAsia="zh-CN"/>
        </w:rPr>
        <w:t>）</w:t>
      </w:r>
      <w:r>
        <w:rPr>
          <w:highlight w:val="none"/>
          <w:u w:val="none"/>
        </w:rPr>
        <w:t>按照职责，负责</w:t>
      </w:r>
      <w:r>
        <w:rPr>
          <w:rFonts w:hint="eastAsia"/>
          <w:highlight w:val="none"/>
          <w:u w:val="none"/>
        </w:rPr>
        <w:t>本地区公共数据</w:t>
      </w:r>
      <w:r>
        <w:rPr>
          <w:highlight w:val="none"/>
          <w:u w:val="none"/>
        </w:rPr>
        <w:t>管理的相关工作。</w:t>
      </w:r>
    </w:p>
    <w:p>
      <w:pPr>
        <w:widowControl w:val="0"/>
        <w:kinsoku w:val="0"/>
        <w:ind w:firstLine="648"/>
        <w:jc w:val="left"/>
        <w:rPr>
          <w:rFonts w:ascii="Times New Roman" w:hAnsi="Times New Roman" w:cs="Times New Roman"/>
          <w:color w:val="auto"/>
          <w:highlight w:val="none"/>
          <w:u w:val="none"/>
        </w:rPr>
      </w:pPr>
      <w:r>
        <w:rPr>
          <w:rFonts w:ascii="Times New Roman" w:hAnsi="Times New Roman" w:eastAsia="黑体" w:cs="Times New Roman"/>
          <w:spacing w:val="4"/>
          <w:highlight w:val="none"/>
          <w:u w:val="none"/>
        </w:rPr>
        <w:t>第六条</w:t>
      </w:r>
      <w:r>
        <w:rPr>
          <w:rFonts w:ascii="Times New Roman" w:hAnsi="Times New Roman" w:eastAsia="仿宋" w:cs="Times New Roman"/>
          <w:spacing w:val="4"/>
          <w:highlight w:val="none"/>
          <w:u w:val="none"/>
        </w:rPr>
        <w:t>【</w:t>
      </w:r>
      <w:r>
        <w:rPr>
          <w:rFonts w:hint="eastAsia"/>
          <w:highlight w:val="none"/>
          <w:u w:val="none"/>
        </w:rPr>
        <w:t>贵阳贵安主管部门</w:t>
      </w:r>
      <w:r>
        <w:rPr>
          <w:rFonts w:hint="eastAsia"/>
          <w:color w:val="auto"/>
          <w:highlight w:val="none"/>
          <w:u w:val="none"/>
        </w:rPr>
        <w:t>职责</w:t>
      </w:r>
      <w:r>
        <w:rPr>
          <w:rFonts w:ascii="Times New Roman" w:hAnsi="Times New Roman" w:eastAsia="仿宋" w:cs="Times New Roman"/>
          <w:highlight w:val="none"/>
          <w:u w:val="none"/>
        </w:rPr>
        <w:t>】</w:t>
      </w:r>
      <w:r>
        <w:rPr>
          <w:rFonts w:hint="eastAsia"/>
          <w:highlight w:val="none"/>
          <w:u w:val="none"/>
        </w:rPr>
        <w:t>贵阳贵安大数据主管部门（以下简称：大数据部门）作为公共数据主管部门，</w:t>
      </w:r>
      <w:r>
        <w:rPr>
          <w:rFonts w:hint="eastAsia"/>
          <w:color w:val="auto"/>
          <w:highlight w:val="none"/>
          <w:u w:val="none"/>
        </w:rPr>
        <w:t>应当履行下列职责</w:t>
      </w:r>
      <w:r>
        <w:rPr>
          <w:rFonts w:ascii="Times New Roman" w:hAnsi="Times New Roman" w:cs="Times New Roman"/>
          <w:color w:val="auto"/>
          <w:highlight w:val="none"/>
          <w:u w:val="none"/>
        </w:rPr>
        <w:t>：</w:t>
      </w:r>
    </w:p>
    <w:p>
      <w:pPr>
        <w:widowControl w:val="0"/>
        <w:numPr>
          <w:ilvl w:val="0"/>
          <w:numId w:val="0"/>
        </w:numPr>
        <w:kinsoku w:val="0"/>
        <w:autoSpaceDE w:val="0"/>
        <w:autoSpaceDN w:val="0"/>
        <w:ind w:firstLine="640" w:firstLineChars="200"/>
        <w:jc w:val="left"/>
        <w:textAlignment w:val="baseline"/>
        <w:rPr>
          <w:highlight w:val="none"/>
          <w:u w:val="none"/>
        </w:rPr>
      </w:pPr>
      <w:r>
        <w:rPr>
          <w:highlight w:val="none"/>
          <w:u w:val="none"/>
        </w:rPr>
        <w:t>（一）指导、协调、调度和管理</w:t>
      </w:r>
      <w:r>
        <w:rPr>
          <w:rFonts w:hint="eastAsia"/>
          <w:highlight w:val="none"/>
          <w:u w:val="none"/>
        </w:rPr>
        <w:t>本地区公共数据</w:t>
      </w:r>
      <w:r>
        <w:rPr>
          <w:highlight w:val="none"/>
          <w:u w:val="none"/>
        </w:rPr>
        <w:t>管理有关工作；</w:t>
      </w:r>
    </w:p>
    <w:p>
      <w:pPr>
        <w:widowControl w:val="0"/>
        <w:kinsoku w:val="0"/>
        <w:autoSpaceDE w:val="0"/>
        <w:autoSpaceDN w:val="0"/>
        <w:ind w:firstLine="640"/>
        <w:jc w:val="left"/>
        <w:textAlignment w:val="baseline"/>
        <w:rPr>
          <w:highlight w:val="none"/>
          <w:u w:val="none"/>
        </w:rPr>
      </w:pPr>
      <w:r>
        <w:rPr>
          <w:highlight w:val="none"/>
          <w:u w:val="none"/>
        </w:rPr>
        <w:t>（二）负责</w:t>
      </w:r>
      <w:r>
        <w:rPr>
          <w:rFonts w:hint="eastAsia"/>
          <w:highlight w:val="none"/>
          <w:u w:val="none"/>
          <w:lang w:val="en-US" w:eastAsia="zh-CN"/>
        </w:rPr>
        <w:t>贵州省公共数据平台</w:t>
      </w:r>
      <w:r>
        <w:rPr>
          <w:rFonts w:hint="eastAsia"/>
          <w:highlight w:val="none"/>
          <w:u w:val="none"/>
        </w:rPr>
        <w:t>贵阳贵安</w:t>
      </w:r>
      <w:r>
        <w:rPr>
          <w:rFonts w:hint="eastAsia"/>
          <w:highlight w:val="none"/>
          <w:u w:val="none"/>
          <w:lang w:val="en-US" w:eastAsia="zh-CN"/>
        </w:rPr>
        <w:t>分平台（以下简称“公共数据平台”）</w:t>
      </w:r>
      <w:r>
        <w:rPr>
          <w:rFonts w:hint="eastAsia"/>
          <w:highlight w:val="none"/>
          <w:u w:val="none"/>
        </w:rPr>
        <w:t>的管理；</w:t>
      </w:r>
    </w:p>
    <w:p>
      <w:pPr>
        <w:widowControl w:val="0"/>
        <w:numPr>
          <w:ilvl w:val="0"/>
          <w:numId w:val="0"/>
        </w:numPr>
        <w:kinsoku w:val="0"/>
        <w:autoSpaceDE w:val="0"/>
        <w:autoSpaceDN w:val="0"/>
        <w:ind w:firstLine="640" w:firstLineChars="200"/>
        <w:jc w:val="left"/>
        <w:textAlignment w:val="baseline"/>
        <w:rPr>
          <w:highlight w:val="none"/>
          <w:u w:val="none"/>
        </w:rPr>
      </w:pPr>
      <w:r>
        <w:rPr>
          <w:highlight w:val="none"/>
          <w:u w:val="none"/>
        </w:rPr>
        <w:t>（三）组织建立</w:t>
      </w:r>
      <w:r>
        <w:rPr>
          <w:rFonts w:hint="eastAsia"/>
          <w:highlight w:val="none"/>
          <w:u w:val="none"/>
        </w:rPr>
        <w:t>公共数据</w:t>
      </w:r>
      <w:r>
        <w:rPr>
          <w:highlight w:val="none"/>
          <w:u w:val="none"/>
        </w:rPr>
        <w:t>管理沟通协调机制；</w:t>
      </w:r>
    </w:p>
    <w:p>
      <w:pPr>
        <w:widowControl w:val="0"/>
        <w:numPr>
          <w:ilvl w:val="0"/>
          <w:numId w:val="0"/>
        </w:numPr>
        <w:kinsoku w:val="0"/>
        <w:autoSpaceDE w:val="0"/>
        <w:autoSpaceDN w:val="0"/>
        <w:ind w:firstLine="640" w:firstLineChars="200"/>
        <w:jc w:val="left"/>
        <w:textAlignment w:val="baseline"/>
        <w:rPr>
          <w:highlight w:val="none"/>
          <w:u w:val="none"/>
        </w:rPr>
      </w:pPr>
      <w:r>
        <w:rPr>
          <w:highlight w:val="none"/>
          <w:u w:val="none"/>
        </w:rPr>
        <w:t>（四）组织制定并实施</w:t>
      </w:r>
      <w:r>
        <w:rPr>
          <w:rFonts w:hint="eastAsia"/>
          <w:highlight w:val="none"/>
          <w:u w:val="none"/>
        </w:rPr>
        <w:t>公共数据</w:t>
      </w:r>
      <w:r>
        <w:rPr>
          <w:highlight w:val="none"/>
          <w:u w:val="none"/>
        </w:rPr>
        <w:t>管理相关制度；</w:t>
      </w:r>
    </w:p>
    <w:p>
      <w:pPr>
        <w:widowControl w:val="0"/>
        <w:numPr>
          <w:ilvl w:val="0"/>
          <w:numId w:val="0"/>
        </w:numPr>
        <w:kinsoku w:val="0"/>
        <w:autoSpaceDE w:val="0"/>
        <w:autoSpaceDN w:val="0"/>
        <w:ind w:firstLine="640" w:firstLineChars="200"/>
        <w:jc w:val="left"/>
        <w:textAlignment w:val="baseline"/>
        <w:rPr>
          <w:highlight w:val="none"/>
          <w:u w:val="none"/>
        </w:rPr>
      </w:pPr>
      <w:r>
        <w:rPr>
          <w:highlight w:val="none"/>
          <w:u w:val="none"/>
        </w:rPr>
        <w:t>（五）</w:t>
      </w:r>
      <w:r>
        <w:rPr>
          <w:rFonts w:hint="eastAsia"/>
          <w:highlight w:val="none"/>
          <w:u w:val="none"/>
        </w:rPr>
        <w:t>推动本地区公共数据目录优化和质量提升；负责</w:t>
      </w:r>
      <w:r>
        <w:rPr>
          <w:highlight w:val="none"/>
          <w:u w:val="none"/>
        </w:rPr>
        <w:t>审核、汇总本级人民政府工作部门和派出机构、</w:t>
      </w:r>
      <w:r>
        <w:rPr>
          <w:rFonts w:hint="eastAsia"/>
          <w:highlight w:val="none"/>
          <w:u w:val="none"/>
        </w:rPr>
        <w:t>区（市、县、开发区）</w:t>
      </w:r>
      <w:r>
        <w:rPr>
          <w:highlight w:val="none"/>
          <w:u w:val="none"/>
        </w:rPr>
        <w:t>级人民政府</w:t>
      </w:r>
      <w:r>
        <w:rPr>
          <w:rFonts w:hint="eastAsia"/>
          <w:highlight w:val="none"/>
          <w:u w:val="none"/>
          <w:lang w:eastAsia="zh-CN"/>
        </w:rPr>
        <w:t>、</w:t>
      </w:r>
      <w:r>
        <w:rPr>
          <w:rFonts w:hint="eastAsia"/>
          <w:highlight w:val="none"/>
          <w:u w:val="none"/>
          <w:lang w:val="en-US" w:eastAsia="zh-CN"/>
        </w:rPr>
        <w:t>管委会</w:t>
      </w:r>
      <w:r>
        <w:rPr>
          <w:highlight w:val="none"/>
          <w:u w:val="none"/>
        </w:rPr>
        <w:t>的公共数据目录；</w:t>
      </w:r>
    </w:p>
    <w:p>
      <w:pPr>
        <w:widowControl w:val="0"/>
        <w:numPr>
          <w:ilvl w:val="0"/>
          <w:numId w:val="0"/>
        </w:numPr>
        <w:kinsoku w:val="0"/>
        <w:autoSpaceDE w:val="0"/>
        <w:autoSpaceDN w:val="0"/>
        <w:ind w:firstLine="640" w:firstLineChars="200"/>
        <w:jc w:val="left"/>
        <w:textAlignment w:val="baseline"/>
        <w:rPr>
          <w:highlight w:val="none"/>
          <w:u w:val="none"/>
        </w:rPr>
      </w:pPr>
      <w:r>
        <w:rPr>
          <w:highlight w:val="none"/>
          <w:u w:val="none"/>
        </w:rPr>
        <w:t>（六）组织开展对本级人民政府工作部门和派出机构、</w:t>
      </w:r>
      <w:r>
        <w:rPr>
          <w:rFonts w:hint="eastAsia"/>
          <w:highlight w:val="none"/>
          <w:u w:val="none"/>
        </w:rPr>
        <w:t>区（市、县、开发区）</w:t>
      </w:r>
      <w:r>
        <w:rPr>
          <w:highlight w:val="none"/>
          <w:u w:val="none"/>
        </w:rPr>
        <w:t>级人民政府</w:t>
      </w:r>
      <w:r>
        <w:rPr>
          <w:rFonts w:hint="eastAsia"/>
          <w:highlight w:val="none"/>
          <w:u w:val="none"/>
          <w:lang w:val="en-US" w:eastAsia="zh-CN"/>
        </w:rPr>
        <w:t>（管委会）</w:t>
      </w:r>
      <w:r>
        <w:rPr>
          <w:rFonts w:hint="eastAsia"/>
          <w:highlight w:val="none"/>
          <w:u w:val="none"/>
        </w:rPr>
        <w:t>公共数据</w:t>
      </w:r>
      <w:r>
        <w:rPr>
          <w:highlight w:val="none"/>
          <w:u w:val="none"/>
        </w:rPr>
        <w:t>管理工作的考核</w:t>
      </w:r>
      <w:r>
        <w:rPr>
          <w:rFonts w:hint="eastAsia"/>
          <w:highlight w:val="none"/>
          <w:u w:val="none"/>
        </w:rPr>
        <w:t>。</w:t>
      </w:r>
    </w:p>
    <w:p>
      <w:pPr>
        <w:widowControl w:val="0"/>
        <w:kinsoku w:val="0"/>
        <w:autoSpaceDE w:val="0"/>
        <w:autoSpaceDN w:val="0"/>
        <w:ind w:firstLine="644"/>
        <w:jc w:val="left"/>
        <w:textAlignment w:val="baseline"/>
        <w:rPr>
          <w:szCs w:val="24"/>
          <w:highlight w:val="none"/>
          <w:u w:val="none"/>
        </w:rPr>
      </w:pPr>
      <w:r>
        <w:rPr>
          <w:rFonts w:eastAsia="黑体"/>
          <w:spacing w:val="2"/>
          <w:szCs w:val="32"/>
          <w:highlight w:val="none"/>
          <w:u w:val="none"/>
        </w:rPr>
        <w:t>第七条</w:t>
      </w:r>
      <w:r>
        <w:rPr>
          <w:rFonts w:eastAsia="仿宋"/>
          <w:spacing w:val="4"/>
          <w:szCs w:val="32"/>
          <w:highlight w:val="none"/>
          <w:u w:val="none"/>
        </w:rPr>
        <w:t>【</w:t>
      </w:r>
      <w:r>
        <w:rPr>
          <w:rFonts w:hint="eastAsia"/>
          <w:highlight w:val="none"/>
          <w:u w:val="none"/>
        </w:rPr>
        <w:t>区（市、县、开发区）</w:t>
      </w:r>
      <w:r>
        <w:rPr>
          <w:highlight w:val="none"/>
          <w:u w:val="none"/>
        </w:rPr>
        <w:t>级主管部门职责</w:t>
      </w:r>
      <w:r>
        <w:rPr>
          <w:rFonts w:eastAsia="仿宋"/>
          <w:spacing w:val="2"/>
          <w:szCs w:val="32"/>
          <w:highlight w:val="none"/>
          <w:u w:val="none"/>
        </w:rPr>
        <w:t>】</w:t>
      </w:r>
      <w:r>
        <w:rPr>
          <w:rFonts w:hint="eastAsia"/>
          <w:highlight w:val="none"/>
          <w:u w:val="none"/>
        </w:rPr>
        <w:t>区（市、县、开发区）</w:t>
      </w:r>
      <w:r>
        <w:rPr>
          <w:highlight w:val="none"/>
          <w:u w:val="none"/>
        </w:rPr>
        <w:t>级</w:t>
      </w:r>
      <w:r>
        <w:rPr>
          <w:rFonts w:hint="eastAsia"/>
          <w:highlight w:val="none"/>
          <w:u w:val="none"/>
        </w:rPr>
        <w:t>大数据部门作为公共数据主管部门，</w:t>
      </w:r>
      <w:r>
        <w:rPr>
          <w:highlight w:val="none"/>
          <w:u w:val="none"/>
        </w:rPr>
        <w:t>应当履行下列职责：</w:t>
      </w:r>
    </w:p>
    <w:p>
      <w:pPr>
        <w:widowControl w:val="0"/>
        <w:kinsoku w:val="0"/>
        <w:autoSpaceDE w:val="0"/>
        <w:autoSpaceDN w:val="0"/>
        <w:ind w:firstLine="640"/>
        <w:jc w:val="left"/>
        <w:textAlignment w:val="baseline"/>
        <w:rPr>
          <w:highlight w:val="none"/>
          <w:u w:val="none"/>
        </w:rPr>
      </w:pPr>
      <w:r>
        <w:rPr>
          <w:highlight w:val="none"/>
          <w:u w:val="none"/>
        </w:rPr>
        <w:t>（一）指导、协调、调度和管理</w:t>
      </w:r>
      <w:r>
        <w:rPr>
          <w:rFonts w:hint="eastAsia"/>
          <w:highlight w:val="none"/>
          <w:u w:val="none"/>
        </w:rPr>
        <w:t>本地区公共数据</w:t>
      </w:r>
      <w:r>
        <w:rPr>
          <w:highlight w:val="none"/>
          <w:u w:val="none"/>
        </w:rPr>
        <w:t>管理工作，接受上级</w:t>
      </w:r>
      <w:r>
        <w:rPr>
          <w:rFonts w:hint="eastAsia"/>
          <w:highlight w:val="none"/>
          <w:u w:val="none"/>
        </w:rPr>
        <w:t>大数据部门</w:t>
      </w:r>
      <w:r>
        <w:rPr>
          <w:highlight w:val="none"/>
          <w:u w:val="none"/>
        </w:rPr>
        <w:t>的业务监督、指导；</w:t>
      </w:r>
    </w:p>
    <w:p>
      <w:pPr>
        <w:widowControl w:val="0"/>
        <w:kinsoku w:val="0"/>
        <w:autoSpaceDE w:val="0"/>
        <w:autoSpaceDN w:val="0"/>
        <w:ind w:firstLine="640"/>
        <w:jc w:val="left"/>
        <w:textAlignment w:val="baseline"/>
        <w:rPr>
          <w:highlight w:val="none"/>
          <w:u w:val="none"/>
        </w:rPr>
      </w:pPr>
      <w:r>
        <w:rPr>
          <w:highlight w:val="none"/>
          <w:u w:val="none"/>
        </w:rPr>
        <w:t>（二）</w:t>
      </w:r>
      <w:r>
        <w:rPr>
          <w:rFonts w:hint="eastAsia"/>
          <w:highlight w:val="none"/>
          <w:u w:val="none"/>
        </w:rPr>
        <w:t>推动本地区公共数据目录优化和质量提升；负责</w:t>
      </w:r>
      <w:r>
        <w:rPr>
          <w:highlight w:val="none"/>
          <w:u w:val="none"/>
        </w:rPr>
        <w:t>审核、汇总本级人民政府工作部门和派出机构的公共数据目录，经本级人民政府审核通过后，报上级</w:t>
      </w:r>
      <w:r>
        <w:rPr>
          <w:rFonts w:hint="eastAsia"/>
          <w:highlight w:val="none"/>
          <w:u w:val="none"/>
        </w:rPr>
        <w:t>大数据部门</w:t>
      </w:r>
      <w:r>
        <w:rPr>
          <w:highlight w:val="none"/>
          <w:u w:val="none"/>
        </w:rPr>
        <w:t>备案；</w:t>
      </w:r>
    </w:p>
    <w:p>
      <w:pPr>
        <w:widowControl w:val="0"/>
        <w:kinsoku w:val="0"/>
        <w:autoSpaceDE w:val="0"/>
        <w:autoSpaceDN w:val="0"/>
        <w:ind w:firstLine="640"/>
        <w:jc w:val="left"/>
        <w:textAlignment w:val="baseline"/>
        <w:rPr>
          <w:highlight w:val="none"/>
          <w:u w:val="none"/>
        </w:rPr>
      </w:pPr>
      <w:r>
        <w:rPr>
          <w:highlight w:val="none"/>
          <w:u w:val="none"/>
        </w:rPr>
        <w:t>（三）组织开展对本级人民政府工作部门和派出机构</w:t>
      </w:r>
      <w:r>
        <w:rPr>
          <w:rFonts w:hint="eastAsia"/>
          <w:highlight w:val="none"/>
          <w:u w:val="none"/>
        </w:rPr>
        <w:t>公共数据</w:t>
      </w:r>
      <w:r>
        <w:rPr>
          <w:highlight w:val="none"/>
          <w:u w:val="none"/>
        </w:rPr>
        <w:t>管理工作的考核</w:t>
      </w:r>
      <w:r>
        <w:rPr>
          <w:rFonts w:hint="eastAsia"/>
          <w:highlight w:val="none"/>
          <w:u w:val="none"/>
        </w:rPr>
        <w:t>。</w:t>
      </w:r>
    </w:p>
    <w:p>
      <w:pPr>
        <w:widowControl w:val="0"/>
        <w:kinsoku w:val="0"/>
        <w:ind w:left="0" w:firstLine="644"/>
        <w:rPr>
          <w:highlight w:val="none"/>
          <w:u w:val="none"/>
        </w:rPr>
      </w:pPr>
      <w:r>
        <w:rPr>
          <w:rFonts w:eastAsia="黑体"/>
          <w:spacing w:val="2"/>
          <w:szCs w:val="32"/>
          <w:highlight w:val="none"/>
          <w:u w:val="none"/>
        </w:rPr>
        <w:t>第八条</w:t>
      </w:r>
      <w:r>
        <w:rPr>
          <w:rFonts w:eastAsia="仿宋"/>
          <w:spacing w:val="2"/>
          <w:szCs w:val="32"/>
          <w:highlight w:val="none"/>
          <w:u w:val="none"/>
        </w:rPr>
        <w:t>【</w:t>
      </w:r>
      <w:r>
        <w:rPr>
          <w:highlight w:val="none"/>
          <w:u w:val="none"/>
        </w:rPr>
        <w:t>相关部门职责</w:t>
      </w:r>
      <w:r>
        <w:rPr>
          <w:rFonts w:eastAsia="仿宋"/>
          <w:spacing w:val="2"/>
          <w:szCs w:val="32"/>
          <w:highlight w:val="none"/>
          <w:u w:val="none"/>
        </w:rPr>
        <w:t>】</w:t>
      </w:r>
      <w:r>
        <w:rPr>
          <w:rFonts w:hint="eastAsia"/>
          <w:highlight w:val="none"/>
          <w:u w:val="none"/>
        </w:rPr>
        <w:t>贵阳贵安财政部门（以下简称：财政部门）</w:t>
      </w:r>
      <w:r>
        <w:rPr>
          <w:highlight w:val="none"/>
          <w:u w:val="none"/>
        </w:rPr>
        <w:t>负责安排</w:t>
      </w:r>
      <w:r>
        <w:rPr>
          <w:rFonts w:hint="eastAsia"/>
          <w:highlight w:val="none"/>
          <w:u w:val="none"/>
        </w:rPr>
        <w:t>公共数据</w:t>
      </w:r>
      <w:r>
        <w:rPr>
          <w:highlight w:val="none"/>
          <w:u w:val="none"/>
        </w:rPr>
        <w:t>管理和服务所需工作经费，并列入本级财政预算，保障</w:t>
      </w:r>
      <w:r>
        <w:rPr>
          <w:rFonts w:hint="eastAsia"/>
          <w:highlight w:val="none"/>
          <w:u w:val="none"/>
        </w:rPr>
        <w:t>公共数据</w:t>
      </w:r>
      <w:r>
        <w:rPr>
          <w:highlight w:val="none"/>
          <w:u w:val="none"/>
        </w:rPr>
        <w:t>管理工作有序开展。</w:t>
      </w:r>
    </w:p>
    <w:p>
      <w:pPr>
        <w:widowControl w:val="0"/>
        <w:kinsoku w:val="0"/>
        <w:autoSpaceDE w:val="0"/>
        <w:autoSpaceDN w:val="0"/>
        <w:ind w:firstLine="640"/>
        <w:rPr>
          <w:highlight w:val="none"/>
          <w:u w:val="none"/>
        </w:rPr>
      </w:pPr>
      <w:r>
        <w:rPr>
          <w:rFonts w:hint="eastAsia"/>
          <w:highlight w:val="none"/>
          <w:u w:val="none"/>
        </w:rPr>
        <w:t>行政机关和公共企事业单位作为本机关、本单位公共数据管理的责任主体，应当明确公共数据管理的目标、责任及首席数据官；负责公共数据目录的编制、动态更新、维护；负责公共数据的校核、更新、汇聚、治理、共享开放、质量管理、安全管理等公共数据管理工作。行政机关负责归集本行业数据，指导、监督</w:t>
      </w:r>
      <w:r>
        <w:rPr>
          <w:rFonts w:ascii="仿宋_GB2312" w:cs="仿宋_GB2312"/>
          <w:highlight w:val="none"/>
          <w:u w:val="none"/>
        </w:rPr>
        <w:t>本</w:t>
      </w:r>
      <w:r>
        <w:rPr>
          <w:rFonts w:hint="eastAsia" w:ascii="仿宋_GB2312" w:cs="仿宋_GB2312"/>
          <w:highlight w:val="none"/>
          <w:u w:val="none"/>
        </w:rPr>
        <w:t>行业</w:t>
      </w:r>
      <w:r>
        <w:rPr>
          <w:rFonts w:hint="eastAsia"/>
          <w:highlight w:val="none"/>
          <w:u w:val="none"/>
        </w:rPr>
        <w:t>公共数据管理工作。</w:t>
      </w:r>
    </w:p>
    <w:p>
      <w:pPr>
        <w:widowControl w:val="0"/>
        <w:kinsoku w:val="0"/>
        <w:ind w:firstLine="644"/>
        <w:rPr>
          <w:szCs w:val="32"/>
          <w:highlight w:val="none"/>
          <w:u w:val="none"/>
        </w:rPr>
      </w:pPr>
      <w:r>
        <w:rPr>
          <w:rFonts w:eastAsia="黑体"/>
          <w:spacing w:val="2"/>
          <w:szCs w:val="32"/>
          <w:highlight w:val="none"/>
          <w:u w:val="none"/>
        </w:rPr>
        <w:t>第</w:t>
      </w:r>
      <w:r>
        <w:rPr>
          <w:rFonts w:hint="eastAsia" w:eastAsia="黑体"/>
          <w:spacing w:val="2"/>
          <w:szCs w:val="32"/>
          <w:highlight w:val="none"/>
          <w:u w:val="none"/>
        </w:rPr>
        <w:t>九</w:t>
      </w:r>
      <w:r>
        <w:rPr>
          <w:rFonts w:eastAsia="黑体"/>
          <w:spacing w:val="2"/>
          <w:szCs w:val="32"/>
          <w:highlight w:val="none"/>
          <w:u w:val="none"/>
        </w:rPr>
        <w:t>条</w:t>
      </w:r>
      <w:r>
        <w:rPr>
          <w:rFonts w:eastAsia="仿宋"/>
          <w:spacing w:val="2"/>
          <w:szCs w:val="32"/>
          <w:highlight w:val="none"/>
          <w:u w:val="none"/>
        </w:rPr>
        <w:t>【</w:t>
      </w:r>
      <w:r>
        <w:rPr>
          <w:highlight w:val="none"/>
          <w:u w:val="none"/>
        </w:rPr>
        <w:t>平台使用</w:t>
      </w:r>
      <w:r>
        <w:rPr>
          <w:rFonts w:eastAsia="仿宋"/>
          <w:spacing w:val="2"/>
          <w:szCs w:val="32"/>
          <w:highlight w:val="none"/>
          <w:u w:val="none"/>
        </w:rPr>
        <w:t>】</w:t>
      </w:r>
      <w:r>
        <w:rPr>
          <w:szCs w:val="32"/>
          <w:highlight w:val="none"/>
          <w:u w:val="none"/>
        </w:rPr>
        <w:t>行政机关、公共企事业单位应当依托</w:t>
      </w:r>
      <w:r>
        <w:rPr>
          <w:rFonts w:hint="eastAsia"/>
          <w:highlight w:val="none"/>
          <w:u w:val="none"/>
          <w:lang w:eastAsia="zh-CN"/>
        </w:rPr>
        <w:t>公共数据平台</w:t>
      </w:r>
      <w:r>
        <w:rPr>
          <w:highlight w:val="none"/>
          <w:u w:val="none"/>
        </w:rPr>
        <w:t>开展本</w:t>
      </w:r>
      <w:r>
        <w:rPr>
          <w:rFonts w:hint="eastAsia"/>
          <w:highlight w:val="none"/>
          <w:u w:val="none"/>
        </w:rPr>
        <w:t>机关、本</w:t>
      </w:r>
      <w:r>
        <w:rPr>
          <w:highlight w:val="none"/>
          <w:u w:val="none"/>
        </w:rPr>
        <w:t>单位公共数据的</w:t>
      </w:r>
      <w:r>
        <w:rPr>
          <w:rFonts w:hint="eastAsia"/>
          <w:highlight w:val="none"/>
          <w:u w:val="none"/>
        </w:rPr>
        <w:t>目录管理、数据归集</w:t>
      </w:r>
      <w:r>
        <w:rPr>
          <w:highlight w:val="none"/>
          <w:u w:val="none"/>
        </w:rPr>
        <w:t>、</w:t>
      </w:r>
      <w:r>
        <w:rPr>
          <w:rFonts w:ascii="仿宋_GB2312" w:hAnsi="宋体" w:cs="仿宋_GB2312"/>
          <w:sz w:val="31"/>
          <w:szCs w:val="31"/>
          <w:highlight w:val="none"/>
          <w:u w:val="none"/>
          <w:lang w:bidi="ar"/>
        </w:rPr>
        <w:t>元数据管理</w:t>
      </w:r>
      <w:r>
        <w:rPr>
          <w:rFonts w:hint="eastAsia" w:ascii="仿宋_GB2312" w:hAnsi="宋体" w:cs="仿宋_GB2312"/>
          <w:sz w:val="31"/>
          <w:szCs w:val="31"/>
          <w:highlight w:val="none"/>
          <w:u w:val="none"/>
          <w:lang w:bidi="ar"/>
        </w:rPr>
        <w:t>、</w:t>
      </w:r>
      <w:r>
        <w:rPr>
          <w:highlight w:val="none"/>
          <w:u w:val="none"/>
        </w:rPr>
        <w:t>共享</w:t>
      </w:r>
      <w:r>
        <w:rPr>
          <w:rFonts w:hint="eastAsia"/>
          <w:highlight w:val="none"/>
          <w:u w:val="none"/>
        </w:rPr>
        <w:t>交换、开放</w:t>
      </w:r>
      <w:r>
        <w:rPr>
          <w:highlight w:val="none"/>
          <w:u w:val="none"/>
        </w:rPr>
        <w:t>等</w:t>
      </w:r>
      <w:r>
        <w:rPr>
          <w:rFonts w:hint="eastAsia"/>
          <w:highlight w:val="none"/>
          <w:u w:val="none"/>
        </w:rPr>
        <w:t>全生命周期</w:t>
      </w:r>
      <w:r>
        <w:rPr>
          <w:highlight w:val="none"/>
          <w:u w:val="none"/>
        </w:rPr>
        <w:t>规范化</w:t>
      </w:r>
      <w:r>
        <w:rPr>
          <w:rFonts w:hint="eastAsia"/>
          <w:highlight w:val="none"/>
          <w:u w:val="none"/>
        </w:rPr>
        <w:t>工作。</w:t>
      </w:r>
    </w:p>
    <w:p>
      <w:pPr>
        <w:widowControl w:val="0"/>
        <w:kinsoku w:val="0"/>
        <w:ind w:firstLine="640" w:firstLineChars="200"/>
        <w:jc w:val="left"/>
        <w:rPr>
          <w:highlight w:val="none"/>
          <w:u w:val="none"/>
        </w:rPr>
      </w:pPr>
    </w:p>
    <w:p>
      <w:pPr>
        <w:pStyle w:val="3"/>
        <w:autoSpaceDE/>
        <w:autoSpaceDN/>
        <w:ind w:firstLine="0" w:firstLineChars="0"/>
        <w:jc w:val="center"/>
        <w:rPr>
          <w:highlight w:val="none"/>
          <w:u w:val="none"/>
        </w:rPr>
      </w:pPr>
      <w:r>
        <w:rPr>
          <w:highlight w:val="none"/>
          <w:u w:val="none"/>
        </w:rPr>
        <w:t>第二章 数据目录</w:t>
      </w:r>
    </w:p>
    <w:p>
      <w:pPr>
        <w:pStyle w:val="5"/>
        <w:ind w:firstLine="644"/>
        <w:rPr>
          <w:rFonts w:hint="eastAsia" w:eastAsia="仿宋_GB2312"/>
          <w:highlight w:val="none"/>
          <w:u w:val="none"/>
          <w:lang w:eastAsia="zh-CN"/>
        </w:rPr>
      </w:pPr>
      <w:r>
        <w:rPr>
          <w:rFonts w:eastAsia="黑体"/>
          <w:spacing w:val="2"/>
          <w:szCs w:val="32"/>
          <w:highlight w:val="none"/>
          <w:u w:val="none"/>
        </w:rPr>
        <w:t>第十条</w:t>
      </w:r>
      <w:r>
        <w:rPr>
          <w:highlight w:val="none"/>
          <w:u w:val="none"/>
        </w:rPr>
        <w:t>【目录</w:t>
      </w:r>
      <w:r>
        <w:rPr>
          <w:rFonts w:hint="eastAsia"/>
          <w:highlight w:val="none"/>
          <w:u w:val="none"/>
        </w:rPr>
        <w:t>编制</w:t>
      </w:r>
      <w:r>
        <w:rPr>
          <w:highlight w:val="none"/>
          <w:u w:val="none"/>
        </w:rPr>
        <w:t>】</w:t>
      </w:r>
      <w:r>
        <w:rPr>
          <w:rFonts w:hint="eastAsia"/>
          <w:highlight w:val="none"/>
          <w:u w:val="none"/>
        </w:rPr>
        <w:t>各行政机关</w:t>
      </w:r>
      <w:r>
        <w:rPr>
          <w:rFonts w:hint="eastAsia"/>
          <w:highlight w:val="none"/>
          <w:u w:val="none"/>
          <w:lang w:eastAsia="zh-CN"/>
        </w:rPr>
        <w:t>、</w:t>
      </w:r>
      <w:r>
        <w:rPr>
          <w:rFonts w:hint="eastAsia"/>
          <w:highlight w:val="none"/>
          <w:u w:val="none"/>
        </w:rPr>
        <w:t>公共企事业单位按照“三定”规定，梳理本</w:t>
      </w:r>
      <w:r>
        <w:rPr>
          <w:rFonts w:hint="eastAsia"/>
          <w:highlight w:val="none"/>
          <w:u w:val="none"/>
          <w:lang w:val="en-US" w:eastAsia="zh-CN"/>
        </w:rPr>
        <w:t>机关、本单位</w:t>
      </w:r>
      <w:r>
        <w:rPr>
          <w:rFonts w:hint="eastAsia"/>
          <w:highlight w:val="none"/>
          <w:u w:val="none"/>
        </w:rPr>
        <w:t>权责清单和核心业务，建立“业务</w:t>
      </w:r>
      <w:r>
        <w:rPr>
          <w:rFonts w:hint="eastAsia"/>
          <w:highlight w:val="none"/>
          <w:u w:val="none"/>
          <w:lang w:eastAsia="zh-CN"/>
        </w:rPr>
        <w:t>、</w:t>
      </w:r>
      <w:r>
        <w:rPr>
          <w:rFonts w:hint="eastAsia"/>
          <w:highlight w:val="none"/>
          <w:u w:val="none"/>
        </w:rPr>
        <w:t>系统</w:t>
      </w:r>
      <w:r>
        <w:rPr>
          <w:rFonts w:hint="eastAsia"/>
          <w:highlight w:val="none"/>
          <w:u w:val="none"/>
          <w:lang w:eastAsia="zh-CN"/>
        </w:rPr>
        <w:t>、</w:t>
      </w:r>
      <w:r>
        <w:rPr>
          <w:rFonts w:hint="eastAsia"/>
          <w:highlight w:val="none"/>
          <w:u w:val="none"/>
        </w:rPr>
        <w:t>目录</w:t>
      </w:r>
      <w:r>
        <w:rPr>
          <w:rFonts w:hint="eastAsia"/>
          <w:highlight w:val="none"/>
          <w:u w:val="none"/>
          <w:lang w:eastAsia="zh-CN"/>
        </w:rPr>
        <w:t>、</w:t>
      </w:r>
      <w:r>
        <w:rPr>
          <w:rFonts w:hint="eastAsia"/>
          <w:highlight w:val="none"/>
          <w:u w:val="none"/>
        </w:rPr>
        <w:t>数据”关联关系</w:t>
      </w:r>
      <w:r>
        <w:rPr>
          <w:rFonts w:hint="eastAsia"/>
          <w:highlight w:val="none"/>
          <w:u w:val="none"/>
          <w:lang w:eastAsia="zh-CN"/>
        </w:rPr>
        <w:t>，</w:t>
      </w:r>
      <w:r>
        <w:rPr>
          <w:rFonts w:hint="eastAsia"/>
          <w:highlight w:val="none"/>
          <w:u w:val="none"/>
        </w:rPr>
        <w:t>全量</w:t>
      </w:r>
      <w:r>
        <w:rPr>
          <w:rFonts w:hint="eastAsia"/>
          <w:highlight w:val="none"/>
          <w:u w:val="none"/>
          <w:lang w:val="en-US" w:eastAsia="zh-CN"/>
        </w:rPr>
        <w:t>编制公共数据目录。</w:t>
      </w:r>
    </w:p>
    <w:p>
      <w:pPr>
        <w:pStyle w:val="5"/>
        <w:rPr>
          <w:highlight w:val="none"/>
          <w:u w:val="none"/>
        </w:rPr>
      </w:pPr>
      <w:r>
        <w:rPr>
          <w:rFonts w:hint="eastAsia"/>
          <w:highlight w:val="none"/>
          <w:u w:val="none"/>
        </w:rPr>
        <w:t>公共数据目录实行统一目录管理。</w:t>
      </w:r>
      <w:r>
        <w:rPr>
          <w:highlight w:val="none"/>
          <w:u w:val="none"/>
        </w:rPr>
        <w:t>公共数据目录应当明确公共数据的名称、内容、格式、数据来源、类别、共享</w:t>
      </w:r>
      <w:r>
        <w:rPr>
          <w:rFonts w:hint="eastAsia"/>
          <w:highlight w:val="none"/>
          <w:u w:val="none"/>
        </w:rPr>
        <w:t>属性、</w:t>
      </w:r>
      <w:r>
        <w:rPr>
          <w:highlight w:val="none"/>
          <w:u w:val="none"/>
        </w:rPr>
        <w:t>开放</w:t>
      </w:r>
      <w:r>
        <w:rPr>
          <w:rFonts w:hint="eastAsia"/>
          <w:highlight w:val="none"/>
          <w:u w:val="none"/>
        </w:rPr>
        <w:t>属性、</w:t>
      </w:r>
      <w:r>
        <w:rPr>
          <w:highlight w:val="none"/>
          <w:u w:val="none"/>
        </w:rPr>
        <w:t>级别、使用要求、更新周期等内容。</w:t>
      </w:r>
    </w:p>
    <w:p>
      <w:pPr>
        <w:pStyle w:val="5"/>
        <w:ind w:firstLine="644"/>
        <w:rPr>
          <w:color w:val="auto"/>
          <w:highlight w:val="none"/>
          <w:u w:val="none"/>
        </w:rPr>
      </w:pPr>
      <w:r>
        <w:rPr>
          <w:rFonts w:hint="eastAsia" w:eastAsia="仿宋"/>
          <w:spacing w:val="2"/>
          <w:szCs w:val="32"/>
          <w:highlight w:val="none"/>
          <w:u w:val="none"/>
        </w:rPr>
        <w:t>大数据部门</w:t>
      </w:r>
      <w:r>
        <w:rPr>
          <w:color w:val="auto"/>
          <w:highlight w:val="none"/>
          <w:u w:val="none"/>
        </w:rPr>
        <w:t>应当按照相关要求，</w:t>
      </w:r>
      <w:r>
        <w:rPr>
          <w:highlight w:val="none"/>
          <w:u w:val="none"/>
        </w:rPr>
        <w:t>根据行政机关、公共企事业单位报送的公共数据目录，</w:t>
      </w:r>
      <w:r>
        <w:rPr>
          <w:rFonts w:hint="eastAsia"/>
          <w:highlight w:val="none"/>
          <w:u w:val="none"/>
          <w:lang w:val="en-US" w:eastAsia="zh-CN"/>
        </w:rPr>
        <w:t>经</w:t>
      </w:r>
      <w:r>
        <w:rPr>
          <w:highlight w:val="none"/>
          <w:u w:val="none"/>
        </w:rPr>
        <w:t>审核、汇总后形成</w:t>
      </w:r>
      <w:r>
        <w:rPr>
          <w:rFonts w:hint="eastAsia"/>
          <w:highlight w:val="none"/>
          <w:u w:val="none"/>
        </w:rPr>
        <w:t>贵阳贵安公共数据</w:t>
      </w:r>
      <w:r>
        <w:rPr>
          <w:highlight w:val="none"/>
          <w:u w:val="none"/>
        </w:rPr>
        <w:t>目录</w:t>
      </w:r>
      <w:r>
        <w:rPr>
          <w:color w:val="auto"/>
          <w:highlight w:val="none"/>
          <w:u w:val="none"/>
        </w:rPr>
        <w:t>。</w:t>
      </w:r>
    </w:p>
    <w:p>
      <w:pPr>
        <w:widowControl w:val="0"/>
        <w:kinsoku w:val="0"/>
        <w:ind w:firstLine="644"/>
        <w:jc w:val="left"/>
        <w:rPr>
          <w:rFonts w:ascii="Times New Roman" w:hAnsi="Times New Roman" w:cs="Times New Roman"/>
          <w:color w:val="auto"/>
          <w:highlight w:val="none"/>
          <w:u w:val="none"/>
        </w:rPr>
      </w:pPr>
      <w:r>
        <w:rPr>
          <w:rFonts w:ascii="Times New Roman" w:hAnsi="Times New Roman" w:eastAsia="黑体" w:cs="Times New Roman"/>
          <w:spacing w:val="2"/>
          <w:szCs w:val="32"/>
          <w:highlight w:val="none"/>
          <w:u w:val="none"/>
        </w:rPr>
        <w:t>第十</w:t>
      </w:r>
      <w:r>
        <w:rPr>
          <w:rFonts w:hint="eastAsia" w:ascii="Times New Roman" w:hAnsi="Times New Roman" w:eastAsia="黑体" w:cs="Times New Roman"/>
          <w:spacing w:val="2"/>
          <w:szCs w:val="32"/>
          <w:highlight w:val="none"/>
          <w:u w:val="none"/>
        </w:rPr>
        <w:t>一</w:t>
      </w:r>
      <w:r>
        <w:rPr>
          <w:rFonts w:ascii="Times New Roman" w:hAnsi="Times New Roman" w:eastAsia="黑体" w:cs="Times New Roman"/>
          <w:spacing w:val="2"/>
          <w:szCs w:val="32"/>
          <w:highlight w:val="none"/>
          <w:u w:val="none"/>
        </w:rPr>
        <w:t>条</w:t>
      </w:r>
      <w:r>
        <w:rPr>
          <w:rFonts w:hint="eastAsia" w:ascii="仿宋_GB2312" w:hAnsi="仿宋_GB2312" w:cs="仿宋_GB2312"/>
          <w:spacing w:val="8"/>
          <w:szCs w:val="32"/>
          <w:highlight w:val="none"/>
          <w:u w:val="none"/>
        </w:rPr>
        <w:t>【</w:t>
      </w:r>
      <w:r>
        <w:rPr>
          <w:rFonts w:hint="eastAsia" w:ascii="仿宋_GB2312" w:hAnsi="仿宋_GB2312" w:cs="仿宋_GB2312"/>
          <w:color w:val="auto"/>
          <w:highlight w:val="none"/>
          <w:u w:val="none"/>
        </w:rPr>
        <w:t>责任清单】</w:t>
      </w:r>
      <w:r>
        <w:rPr>
          <w:rFonts w:hint="eastAsia"/>
          <w:highlight w:val="none"/>
          <w:u w:val="none"/>
        </w:rPr>
        <w:t>大数据部门应当根据省级公共数据共享、开放目录编制指南，发布本级公共数据共享、开放责任清单。</w:t>
      </w:r>
    </w:p>
    <w:p>
      <w:pPr>
        <w:widowControl w:val="0"/>
        <w:kinsoku w:val="0"/>
        <w:ind w:firstLine="644"/>
        <w:rPr>
          <w:highlight w:val="none"/>
          <w:u w:val="none"/>
        </w:rPr>
      </w:pPr>
      <w:r>
        <w:rPr>
          <w:rFonts w:eastAsia="黑体"/>
          <w:spacing w:val="2"/>
          <w:szCs w:val="32"/>
          <w:highlight w:val="none"/>
          <w:u w:val="none"/>
        </w:rPr>
        <w:t>第十</w:t>
      </w:r>
      <w:r>
        <w:rPr>
          <w:rFonts w:hint="eastAsia" w:eastAsia="黑体"/>
          <w:spacing w:val="2"/>
          <w:szCs w:val="32"/>
          <w:highlight w:val="none"/>
          <w:u w:val="none"/>
        </w:rPr>
        <w:t>二</w:t>
      </w:r>
      <w:r>
        <w:rPr>
          <w:rFonts w:eastAsia="黑体"/>
          <w:spacing w:val="2"/>
          <w:szCs w:val="32"/>
          <w:highlight w:val="none"/>
          <w:u w:val="none"/>
        </w:rPr>
        <w:t>条</w:t>
      </w:r>
      <w:r>
        <w:rPr>
          <w:rFonts w:hint="eastAsia" w:ascii="仿宋_GB2312" w:hAnsi="仿宋_GB2312" w:cs="仿宋_GB2312"/>
          <w:spacing w:val="8"/>
          <w:szCs w:val="32"/>
          <w:highlight w:val="none"/>
          <w:u w:val="none"/>
        </w:rPr>
        <w:t>【</w:t>
      </w:r>
      <w:r>
        <w:rPr>
          <w:rFonts w:hint="eastAsia" w:ascii="仿宋_GB2312" w:hAnsi="仿宋_GB2312" w:cs="仿宋_GB2312"/>
          <w:highlight w:val="none"/>
          <w:u w:val="none"/>
        </w:rPr>
        <w:t>负面清单</w:t>
      </w:r>
      <w:r>
        <w:rPr>
          <w:highlight w:val="none"/>
          <w:u w:val="none"/>
        </w:rPr>
        <w:t>】</w:t>
      </w:r>
      <w:r>
        <w:rPr>
          <w:rFonts w:hint="eastAsia"/>
          <w:highlight w:val="none"/>
          <w:u w:val="none"/>
        </w:rPr>
        <w:t>公共数据共享开放实行负面清单管理，大数据部门根据</w:t>
      </w:r>
      <w:r>
        <w:rPr>
          <w:rFonts w:hint="eastAsia"/>
          <w:szCs w:val="32"/>
          <w:highlight w:val="none"/>
          <w:u w:val="none"/>
        </w:rPr>
        <w:t>各行政机关、公共企事业单位编制的公共数据共享开放负面清单，汇总审核后</w:t>
      </w:r>
      <w:r>
        <w:rPr>
          <w:rFonts w:hint="eastAsia"/>
          <w:highlight w:val="none"/>
          <w:u w:val="none"/>
        </w:rPr>
        <w:t>形成贵阳贵安公共数据共享开放负面清单，报贵阳市人民政府（贵安新区管理委员会）审定，纳入贵阳贵安公共数据共享开放负面清单的数据不予共享开放。</w:t>
      </w:r>
    </w:p>
    <w:p>
      <w:pPr>
        <w:widowControl w:val="0"/>
        <w:kinsoku w:val="0"/>
        <w:ind w:firstLine="644"/>
        <w:jc w:val="left"/>
        <w:rPr>
          <w:highlight w:val="none"/>
          <w:u w:val="none"/>
        </w:rPr>
      </w:pPr>
      <w:r>
        <w:rPr>
          <w:rFonts w:eastAsia="黑体"/>
          <w:spacing w:val="2"/>
          <w:szCs w:val="32"/>
          <w:highlight w:val="none"/>
          <w:u w:val="none"/>
        </w:rPr>
        <w:t>第</w:t>
      </w:r>
      <w:r>
        <w:rPr>
          <w:rFonts w:hint="eastAsia" w:eastAsia="黑体"/>
          <w:spacing w:val="2"/>
          <w:szCs w:val="32"/>
          <w:highlight w:val="none"/>
          <w:u w:val="none"/>
        </w:rPr>
        <w:t>十三</w:t>
      </w:r>
      <w:r>
        <w:rPr>
          <w:rFonts w:eastAsia="黑体"/>
          <w:spacing w:val="2"/>
          <w:szCs w:val="32"/>
          <w:highlight w:val="none"/>
          <w:u w:val="none"/>
        </w:rPr>
        <w:t>条</w:t>
      </w:r>
      <w:r>
        <w:rPr>
          <w:highlight w:val="none"/>
          <w:u w:val="none"/>
        </w:rPr>
        <w:t>【</w:t>
      </w:r>
      <w:r>
        <w:rPr>
          <w:rFonts w:hint="eastAsia"/>
          <w:highlight w:val="none"/>
          <w:u w:val="none"/>
        </w:rPr>
        <w:t>动态更新</w:t>
      </w:r>
      <w:r>
        <w:rPr>
          <w:highlight w:val="none"/>
          <w:u w:val="none"/>
        </w:rPr>
        <w:t>】</w:t>
      </w:r>
      <w:r>
        <w:rPr>
          <w:rFonts w:hint="eastAsia"/>
          <w:highlight w:val="none"/>
          <w:u w:val="none"/>
        </w:rPr>
        <w:t>公共数据目录、责任清单、负面清单实行动态更新，因</w:t>
      </w:r>
      <w:r>
        <w:rPr>
          <w:highlight w:val="none"/>
          <w:u w:val="none"/>
        </w:rPr>
        <w:t>法律、法规、规章依据或者法定职能发生变化的，行政机关和公共企事业单位应当</w:t>
      </w:r>
      <w:r>
        <w:rPr>
          <w:rFonts w:hint="eastAsia" w:ascii="仿宋_GB2312" w:hAnsi="仿宋_GB2312" w:cs="仿宋_GB2312"/>
          <w:highlight w:val="none"/>
          <w:u w:val="none"/>
        </w:rPr>
        <w:t>在10</w:t>
      </w:r>
      <w:r>
        <w:rPr>
          <w:highlight w:val="none"/>
          <w:u w:val="none"/>
        </w:rPr>
        <w:t>个工作日内</w:t>
      </w:r>
      <w:r>
        <w:rPr>
          <w:rFonts w:hint="eastAsia"/>
          <w:highlight w:val="none"/>
          <w:u w:val="none"/>
          <w:lang w:val="en-US" w:eastAsia="zh-CN"/>
        </w:rPr>
        <w:t>进行</w:t>
      </w:r>
      <w:r>
        <w:rPr>
          <w:highlight w:val="none"/>
          <w:u w:val="none"/>
        </w:rPr>
        <w:t>更新，并报同级</w:t>
      </w:r>
      <w:r>
        <w:rPr>
          <w:rFonts w:hint="eastAsia"/>
          <w:highlight w:val="none"/>
          <w:u w:val="none"/>
        </w:rPr>
        <w:t>大数据部门</w:t>
      </w:r>
      <w:r>
        <w:rPr>
          <w:highlight w:val="none"/>
          <w:u w:val="none"/>
        </w:rPr>
        <w:t>审核</w:t>
      </w:r>
      <w:r>
        <w:rPr>
          <w:rFonts w:hint="eastAsia"/>
          <w:highlight w:val="none"/>
          <w:u w:val="none"/>
        </w:rPr>
        <w:t>；各</w:t>
      </w:r>
      <w:r>
        <w:rPr>
          <w:rFonts w:hint="eastAsia"/>
          <w:szCs w:val="32"/>
          <w:highlight w:val="none"/>
          <w:u w:val="none"/>
        </w:rPr>
        <w:t>行政机关、公共企事业单位应当按照国家、省有关规定对其收集、产生的公共数据进行评估，科学合理确定数据共享类型</w:t>
      </w:r>
      <w:r>
        <w:rPr>
          <w:rFonts w:hint="eastAsia"/>
          <w:szCs w:val="32"/>
          <w:highlight w:val="none"/>
          <w:u w:val="none"/>
          <w:lang w:eastAsia="zh-CN"/>
        </w:rPr>
        <w:t>，</w:t>
      </w:r>
      <w:r>
        <w:rPr>
          <w:rFonts w:hint="eastAsia"/>
          <w:szCs w:val="32"/>
          <w:highlight w:val="none"/>
          <w:u w:val="none"/>
        </w:rPr>
        <w:t>扩大数据开放范围。</w:t>
      </w:r>
    </w:p>
    <w:p>
      <w:pPr>
        <w:widowControl/>
        <w:kinsoku/>
        <w:ind w:firstLine="648"/>
        <w:rPr>
          <w:highlight w:val="none"/>
          <w:u w:val="none"/>
          <w:lang w:bidi="ar"/>
        </w:rPr>
      </w:pPr>
      <w:r>
        <w:rPr>
          <w:rFonts w:eastAsia="黑体"/>
          <w:spacing w:val="2"/>
          <w:szCs w:val="32"/>
          <w:highlight w:val="none"/>
          <w:u w:val="none"/>
        </w:rPr>
        <w:t>第十</w:t>
      </w:r>
      <w:r>
        <w:rPr>
          <w:rFonts w:hint="eastAsia" w:eastAsia="黑体"/>
          <w:spacing w:val="2"/>
          <w:szCs w:val="32"/>
          <w:highlight w:val="none"/>
          <w:u w:val="none"/>
        </w:rPr>
        <w:t>四</w:t>
      </w:r>
      <w:r>
        <w:rPr>
          <w:rFonts w:eastAsia="黑体"/>
          <w:spacing w:val="2"/>
          <w:szCs w:val="32"/>
          <w:highlight w:val="none"/>
          <w:u w:val="none"/>
        </w:rPr>
        <w:t>条</w:t>
      </w:r>
      <w:r>
        <w:rPr>
          <w:highlight w:val="none"/>
          <w:u w:val="none"/>
        </w:rPr>
        <w:t>【</w:t>
      </w:r>
      <w:r>
        <w:rPr>
          <w:rFonts w:hint="eastAsia"/>
          <w:highlight w:val="none"/>
          <w:u w:val="none"/>
          <w:lang w:val="en-US" w:eastAsia="zh-CN"/>
        </w:rPr>
        <w:t>项目实施要求</w:t>
      </w:r>
      <w:r>
        <w:rPr>
          <w:highlight w:val="none"/>
          <w:u w:val="none"/>
        </w:rPr>
        <w:t>】</w:t>
      </w:r>
      <w:r>
        <w:rPr>
          <w:rFonts w:hint="eastAsia" w:ascii="仿宋_GB2312" w:hAnsi="宋体" w:cs="仿宋_GB2312"/>
          <w:snapToGrid w:val="0"/>
          <w:color w:val="000000"/>
          <w:kern w:val="0"/>
          <w:sz w:val="31"/>
          <w:szCs w:val="31"/>
          <w:highlight w:val="none"/>
          <w:lang w:val="en-US" w:eastAsia="zh-CN" w:bidi="ar"/>
        </w:rPr>
        <w:t>行政机关和公共企事业单位应当将</w:t>
      </w:r>
      <w:r>
        <w:rPr>
          <w:rFonts w:ascii="仿宋_GB2312" w:hAnsi="宋体" w:eastAsia="仿宋_GB2312" w:cs="仿宋_GB2312"/>
          <w:snapToGrid w:val="0"/>
          <w:color w:val="000000"/>
          <w:kern w:val="0"/>
          <w:sz w:val="31"/>
          <w:szCs w:val="31"/>
          <w:highlight w:val="none"/>
          <w:lang w:val="en-US" w:eastAsia="zh-CN" w:bidi="ar"/>
        </w:rPr>
        <w:t>公</w:t>
      </w:r>
      <w:r>
        <w:rPr>
          <w:rFonts w:hint="eastAsia" w:ascii="仿宋_GB2312" w:hAnsi="宋体" w:eastAsia="仿宋_GB2312" w:cs="仿宋_GB2312"/>
          <w:snapToGrid w:val="0"/>
          <w:color w:val="000000"/>
          <w:kern w:val="0"/>
          <w:sz w:val="31"/>
          <w:szCs w:val="31"/>
          <w:highlight w:val="none"/>
          <w:lang w:val="en-US" w:eastAsia="zh-CN" w:bidi="ar"/>
        </w:rPr>
        <w:t>共数据编目</w:t>
      </w:r>
      <w:r>
        <w:rPr>
          <w:rFonts w:hint="eastAsia" w:ascii="仿宋_GB2312" w:hAnsi="宋体" w:cs="仿宋_GB2312"/>
          <w:snapToGrid w:val="0"/>
          <w:color w:val="000000"/>
          <w:kern w:val="0"/>
          <w:sz w:val="31"/>
          <w:szCs w:val="31"/>
          <w:highlight w:val="none"/>
          <w:lang w:val="en-US" w:eastAsia="zh-CN" w:bidi="ar"/>
        </w:rPr>
        <w:t>、更新</w:t>
      </w:r>
      <w:r>
        <w:rPr>
          <w:rFonts w:hint="eastAsia" w:ascii="仿宋_GB2312" w:hAnsi="宋体" w:eastAsia="仿宋_GB2312" w:cs="仿宋_GB2312"/>
          <w:snapToGrid w:val="0"/>
          <w:color w:val="000000"/>
          <w:kern w:val="0"/>
          <w:sz w:val="31"/>
          <w:szCs w:val="31"/>
          <w:highlight w:val="none"/>
          <w:lang w:val="en-US" w:eastAsia="zh-CN" w:bidi="ar"/>
        </w:rPr>
        <w:t>、采集、归集、共享、开放开发等公共数据资源体系建设内容</w:t>
      </w:r>
      <w:r>
        <w:rPr>
          <w:rFonts w:hint="eastAsia" w:ascii="仿宋_GB2312" w:hAnsi="宋体" w:cs="仿宋_GB2312"/>
          <w:sz w:val="31"/>
          <w:szCs w:val="31"/>
          <w:highlight w:val="none"/>
          <w:lang w:bidi="ar"/>
        </w:rPr>
        <w:t>作为</w:t>
      </w:r>
      <w:r>
        <w:rPr>
          <w:rFonts w:hint="eastAsia" w:ascii="仿宋_GB2312" w:hAnsi="宋体" w:cs="仿宋_GB2312"/>
          <w:sz w:val="31"/>
          <w:szCs w:val="31"/>
          <w:highlight w:val="none"/>
          <w:lang w:val="en-US" w:eastAsia="zh-CN" w:bidi="ar"/>
        </w:rPr>
        <w:t>政务</w:t>
      </w:r>
      <w:r>
        <w:rPr>
          <w:rFonts w:hint="eastAsia" w:ascii="仿宋_GB2312" w:hAnsi="宋体" w:cs="仿宋_GB2312"/>
          <w:sz w:val="31"/>
          <w:szCs w:val="31"/>
          <w:highlight w:val="none"/>
          <w:lang w:bidi="ar"/>
        </w:rPr>
        <w:t>信息化项目立项审核</w:t>
      </w:r>
      <w:r>
        <w:rPr>
          <w:rFonts w:hint="eastAsia" w:ascii="仿宋_GB2312" w:hAnsi="宋体" w:cs="仿宋_GB2312"/>
          <w:sz w:val="31"/>
          <w:szCs w:val="31"/>
          <w:highlight w:val="none"/>
          <w:lang w:val="en-US" w:eastAsia="zh-CN" w:bidi="ar"/>
        </w:rPr>
        <w:t>及验收</w:t>
      </w:r>
      <w:r>
        <w:rPr>
          <w:rFonts w:hint="eastAsia" w:ascii="仿宋_GB2312" w:hAnsi="宋体" w:cs="仿宋_GB2312"/>
          <w:sz w:val="31"/>
          <w:szCs w:val="31"/>
          <w:highlight w:val="none"/>
          <w:lang w:bidi="ar"/>
        </w:rPr>
        <w:t>的重要依据</w:t>
      </w:r>
      <w:r>
        <w:rPr>
          <w:rFonts w:hint="eastAsia" w:ascii="仿宋_GB2312" w:hAnsi="宋体" w:cs="仿宋_GB2312"/>
          <w:sz w:val="31"/>
          <w:szCs w:val="31"/>
          <w:highlight w:val="none"/>
          <w:lang w:eastAsia="zh-CN" w:bidi="ar"/>
        </w:rPr>
        <w:t>。</w:t>
      </w:r>
    </w:p>
    <w:p>
      <w:pPr>
        <w:widowControl w:val="0"/>
        <w:kinsoku w:val="0"/>
        <w:ind w:firstLine="640" w:firstLineChars="200"/>
        <w:jc w:val="left"/>
        <w:rPr>
          <w:highlight w:val="none"/>
          <w:u w:val="none"/>
        </w:rPr>
      </w:pPr>
    </w:p>
    <w:p>
      <w:pPr>
        <w:pStyle w:val="3"/>
        <w:autoSpaceDE/>
        <w:autoSpaceDN/>
        <w:ind w:firstLine="0" w:firstLineChars="0"/>
        <w:jc w:val="center"/>
        <w:rPr>
          <w:highlight w:val="none"/>
          <w:u w:val="none"/>
        </w:rPr>
      </w:pPr>
      <w:r>
        <w:rPr>
          <w:highlight w:val="none"/>
          <w:u w:val="none"/>
        </w:rPr>
        <w:t>第三章 数据资源汇聚</w:t>
      </w:r>
    </w:p>
    <w:p>
      <w:pPr>
        <w:widowControl w:val="0"/>
        <w:kinsoku w:val="0"/>
        <w:ind w:firstLine="624"/>
        <w:rPr>
          <w:highlight w:val="none"/>
          <w:u w:val="none"/>
        </w:rPr>
      </w:pPr>
      <w:r>
        <w:rPr>
          <w:rFonts w:eastAsia="黑体"/>
          <w:spacing w:val="-8"/>
          <w:szCs w:val="32"/>
          <w:highlight w:val="none"/>
          <w:u w:val="none"/>
        </w:rPr>
        <w:t>第十</w:t>
      </w:r>
      <w:r>
        <w:rPr>
          <w:rFonts w:hint="eastAsia" w:eastAsia="黑体"/>
          <w:spacing w:val="-8"/>
          <w:szCs w:val="32"/>
          <w:highlight w:val="none"/>
          <w:u w:val="none"/>
        </w:rPr>
        <w:t>五</w:t>
      </w:r>
      <w:r>
        <w:rPr>
          <w:rFonts w:eastAsia="黑体"/>
          <w:spacing w:val="-4"/>
          <w:szCs w:val="32"/>
          <w:highlight w:val="none"/>
          <w:u w:val="none"/>
        </w:rPr>
        <w:t>条</w:t>
      </w:r>
      <w:r>
        <w:rPr>
          <w:color w:val="auto"/>
          <w:highlight w:val="none"/>
          <w:u w:val="none"/>
        </w:rPr>
        <w:t>【采集</w:t>
      </w:r>
      <w:r>
        <w:rPr>
          <w:rFonts w:hint="eastAsia"/>
          <w:color w:val="auto"/>
          <w:highlight w:val="none"/>
          <w:u w:val="none"/>
        </w:rPr>
        <w:t>原则</w:t>
      </w:r>
      <w:r>
        <w:rPr>
          <w:color w:val="auto"/>
          <w:highlight w:val="none"/>
          <w:u w:val="none"/>
        </w:rPr>
        <w:t>】</w:t>
      </w:r>
      <w:r>
        <w:rPr>
          <w:highlight w:val="none"/>
          <w:u w:val="none"/>
        </w:rPr>
        <w:t>各行政机关</w:t>
      </w:r>
      <w:r>
        <w:rPr>
          <w:rFonts w:hint="eastAsia"/>
          <w:highlight w:val="none"/>
          <w:u w:val="none"/>
        </w:rPr>
        <w:t>、</w:t>
      </w:r>
      <w:bookmarkStart w:id="0" w:name="_Hlk149258916"/>
      <w:r>
        <w:rPr>
          <w:highlight w:val="none"/>
          <w:u w:val="none"/>
        </w:rPr>
        <w:t>公共企事业单位</w:t>
      </w:r>
      <w:bookmarkEnd w:id="0"/>
      <w:r>
        <w:rPr>
          <w:highlight w:val="none"/>
          <w:u w:val="none"/>
        </w:rPr>
        <w:t>应当遵循</w:t>
      </w:r>
      <w:r>
        <w:rPr>
          <w:rFonts w:hint="eastAsia"/>
          <w:highlight w:val="none"/>
          <w:u w:val="none"/>
        </w:rPr>
        <w:t>“</w:t>
      </w:r>
      <w:r>
        <w:rPr>
          <w:highlight w:val="none"/>
          <w:u w:val="none"/>
        </w:rPr>
        <w:t>一数一源、一源多用</w:t>
      </w:r>
      <w:r>
        <w:rPr>
          <w:rFonts w:hint="eastAsia"/>
          <w:highlight w:val="none"/>
          <w:u w:val="none"/>
        </w:rPr>
        <w:t>”</w:t>
      </w:r>
      <w:r>
        <w:rPr>
          <w:highlight w:val="none"/>
          <w:u w:val="none"/>
        </w:rPr>
        <w:t>原则</w:t>
      </w:r>
      <w:r>
        <w:rPr>
          <w:rFonts w:hint="eastAsia"/>
          <w:highlight w:val="none"/>
          <w:u w:val="none"/>
        </w:rPr>
        <w:t>，新建系统时明确系统采集数据的内容及范围，按照法定权限、范围、程序和标准规范采集公共数据。</w:t>
      </w:r>
    </w:p>
    <w:p>
      <w:pPr>
        <w:widowControl w:val="0"/>
        <w:kinsoku w:val="0"/>
        <w:ind w:firstLine="640"/>
        <w:jc w:val="left"/>
        <w:rPr>
          <w:highlight w:val="none"/>
          <w:u w:val="none"/>
        </w:rPr>
      </w:pPr>
      <w:r>
        <w:rPr>
          <w:highlight w:val="none"/>
          <w:u w:val="none"/>
        </w:rPr>
        <w:t>可以通过共享获取的公共数据，不得重复采集、多头采集</w:t>
      </w:r>
      <w:r>
        <w:rPr>
          <w:rFonts w:hint="eastAsia"/>
          <w:highlight w:val="none"/>
          <w:u w:val="none"/>
        </w:rPr>
        <w:t>。</w:t>
      </w:r>
    </w:p>
    <w:p>
      <w:pPr>
        <w:widowControl w:val="0"/>
        <w:kinsoku w:val="0"/>
        <w:ind w:firstLine="624"/>
        <w:jc w:val="left"/>
        <w:rPr>
          <w:highlight w:val="none"/>
          <w:u w:val="none"/>
        </w:rPr>
      </w:pPr>
      <w:r>
        <w:rPr>
          <w:rFonts w:eastAsia="黑体"/>
          <w:spacing w:val="-8"/>
          <w:szCs w:val="32"/>
          <w:highlight w:val="none"/>
          <w:u w:val="none"/>
        </w:rPr>
        <w:t>第十</w:t>
      </w:r>
      <w:r>
        <w:rPr>
          <w:rFonts w:hint="eastAsia" w:eastAsia="黑体"/>
          <w:spacing w:val="-8"/>
          <w:szCs w:val="32"/>
          <w:highlight w:val="none"/>
          <w:u w:val="none"/>
        </w:rPr>
        <w:t>六</w:t>
      </w:r>
      <w:r>
        <w:rPr>
          <w:rFonts w:eastAsia="黑体"/>
          <w:spacing w:val="-4"/>
          <w:szCs w:val="32"/>
          <w:highlight w:val="none"/>
          <w:u w:val="none"/>
        </w:rPr>
        <w:t>条</w:t>
      </w:r>
      <w:r>
        <w:rPr>
          <w:rFonts w:hint="eastAsia"/>
          <w:highlight w:val="none"/>
          <w:u w:val="none"/>
        </w:rPr>
        <w:t>【数据采集】</w:t>
      </w:r>
      <w:r>
        <w:rPr>
          <w:highlight w:val="none"/>
          <w:u w:val="none"/>
        </w:rPr>
        <w:t>自然人数据应当以居民身份证号码或者个人其他有效身份证件号码作为标识进行采集</w:t>
      </w:r>
      <w:r>
        <w:rPr>
          <w:rFonts w:hint="eastAsia"/>
          <w:highlight w:val="none"/>
          <w:u w:val="none"/>
        </w:rPr>
        <w:t>；</w:t>
      </w:r>
      <w:r>
        <w:rPr>
          <w:highlight w:val="none"/>
          <w:u w:val="none"/>
        </w:rPr>
        <w:t>法人及其他组织数据应当以统一社会信用代码</w:t>
      </w:r>
      <w:r>
        <w:rPr>
          <w:rFonts w:ascii="仿宋_GB2312" w:cs="仿宋_GB2312"/>
          <w:highlight w:val="none"/>
          <w:u w:val="none"/>
        </w:rPr>
        <w:t>或者其他识别代码</w:t>
      </w:r>
      <w:r>
        <w:rPr>
          <w:highlight w:val="none"/>
          <w:u w:val="none"/>
        </w:rPr>
        <w:t>作为标识进行采集。</w:t>
      </w:r>
      <w:r>
        <w:rPr>
          <w:rFonts w:hint="eastAsia"/>
          <w:highlight w:val="none"/>
          <w:u w:val="none"/>
        </w:rPr>
        <w:t>收集的公共数据涉及个人信息的，应当限于实现处理目的的最小范围，不得过度收集。</w:t>
      </w:r>
    </w:p>
    <w:p>
      <w:pPr>
        <w:widowControl/>
        <w:kinsoku/>
        <w:autoSpaceDE/>
        <w:autoSpaceDN/>
        <w:ind w:firstLine="648" w:firstLineChars="200"/>
        <w:jc w:val="left"/>
        <w:rPr>
          <w:rFonts w:hint="default"/>
          <w:highlight w:val="none"/>
          <w:u w:val="none"/>
          <w:lang w:val="en-US"/>
        </w:rPr>
      </w:pPr>
      <w:r>
        <w:rPr>
          <w:rFonts w:eastAsia="黑体"/>
          <w:spacing w:val="2"/>
          <w:szCs w:val="32"/>
          <w:highlight w:val="none"/>
          <w:u w:val="none"/>
        </w:rPr>
        <w:t>第十</w:t>
      </w:r>
      <w:r>
        <w:rPr>
          <w:rFonts w:hint="eastAsia" w:eastAsia="黑体"/>
          <w:spacing w:val="2"/>
          <w:szCs w:val="32"/>
          <w:highlight w:val="none"/>
          <w:u w:val="none"/>
        </w:rPr>
        <w:t>七</w:t>
      </w:r>
      <w:r>
        <w:rPr>
          <w:rFonts w:eastAsia="黑体"/>
          <w:spacing w:val="2"/>
          <w:szCs w:val="32"/>
          <w:highlight w:val="none"/>
          <w:u w:val="none"/>
        </w:rPr>
        <w:t>条</w:t>
      </w:r>
      <w:r>
        <w:rPr>
          <w:color w:val="auto"/>
          <w:highlight w:val="none"/>
          <w:u w:val="none"/>
        </w:rPr>
        <w:t>【</w:t>
      </w:r>
      <w:r>
        <w:rPr>
          <w:rFonts w:hint="eastAsia"/>
          <w:color w:val="auto"/>
          <w:highlight w:val="none"/>
          <w:u w:val="none"/>
        </w:rPr>
        <w:t>数据归集</w:t>
      </w:r>
      <w:r>
        <w:rPr>
          <w:color w:val="auto"/>
          <w:highlight w:val="none"/>
          <w:u w:val="none"/>
        </w:rPr>
        <w:t>】</w:t>
      </w:r>
      <w:r>
        <w:rPr>
          <w:rFonts w:ascii="仿宋_GB2312" w:hAnsi="宋体" w:eastAsia="仿宋_GB2312" w:cs="仿宋_GB2312"/>
          <w:snapToGrid w:val="0"/>
          <w:color w:val="000000"/>
          <w:kern w:val="0"/>
          <w:sz w:val="31"/>
          <w:szCs w:val="31"/>
          <w:highlight w:val="none"/>
          <w:lang w:val="en-US" w:eastAsia="zh-CN" w:bidi="ar"/>
        </w:rPr>
        <w:t>按照物理归集为主，逻辑接入为辅的方式，</w:t>
      </w:r>
      <w:r>
        <w:rPr>
          <w:rFonts w:hint="eastAsia" w:ascii="仿宋_GB2312" w:hAnsi="宋体" w:cs="仿宋_GB2312"/>
          <w:sz w:val="31"/>
          <w:szCs w:val="31"/>
          <w:highlight w:val="none"/>
          <w:lang w:bidi="ar"/>
        </w:rPr>
        <w:t>推动公共数据全量归集，应归尽归。</w:t>
      </w:r>
      <w:r>
        <w:rPr>
          <w:color w:val="auto"/>
          <w:highlight w:val="none"/>
          <w:u w:val="none"/>
        </w:rPr>
        <w:t>各行政机关</w:t>
      </w:r>
      <w:r>
        <w:rPr>
          <w:rFonts w:hint="eastAsia"/>
          <w:color w:val="auto"/>
          <w:highlight w:val="none"/>
          <w:u w:val="none"/>
        </w:rPr>
        <w:t>根据公共数据目录，</w:t>
      </w:r>
      <w:r>
        <w:rPr>
          <w:rFonts w:ascii="仿宋_GB2312" w:hAnsi="宋体" w:cs="仿宋_GB2312"/>
          <w:sz w:val="31"/>
          <w:szCs w:val="31"/>
          <w:highlight w:val="none"/>
          <w:u w:val="none"/>
          <w:lang w:bidi="ar"/>
        </w:rPr>
        <w:t>通过</w:t>
      </w:r>
      <w:r>
        <w:rPr>
          <w:rFonts w:hint="eastAsia" w:cs="Times New Roman"/>
          <w:color w:val="auto"/>
          <w:highlight w:val="none"/>
          <w:u w:val="none"/>
          <w:lang w:eastAsia="zh-CN"/>
        </w:rPr>
        <w:t>公共数据平台</w:t>
      </w:r>
      <w:r>
        <w:rPr>
          <w:rFonts w:hint="eastAsia" w:cs="Times New Roman"/>
          <w:color w:val="auto"/>
          <w:highlight w:val="none"/>
          <w:u w:val="none"/>
        </w:rPr>
        <w:t>向同级大数据部门全量归集数据</w:t>
      </w:r>
      <w:r>
        <w:rPr>
          <w:highlight w:val="none"/>
          <w:u w:val="none"/>
        </w:rPr>
        <w:t>。</w:t>
      </w:r>
      <w:r>
        <w:rPr>
          <w:rFonts w:hint="eastAsia"/>
          <w:highlight w:val="none"/>
          <w:u w:val="none"/>
        </w:rPr>
        <w:t>教育、医疗、公共交通等事业单位通过行业牵头机关向同级大数据部门全量归集数据。供水、供电、供气等公共企业单位通过自建企业数据专区全量归集数据，并将企业数据专区与</w:t>
      </w:r>
      <w:r>
        <w:rPr>
          <w:rFonts w:hint="eastAsia" w:cs="Times New Roman"/>
          <w:color w:val="auto"/>
          <w:highlight w:val="none"/>
          <w:u w:val="none"/>
          <w:lang w:eastAsia="zh-CN"/>
        </w:rPr>
        <w:t>公共数据平台</w:t>
      </w:r>
      <w:r>
        <w:rPr>
          <w:rFonts w:hint="eastAsia" w:cs="Times New Roman"/>
          <w:color w:val="auto"/>
          <w:highlight w:val="none"/>
          <w:u w:val="none"/>
        </w:rPr>
        <w:t>打通</w:t>
      </w:r>
      <w:r>
        <w:rPr>
          <w:rFonts w:hint="eastAsia"/>
          <w:highlight w:val="none"/>
          <w:u w:val="none"/>
        </w:rPr>
        <w:t>。</w:t>
      </w:r>
    </w:p>
    <w:p>
      <w:pPr>
        <w:widowControl w:val="0"/>
        <w:kinsoku w:val="0"/>
        <w:ind w:firstLine="644"/>
        <w:jc w:val="left"/>
        <w:rPr>
          <w:highlight w:val="none"/>
          <w:u w:val="none"/>
        </w:rPr>
      </w:pPr>
      <w:r>
        <w:rPr>
          <w:rFonts w:eastAsia="黑体"/>
          <w:spacing w:val="2"/>
          <w:szCs w:val="32"/>
          <w:highlight w:val="none"/>
          <w:u w:val="none"/>
        </w:rPr>
        <w:t>第十</w:t>
      </w:r>
      <w:r>
        <w:rPr>
          <w:rFonts w:hint="eastAsia" w:eastAsia="黑体"/>
          <w:spacing w:val="2"/>
          <w:szCs w:val="32"/>
          <w:highlight w:val="none"/>
          <w:u w:val="none"/>
        </w:rPr>
        <w:t>八</w:t>
      </w:r>
      <w:r>
        <w:rPr>
          <w:rFonts w:eastAsia="黑体"/>
          <w:spacing w:val="2"/>
          <w:szCs w:val="32"/>
          <w:highlight w:val="none"/>
          <w:u w:val="none"/>
        </w:rPr>
        <w:t>条</w:t>
      </w:r>
      <w:r>
        <w:rPr>
          <w:color w:val="auto"/>
          <w:highlight w:val="none"/>
          <w:u w:val="none"/>
        </w:rPr>
        <w:t>【数据库建设】</w:t>
      </w:r>
      <w:r>
        <w:rPr>
          <w:rFonts w:hint="eastAsia"/>
          <w:color w:val="auto"/>
          <w:highlight w:val="none"/>
          <w:u w:val="none"/>
        </w:rPr>
        <w:t>大数据部门会同各行政机关、公共企事业单位</w:t>
      </w:r>
      <w:r>
        <w:rPr>
          <w:highlight w:val="none"/>
          <w:u w:val="none"/>
        </w:rPr>
        <w:t>按照“</w:t>
      </w:r>
      <w:r>
        <w:rPr>
          <w:rFonts w:hint="eastAsia"/>
          <w:highlight w:val="none"/>
          <w:u w:val="none"/>
        </w:rPr>
        <w:t>一体布局、共建共用</w:t>
      </w:r>
      <w:r>
        <w:rPr>
          <w:highlight w:val="none"/>
          <w:u w:val="none"/>
        </w:rPr>
        <w:t>”原则，建立完善各类基础、主题数据</w:t>
      </w:r>
      <w:r>
        <w:rPr>
          <w:rFonts w:hint="eastAsia"/>
          <w:highlight w:val="none"/>
          <w:u w:val="none"/>
        </w:rPr>
        <w:t>库</w:t>
      </w:r>
      <w:r>
        <w:rPr>
          <w:highlight w:val="none"/>
          <w:u w:val="none"/>
        </w:rPr>
        <w:t>管理规范</w:t>
      </w:r>
      <w:r>
        <w:rPr>
          <w:rFonts w:hint="eastAsia"/>
          <w:highlight w:val="none"/>
          <w:u w:val="none"/>
        </w:rPr>
        <w:t>。</w:t>
      </w:r>
    </w:p>
    <w:p>
      <w:pPr>
        <w:widowControl w:val="0"/>
        <w:kinsoku w:val="0"/>
        <w:ind w:firstLine="640"/>
        <w:jc w:val="left"/>
        <w:rPr>
          <w:highlight w:val="none"/>
          <w:u w:val="none"/>
        </w:rPr>
      </w:pPr>
      <w:r>
        <w:rPr>
          <w:highlight w:val="none"/>
          <w:u w:val="none"/>
        </w:rPr>
        <w:t>人口信息、法人单位信息、自然资源和空间地理信息、</w:t>
      </w:r>
      <w:r>
        <w:rPr>
          <w:rFonts w:hint="eastAsia"/>
          <w:highlight w:val="none"/>
          <w:u w:val="none"/>
        </w:rPr>
        <w:t>宏观经济、</w:t>
      </w:r>
      <w:r>
        <w:rPr>
          <w:highlight w:val="none"/>
          <w:u w:val="none"/>
        </w:rPr>
        <w:t>电子证照信息等</w:t>
      </w:r>
      <w:r>
        <w:rPr>
          <w:rFonts w:hint="eastAsia"/>
          <w:highlight w:val="none"/>
          <w:u w:val="none"/>
        </w:rPr>
        <w:t>基础数据库，</w:t>
      </w:r>
      <w:r>
        <w:rPr>
          <w:highlight w:val="none"/>
          <w:u w:val="none"/>
        </w:rPr>
        <w:t>由</w:t>
      </w:r>
      <w:r>
        <w:rPr>
          <w:rFonts w:hint="eastAsia"/>
          <w:highlight w:val="none"/>
          <w:u w:val="none"/>
        </w:rPr>
        <w:t>大数据部门</w:t>
      </w:r>
      <w:r>
        <w:rPr>
          <w:highlight w:val="none"/>
          <w:u w:val="none"/>
        </w:rPr>
        <w:t>会同相关行政机关</w:t>
      </w:r>
      <w:r>
        <w:rPr>
          <w:rFonts w:hint="eastAsia"/>
          <w:highlight w:val="none"/>
          <w:u w:val="none"/>
        </w:rPr>
        <w:t>归集、管理和维护。</w:t>
      </w:r>
    </w:p>
    <w:p>
      <w:pPr>
        <w:widowControl w:val="0"/>
        <w:kinsoku w:val="0"/>
        <w:ind w:firstLine="640"/>
        <w:rPr>
          <w:highlight w:val="none"/>
          <w:u w:val="none"/>
        </w:rPr>
      </w:pPr>
      <w:r>
        <w:rPr>
          <w:rFonts w:hint="eastAsia"/>
          <w:highlight w:val="none"/>
          <w:u w:val="none"/>
        </w:rPr>
        <w:t>医疗健康、城市运行、公共交通、市场监管、生态环保、基层治理、社会信用</w:t>
      </w:r>
      <w:r>
        <w:rPr>
          <w:rFonts w:hint="eastAsia" w:ascii="仿宋_GB2312" w:hAnsi="宋体" w:cs="仿宋_GB2312"/>
          <w:sz w:val="31"/>
          <w:szCs w:val="31"/>
          <w:highlight w:val="none"/>
          <w:u w:val="none"/>
          <w:lang w:bidi="ar"/>
        </w:rPr>
        <w:t>等</w:t>
      </w:r>
      <w:r>
        <w:rPr>
          <w:rFonts w:hint="eastAsia"/>
          <w:highlight w:val="none"/>
          <w:u w:val="none"/>
        </w:rPr>
        <w:t>主题数据库，由主要负责的行政机关会同相关行政机关归集、管理和维护。</w:t>
      </w:r>
    </w:p>
    <w:p>
      <w:pPr>
        <w:widowControl w:val="0"/>
        <w:kinsoku w:val="0"/>
        <w:ind w:firstLine="640"/>
        <w:jc w:val="left"/>
        <w:rPr>
          <w:highlight w:val="none"/>
          <w:u w:val="none"/>
        </w:rPr>
      </w:pPr>
      <w:r>
        <w:rPr>
          <w:rFonts w:eastAsia="黑体"/>
          <w:highlight w:val="none"/>
          <w:u w:val="none"/>
        </w:rPr>
        <w:t>第</w:t>
      </w:r>
      <w:r>
        <w:rPr>
          <w:rFonts w:hint="eastAsia" w:eastAsia="黑体"/>
          <w:spacing w:val="8"/>
          <w:highlight w:val="none"/>
          <w:u w:val="none"/>
        </w:rPr>
        <w:t>十九</w:t>
      </w:r>
      <w:r>
        <w:rPr>
          <w:rFonts w:eastAsia="黑体"/>
          <w:highlight w:val="none"/>
          <w:u w:val="none"/>
        </w:rPr>
        <w:t>条</w:t>
      </w:r>
      <w:r>
        <w:rPr>
          <w:highlight w:val="none"/>
          <w:u w:val="none"/>
        </w:rPr>
        <w:t>【统采共用】</w:t>
      </w:r>
      <w:r>
        <w:rPr>
          <w:rFonts w:hint="eastAsia"/>
          <w:highlight w:val="none"/>
          <w:u w:val="none"/>
        </w:rPr>
        <w:t>大数据部门应当会同相关机关</w:t>
      </w:r>
      <w:r>
        <w:rPr>
          <w:highlight w:val="none"/>
          <w:u w:val="none"/>
        </w:rPr>
        <w:t>探索</w:t>
      </w:r>
      <w:r>
        <w:rPr>
          <w:rFonts w:hint="eastAsia"/>
          <w:highlight w:val="none"/>
          <w:u w:val="none"/>
        </w:rPr>
        <w:t>推动</w:t>
      </w:r>
      <w:r>
        <w:rPr>
          <w:highlight w:val="none"/>
          <w:u w:val="none"/>
        </w:rPr>
        <w:t>社会数据</w:t>
      </w:r>
      <w:r>
        <w:rPr>
          <w:rFonts w:hint="eastAsia"/>
          <w:highlight w:val="none"/>
          <w:u w:val="none"/>
        </w:rPr>
        <w:t>“</w:t>
      </w:r>
      <w:r>
        <w:rPr>
          <w:highlight w:val="none"/>
          <w:u w:val="none"/>
        </w:rPr>
        <w:t>统采共用</w:t>
      </w:r>
      <w:r>
        <w:rPr>
          <w:rFonts w:hint="eastAsia"/>
          <w:highlight w:val="none"/>
          <w:u w:val="none"/>
        </w:rPr>
        <w:t>”</w:t>
      </w:r>
      <w:r>
        <w:rPr>
          <w:highlight w:val="none"/>
          <w:u w:val="none"/>
        </w:rPr>
        <w:t>，</w:t>
      </w:r>
      <w:r>
        <w:rPr>
          <w:rFonts w:hint="eastAsia"/>
          <w:highlight w:val="none"/>
          <w:u w:val="none"/>
        </w:rPr>
        <w:t>对行政机关需要的社会数据进行统一采集，提高数据使用效率。</w:t>
      </w:r>
    </w:p>
    <w:p>
      <w:pPr>
        <w:widowControl w:val="0"/>
        <w:kinsoku w:val="0"/>
        <w:ind w:firstLine="640"/>
        <w:jc w:val="left"/>
        <w:rPr>
          <w:highlight w:val="none"/>
          <w:u w:val="none"/>
        </w:rPr>
      </w:pPr>
    </w:p>
    <w:p>
      <w:pPr>
        <w:pStyle w:val="3"/>
        <w:autoSpaceDE/>
        <w:autoSpaceDN/>
        <w:ind w:firstLine="0" w:firstLineChars="0"/>
        <w:jc w:val="center"/>
        <w:rPr>
          <w:highlight w:val="none"/>
          <w:u w:val="none"/>
        </w:rPr>
      </w:pPr>
      <w:r>
        <w:rPr>
          <w:highlight w:val="none"/>
          <w:u w:val="none"/>
        </w:rPr>
        <w:t>第四章 数据共享</w:t>
      </w:r>
    </w:p>
    <w:p>
      <w:pPr>
        <w:widowControl w:val="0"/>
        <w:kinsoku w:val="0"/>
        <w:ind w:firstLine="648" w:firstLineChars="200"/>
        <w:jc w:val="left"/>
        <w:rPr>
          <w:rStyle w:val="16"/>
          <w:highlight w:val="none"/>
          <w:u w:val="none"/>
        </w:rPr>
      </w:pPr>
      <w:r>
        <w:rPr>
          <w:rFonts w:ascii="Times New Roman" w:hAnsi="Times New Roman" w:eastAsia="黑体" w:cs="Times New Roman"/>
          <w:spacing w:val="2"/>
          <w:highlight w:val="none"/>
          <w:u w:val="none"/>
        </w:rPr>
        <w:t>第</w:t>
      </w:r>
      <w:r>
        <w:rPr>
          <w:rFonts w:hint="eastAsia" w:ascii="Times New Roman" w:hAnsi="Times New Roman" w:eastAsia="黑体" w:cs="Times New Roman"/>
          <w:spacing w:val="2"/>
          <w:highlight w:val="none"/>
          <w:u w:val="none"/>
        </w:rPr>
        <w:t>二十</w:t>
      </w:r>
      <w:r>
        <w:rPr>
          <w:rFonts w:ascii="Times New Roman" w:hAnsi="Times New Roman" w:eastAsia="黑体" w:cs="Times New Roman"/>
          <w:spacing w:val="2"/>
          <w:highlight w:val="none"/>
          <w:u w:val="none"/>
        </w:rPr>
        <w:t>条</w:t>
      </w:r>
      <w:r>
        <w:rPr>
          <w:rFonts w:ascii="Times New Roman" w:hAnsi="Times New Roman" w:eastAsia="仿宋" w:cs="Times New Roman"/>
          <w:spacing w:val="8"/>
          <w:highlight w:val="none"/>
          <w:u w:val="none"/>
        </w:rPr>
        <w:t>【</w:t>
      </w:r>
      <w:r>
        <w:rPr>
          <w:rFonts w:ascii="Times New Roman" w:hAnsi="Times New Roman" w:cs="Times New Roman"/>
          <w:highlight w:val="none"/>
          <w:u w:val="none"/>
        </w:rPr>
        <w:t>共享原则】</w:t>
      </w:r>
      <w:r>
        <w:rPr>
          <w:rFonts w:hint="eastAsia"/>
          <w:highlight w:val="none"/>
          <w:u w:val="none"/>
        </w:rPr>
        <w:t>公共数据以共享为原则，不共享为例外。涉及国家秘密和安全的，按相关法律法规执行。</w:t>
      </w:r>
    </w:p>
    <w:p>
      <w:pPr>
        <w:widowControl w:val="0"/>
        <w:kinsoku w:val="0"/>
        <w:ind w:firstLine="644"/>
        <w:jc w:val="left"/>
        <w:rPr>
          <w:highlight w:val="none"/>
          <w:u w:val="none"/>
        </w:rPr>
      </w:pPr>
      <w:r>
        <w:rPr>
          <w:rFonts w:eastAsia="黑体"/>
          <w:spacing w:val="2"/>
          <w:highlight w:val="none"/>
          <w:u w:val="none"/>
        </w:rPr>
        <w:t>第</w:t>
      </w:r>
      <w:r>
        <w:rPr>
          <w:rFonts w:hint="eastAsia" w:eastAsia="黑体"/>
          <w:spacing w:val="2"/>
          <w:highlight w:val="none"/>
          <w:u w:val="none"/>
        </w:rPr>
        <w:t>二十一</w:t>
      </w:r>
      <w:r>
        <w:rPr>
          <w:rFonts w:eastAsia="黑体"/>
          <w:spacing w:val="2"/>
          <w:highlight w:val="none"/>
          <w:u w:val="none"/>
        </w:rPr>
        <w:t>条</w:t>
      </w:r>
      <w:r>
        <w:rPr>
          <w:highlight w:val="none"/>
          <w:u w:val="none"/>
        </w:rPr>
        <w:t>【共享类型】公共数据按共享类型分为无条件共享、有条件共享、不予共享三种类型。</w:t>
      </w:r>
    </w:p>
    <w:p>
      <w:pPr>
        <w:widowControl w:val="0"/>
        <w:kinsoku w:val="0"/>
        <w:ind w:firstLine="640"/>
        <w:jc w:val="left"/>
        <w:rPr>
          <w:highlight w:val="none"/>
          <w:u w:val="none"/>
        </w:rPr>
      </w:pPr>
      <w:r>
        <w:rPr>
          <w:rFonts w:hint="eastAsia"/>
          <w:highlight w:val="none"/>
          <w:u w:val="none"/>
        </w:rPr>
        <w:t>（一）</w:t>
      </w:r>
      <w:r>
        <w:rPr>
          <w:highlight w:val="none"/>
          <w:u w:val="none"/>
        </w:rPr>
        <w:t>可提供给所有行政机关共享使用的公共数据属于无条件共享类。</w:t>
      </w:r>
    </w:p>
    <w:p>
      <w:pPr>
        <w:widowControl w:val="0"/>
        <w:kinsoku w:val="0"/>
        <w:ind w:firstLine="640"/>
        <w:jc w:val="left"/>
        <w:rPr>
          <w:highlight w:val="none"/>
          <w:u w:val="none"/>
        </w:rPr>
      </w:pPr>
      <w:r>
        <w:rPr>
          <w:rFonts w:hint="eastAsia"/>
          <w:highlight w:val="none"/>
          <w:u w:val="none"/>
        </w:rPr>
        <w:t>（二）</w:t>
      </w:r>
      <w:r>
        <w:rPr>
          <w:highlight w:val="none"/>
          <w:u w:val="none"/>
        </w:rPr>
        <w:t>可以</w:t>
      </w:r>
      <w:r>
        <w:rPr>
          <w:rFonts w:hint="eastAsia"/>
          <w:highlight w:val="none"/>
          <w:u w:val="none"/>
        </w:rPr>
        <w:t>按照一定条件</w:t>
      </w:r>
      <w:r>
        <w:rPr>
          <w:highlight w:val="none"/>
          <w:u w:val="none"/>
        </w:rPr>
        <w:t>提供给相关行政机关共享使用的公共数据属于有条件共享类。</w:t>
      </w:r>
    </w:p>
    <w:p>
      <w:pPr>
        <w:widowControl w:val="0"/>
        <w:kinsoku w:val="0"/>
        <w:ind w:firstLine="640"/>
        <w:jc w:val="left"/>
        <w:rPr>
          <w:highlight w:val="none"/>
          <w:u w:val="none"/>
        </w:rPr>
      </w:pPr>
      <w:r>
        <w:rPr>
          <w:rFonts w:hint="eastAsia"/>
          <w:highlight w:val="none"/>
          <w:u w:val="none"/>
        </w:rPr>
        <w:t>（三）不宜</w:t>
      </w:r>
      <w:r>
        <w:rPr>
          <w:highlight w:val="none"/>
          <w:u w:val="none"/>
        </w:rPr>
        <w:t>提供给其他行政机关使用的公共数据属于不予共享类</w:t>
      </w:r>
      <w:r>
        <w:rPr>
          <w:rFonts w:hint="eastAsia"/>
          <w:highlight w:val="none"/>
          <w:u w:val="none"/>
        </w:rPr>
        <w:t>。</w:t>
      </w:r>
    </w:p>
    <w:p>
      <w:pPr>
        <w:widowControl w:val="0"/>
        <w:numPr>
          <w:ilvl w:val="0"/>
          <w:numId w:val="0"/>
        </w:numPr>
        <w:kinsoku w:val="0"/>
        <w:autoSpaceDE w:val="0"/>
        <w:autoSpaceDN w:val="0"/>
        <w:ind w:firstLine="648" w:firstLineChars="200"/>
        <w:jc w:val="left"/>
        <w:rPr>
          <w:highlight w:val="none"/>
          <w:u w:val="none"/>
        </w:rPr>
      </w:pPr>
      <w:r>
        <w:rPr>
          <w:rFonts w:eastAsia="黑体"/>
          <w:spacing w:val="2"/>
          <w:highlight w:val="none"/>
          <w:u w:val="none"/>
        </w:rPr>
        <w:t>第</w:t>
      </w:r>
      <w:r>
        <w:rPr>
          <w:rFonts w:hint="eastAsia" w:eastAsia="黑体"/>
          <w:spacing w:val="2"/>
          <w:highlight w:val="none"/>
          <w:u w:val="none"/>
        </w:rPr>
        <w:t>二十二</w:t>
      </w:r>
      <w:r>
        <w:rPr>
          <w:rFonts w:eastAsia="黑体"/>
          <w:spacing w:val="2"/>
          <w:highlight w:val="none"/>
          <w:u w:val="none"/>
        </w:rPr>
        <w:t>条</w:t>
      </w:r>
      <w:r>
        <w:rPr>
          <w:rFonts w:eastAsia="仿宋"/>
          <w:spacing w:val="8"/>
          <w:highlight w:val="none"/>
          <w:u w:val="none"/>
        </w:rPr>
        <w:t>【</w:t>
      </w:r>
      <w:r>
        <w:rPr>
          <w:highlight w:val="none"/>
          <w:u w:val="none"/>
        </w:rPr>
        <w:t>共享办理</w:t>
      </w:r>
      <w:r>
        <w:rPr>
          <w:rFonts w:eastAsia="仿宋"/>
          <w:spacing w:val="8"/>
          <w:highlight w:val="none"/>
          <w:u w:val="none"/>
        </w:rPr>
        <w:t>】</w:t>
      </w:r>
      <w:r>
        <w:rPr>
          <w:highlight w:val="none"/>
          <w:u w:val="none"/>
        </w:rPr>
        <w:t>对无条件共享</w:t>
      </w:r>
      <w:r>
        <w:rPr>
          <w:rFonts w:hint="eastAsia"/>
          <w:highlight w:val="none"/>
          <w:u w:val="none"/>
        </w:rPr>
        <w:t>类</w:t>
      </w:r>
      <w:r>
        <w:rPr>
          <w:highlight w:val="none"/>
          <w:u w:val="none"/>
        </w:rPr>
        <w:t>数据，</w:t>
      </w:r>
      <w:r>
        <w:rPr>
          <w:rFonts w:hint="eastAsia"/>
          <w:highlight w:val="none"/>
          <w:u w:val="none"/>
        </w:rPr>
        <w:t>数据使用方</w:t>
      </w:r>
      <w:r>
        <w:rPr>
          <w:highlight w:val="none"/>
          <w:u w:val="none"/>
        </w:rPr>
        <w:t>可以</w:t>
      </w:r>
      <w:r>
        <w:rPr>
          <w:rFonts w:hint="eastAsia"/>
          <w:highlight w:val="none"/>
          <w:u w:val="none"/>
        </w:rPr>
        <w:t>通过</w:t>
      </w:r>
      <w:r>
        <w:rPr>
          <w:rFonts w:hint="eastAsia"/>
          <w:highlight w:val="none"/>
          <w:u w:val="none"/>
          <w:lang w:eastAsia="zh-CN"/>
        </w:rPr>
        <w:t>公共数据平台</w:t>
      </w:r>
      <w:r>
        <w:rPr>
          <w:highlight w:val="none"/>
          <w:u w:val="none"/>
        </w:rPr>
        <w:t>直接获取。</w:t>
      </w:r>
    </w:p>
    <w:p>
      <w:pPr>
        <w:widowControl w:val="0"/>
        <w:numPr>
          <w:ilvl w:val="0"/>
          <w:numId w:val="0"/>
        </w:numPr>
        <w:kinsoku w:val="0"/>
        <w:autoSpaceDE w:val="0"/>
        <w:autoSpaceDN w:val="0"/>
        <w:ind w:firstLine="640" w:firstLineChars="200"/>
        <w:jc w:val="left"/>
        <w:rPr>
          <w:highlight w:val="none"/>
          <w:u w:val="none"/>
        </w:rPr>
      </w:pPr>
      <w:r>
        <w:rPr>
          <w:highlight w:val="none"/>
          <w:u w:val="none"/>
        </w:rPr>
        <w:t>对有条件共享</w:t>
      </w:r>
      <w:r>
        <w:rPr>
          <w:rFonts w:hint="eastAsia"/>
          <w:highlight w:val="none"/>
          <w:u w:val="none"/>
        </w:rPr>
        <w:t>类</w:t>
      </w:r>
      <w:r>
        <w:rPr>
          <w:highlight w:val="none"/>
          <w:u w:val="none"/>
        </w:rPr>
        <w:t>数据，</w:t>
      </w:r>
      <w:r>
        <w:rPr>
          <w:rFonts w:hint="eastAsia"/>
          <w:highlight w:val="none"/>
          <w:u w:val="none"/>
        </w:rPr>
        <w:t>数据使用方应当以“场景明确、授权使用、专事专用、依法应用、安全可控”为原则，</w:t>
      </w:r>
      <w:r>
        <w:rPr>
          <w:highlight w:val="none"/>
          <w:u w:val="none"/>
        </w:rPr>
        <w:t>通过</w:t>
      </w:r>
      <w:r>
        <w:rPr>
          <w:rFonts w:hint="eastAsia"/>
          <w:highlight w:val="none"/>
          <w:u w:val="none"/>
          <w:lang w:eastAsia="zh-CN"/>
        </w:rPr>
        <w:t>公共数据平台</w:t>
      </w:r>
      <w:r>
        <w:rPr>
          <w:highlight w:val="none"/>
          <w:u w:val="none"/>
        </w:rPr>
        <w:t>向</w:t>
      </w:r>
      <w:r>
        <w:rPr>
          <w:rFonts w:hint="eastAsia"/>
          <w:highlight w:val="none"/>
          <w:u w:val="none"/>
        </w:rPr>
        <w:t>同级大数据部门</w:t>
      </w:r>
      <w:r>
        <w:rPr>
          <w:highlight w:val="none"/>
          <w:u w:val="none"/>
        </w:rPr>
        <w:t>提出需求申请，审核通过的，转至数据提供方进行审核。数据提供方收到需求申请时，能够立即答复的，应当立即答复；不能立即答复的，应当</w:t>
      </w:r>
      <w:r>
        <w:rPr>
          <w:rFonts w:hint="eastAsia" w:ascii="仿宋_GB2312" w:hAnsi="仿宋_GB2312" w:cs="仿宋_GB2312"/>
          <w:highlight w:val="none"/>
          <w:u w:val="none"/>
        </w:rPr>
        <w:t>在5</w:t>
      </w:r>
      <w:r>
        <w:rPr>
          <w:highlight w:val="none"/>
          <w:u w:val="none"/>
        </w:rPr>
        <w:t>个工作日内予以答复。</w:t>
      </w:r>
    </w:p>
    <w:p>
      <w:pPr>
        <w:widowControl w:val="0"/>
        <w:numPr>
          <w:ilvl w:val="0"/>
          <w:numId w:val="0"/>
        </w:numPr>
        <w:kinsoku w:val="0"/>
        <w:autoSpaceDE w:val="0"/>
        <w:autoSpaceDN w:val="0"/>
        <w:ind w:firstLine="640" w:firstLineChars="200"/>
        <w:jc w:val="left"/>
        <w:rPr>
          <w:highlight w:val="none"/>
          <w:u w:val="none"/>
        </w:rPr>
      </w:pPr>
      <w:r>
        <w:rPr>
          <w:highlight w:val="none"/>
          <w:u w:val="none"/>
        </w:rPr>
        <w:t>同意共享的，</w:t>
      </w:r>
      <w:r>
        <w:rPr>
          <w:rFonts w:hint="eastAsia"/>
          <w:highlight w:val="none"/>
          <w:u w:val="none"/>
        </w:rPr>
        <w:t>数据提供方应及时通过</w:t>
      </w:r>
      <w:r>
        <w:rPr>
          <w:rFonts w:hint="eastAsia"/>
          <w:highlight w:val="none"/>
          <w:u w:val="none"/>
          <w:lang w:eastAsia="zh-CN"/>
        </w:rPr>
        <w:t>公共数据平台</w:t>
      </w:r>
      <w:r>
        <w:rPr>
          <w:rFonts w:hint="eastAsia"/>
          <w:highlight w:val="none"/>
          <w:u w:val="none"/>
        </w:rPr>
        <w:t>完成数据共享，</w:t>
      </w:r>
      <w:r>
        <w:rPr>
          <w:highlight w:val="none"/>
          <w:u w:val="none"/>
        </w:rPr>
        <w:t>数据使用方应当按照答复意见使用公共数据；数据提供方不同意共享的，</w:t>
      </w:r>
      <w:r>
        <w:rPr>
          <w:rFonts w:hint="eastAsia"/>
          <w:highlight w:val="none"/>
          <w:u w:val="none"/>
        </w:rPr>
        <w:t>应当提供法律、法规、规章依据。</w:t>
      </w:r>
    </w:p>
    <w:p>
      <w:pPr>
        <w:pStyle w:val="5"/>
        <w:rPr>
          <w:highlight w:val="none"/>
          <w:u w:val="none"/>
        </w:rPr>
      </w:pPr>
      <w:r>
        <w:rPr>
          <w:highlight w:val="none"/>
          <w:u w:val="none"/>
        </w:rPr>
        <w:t>数据使用</w:t>
      </w:r>
      <w:r>
        <w:rPr>
          <w:rFonts w:hint="eastAsia"/>
          <w:highlight w:val="none"/>
          <w:u w:val="none"/>
          <w:lang w:val="en-US" w:eastAsia="zh-CN"/>
        </w:rPr>
        <w:t>方</w:t>
      </w:r>
      <w:r>
        <w:rPr>
          <w:highlight w:val="none"/>
          <w:u w:val="none"/>
        </w:rPr>
        <w:t>经授权并使用</w:t>
      </w:r>
      <w:r>
        <w:rPr>
          <w:rFonts w:hint="eastAsia"/>
          <w:highlight w:val="none"/>
          <w:u w:val="none"/>
        </w:rPr>
        <w:t>公共</w:t>
      </w:r>
      <w:r>
        <w:rPr>
          <w:highlight w:val="none"/>
          <w:u w:val="none"/>
        </w:rPr>
        <w:t>数据后，应妥善存储数据使用全过程记录，并</w:t>
      </w:r>
      <w:r>
        <w:rPr>
          <w:rFonts w:hint="eastAsia" w:ascii="仿宋_GB2312" w:hAnsi="仿宋_GB2312" w:cs="仿宋_GB2312"/>
          <w:highlight w:val="none"/>
          <w:u w:val="none"/>
        </w:rPr>
        <w:t>在10个工作</w:t>
      </w:r>
      <w:r>
        <w:rPr>
          <w:highlight w:val="none"/>
          <w:u w:val="none"/>
        </w:rPr>
        <w:t>日内通过</w:t>
      </w:r>
      <w:r>
        <w:rPr>
          <w:rFonts w:hint="eastAsia"/>
          <w:highlight w:val="none"/>
          <w:u w:val="none"/>
          <w:lang w:eastAsia="zh-CN"/>
        </w:rPr>
        <w:t>公共数据平台</w:t>
      </w:r>
      <w:r>
        <w:rPr>
          <w:highlight w:val="none"/>
          <w:u w:val="none"/>
        </w:rPr>
        <w:t>反馈</w:t>
      </w:r>
      <w:r>
        <w:rPr>
          <w:rFonts w:hint="eastAsia"/>
          <w:highlight w:val="none"/>
          <w:u w:val="none"/>
        </w:rPr>
        <w:t>公共</w:t>
      </w:r>
      <w:r>
        <w:rPr>
          <w:highlight w:val="none"/>
          <w:u w:val="none"/>
        </w:rPr>
        <w:t>数据共享质量、使用情况和应用成效。</w:t>
      </w:r>
    </w:p>
    <w:p>
      <w:pPr>
        <w:widowControl w:val="0"/>
        <w:numPr>
          <w:ilvl w:val="0"/>
          <w:numId w:val="0"/>
        </w:numPr>
        <w:kinsoku w:val="0"/>
        <w:autoSpaceDE w:val="0"/>
        <w:autoSpaceDN w:val="0"/>
        <w:ind w:firstLine="640" w:firstLineChars="200"/>
        <w:jc w:val="left"/>
        <w:rPr>
          <w:color w:val="auto"/>
          <w:szCs w:val="32"/>
          <w:highlight w:val="none"/>
          <w:u w:val="none"/>
        </w:rPr>
      </w:pPr>
      <w:r>
        <w:rPr>
          <w:rFonts w:hint="eastAsia"/>
          <w:highlight w:val="none"/>
          <w:u w:val="none"/>
        </w:rPr>
        <w:t>共享数据无法满足履职需求的，行政机关可以向同级大数据部门提交数据需求清单，由同级大数据部门与相关行政机关、公共企事业单位协商解决。</w:t>
      </w:r>
    </w:p>
    <w:p>
      <w:pPr>
        <w:widowControl w:val="0"/>
        <w:numPr>
          <w:ilvl w:val="0"/>
          <w:numId w:val="0"/>
        </w:numPr>
        <w:kinsoku w:val="0"/>
        <w:autoSpaceDE w:val="0"/>
        <w:autoSpaceDN w:val="0"/>
        <w:ind w:firstLine="648" w:firstLineChars="200"/>
        <w:jc w:val="left"/>
        <w:rPr>
          <w:color w:val="auto"/>
          <w:szCs w:val="32"/>
          <w:highlight w:val="none"/>
          <w:u w:val="none"/>
        </w:rPr>
      </w:pPr>
      <w:r>
        <w:rPr>
          <w:rFonts w:eastAsia="黑体"/>
          <w:spacing w:val="2"/>
          <w:szCs w:val="32"/>
          <w:highlight w:val="none"/>
          <w:u w:val="none"/>
        </w:rPr>
        <w:t>第二十</w:t>
      </w:r>
      <w:r>
        <w:rPr>
          <w:rFonts w:hint="eastAsia" w:eastAsia="黑体"/>
          <w:spacing w:val="2"/>
          <w:szCs w:val="32"/>
          <w:highlight w:val="none"/>
          <w:u w:val="none"/>
        </w:rPr>
        <w:t>三</w:t>
      </w:r>
      <w:r>
        <w:rPr>
          <w:rFonts w:eastAsia="黑体"/>
          <w:spacing w:val="2"/>
          <w:szCs w:val="32"/>
          <w:highlight w:val="none"/>
          <w:u w:val="none"/>
        </w:rPr>
        <w:t>条</w:t>
      </w:r>
      <w:r>
        <w:rPr>
          <w:rFonts w:eastAsia="仿宋"/>
          <w:spacing w:val="8"/>
          <w:szCs w:val="32"/>
          <w:highlight w:val="none"/>
          <w:u w:val="none"/>
        </w:rPr>
        <w:t>【</w:t>
      </w:r>
      <w:r>
        <w:rPr>
          <w:rFonts w:hint="eastAsia"/>
          <w:color w:val="auto"/>
          <w:szCs w:val="32"/>
          <w:highlight w:val="none"/>
          <w:u w:val="none"/>
        </w:rPr>
        <w:t>共享用途</w:t>
      </w:r>
      <w:r>
        <w:rPr>
          <w:rFonts w:eastAsia="仿宋"/>
          <w:spacing w:val="8"/>
          <w:szCs w:val="32"/>
          <w:highlight w:val="none"/>
          <w:u w:val="none"/>
        </w:rPr>
        <w:t>】</w:t>
      </w:r>
      <w:r>
        <w:rPr>
          <w:color w:val="auto"/>
          <w:szCs w:val="32"/>
          <w:highlight w:val="none"/>
          <w:u w:val="none"/>
        </w:rPr>
        <w:t>行政机关</w:t>
      </w:r>
      <w:r>
        <w:rPr>
          <w:highlight w:val="none"/>
          <w:u w:val="none"/>
        </w:rPr>
        <w:t>通过</w:t>
      </w:r>
      <w:r>
        <w:rPr>
          <w:color w:val="auto"/>
          <w:szCs w:val="32"/>
          <w:highlight w:val="none"/>
          <w:u w:val="none"/>
        </w:rPr>
        <w:t>共享</w:t>
      </w:r>
      <w:r>
        <w:rPr>
          <w:highlight w:val="none"/>
          <w:u w:val="none"/>
        </w:rPr>
        <w:t>获取的公共数据，应当用于本机关依法履行职责和</w:t>
      </w:r>
      <w:r>
        <w:rPr>
          <w:color w:val="auto"/>
          <w:highlight w:val="none"/>
          <w:u w:val="none"/>
        </w:rPr>
        <w:t>提供服务</w:t>
      </w:r>
      <w:r>
        <w:rPr>
          <w:highlight w:val="none"/>
          <w:u w:val="none"/>
        </w:rPr>
        <w:t>的需要，不得直接或以改变数据形式等方式提供给第三方，也不得用于或变相用于其他目的</w:t>
      </w:r>
      <w:r>
        <w:rPr>
          <w:color w:val="auto"/>
          <w:szCs w:val="32"/>
          <w:highlight w:val="none"/>
          <w:u w:val="none"/>
        </w:rPr>
        <w:t>。</w:t>
      </w:r>
      <w:r>
        <w:rPr>
          <w:rFonts w:hint="eastAsia"/>
          <w:color w:val="auto"/>
          <w:szCs w:val="32"/>
          <w:highlight w:val="none"/>
          <w:u w:val="none"/>
        </w:rPr>
        <w:t>本</w:t>
      </w:r>
      <w:r>
        <w:rPr>
          <w:rFonts w:hint="eastAsia"/>
          <w:color w:val="auto"/>
          <w:szCs w:val="32"/>
          <w:highlight w:val="none"/>
          <w:u w:val="none"/>
          <w:lang w:val="en-US" w:eastAsia="zh-CN"/>
        </w:rPr>
        <w:t>机关</w:t>
      </w:r>
      <w:r>
        <w:rPr>
          <w:rFonts w:hint="eastAsia"/>
          <w:color w:val="auto"/>
          <w:szCs w:val="32"/>
          <w:highlight w:val="none"/>
          <w:u w:val="none"/>
        </w:rPr>
        <w:t>内部需变更使用目的，应征得数据提供方的许可。</w:t>
      </w:r>
    </w:p>
    <w:p>
      <w:pPr>
        <w:widowControl w:val="0"/>
        <w:kinsoku w:val="0"/>
        <w:ind w:firstLine="644"/>
        <w:jc w:val="left"/>
        <w:rPr>
          <w:highlight w:val="none"/>
          <w:u w:val="none"/>
        </w:rPr>
      </w:pPr>
      <w:r>
        <w:rPr>
          <w:rFonts w:eastAsia="黑体"/>
          <w:spacing w:val="2"/>
          <w:szCs w:val="32"/>
          <w:highlight w:val="none"/>
          <w:u w:val="none"/>
        </w:rPr>
        <w:t>第二十</w:t>
      </w:r>
      <w:r>
        <w:rPr>
          <w:rFonts w:hint="eastAsia" w:eastAsia="黑体"/>
          <w:spacing w:val="2"/>
          <w:szCs w:val="32"/>
          <w:highlight w:val="none"/>
          <w:u w:val="none"/>
        </w:rPr>
        <w:t>四</w:t>
      </w:r>
      <w:r>
        <w:rPr>
          <w:rFonts w:eastAsia="黑体"/>
          <w:spacing w:val="2"/>
          <w:szCs w:val="32"/>
          <w:highlight w:val="none"/>
          <w:u w:val="none"/>
        </w:rPr>
        <w:t>条</w:t>
      </w:r>
      <w:r>
        <w:rPr>
          <w:rFonts w:eastAsia="仿宋"/>
          <w:spacing w:val="8"/>
          <w:szCs w:val="32"/>
          <w:highlight w:val="none"/>
          <w:u w:val="none"/>
        </w:rPr>
        <w:t>【</w:t>
      </w:r>
      <w:r>
        <w:rPr>
          <w:rFonts w:hint="eastAsia"/>
          <w:color w:val="auto"/>
          <w:szCs w:val="32"/>
          <w:highlight w:val="none"/>
          <w:u w:val="none"/>
        </w:rPr>
        <w:t>异议处理</w:t>
      </w:r>
      <w:r>
        <w:rPr>
          <w:rFonts w:eastAsia="仿宋"/>
          <w:spacing w:val="8"/>
          <w:szCs w:val="32"/>
          <w:highlight w:val="none"/>
          <w:u w:val="none"/>
        </w:rPr>
        <w:t>】</w:t>
      </w:r>
      <w:r>
        <w:rPr>
          <w:rFonts w:hint="eastAsia" w:eastAsia="仿宋"/>
          <w:spacing w:val="8"/>
          <w:szCs w:val="32"/>
          <w:highlight w:val="none"/>
          <w:u w:val="none"/>
        </w:rPr>
        <w:t>大数据部门</w:t>
      </w:r>
      <w:r>
        <w:rPr>
          <w:rFonts w:eastAsia="仿宋"/>
          <w:spacing w:val="8"/>
          <w:szCs w:val="32"/>
          <w:highlight w:val="none"/>
          <w:u w:val="none"/>
        </w:rPr>
        <w:t>应当</w:t>
      </w:r>
      <w:r>
        <w:rPr>
          <w:highlight w:val="none"/>
          <w:u w:val="none"/>
        </w:rPr>
        <w:t>建立</w:t>
      </w:r>
      <w:r>
        <w:rPr>
          <w:rFonts w:hint="eastAsia"/>
          <w:highlight w:val="none"/>
          <w:u w:val="none"/>
        </w:rPr>
        <w:t>数据异议处置</w:t>
      </w:r>
      <w:r>
        <w:rPr>
          <w:highlight w:val="none"/>
          <w:u w:val="none"/>
        </w:rPr>
        <w:t>机制</w:t>
      </w:r>
      <w:r>
        <w:rPr>
          <w:spacing w:val="3"/>
          <w:szCs w:val="32"/>
          <w:highlight w:val="none"/>
          <w:u w:val="none"/>
        </w:rPr>
        <w:t>，</w:t>
      </w:r>
      <w:r>
        <w:rPr>
          <w:highlight w:val="none"/>
          <w:u w:val="none"/>
        </w:rPr>
        <w:t>及时</w:t>
      </w:r>
      <w:r>
        <w:rPr>
          <w:spacing w:val="3"/>
          <w:szCs w:val="32"/>
          <w:highlight w:val="none"/>
          <w:u w:val="none"/>
        </w:rPr>
        <w:t>开展数据质量监督检查</w:t>
      </w:r>
      <w:r>
        <w:rPr>
          <w:highlight w:val="none"/>
          <w:u w:val="none"/>
        </w:rPr>
        <w:t>。数据使用方对通过共享获取的公共数据有疑义或发现有明显错误的，应当及时反馈数据提供方予以校核，</w:t>
      </w:r>
      <w:r>
        <w:rPr>
          <w:rFonts w:hint="eastAsia"/>
          <w:highlight w:val="none"/>
          <w:u w:val="none"/>
        </w:rPr>
        <w:t>并</w:t>
      </w:r>
      <w:r>
        <w:rPr>
          <w:highlight w:val="none"/>
          <w:u w:val="none"/>
        </w:rPr>
        <w:t>报同级</w:t>
      </w:r>
      <w:r>
        <w:rPr>
          <w:rFonts w:hint="eastAsia"/>
          <w:highlight w:val="none"/>
          <w:u w:val="none"/>
        </w:rPr>
        <w:t>大数据部门</w:t>
      </w:r>
      <w:r>
        <w:rPr>
          <w:highlight w:val="none"/>
          <w:u w:val="none"/>
        </w:rPr>
        <w:t>。数据提供方应根据数据使用方的反馈，自收到数据校核意见起</w:t>
      </w:r>
      <w:r>
        <w:rPr>
          <w:rFonts w:hint="eastAsia" w:ascii="仿宋_GB2312" w:hAnsi="仿宋_GB2312" w:cs="仿宋_GB2312"/>
          <w:highlight w:val="none"/>
          <w:u w:val="none"/>
        </w:rPr>
        <w:t>10个工</w:t>
      </w:r>
      <w:r>
        <w:rPr>
          <w:highlight w:val="none"/>
          <w:u w:val="none"/>
        </w:rPr>
        <w:t>作日完成校验及纠错工作。</w:t>
      </w:r>
    </w:p>
    <w:p>
      <w:pPr>
        <w:widowControl w:val="0"/>
        <w:kinsoku w:val="0"/>
        <w:ind w:firstLine="640"/>
        <w:jc w:val="left"/>
        <w:rPr>
          <w:highlight w:val="none"/>
          <w:u w:val="none"/>
        </w:rPr>
      </w:pPr>
      <w:r>
        <w:rPr>
          <w:highlight w:val="none"/>
          <w:u w:val="none"/>
        </w:rPr>
        <w:t>行政机关和公共企事业单位应不断提高</w:t>
      </w:r>
      <w:r>
        <w:rPr>
          <w:rFonts w:hint="eastAsia"/>
          <w:highlight w:val="none"/>
          <w:u w:val="none"/>
        </w:rPr>
        <w:t>本机关、</w:t>
      </w:r>
      <w:r>
        <w:rPr>
          <w:highlight w:val="none"/>
          <w:u w:val="none"/>
        </w:rPr>
        <w:t>本单位公共数据的完整性、准确性、可用性和时效性，提高公共数据质量。</w:t>
      </w:r>
    </w:p>
    <w:p>
      <w:pPr>
        <w:widowControl w:val="0"/>
        <w:kinsoku w:val="0"/>
        <w:ind w:firstLine="668"/>
        <w:rPr>
          <w:highlight w:val="none"/>
          <w:u w:val="none"/>
        </w:rPr>
      </w:pPr>
      <w:r>
        <w:rPr>
          <w:rFonts w:ascii="Times New Roman" w:hAnsi="Times New Roman" w:eastAsia="黑体" w:cs="Times New Roman"/>
          <w:spacing w:val="14"/>
          <w:highlight w:val="none"/>
          <w:u w:val="none"/>
        </w:rPr>
        <w:t>第二十</w:t>
      </w:r>
      <w:r>
        <w:rPr>
          <w:rFonts w:hint="eastAsia" w:ascii="Times New Roman" w:hAnsi="Times New Roman" w:eastAsia="黑体" w:cs="Times New Roman"/>
          <w:spacing w:val="14"/>
          <w:highlight w:val="none"/>
          <w:u w:val="none"/>
        </w:rPr>
        <w:t>五</w:t>
      </w:r>
      <w:r>
        <w:rPr>
          <w:rFonts w:ascii="Times New Roman" w:hAnsi="Times New Roman" w:eastAsia="黑体" w:cs="Times New Roman"/>
          <w:spacing w:val="8"/>
          <w:highlight w:val="none"/>
          <w:u w:val="none"/>
        </w:rPr>
        <w:t>条</w:t>
      </w:r>
      <w:r>
        <w:rPr>
          <w:rFonts w:ascii="Times New Roman" w:hAnsi="Times New Roman" w:cs="Times New Roman"/>
          <w:color w:val="auto"/>
          <w:highlight w:val="none"/>
          <w:u w:val="none"/>
        </w:rPr>
        <w:t>【数据回流】</w:t>
      </w:r>
      <w:r>
        <w:rPr>
          <w:rFonts w:hint="eastAsia"/>
          <w:highlight w:val="none"/>
          <w:u w:val="none"/>
        </w:rPr>
        <w:t>各行政机关、公共企事业单位应按照“按需回流、安全可控”的原则，通过</w:t>
      </w:r>
      <w:r>
        <w:rPr>
          <w:rFonts w:hint="eastAsia"/>
          <w:highlight w:val="none"/>
          <w:u w:val="none"/>
          <w:lang w:eastAsia="zh-CN"/>
        </w:rPr>
        <w:t>公共数据平台</w:t>
      </w:r>
      <w:r>
        <w:rPr>
          <w:rFonts w:hint="eastAsia"/>
          <w:highlight w:val="none"/>
          <w:u w:val="none"/>
        </w:rPr>
        <w:t>向下级及时、完整地回流数据。</w:t>
      </w:r>
    </w:p>
    <w:p>
      <w:pPr>
        <w:widowControl w:val="0"/>
        <w:kinsoku w:val="0"/>
        <w:ind w:firstLine="668"/>
        <w:jc w:val="left"/>
        <w:rPr>
          <w:highlight w:val="none"/>
          <w:u w:val="none"/>
        </w:rPr>
      </w:pPr>
      <w:r>
        <w:rPr>
          <w:rFonts w:eastAsia="黑体"/>
          <w:spacing w:val="14"/>
          <w:highlight w:val="none"/>
          <w:u w:val="none"/>
        </w:rPr>
        <w:t>第二十</w:t>
      </w:r>
      <w:r>
        <w:rPr>
          <w:rFonts w:hint="eastAsia" w:eastAsia="黑体"/>
          <w:spacing w:val="14"/>
          <w:highlight w:val="none"/>
          <w:u w:val="none"/>
        </w:rPr>
        <w:t>六</w:t>
      </w:r>
      <w:r>
        <w:rPr>
          <w:rFonts w:eastAsia="黑体"/>
          <w:spacing w:val="8"/>
          <w:highlight w:val="none"/>
          <w:u w:val="none"/>
        </w:rPr>
        <w:t>条</w:t>
      </w:r>
      <w:r>
        <w:rPr>
          <w:highlight w:val="none"/>
          <w:u w:val="none"/>
        </w:rPr>
        <w:t>【电子凭证】数据提供方通过</w:t>
      </w:r>
      <w:r>
        <w:rPr>
          <w:rFonts w:hint="eastAsia"/>
          <w:highlight w:val="none"/>
          <w:u w:val="none"/>
          <w:lang w:eastAsia="zh-CN"/>
        </w:rPr>
        <w:t>公共数据平台</w:t>
      </w:r>
      <w:r>
        <w:rPr>
          <w:highlight w:val="none"/>
          <w:u w:val="none"/>
        </w:rPr>
        <w:t>提供文书类、证照类等公共数据时，</w:t>
      </w:r>
      <w:bookmarkStart w:id="1" w:name="OLE_LINK1"/>
      <w:r>
        <w:rPr>
          <w:highlight w:val="none"/>
          <w:u w:val="none"/>
        </w:rPr>
        <w:t>依托贵州省电子政务统一电子印章服务平台加盖数据共享电子印章</w:t>
      </w:r>
      <w:bookmarkEnd w:id="1"/>
      <w:r>
        <w:rPr>
          <w:highlight w:val="none"/>
          <w:u w:val="none"/>
        </w:rPr>
        <w:t>。</w:t>
      </w:r>
    </w:p>
    <w:p>
      <w:pPr>
        <w:widowControl w:val="0"/>
        <w:kinsoku w:val="0"/>
        <w:ind w:firstLine="640"/>
        <w:jc w:val="left"/>
        <w:rPr>
          <w:highlight w:val="none"/>
          <w:u w:val="none"/>
        </w:rPr>
      </w:pPr>
    </w:p>
    <w:p>
      <w:pPr>
        <w:pStyle w:val="3"/>
        <w:autoSpaceDE/>
        <w:autoSpaceDN/>
        <w:ind w:firstLine="0" w:firstLineChars="0"/>
        <w:jc w:val="center"/>
        <w:rPr>
          <w:highlight w:val="none"/>
          <w:u w:val="none"/>
        </w:rPr>
      </w:pPr>
      <w:r>
        <w:rPr>
          <w:highlight w:val="none"/>
          <w:u w:val="none"/>
        </w:rPr>
        <w:t>第五章 数据开放</w:t>
      </w:r>
    </w:p>
    <w:p>
      <w:pPr>
        <w:widowControl w:val="0"/>
        <w:kinsoku w:val="0"/>
        <w:ind w:firstLine="668"/>
        <w:jc w:val="left"/>
        <w:rPr>
          <w:rFonts w:eastAsia="黑体"/>
          <w:spacing w:val="16"/>
          <w:szCs w:val="32"/>
          <w:highlight w:val="none"/>
          <w:u w:val="none"/>
        </w:rPr>
      </w:pPr>
      <w:r>
        <w:rPr>
          <w:rFonts w:eastAsia="黑体"/>
          <w:spacing w:val="14"/>
          <w:szCs w:val="32"/>
          <w:highlight w:val="none"/>
          <w:u w:val="none"/>
        </w:rPr>
        <w:t>第二十</w:t>
      </w:r>
      <w:r>
        <w:rPr>
          <w:rFonts w:hint="eastAsia" w:eastAsia="黑体"/>
          <w:spacing w:val="14"/>
          <w:szCs w:val="32"/>
          <w:highlight w:val="none"/>
          <w:u w:val="none"/>
        </w:rPr>
        <w:t>七</w:t>
      </w:r>
      <w:r>
        <w:rPr>
          <w:rFonts w:eastAsia="黑体"/>
          <w:spacing w:val="8"/>
          <w:szCs w:val="32"/>
          <w:highlight w:val="none"/>
          <w:u w:val="none"/>
        </w:rPr>
        <w:t>条</w:t>
      </w:r>
      <w:r>
        <w:rPr>
          <w:color w:val="auto"/>
          <w:highlight w:val="none"/>
          <w:u w:val="none"/>
        </w:rPr>
        <w:t>【开放原则】</w:t>
      </w:r>
      <w:r>
        <w:rPr>
          <w:highlight w:val="none"/>
          <w:u w:val="none"/>
        </w:rPr>
        <w:t>公共数据开放应当遵循依法、规范、公平、优质、便民的原则</w:t>
      </w:r>
      <w:r>
        <w:rPr>
          <w:rFonts w:hint="eastAsia"/>
          <w:highlight w:val="none"/>
          <w:u w:val="none"/>
        </w:rPr>
        <w:t>，在法律、法规、规章允许范围内向社会最大限度开放。</w:t>
      </w:r>
    </w:p>
    <w:p>
      <w:pPr>
        <w:widowControl w:val="0"/>
        <w:kinsoku w:val="0"/>
        <w:ind w:firstLine="684"/>
        <w:jc w:val="left"/>
        <w:rPr>
          <w:highlight w:val="none"/>
          <w:u w:val="none"/>
        </w:rPr>
      </w:pPr>
      <w:r>
        <w:rPr>
          <w:rFonts w:eastAsia="黑体"/>
          <w:spacing w:val="22"/>
          <w:highlight w:val="none"/>
          <w:u w:val="none"/>
        </w:rPr>
        <w:t>第</w:t>
      </w:r>
      <w:r>
        <w:rPr>
          <w:rFonts w:eastAsia="黑体"/>
          <w:spacing w:val="14"/>
          <w:highlight w:val="none"/>
          <w:u w:val="none"/>
        </w:rPr>
        <w:t>二十</w:t>
      </w:r>
      <w:r>
        <w:rPr>
          <w:rFonts w:hint="eastAsia" w:eastAsia="黑体"/>
          <w:spacing w:val="14"/>
          <w:highlight w:val="none"/>
          <w:u w:val="none"/>
        </w:rPr>
        <w:t>八</w:t>
      </w:r>
      <w:r>
        <w:rPr>
          <w:rFonts w:eastAsia="黑体"/>
          <w:spacing w:val="11"/>
          <w:highlight w:val="none"/>
          <w:u w:val="none"/>
        </w:rPr>
        <w:t>条</w:t>
      </w:r>
      <w:r>
        <w:rPr>
          <w:highlight w:val="none"/>
          <w:u w:val="none"/>
        </w:rPr>
        <w:t>【开放类型】公共数据按照开放类型分为无条件开放、有条件开放和不予开放三类。</w:t>
      </w:r>
    </w:p>
    <w:p>
      <w:pPr>
        <w:widowControl w:val="0"/>
        <w:kinsoku w:val="0"/>
        <w:ind w:firstLine="640"/>
        <w:jc w:val="left"/>
        <w:rPr>
          <w:highlight w:val="none"/>
          <w:u w:val="none"/>
        </w:rPr>
      </w:pPr>
      <w:r>
        <w:rPr>
          <w:rFonts w:hint="eastAsia"/>
          <w:highlight w:val="none"/>
          <w:u w:val="none"/>
        </w:rPr>
        <w:t>（一）</w:t>
      </w:r>
      <w:r>
        <w:rPr>
          <w:highlight w:val="none"/>
          <w:u w:val="none"/>
        </w:rPr>
        <w:t>可提供给所有公民、法人或者其他组织使用的公共数据属于无条件开放类。</w:t>
      </w:r>
    </w:p>
    <w:p>
      <w:pPr>
        <w:widowControl w:val="0"/>
        <w:kinsoku w:val="0"/>
        <w:autoSpaceDE w:val="0"/>
        <w:autoSpaceDN w:val="0"/>
        <w:ind w:firstLine="640"/>
        <w:jc w:val="left"/>
        <w:textAlignment w:val="baseline"/>
        <w:rPr>
          <w:highlight w:val="none"/>
          <w:u w:val="none"/>
        </w:rPr>
      </w:pPr>
      <w:r>
        <w:rPr>
          <w:rFonts w:hint="eastAsia"/>
          <w:highlight w:val="none"/>
          <w:u w:val="none"/>
        </w:rPr>
        <w:t>（二）</w:t>
      </w:r>
      <w:r>
        <w:rPr>
          <w:highlight w:val="none"/>
          <w:u w:val="none"/>
        </w:rPr>
        <w:t>在特定条件下可以提供给公民、法人或者其他组织使用的公共数据属于有条件开放类。</w:t>
      </w:r>
    </w:p>
    <w:p>
      <w:pPr>
        <w:widowControl w:val="0"/>
        <w:kinsoku w:val="0"/>
        <w:autoSpaceDE w:val="0"/>
        <w:autoSpaceDN w:val="0"/>
        <w:ind w:firstLine="640"/>
        <w:jc w:val="left"/>
        <w:textAlignment w:val="baseline"/>
        <w:rPr>
          <w:highlight w:val="none"/>
          <w:u w:val="none"/>
        </w:rPr>
      </w:pPr>
      <w:r>
        <w:rPr>
          <w:rFonts w:hint="eastAsia"/>
          <w:highlight w:val="none"/>
          <w:u w:val="none"/>
        </w:rPr>
        <w:t>（三）</w:t>
      </w:r>
      <w:r>
        <w:rPr>
          <w:highlight w:val="none"/>
          <w:u w:val="none"/>
        </w:rPr>
        <w:t>涉及国家秘密、商业秘密、个人隐私，或者法律、法规规定不得开放的公共数据属于不予开放类。</w:t>
      </w:r>
    </w:p>
    <w:p>
      <w:pPr>
        <w:widowControl w:val="0"/>
        <w:kinsoku w:val="0"/>
        <w:autoSpaceDE w:val="0"/>
        <w:autoSpaceDN w:val="0"/>
        <w:ind w:firstLine="684"/>
        <w:jc w:val="left"/>
        <w:rPr>
          <w:highlight w:val="none"/>
          <w:u w:val="none"/>
        </w:rPr>
      </w:pPr>
      <w:r>
        <w:rPr>
          <w:rFonts w:eastAsia="黑体" w:cs="Times New Roman"/>
          <w:spacing w:val="22"/>
          <w:highlight w:val="none"/>
          <w:u w:val="none"/>
        </w:rPr>
        <w:t>第</w:t>
      </w:r>
      <w:r>
        <w:rPr>
          <w:rFonts w:eastAsia="黑体" w:cs="Times New Roman"/>
          <w:spacing w:val="14"/>
          <w:highlight w:val="none"/>
          <w:u w:val="none"/>
        </w:rPr>
        <w:t>二十</w:t>
      </w:r>
      <w:r>
        <w:rPr>
          <w:rFonts w:hint="eastAsia" w:eastAsia="黑体" w:cs="Times New Roman"/>
          <w:spacing w:val="14"/>
          <w:highlight w:val="none"/>
          <w:u w:val="none"/>
        </w:rPr>
        <w:t>九</w:t>
      </w:r>
      <w:r>
        <w:rPr>
          <w:rFonts w:eastAsia="黑体" w:cs="Times New Roman"/>
          <w:spacing w:val="11"/>
          <w:highlight w:val="none"/>
          <w:u w:val="none"/>
        </w:rPr>
        <w:t>条</w:t>
      </w:r>
      <w:r>
        <w:rPr>
          <w:rFonts w:cs="Times New Roman"/>
          <w:highlight w:val="none"/>
          <w:u w:val="none"/>
        </w:rPr>
        <w:t>【</w:t>
      </w:r>
      <w:r>
        <w:rPr>
          <w:rFonts w:hint="eastAsia" w:cs="Times New Roman"/>
          <w:highlight w:val="none"/>
          <w:u w:val="none"/>
        </w:rPr>
        <w:t>开放</w:t>
      </w:r>
      <w:r>
        <w:rPr>
          <w:rFonts w:hint="eastAsia" w:cs="Times New Roman"/>
          <w:highlight w:val="none"/>
          <w:u w:val="none"/>
          <w:lang w:val="en-US" w:eastAsia="zh-CN"/>
        </w:rPr>
        <w:t>要求</w:t>
      </w:r>
      <w:r>
        <w:rPr>
          <w:rFonts w:cs="Times New Roman"/>
          <w:highlight w:val="none"/>
          <w:u w:val="none"/>
        </w:rPr>
        <w:t>】</w:t>
      </w:r>
      <w:r>
        <w:rPr>
          <w:rFonts w:hint="eastAsia" w:cs="Times New Roman"/>
          <w:highlight w:val="none"/>
          <w:u w:val="none"/>
        </w:rPr>
        <w:t>建立完善线上线下数据开放需求征集机制，开展公共数据开放前置服务，各行政机关、公共企事业单位应当根据经济社会发展需要，</w:t>
      </w:r>
      <w:r>
        <w:rPr>
          <w:highlight w:val="none"/>
          <w:u w:val="none"/>
        </w:rPr>
        <w:t>优先</w:t>
      </w:r>
      <w:r>
        <w:rPr>
          <w:rFonts w:hint="eastAsia"/>
          <w:highlight w:val="none"/>
          <w:u w:val="none"/>
        </w:rPr>
        <w:t>开放</w:t>
      </w:r>
      <w:r>
        <w:rPr>
          <w:highlight w:val="none"/>
          <w:u w:val="none"/>
        </w:rPr>
        <w:t>与民生相关、</w:t>
      </w:r>
      <w:r>
        <w:rPr>
          <w:rFonts w:hint="eastAsia"/>
          <w:highlight w:val="none"/>
          <w:u w:val="none"/>
        </w:rPr>
        <w:t>社会迫切需要、</w:t>
      </w:r>
      <w:r>
        <w:rPr>
          <w:highlight w:val="none"/>
          <w:u w:val="none"/>
        </w:rPr>
        <w:t>行业增值潜力显著和产业战略意义重大的公共数据</w:t>
      </w:r>
      <w:r>
        <w:rPr>
          <w:rFonts w:hint="eastAsia"/>
          <w:highlight w:val="none"/>
          <w:u w:val="none"/>
          <w:lang w:eastAsia="zh-CN"/>
        </w:rPr>
        <w:t>，</w:t>
      </w:r>
      <w:r>
        <w:rPr>
          <w:rFonts w:hint="eastAsia" w:cs="Times New Roman"/>
          <w:highlight w:val="none"/>
          <w:u w:val="none"/>
        </w:rPr>
        <w:t>围绕教育、医疗、就业、文旅等重点场景，推动更多高质量数据集向社会有序开放。</w:t>
      </w:r>
    </w:p>
    <w:p>
      <w:pPr>
        <w:widowControl w:val="0"/>
        <w:kinsoku w:val="0"/>
        <w:ind w:firstLine="640"/>
        <w:rPr>
          <w:highlight w:val="none"/>
          <w:u w:val="none"/>
        </w:rPr>
      </w:pPr>
      <w:r>
        <w:rPr>
          <w:highlight w:val="none"/>
          <w:u w:val="none"/>
        </w:rPr>
        <w:t>非涉密但涉及敏感信息的公共数据，经过脱敏、清洗、加工后可以按照公共数据开放要求予以开放。</w:t>
      </w:r>
    </w:p>
    <w:p>
      <w:pPr>
        <w:widowControl w:val="0"/>
        <w:kinsoku w:val="0"/>
        <w:ind w:firstLine="666"/>
        <w:rPr>
          <w:highlight w:val="none"/>
          <w:u w:val="none"/>
        </w:rPr>
      </w:pPr>
      <w:r>
        <w:rPr>
          <w:rFonts w:ascii="Times New Roman" w:hAnsi="Times New Roman" w:eastAsia="黑体" w:cs="Times New Roman"/>
          <w:spacing w:val="13"/>
          <w:highlight w:val="none"/>
          <w:u w:val="none"/>
        </w:rPr>
        <w:t>第</w:t>
      </w:r>
      <w:r>
        <w:rPr>
          <w:rFonts w:hint="eastAsia" w:ascii="Times New Roman" w:hAnsi="Times New Roman" w:eastAsia="黑体" w:cs="Times New Roman"/>
          <w:spacing w:val="14"/>
          <w:highlight w:val="none"/>
          <w:u w:val="none"/>
        </w:rPr>
        <w:t>三十</w:t>
      </w:r>
      <w:r>
        <w:rPr>
          <w:rFonts w:ascii="Times New Roman" w:hAnsi="Times New Roman" w:eastAsia="黑体" w:cs="Times New Roman"/>
          <w:spacing w:val="12"/>
          <w:highlight w:val="none"/>
          <w:u w:val="none"/>
        </w:rPr>
        <w:t>条</w:t>
      </w:r>
      <w:r>
        <w:rPr>
          <w:rFonts w:ascii="Times New Roman" w:hAnsi="Times New Roman" w:cs="Times New Roman"/>
          <w:highlight w:val="none"/>
          <w:u w:val="none"/>
        </w:rPr>
        <w:t>【开放办理】</w:t>
      </w:r>
      <w:r>
        <w:rPr>
          <w:rFonts w:hint="eastAsia"/>
          <w:highlight w:val="none"/>
          <w:u w:val="none"/>
        </w:rPr>
        <w:t>对有条件开放类数据，公民、法人或者其他组织可以通过</w:t>
      </w:r>
      <w:r>
        <w:rPr>
          <w:rFonts w:hint="eastAsia"/>
          <w:highlight w:val="none"/>
          <w:u w:val="none"/>
          <w:lang w:eastAsia="zh-CN"/>
        </w:rPr>
        <w:t>公共数据平台</w:t>
      </w:r>
      <w:r>
        <w:rPr>
          <w:rFonts w:hint="eastAsia"/>
          <w:highlight w:val="none"/>
          <w:u w:val="none"/>
        </w:rPr>
        <w:t>提出数据需求申请，数据提供方应及时响应合理的数据开放需求申请。</w:t>
      </w:r>
    </w:p>
    <w:p>
      <w:pPr>
        <w:widowControl w:val="0"/>
        <w:kinsoku w:val="0"/>
        <w:ind w:firstLine="640"/>
        <w:jc w:val="left"/>
        <w:rPr>
          <w:highlight w:val="none"/>
          <w:u w:val="none"/>
        </w:rPr>
      </w:pPr>
      <w:r>
        <w:rPr>
          <w:rFonts w:hint="eastAsia"/>
          <w:highlight w:val="none"/>
          <w:u w:val="none"/>
        </w:rPr>
        <w:t>数据提供方收到数据开放申请时应当立即答复，不能立即答复的，应自收到申请之时起</w:t>
      </w:r>
      <w:r>
        <w:rPr>
          <w:rFonts w:hint="eastAsia" w:ascii="仿宋_GB2312" w:hAnsi="仿宋_GB2312" w:cs="仿宋_GB2312"/>
          <w:highlight w:val="none"/>
          <w:u w:val="none"/>
        </w:rPr>
        <w:t>10个</w:t>
      </w:r>
      <w:r>
        <w:rPr>
          <w:rFonts w:hint="eastAsia"/>
          <w:highlight w:val="none"/>
          <w:u w:val="none"/>
        </w:rPr>
        <w:t>工作日内予以答复。同意开放的，数据提供方在</w:t>
      </w:r>
      <w:r>
        <w:rPr>
          <w:rFonts w:hint="eastAsia" w:ascii="仿宋_GB2312" w:hAnsi="仿宋_GB2312" w:cs="仿宋_GB2312"/>
          <w:highlight w:val="none"/>
          <w:u w:val="none"/>
        </w:rPr>
        <w:t>5个</w:t>
      </w:r>
      <w:r>
        <w:rPr>
          <w:rFonts w:hint="eastAsia"/>
          <w:highlight w:val="none"/>
          <w:u w:val="none"/>
        </w:rPr>
        <w:t>工作日内按流程予以开放；不同意开放的，应提供不予开放的依据或理由。</w:t>
      </w:r>
    </w:p>
    <w:p>
      <w:pPr>
        <w:widowControl w:val="0"/>
        <w:kinsoku w:val="0"/>
        <w:ind w:firstLine="666"/>
        <w:jc w:val="left"/>
        <w:rPr>
          <w:rFonts w:ascii="Times New Roman" w:hAnsi="Times New Roman" w:cs="Times New Roman"/>
          <w:highlight w:val="none"/>
          <w:u w:val="none"/>
        </w:rPr>
      </w:pPr>
      <w:r>
        <w:rPr>
          <w:rFonts w:ascii="Times New Roman" w:hAnsi="Times New Roman" w:eastAsia="黑体" w:cs="Times New Roman"/>
          <w:spacing w:val="13"/>
          <w:highlight w:val="none"/>
          <w:u w:val="none"/>
        </w:rPr>
        <w:t>第</w:t>
      </w:r>
      <w:r>
        <w:rPr>
          <w:rFonts w:hint="eastAsia" w:ascii="Times New Roman" w:hAnsi="Times New Roman" w:eastAsia="黑体" w:cs="Times New Roman"/>
          <w:spacing w:val="13"/>
          <w:highlight w:val="none"/>
          <w:u w:val="none"/>
        </w:rPr>
        <w:t>三十一</w:t>
      </w:r>
      <w:r>
        <w:rPr>
          <w:rFonts w:ascii="Times New Roman" w:hAnsi="Times New Roman" w:eastAsia="黑体" w:cs="Times New Roman"/>
          <w:spacing w:val="12"/>
          <w:highlight w:val="none"/>
          <w:u w:val="none"/>
        </w:rPr>
        <w:t>条</w:t>
      </w:r>
      <w:r>
        <w:rPr>
          <w:rFonts w:ascii="Times New Roman" w:hAnsi="Times New Roman" w:cs="Times New Roman"/>
          <w:highlight w:val="none"/>
          <w:u w:val="none"/>
        </w:rPr>
        <w:t>【</w:t>
      </w:r>
      <w:r>
        <w:rPr>
          <w:rFonts w:hint="eastAsia" w:ascii="Times New Roman" w:hAnsi="Times New Roman" w:cs="Times New Roman"/>
          <w:highlight w:val="none"/>
          <w:u w:val="none"/>
        </w:rPr>
        <w:t>异议处理</w:t>
      </w:r>
      <w:r>
        <w:rPr>
          <w:rFonts w:ascii="Times New Roman" w:hAnsi="Times New Roman" w:cs="Times New Roman"/>
          <w:highlight w:val="none"/>
          <w:u w:val="none"/>
        </w:rPr>
        <w:t>】</w:t>
      </w:r>
      <w:r>
        <w:rPr>
          <w:rFonts w:hint="eastAsia"/>
          <w:highlight w:val="none"/>
          <w:u w:val="none"/>
        </w:rPr>
        <w:t>公民、法人或者其他组织认为开放的公共数据存在错误、遗漏等情形，或者侵犯其商业秘密、个人隐私等合法权益的，可以通过</w:t>
      </w:r>
      <w:r>
        <w:rPr>
          <w:rFonts w:hint="eastAsia"/>
          <w:highlight w:val="none"/>
          <w:u w:val="none"/>
          <w:lang w:eastAsia="zh-CN"/>
        </w:rPr>
        <w:t>公共数据平台</w:t>
      </w:r>
      <w:r>
        <w:rPr>
          <w:rFonts w:hint="eastAsia"/>
          <w:highlight w:val="none"/>
          <w:u w:val="none"/>
        </w:rPr>
        <w:t>提出异议。数据提供方应当立即进行核实，必要时立即中止开放，并根据核实结果采取撤回数据、恢复开放或者处理后再开放等措施，通过</w:t>
      </w:r>
      <w:r>
        <w:rPr>
          <w:rFonts w:hint="eastAsia"/>
          <w:highlight w:val="none"/>
          <w:u w:val="none"/>
          <w:lang w:eastAsia="zh-CN"/>
        </w:rPr>
        <w:t>公共数据平台</w:t>
      </w:r>
      <w:r>
        <w:rPr>
          <w:rFonts w:hint="eastAsia"/>
          <w:highlight w:val="none"/>
          <w:u w:val="none"/>
        </w:rPr>
        <w:t>及时反馈公民、法人或者其他组织。</w:t>
      </w:r>
    </w:p>
    <w:p>
      <w:pPr>
        <w:widowControl w:val="0"/>
        <w:kinsoku w:val="0"/>
        <w:ind w:firstLine="640" w:firstLineChars="200"/>
        <w:jc w:val="left"/>
        <w:rPr>
          <w:highlight w:val="none"/>
          <w:u w:val="none"/>
        </w:rPr>
      </w:pPr>
    </w:p>
    <w:p>
      <w:pPr>
        <w:pStyle w:val="3"/>
        <w:autoSpaceDE/>
        <w:autoSpaceDN/>
        <w:ind w:firstLine="0" w:firstLineChars="0"/>
        <w:jc w:val="center"/>
        <w:rPr>
          <w:highlight w:val="none"/>
          <w:u w:val="none"/>
        </w:rPr>
      </w:pPr>
      <w:r>
        <w:rPr>
          <w:highlight w:val="none"/>
          <w:u w:val="none"/>
        </w:rPr>
        <w:t>第六章 数据授权与利用</w:t>
      </w:r>
    </w:p>
    <w:p>
      <w:pPr>
        <w:widowControl w:val="0"/>
        <w:kinsoku w:val="0"/>
        <w:ind w:firstLine="668"/>
        <w:jc w:val="left"/>
        <w:rPr>
          <w:highlight w:val="none"/>
          <w:u w:val="none"/>
        </w:rPr>
      </w:pPr>
      <w:r>
        <w:rPr>
          <w:rFonts w:eastAsia="黑体"/>
          <w:spacing w:val="14"/>
          <w:szCs w:val="32"/>
          <w:highlight w:val="none"/>
          <w:u w:val="none"/>
        </w:rPr>
        <w:t>第</w:t>
      </w:r>
      <w:r>
        <w:rPr>
          <w:rFonts w:hint="eastAsia" w:eastAsia="黑体"/>
          <w:spacing w:val="14"/>
          <w:szCs w:val="32"/>
          <w:highlight w:val="none"/>
          <w:u w:val="none"/>
        </w:rPr>
        <w:t>三十二</w:t>
      </w:r>
      <w:r>
        <w:rPr>
          <w:rFonts w:eastAsia="黑体"/>
          <w:spacing w:val="8"/>
          <w:szCs w:val="32"/>
          <w:highlight w:val="none"/>
          <w:u w:val="none"/>
        </w:rPr>
        <w:t>条</w:t>
      </w:r>
      <w:r>
        <w:rPr>
          <w:highlight w:val="none"/>
          <w:u w:val="none"/>
        </w:rPr>
        <w:t>【授权</w:t>
      </w:r>
      <w:r>
        <w:rPr>
          <w:rFonts w:hint="eastAsia"/>
          <w:highlight w:val="none"/>
          <w:u w:val="none"/>
        </w:rPr>
        <w:t>要求</w:t>
      </w:r>
      <w:r>
        <w:rPr>
          <w:highlight w:val="none"/>
          <w:u w:val="none"/>
        </w:rPr>
        <w:t>】</w:t>
      </w:r>
      <w:r>
        <w:rPr>
          <w:rFonts w:hint="eastAsia"/>
          <w:highlight w:val="none"/>
          <w:u w:val="none"/>
        </w:rPr>
        <w:t>各级大数据部门</w:t>
      </w:r>
      <w:r>
        <w:rPr>
          <w:highlight w:val="none"/>
          <w:u w:val="none"/>
        </w:rPr>
        <w:t>按照</w:t>
      </w:r>
      <w:r>
        <w:rPr>
          <w:rFonts w:hint="eastAsia" w:ascii="仿宋_GB2312" w:hAnsi="仿宋_GB2312" w:cs="仿宋_GB2312"/>
          <w:highlight w:val="none"/>
          <w:u w:val="none"/>
        </w:rPr>
        <w:t>“一场景一清单一审定”</w:t>
      </w:r>
      <w:r>
        <w:rPr>
          <w:highlight w:val="none"/>
          <w:u w:val="none"/>
        </w:rPr>
        <w:t>数据授权模式</w:t>
      </w:r>
      <w:r>
        <w:rPr>
          <w:rFonts w:hint="eastAsia"/>
          <w:highlight w:val="none"/>
          <w:u w:val="none"/>
        </w:rPr>
        <w:t>，</w:t>
      </w:r>
      <w:r>
        <w:rPr>
          <w:highlight w:val="none"/>
          <w:u w:val="none"/>
        </w:rPr>
        <w:t>统一授权符合条件的市场主体作为数据授权运营方</w:t>
      </w:r>
      <w:r>
        <w:rPr>
          <w:rFonts w:hint="eastAsia" w:ascii="仿宋_GB2312" w:hAnsi="仿宋_GB2312" w:cs="仿宋_GB2312"/>
          <w:highlight w:val="none"/>
          <w:u w:val="none"/>
        </w:rPr>
        <w:t>，按照“原始数据不出域、数据可用不可见”原则</w:t>
      </w:r>
      <w:r>
        <w:rPr>
          <w:rFonts w:hint="eastAsia" w:ascii="仿宋_GB2312" w:hAnsi="仿宋_GB2312" w:cs="仿宋_GB2312"/>
          <w:szCs w:val="32"/>
          <w:highlight w:val="none"/>
          <w:u w:val="none"/>
        </w:rPr>
        <w:t>，</w:t>
      </w:r>
      <w:r>
        <w:rPr>
          <w:rFonts w:hint="eastAsia" w:ascii="仿宋_GB2312" w:hAnsi="仿宋_GB2312" w:cs="仿宋_GB2312"/>
          <w:highlight w:val="none"/>
          <w:u w:val="none"/>
        </w:rPr>
        <w:t>运营本级所归集的公共数据，并</w:t>
      </w:r>
      <w:r>
        <w:rPr>
          <w:highlight w:val="none"/>
          <w:u w:val="none"/>
        </w:rPr>
        <w:t>开发形成数据产品和服务。</w:t>
      </w:r>
      <w:r>
        <w:rPr>
          <w:rFonts w:hint="eastAsia"/>
          <w:highlight w:val="none"/>
          <w:u w:val="none"/>
        </w:rPr>
        <w:t>大数据部门</w:t>
      </w:r>
      <w:r>
        <w:rPr>
          <w:rFonts w:hint="eastAsia"/>
          <w:highlight w:val="none"/>
          <w:u w:val="none"/>
          <w:lang w:val="en-US" w:eastAsia="zh-CN"/>
        </w:rPr>
        <w:t>可结合实际，对不同数授权运营方进行不同领域数据授权运营，</w:t>
      </w:r>
      <w:r>
        <w:rPr>
          <w:rFonts w:hint="eastAsia" w:ascii="仿宋_GB2312" w:hAnsi="仿宋_GB2312" w:eastAsia="仿宋_GB2312" w:cs="仿宋_GB2312"/>
          <w:highlight w:val="none"/>
          <w:u w:val="none"/>
          <w:lang w:val="en-US" w:eastAsia="zh-CN"/>
        </w:rPr>
        <w:t>授权运营期限原则上不超过3年。</w:t>
      </w:r>
      <w:r>
        <w:rPr>
          <w:rFonts w:hint="eastAsia"/>
          <w:highlight w:val="none"/>
          <w:u w:val="none"/>
        </w:rPr>
        <w:t>支持贵阳贵安国有企业采取自主运营或授权运营等形式运营本单位数据。</w:t>
      </w:r>
    </w:p>
    <w:p>
      <w:pPr>
        <w:widowControl w:val="0"/>
        <w:kinsoku w:val="0"/>
        <w:ind w:firstLine="668"/>
        <w:jc w:val="left"/>
        <w:rPr>
          <w:highlight w:val="none"/>
          <w:u w:val="none"/>
        </w:rPr>
      </w:pPr>
      <w:r>
        <w:rPr>
          <w:rFonts w:eastAsia="黑体"/>
          <w:spacing w:val="14"/>
          <w:szCs w:val="32"/>
          <w:highlight w:val="none"/>
          <w:u w:val="none"/>
        </w:rPr>
        <w:t>第</w:t>
      </w:r>
      <w:r>
        <w:rPr>
          <w:rFonts w:hint="eastAsia" w:eastAsia="黑体"/>
          <w:spacing w:val="14"/>
          <w:szCs w:val="32"/>
          <w:highlight w:val="none"/>
          <w:u w:val="none"/>
        </w:rPr>
        <w:t>三十三</w:t>
      </w:r>
      <w:r>
        <w:rPr>
          <w:rFonts w:eastAsia="黑体"/>
          <w:spacing w:val="8"/>
          <w:szCs w:val="32"/>
          <w:highlight w:val="none"/>
          <w:u w:val="none"/>
        </w:rPr>
        <w:t>条</w:t>
      </w:r>
      <w:r>
        <w:rPr>
          <w:highlight w:val="none"/>
          <w:u w:val="none"/>
        </w:rPr>
        <w:t>【</w:t>
      </w:r>
      <w:r>
        <w:rPr>
          <w:rFonts w:hint="eastAsia"/>
          <w:highlight w:val="none"/>
          <w:u w:val="none"/>
        </w:rPr>
        <w:t>使用分配</w:t>
      </w:r>
      <w:r>
        <w:rPr>
          <w:highlight w:val="none"/>
          <w:u w:val="none"/>
        </w:rPr>
        <w:t>】</w:t>
      </w:r>
      <w:r>
        <w:rPr>
          <w:rFonts w:hint="eastAsia"/>
          <w:highlight w:val="none"/>
          <w:u w:val="none"/>
        </w:rPr>
        <w:t>鼓励</w:t>
      </w:r>
      <w:r>
        <w:rPr>
          <w:highlight w:val="none"/>
          <w:u w:val="none"/>
        </w:rPr>
        <w:t>用于公共治理、公益事业的公共数据有条件无偿使用</w:t>
      </w:r>
      <w:r>
        <w:rPr>
          <w:rFonts w:hint="eastAsia"/>
          <w:highlight w:val="none"/>
          <w:u w:val="none"/>
        </w:rPr>
        <w:t>，探索</w:t>
      </w:r>
      <w:r>
        <w:rPr>
          <w:highlight w:val="none"/>
          <w:u w:val="none"/>
        </w:rPr>
        <w:t>用于产业发展、行业发展的公共数据有条件有偿使用</w:t>
      </w:r>
      <w:r>
        <w:rPr>
          <w:rFonts w:hint="eastAsia"/>
          <w:highlight w:val="none"/>
          <w:u w:val="none"/>
        </w:rPr>
        <w:t>。基于公共数据开发利用获取收益的权利主体，应依法纳税并按国家规定上缴相关收益，由</w:t>
      </w:r>
      <w:r>
        <w:rPr>
          <w:rFonts w:hint="eastAsia"/>
          <w:highlight w:val="none"/>
          <w:u w:val="none"/>
          <w:lang w:val="en-US" w:eastAsia="zh-CN"/>
        </w:rPr>
        <w:t>各级</w:t>
      </w:r>
      <w:r>
        <w:rPr>
          <w:rFonts w:hint="eastAsia"/>
          <w:highlight w:val="none"/>
          <w:u w:val="none"/>
        </w:rPr>
        <w:t>财政依法依规纳入预算管理</w:t>
      </w:r>
      <w:r>
        <w:rPr>
          <w:highlight w:val="none"/>
          <w:u w:val="none"/>
        </w:rPr>
        <w:t>。</w:t>
      </w:r>
    </w:p>
    <w:p>
      <w:pPr>
        <w:widowControl w:val="0"/>
        <w:kinsoku w:val="0"/>
        <w:ind w:firstLine="640"/>
        <w:jc w:val="left"/>
        <w:rPr>
          <w:highlight w:val="none"/>
          <w:u w:val="none"/>
        </w:rPr>
      </w:pPr>
      <w:r>
        <w:rPr>
          <w:rFonts w:eastAsia="黑体"/>
          <w:highlight w:val="none"/>
          <w:u w:val="none"/>
        </w:rPr>
        <w:t>第</w:t>
      </w:r>
      <w:r>
        <w:rPr>
          <w:rFonts w:eastAsia="黑体"/>
          <w:spacing w:val="8"/>
          <w:szCs w:val="32"/>
          <w:highlight w:val="none"/>
          <w:u w:val="none"/>
        </w:rPr>
        <w:t>三十</w:t>
      </w:r>
      <w:r>
        <w:rPr>
          <w:rFonts w:hint="eastAsia" w:eastAsia="黑体"/>
          <w:spacing w:val="8"/>
          <w:szCs w:val="32"/>
          <w:highlight w:val="none"/>
          <w:u w:val="none"/>
        </w:rPr>
        <w:t>四</w:t>
      </w:r>
      <w:r>
        <w:rPr>
          <w:rFonts w:eastAsia="黑体"/>
          <w:highlight w:val="none"/>
          <w:u w:val="none"/>
        </w:rPr>
        <w:t>条</w:t>
      </w:r>
      <w:r>
        <w:rPr>
          <w:highlight w:val="none"/>
          <w:u w:val="none"/>
        </w:rPr>
        <w:t>【</w:t>
      </w:r>
      <w:r>
        <w:rPr>
          <w:rFonts w:hint="eastAsia"/>
          <w:highlight w:val="none"/>
          <w:u w:val="none"/>
        </w:rPr>
        <w:t>办理</w:t>
      </w:r>
      <w:r>
        <w:rPr>
          <w:highlight w:val="none"/>
          <w:u w:val="none"/>
        </w:rPr>
        <w:t>流程】</w:t>
      </w:r>
    </w:p>
    <w:p>
      <w:pPr>
        <w:widowControl w:val="0"/>
        <w:kinsoku w:val="0"/>
        <w:ind w:firstLine="640"/>
        <w:jc w:val="left"/>
        <w:rPr>
          <w:highlight w:val="none"/>
          <w:u w:val="none"/>
        </w:rPr>
      </w:pPr>
      <w:r>
        <w:rPr>
          <w:highlight w:val="none"/>
          <w:u w:val="none"/>
        </w:rPr>
        <w:t>（一）数据申请实行“一场景一申请”原则，由数据授权运营方向</w:t>
      </w:r>
      <w:r>
        <w:rPr>
          <w:rFonts w:hint="eastAsia"/>
          <w:highlight w:val="none"/>
          <w:u w:val="none"/>
        </w:rPr>
        <w:t>大数据部门</w:t>
      </w:r>
      <w:r>
        <w:rPr>
          <w:highlight w:val="none"/>
          <w:u w:val="none"/>
        </w:rPr>
        <w:t>提交数据需求申请，数据需求申请应明确数据来源单位、场景应用、使用范围、使用期限和安全管控等内容。</w:t>
      </w:r>
    </w:p>
    <w:p>
      <w:pPr>
        <w:widowControl w:val="0"/>
        <w:kinsoku w:val="0"/>
        <w:ind w:firstLine="640"/>
        <w:jc w:val="left"/>
        <w:rPr>
          <w:highlight w:val="none"/>
          <w:u w:val="none"/>
        </w:rPr>
      </w:pPr>
      <w:r>
        <w:rPr>
          <w:highlight w:val="none"/>
          <w:u w:val="none"/>
        </w:rPr>
        <w:t>（二）数据审核实行“一需求一审核”原则，</w:t>
      </w:r>
      <w:r>
        <w:rPr>
          <w:rFonts w:hint="eastAsia"/>
          <w:highlight w:val="none"/>
          <w:u w:val="none"/>
        </w:rPr>
        <w:t>大数据部门</w:t>
      </w:r>
      <w:r>
        <w:rPr>
          <w:highlight w:val="none"/>
          <w:u w:val="none"/>
        </w:rPr>
        <w:t>将申请的数据需求转数据提供方，数据提供方进行数据需求审核，审核通过的，向</w:t>
      </w:r>
      <w:r>
        <w:rPr>
          <w:rFonts w:hint="eastAsia"/>
          <w:highlight w:val="none"/>
          <w:u w:val="none"/>
        </w:rPr>
        <w:t>大数据部门</w:t>
      </w:r>
      <w:r>
        <w:rPr>
          <w:highlight w:val="none"/>
          <w:u w:val="none"/>
        </w:rPr>
        <w:t>反馈并提供数据；审核未通过的，向</w:t>
      </w:r>
      <w:r>
        <w:rPr>
          <w:rFonts w:hint="eastAsia"/>
          <w:highlight w:val="none"/>
          <w:u w:val="none"/>
        </w:rPr>
        <w:t>大数据部门</w:t>
      </w:r>
      <w:r>
        <w:rPr>
          <w:highlight w:val="none"/>
          <w:u w:val="none"/>
        </w:rPr>
        <w:t>提供不予通过的依据或理由。</w:t>
      </w:r>
    </w:p>
    <w:p>
      <w:pPr>
        <w:widowControl w:val="0"/>
        <w:kinsoku w:val="0"/>
        <w:ind w:firstLine="640"/>
        <w:jc w:val="left"/>
        <w:rPr>
          <w:highlight w:val="none"/>
          <w:u w:val="none"/>
        </w:rPr>
      </w:pPr>
      <w:r>
        <w:rPr>
          <w:highlight w:val="none"/>
          <w:u w:val="none"/>
        </w:rPr>
        <w:t>（三）协议签订</w:t>
      </w:r>
      <w:r>
        <w:rPr>
          <w:rFonts w:hint="eastAsia" w:ascii="仿宋_GB2312" w:hAnsi="仿宋_GB2312" w:cs="仿宋_GB2312"/>
          <w:highlight w:val="none"/>
          <w:u w:val="none"/>
        </w:rPr>
        <w:t>实行“一场景一协议”原则，</w:t>
      </w:r>
      <w:r>
        <w:rPr>
          <w:highlight w:val="none"/>
          <w:u w:val="none"/>
        </w:rPr>
        <w:t>数据申请经数据提供方审核通过后，由</w:t>
      </w:r>
      <w:r>
        <w:rPr>
          <w:rFonts w:hint="eastAsia"/>
          <w:highlight w:val="none"/>
          <w:u w:val="none"/>
        </w:rPr>
        <w:t>大数据部门</w:t>
      </w:r>
      <w:r>
        <w:rPr>
          <w:highlight w:val="none"/>
          <w:u w:val="none"/>
        </w:rPr>
        <w:t>、数据授权运营方签订数据授权开发利用协议。</w:t>
      </w:r>
    </w:p>
    <w:p>
      <w:pPr>
        <w:widowControl w:val="0"/>
        <w:kinsoku w:val="0"/>
        <w:ind w:firstLine="640"/>
        <w:jc w:val="left"/>
        <w:rPr>
          <w:highlight w:val="none"/>
          <w:u w:val="none"/>
        </w:rPr>
      </w:pPr>
      <w:r>
        <w:rPr>
          <w:highlight w:val="none"/>
          <w:u w:val="none"/>
        </w:rPr>
        <w:t>（四）数据授权运营方</w:t>
      </w:r>
      <w:r>
        <w:rPr>
          <w:rFonts w:hint="eastAsia"/>
          <w:highlight w:val="none"/>
          <w:u w:val="none"/>
        </w:rPr>
        <w:t>获得授权并使用公共数据开发</w:t>
      </w:r>
      <w:r>
        <w:rPr>
          <w:highlight w:val="none"/>
          <w:u w:val="none"/>
        </w:rPr>
        <w:t>形成数据产品和服务后，统一在贵阳大数据交易所进行交易。</w:t>
      </w:r>
      <w:r>
        <w:rPr>
          <w:rFonts w:hint="eastAsia"/>
          <w:highlight w:val="none"/>
          <w:u w:val="none"/>
        </w:rPr>
        <w:t>数据授权运营方应当对其数据处理活动定期开展风险评估</w:t>
      </w:r>
      <w:r>
        <w:rPr>
          <w:rFonts w:hint="eastAsia"/>
          <w:highlight w:val="none"/>
          <w:u w:val="none"/>
          <w:lang w:eastAsia="zh-CN"/>
        </w:rPr>
        <w:t>，</w:t>
      </w:r>
      <w:r>
        <w:rPr>
          <w:rFonts w:hint="eastAsia"/>
          <w:highlight w:val="none"/>
          <w:u w:val="none"/>
        </w:rPr>
        <w:t>并向大数据部门报送风险评估报告。</w:t>
      </w:r>
    </w:p>
    <w:p>
      <w:pPr>
        <w:widowControl w:val="0"/>
        <w:kinsoku w:val="0"/>
        <w:ind w:firstLine="640"/>
        <w:jc w:val="left"/>
        <w:rPr>
          <w:highlight w:val="none"/>
          <w:u w:val="none"/>
        </w:rPr>
      </w:pPr>
      <w:r>
        <w:rPr>
          <w:rFonts w:eastAsia="黑体"/>
          <w:highlight w:val="none"/>
          <w:u w:val="none"/>
        </w:rPr>
        <w:t>第</w:t>
      </w:r>
      <w:r>
        <w:rPr>
          <w:rFonts w:eastAsia="黑体"/>
          <w:spacing w:val="8"/>
          <w:szCs w:val="32"/>
          <w:highlight w:val="none"/>
          <w:u w:val="none"/>
        </w:rPr>
        <w:t>三十</w:t>
      </w:r>
      <w:r>
        <w:rPr>
          <w:rFonts w:hint="eastAsia" w:eastAsia="黑体"/>
          <w:spacing w:val="8"/>
          <w:szCs w:val="32"/>
          <w:highlight w:val="none"/>
          <w:u w:val="none"/>
        </w:rPr>
        <w:t>五</w:t>
      </w:r>
      <w:r>
        <w:rPr>
          <w:rFonts w:eastAsia="黑体"/>
          <w:highlight w:val="none"/>
          <w:u w:val="none"/>
        </w:rPr>
        <w:t>条</w:t>
      </w:r>
      <w:r>
        <w:rPr>
          <w:highlight w:val="none"/>
          <w:u w:val="none"/>
        </w:rPr>
        <w:t>【</w:t>
      </w:r>
      <w:r>
        <w:rPr>
          <w:rFonts w:hint="eastAsia"/>
          <w:highlight w:val="none"/>
          <w:u w:val="none"/>
        </w:rPr>
        <w:t>成效</w:t>
      </w:r>
      <w:r>
        <w:rPr>
          <w:highlight w:val="none"/>
          <w:u w:val="none"/>
        </w:rPr>
        <w:t>评估】</w:t>
      </w:r>
      <w:r>
        <w:rPr>
          <w:rFonts w:hint="eastAsia"/>
          <w:highlight w:val="none"/>
          <w:u w:val="none"/>
        </w:rPr>
        <w:t>各级大数据部门</w:t>
      </w:r>
      <w:r>
        <w:rPr>
          <w:highlight w:val="none"/>
          <w:u w:val="none"/>
        </w:rPr>
        <w:t>负责按照省级</w:t>
      </w:r>
      <w:r>
        <w:rPr>
          <w:rFonts w:hint="eastAsia"/>
          <w:highlight w:val="none"/>
          <w:u w:val="none"/>
        </w:rPr>
        <w:t>公共数据</w:t>
      </w:r>
      <w:r>
        <w:rPr>
          <w:highlight w:val="none"/>
          <w:u w:val="none"/>
        </w:rPr>
        <w:t>开发利用成效评估指标体系，对</w:t>
      </w:r>
      <w:r>
        <w:rPr>
          <w:rFonts w:hint="eastAsia"/>
          <w:highlight w:val="none"/>
          <w:u w:val="none"/>
        </w:rPr>
        <w:t>公共数据</w:t>
      </w:r>
      <w:r>
        <w:rPr>
          <w:highlight w:val="none"/>
          <w:u w:val="none"/>
        </w:rPr>
        <w:t>开发利用成效进行评估，确保开发利用实效性。</w:t>
      </w:r>
      <w:r>
        <w:rPr>
          <w:rFonts w:hint="eastAsia"/>
          <w:highlight w:val="none"/>
          <w:u w:val="none"/>
        </w:rPr>
        <w:t>建立淘汰机制，对</w:t>
      </w:r>
      <w:r>
        <w:rPr>
          <w:rFonts w:ascii="Arial" w:hAnsi="Arial" w:eastAsia="仿宋_GB2312" w:cs="Arial"/>
          <w:snapToGrid w:val="0"/>
          <w:color w:val="000000"/>
          <w:sz w:val="32"/>
          <w:szCs w:val="21"/>
          <w:highlight w:val="none"/>
          <w:u w:val="none"/>
          <w:lang w:val="en-US" w:eastAsia="zh-CN" w:bidi="ar-SA"/>
        </w:rPr>
        <w:t>连续两年成效不达标的</w:t>
      </w:r>
      <w:r>
        <w:rPr>
          <w:rFonts w:hint="eastAsia"/>
          <w:highlight w:val="none"/>
          <w:u w:val="none"/>
        </w:rPr>
        <w:t>，取消数据授权运营资格。</w:t>
      </w:r>
      <w:r>
        <w:rPr>
          <w:highlight w:val="none"/>
          <w:u w:val="none"/>
        </w:rPr>
        <w:t>数据授权运营方负责建立开发利用数据反馈机制，对</w:t>
      </w:r>
      <w:r>
        <w:rPr>
          <w:rFonts w:hint="eastAsia"/>
          <w:highlight w:val="none"/>
          <w:u w:val="none"/>
        </w:rPr>
        <w:t>公共数据</w:t>
      </w:r>
      <w:r>
        <w:rPr>
          <w:highlight w:val="none"/>
          <w:u w:val="none"/>
        </w:rPr>
        <w:t>可用性、完整性、数据质量等进行评价评估，提升公共数据可用性及开发利用成效。</w:t>
      </w:r>
    </w:p>
    <w:p>
      <w:pPr>
        <w:widowControl w:val="0"/>
        <w:kinsoku w:val="0"/>
        <w:ind w:firstLine="640"/>
        <w:jc w:val="left"/>
        <w:rPr>
          <w:highlight w:val="none"/>
          <w:u w:val="none"/>
        </w:rPr>
      </w:pPr>
      <w:r>
        <w:rPr>
          <w:rFonts w:eastAsia="黑体"/>
          <w:highlight w:val="none"/>
          <w:u w:val="none"/>
        </w:rPr>
        <w:t>第</w:t>
      </w:r>
      <w:r>
        <w:rPr>
          <w:rFonts w:eastAsia="黑体"/>
          <w:spacing w:val="8"/>
          <w:szCs w:val="32"/>
          <w:highlight w:val="none"/>
          <w:u w:val="none"/>
        </w:rPr>
        <w:t>三十</w:t>
      </w:r>
      <w:r>
        <w:rPr>
          <w:rFonts w:hint="eastAsia" w:eastAsia="黑体"/>
          <w:spacing w:val="8"/>
          <w:szCs w:val="32"/>
          <w:highlight w:val="none"/>
          <w:u w:val="none"/>
        </w:rPr>
        <w:t>六</w:t>
      </w:r>
      <w:r>
        <w:rPr>
          <w:rFonts w:eastAsia="黑体"/>
          <w:highlight w:val="none"/>
          <w:u w:val="none"/>
        </w:rPr>
        <w:t>条</w:t>
      </w:r>
      <w:r>
        <w:rPr>
          <w:highlight w:val="none"/>
          <w:u w:val="none"/>
        </w:rPr>
        <w:t>【</w:t>
      </w:r>
      <w:r>
        <w:rPr>
          <w:rFonts w:hint="eastAsia"/>
          <w:highlight w:val="none"/>
          <w:u w:val="none"/>
        </w:rPr>
        <w:t>场景开发</w:t>
      </w:r>
      <w:r>
        <w:rPr>
          <w:highlight w:val="none"/>
          <w:u w:val="none"/>
        </w:rPr>
        <w:t>】鼓励</w:t>
      </w:r>
      <w:r>
        <w:rPr>
          <w:rFonts w:hint="eastAsia"/>
          <w:highlight w:val="none"/>
          <w:u w:val="none"/>
        </w:rPr>
        <w:t>公民、</w:t>
      </w:r>
      <w:r>
        <w:rPr>
          <w:highlight w:val="none"/>
          <w:u w:val="none"/>
        </w:rPr>
        <w:t>法人或其他组织利用公共数据服务和产品</w:t>
      </w:r>
      <w:r>
        <w:rPr>
          <w:rFonts w:hint="eastAsia"/>
          <w:highlight w:val="none"/>
          <w:u w:val="none"/>
        </w:rPr>
        <w:t>，建设公共数据</w:t>
      </w:r>
      <w:r>
        <w:rPr>
          <w:highlight w:val="none"/>
          <w:u w:val="none"/>
        </w:rPr>
        <w:t>开发利用场景。</w:t>
      </w:r>
    </w:p>
    <w:p>
      <w:pPr>
        <w:widowControl w:val="0"/>
        <w:kinsoku w:val="0"/>
        <w:ind w:firstLine="640"/>
        <w:jc w:val="left"/>
        <w:rPr>
          <w:b/>
          <w:bCs/>
          <w:highlight w:val="none"/>
          <w:u w:val="none"/>
        </w:rPr>
      </w:pPr>
      <w:r>
        <w:rPr>
          <w:rFonts w:eastAsia="黑体"/>
          <w:highlight w:val="none"/>
          <w:u w:val="none"/>
        </w:rPr>
        <w:t>第</w:t>
      </w:r>
      <w:r>
        <w:rPr>
          <w:rFonts w:eastAsia="黑体"/>
          <w:spacing w:val="8"/>
          <w:szCs w:val="32"/>
          <w:highlight w:val="none"/>
          <w:u w:val="none"/>
        </w:rPr>
        <w:t>三十</w:t>
      </w:r>
      <w:r>
        <w:rPr>
          <w:rFonts w:hint="eastAsia" w:eastAsia="黑体"/>
          <w:spacing w:val="8"/>
          <w:szCs w:val="32"/>
          <w:highlight w:val="none"/>
          <w:u w:val="none"/>
        </w:rPr>
        <w:t>七</w:t>
      </w:r>
      <w:r>
        <w:rPr>
          <w:rFonts w:eastAsia="黑体"/>
          <w:highlight w:val="none"/>
          <w:u w:val="none"/>
        </w:rPr>
        <w:t>条</w:t>
      </w:r>
      <w:r>
        <w:rPr>
          <w:highlight w:val="none"/>
          <w:u w:val="none"/>
        </w:rPr>
        <w:t>【资产入表】财政部门</w:t>
      </w:r>
      <w:r>
        <w:rPr>
          <w:rFonts w:hint="eastAsia"/>
          <w:highlight w:val="none"/>
          <w:u w:val="none"/>
        </w:rPr>
        <w:t>应当</w:t>
      </w:r>
      <w:r>
        <w:rPr>
          <w:highlight w:val="none"/>
          <w:u w:val="none"/>
        </w:rPr>
        <w:t>会同相关行政机关</w:t>
      </w:r>
      <w:r>
        <w:rPr>
          <w:rFonts w:hint="eastAsia"/>
          <w:highlight w:val="none"/>
          <w:u w:val="none"/>
        </w:rPr>
        <w:t>推动</w:t>
      </w:r>
      <w:r>
        <w:rPr>
          <w:highlight w:val="none"/>
          <w:u w:val="none"/>
        </w:rPr>
        <w:t>数据资产入表的</w:t>
      </w:r>
      <w:r>
        <w:rPr>
          <w:rFonts w:hint="eastAsia"/>
          <w:highlight w:val="none"/>
          <w:u w:val="none"/>
        </w:rPr>
        <w:t>相关工作</w:t>
      </w:r>
      <w:r>
        <w:rPr>
          <w:highlight w:val="none"/>
          <w:u w:val="none"/>
        </w:rPr>
        <w:t>，</w:t>
      </w:r>
      <w:r>
        <w:rPr>
          <w:rFonts w:hint="eastAsia"/>
          <w:highlight w:val="none"/>
          <w:u w:val="none"/>
        </w:rPr>
        <w:t>鼓励数据要素型企业对数据资产进行确认、评估、计量、披露等。</w:t>
      </w:r>
    </w:p>
    <w:p>
      <w:pPr>
        <w:widowControl w:val="0"/>
        <w:kinsoku w:val="0"/>
        <w:ind w:firstLine="640"/>
        <w:jc w:val="left"/>
        <w:rPr>
          <w:highlight w:val="none"/>
          <w:u w:val="none"/>
        </w:rPr>
      </w:pPr>
    </w:p>
    <w:p>
      <w:pPr>
        <w:pStyle w:val="3"/>
        <w:autoSpaceDE/>
        <w:autoSpaceDN/>
        <w:ind w:firstLine="0" w:firstLineChars="0"/>
        <w:jc w:val="center"/>
        <w:rPr>
          <w:highlight w:val="none"/>
          <w:u w:val="none"/>
        </w:rPr>
      </w:pPr>
      <w:r>
        <w:rPr>
          <w:highlight w:val="none"/>
          <w:u w:val="none"/>
        </w:rPr>
        <w:t>第七章 数据安全</w:t>
      </w:r>
    </w:p>
    <w:p>
      <w:pPr>
        <w:widowControl w:val="0"/>
        <w:kinsoku w:val="0"/>
        <w:ind w:firstLine="670"/>
        <w:jc w:val="left"/>
        <w:rPr>
          <w:rFonts w:eastAsia="黑体"/>
          <w:spacing w:val="15"/>
          <w:highlight w:val="none"/>
          <w:u w:val="none"/>
        </w:rPr>
      </w:pPr>
      <w:r>
        <w:rPr>
          <w:rFonts w:eastAsia="黑体"/>
          <w:spacing w:val="15"/>
          <w:highlight w:val="none"/>
          <w:u w:val="none"/>
        </w:rPr>
        <w:t>第</w:t>
      </w:r>
      <w:r>
        <w:rPr>
          <w:rFonts w:hint="eastAsia" w:eastAsia="黑体"/>
          <w:spacing w:val="15"/>
          <w:highlight w:val="none"/>
          <w:u w:val="none"/>
        </w:rPr>
        <w:t>三十八</w:t>
      </w:r>
      <w:r>
        <w:rPr>
          <w:rFonts w:eastAsia="黑体"/>
          <w:spacing w:val="8"/>
          <w:highlight w:val="none"/>
          <w:u w:val="none"/>
        </w:rPr>
        <w:t>条</w:t>
      </w:r>
      <w:r>
        <w:rPr>
          <w:rFonts w:eastAsia="仿宋"/>
          <w:spacing w:val="8"/>
          <w:highlight w:val="none"/>
          <w:u w:val="none"/>
        </w:rPr>
        <w:t>【</w:t>
      </w:r>
      <w:r>
        <w:rPr>
          <w:rFonts w:hint="eastAsia" w:ascii="仿宋_GB2312" w:hAnsi="仿宋_GB2312" w:cs="仿宋_GB2312"/>
          <w:spacing w:val="8"/>
          <w:highlight w:val="none"/>
          <w:u w:val="none"/>
        </w:rPr>
        <w:t>安全管理</w:t>
      </w:r>
      <w:r>
        <w:rPr>
          <w:highlight w:val="none"/>
          <w:u w:val="none"/>
        </w:rPr>
        <w:t>】</w:t>
      </w:r>
      <w:r>
        <w:rPr>
          <w:rFonts w:hint="eastAsia"/>
          <w:highlight w:val="none"/>
          <w:u w:val="none"/>
        </w:rPr>
        <w:t>公共数据安全管理应当坚持统筹协调、权责统一、分类分级、积极防御、综合防治的原则。</w:t>
      </w:r>
    </w:p>
    <w:p>
      <w:pPr>
        <w:widowControl w:val="0"/>
        <w:kinsoku w:val="0"/>
        <w:ind w:firstLine="670"/>
        <w:jc w:val="left"/>
        <w:rPr>
          <w:highlight w:val="none"/>
          <w:u w:val="none"/>
        </w:rPr>
      </w:pPr>
      <w:r>
        <w:rPr>
          <w:rFonts w:eastAsia="黑体"/>
          <w:spacing w:val="15"/>
          <w:highlight w:val="none"/>
          <w:u w:val="none"/>
        </w:rPr>
        <w:t>第</w:t>
      </w:r>
      <w:r>
        <w:rPr>
          <w:rFonts w:hint="eastAsia" w:eastAsia="黑体"/>
          <w:spacing w:val="15"/>
          <w:highlight w:val="none"/>
          <w:u w:val="none"/>
        </w:rPr>
        <w:t>三十九</w:t>
      </w:r>
      <w:r>
        <w:rPr>
          <w:rFonts w:eastAsia="黑体"/>
          <w:spacing w:val="8"/>
          <w:highlight w:val="none"/>
          <w:u w:val="none"/>
        </w:rPr>
        <w:t>条</w:t>
      </w:r>
      <w:r>
        <w:rPr>
          <w:rFonts w:eastAsia="仿宋"/>
          <w:spacing w:val="8"/>
          <w:highlight w:val="none"/>
          <w:u w:val="none"/>
        </w:rPr>
        <w:t>【</w:t>
      </w:r>
      <w:r>
        <w:rPr>
          <w:rFonts w:hint="eastAsia" w:ascii="仿宋_GB2312" w:hAnsi="仿宋_GB2312" w:cs="仿宋_GB2312"/>
          <w:spacing w:val="8"/>
          <w:highlight w:val="none"/>
          <w:u w:val="none"/>
        </w:rPr>
        <w:t>安全责任</w:t>
      </w:r>
      <w:r>
        <w:rPr>
          <w:highlight w:val="none"/>
          <w:u w:val="none"/>
        </w:rPr>
        <w:t>】按照</w:t>
      </w:r>
      <w:r>
        <w:rPr>
          <w:rFonts w:hint="eastAsia" w:ascii="仿宋_GB2312" w:hAnsi="仿宋_GB2312" w:cs="仿宋_GB2312"/>
          <w:highlight w:val="none"/>
          <w:u w:val="none"/>
        </w:rPr>
        <w:t>“谁收集、谁负责，谁使用、谁负责，谁运行、谁负责”的原则确定安全责任。各</w:t>
      </w:r>
      <w:r>
        <w:rPr>
          <w:highlight w:val="none"/>
          <w:u w:val="none"/>
        </w:rPr>
        <w:t>行政机关</w:t>
      </w:r>
      <w:r>
        <w:rPr>
          <w:rFonts w:hint="eastAsia"/>
          <w:highlight w:val="none"/>
          <w:u w:val="none"/>
        </w:rPr>
        <w:t>、</w:t>
      </w:r>
      <w:r>
        <w:rPr>
          <w:highlight w:val="none"/>
          <w:u w:val="none"/>
        </w:rPr>
        <w:t>公共企事业单位</w:t>
      </w:r>
      <w:r>
        <w:rPr>
          <w:rFonts w:hint="eastAsia"/>
          <w:highlight w:val="none"/>
          <w:u w:val="none"/>
        </w:rPr>
        <w:t>的主要负责人是本机关、本单位数据安全工作的第一责任人。</w:t>
      </w:r>
    </w:p>
    <w:p>
      <w:pPr>
        <w:widowControl w:val="0"/>
        <w:kinsoku w:val="0"/>
        <w:ind w:firstLine="640"/>
        <w:rPr>
          <w:highlight w:val="none"/>
          <w:u w:val="none"/>
        </w:rPr>
      </w:pPr>
      <w:r>
        <w:rPr>
          <w:rFonts w:ascii="仿宋_GB2312" w:cs="仿宋_GB2312"/>
          <w:highlight w:val="none"/>
          <w:u w:val="none"/>
        </w:rPr>
        <w:t>网信、公安、</w:t>
      </w:r>
      <w:r>
        <w:rPr>
          <w:rFonts w:hint="eastAsia" w:ascii="仿宋_GB2312" w:cs="仿宋_GB2312"/>
          <w:highlight w:val="none"/>
          <w:u w:val="none"/>
          <w:lang w:val="en-US" w:eastAsia="zh-CN"/>
        </w:rPr>
        <w:t>大数据、</w:t>
      </w:r>
      <w:r>
        <w:rPr>
          <w:rFonts w:ascii="仿宋_GB2312" w:cs="仿宋_GB2312"/>
          <w:highlight w:val="none"/>
          <w:u w:val="none"/>
        </w:rPr>
        <w:t>保密、密码等部门按照各自职责，做好公共数据安全的监督管理工作。</w:t>
      </w:r>
      <w:r>
        <w:rPr>
          <w:rFonts w:hint="eastAsia"/>
          <w:highlight w:val="none"/>
          <w:u w:val="none"/>
        </w:rPr>
        <w:t>大数据部门应当会同网信、公安等相关机关依法建立本级公共数据安全保障、风险防范</w:t>
      </w:r>
      <w:r>
        <w:rPr>
          <w:rFonts w:hint="eastAsia"/>
          <w:highlight w:val="none"/>
          <w:u w:val="none"/>
          <w:lang w:val="en-US" w:eastAsia="zh-CN"/>
        </w:rPr>
        <w:t>等</w:t>
      </w:r>
      <w:r>
        <w:rPr>
          <w:rFonts w:hint="eastAsia"/>
          <w:highlight w:val="none"/>
          <w:u w:val="none"/>
        </w:rPr>
        <w:t>相关制度，指导督促网络安全保障、风险评估和监测预警等工作，定期组织开展公共数据安全检查和风险评估，加强数据安全教育和技术培训。</w:t>
      </w:r>
    </w:p>
    <w:p>
      <w:pPr>
        <w:widowControl w:val="0"/>
        <w:numPr>
          <w:ilvl w:val="0"/>
          <w:numId w:val="0"/>
        </w:numPr>
        <w:kinsoku w:val="0"/>
        <w:ind w:firstLine="640" w:firstLineChars="200"/>
        <w:jc w:val="left"/>
        <w:rPr>
          <w:rFonts w:hint="eastAsia"/>
          <w:highlight w:val="none"/>
          <w:u w:val="none"/>
        </w:rPr>
      </w:pPr>
      <w:r>
        <w:rPr>
          <w:rFonts w:hint="eastAsia"/>
          <w:highlight w:val="none"/>
          <w:u w:val="none"/>
        </w:rPr>
        <w:t>行政机关、公共企事业单位应当建立健全本机关、本单位数据安全管理制度、技术标准和操作规范，完善安全监测预警、风险评估和应急预案体系，强化系统安全防护，加强数据安全日常管理和检查，定期组织开展系统安全风险自查和应急演练。</w:t>
      </w:r>
    </w:p>
    <w:p>
      <w:pPr>
        <w:widowControl w:val="0"/>
        <w:numPr>
          <w:ilvl w:val="0"/>
          <w:numId w:val="0"/>
        </w:numPr>
        <w:kinsoku w:val="0"/>
        <w:ind w:firstLine="640" w:firstLineChars="200"/>
        <w:jc w:val="left"/>
        <w:rPr>
          <w:rFonts w:hint="eastAsia"/>
          <w:highlight w:val="none"/>
          <w:u w:val="none"/>
        </w:rPr>
      </w:pPr>
      <w:r>
        <w:rPr>
          <w:highlight w:val="none"/>
          <w:u w:val="none"/>
        </w:rPr>
        <w:t>数据授权运营方</w:t>
      </w:r>
      <w:r>
        <w:rPr>
          <w:rFonts w:hint="eastAsia"/>
          <w:highlight w:val="none"/>
          <w:u w:val="none"/>
        </w:rPr>
        <w:t>承担公共数据授权运营的数据安全主体责任，按照“一场景一预案”的标准制定数据安全事件应急预案，定期开展应急演练。</w:t>
      </w:r>
    </w:p>
    <w:p>
      <w:pPr>
        <w:widowControl w:val="0"/>
        <w:kinsoku w:val="0"/>
        <w:ind w:firstLine="644"/>
        <w:jc w:val="left"/>
        <w:rPr>
          <w:highlight w:val="none"/>
          <w:u w:val="none"/>
        </w:rPr>
      </w:pPr>
      <w:r>
        <w:rPr>
          <w:rFonts w:eastAsia="黑体"/>
          <w:spacing w:val="2"/>
          <w:highlight w:val="none"/>
          <w:u w:val="none"/>
        </w:rPr>
        <w:t>第</w:t>
      </w:r>
      <w:r>
        <w:rPr>
          <w:rFonts w:hint="eastAsia" w:eastAsia="黑体"/>
          <w:spacing w:val="15"/>
          <w:highlight w:val="none"/>
          <w:u w:val="none"/>
        </w:rPr>
        <w:t>四十</w:t>
      </w:r>
      <w:r>
        <w:rPr>
          <w:rFonts w:eastAsia="黑体"/>
          <w:spacing w:val="2"/>
          <w:highlight w:val="none"/>
          <w:u w:val="none"/>
        </w:rPr>
        <w:t>条</w:t>
      </w:r>
      <w:r>
        <w:rPr>
          <w:highlight w:val="none"/>
          <w:u w:val="none"/>
        </w:rPr>
        <w:t>【平台安全】</w:t>
      </w:r>
      <w:r>
        <w:rPr>
          <w:rFonts w:hint="eastAsia"/>
          <w:highlight w:val="none"/>
          <w:u w:val="none"/>
        </w:rPr>
        <w:t>公共数据平台</w:t>
      </w:r>
      <w:r>
        <w:rPr>
          <w:highlight w:val="none"/>
          <w:u w:val="none"/>
        </w:rPr>
        <w:t>应当根据《中华人民共和国数据安全法》《中华人民共和国网络安全法》等有关</w:t>
      </w:r>
      <w:r>
        <w:rPr>
          <w:rFonts w:hint="eastAsia"/>
          <w:highlight w:val="none"/>
          <w:u w:val="none"/>
        </w:rPr>
        <w:t>规定</w:t>
      </w:r>
      <w:r>
        <w:rPr>
          <w:highlight w:val="none"/>
          <w:u w:val="none"/>
        </w:rPr>
        <w:t>，通过网信部门组织的网络安全审查，平台运行和管理要符合国家信息安全等级保护等相关要求，保障平台安全可靠运行。</w:t>
      </w:r>
    </w:p>
    <w:p>
      <w:pPr>
        <w:widowControl w:val="0"/>
        <w:kinsoku w:val="0"/>
        <w:ind w:firstLine="640"/>
        <w:jc w:val="left"/>
        <w:rPr>
          <w:highlight w:val="none"/>
          <w:u w:val="none"/>
        </w:rPr>
      </w:pPr>
      <w:r>
        <w:rPr>
          <w:rFonts w:eastAsia="黑体"/>
          <w:highlight w:val="none"/>
          <w:u w:val="none"/>
        </w:rPr>
        <w:t>第</w:t>
      </w:r>
      <w:r>
        <w:rPr>
          <w:rFonts w:hint="eastAsia" w:eastAsia="黑体"/>
          <w:spacing w:val="2"/>
          <w:highlight w:val="none"/>
          <w:u w:val="none"/>
        </w:rPr>
        <w:t>四十一</w:t>
      </w:r>
      <w:r>
        <w:rPr>
          <w:rFonts w:eastAsia="黑体"/>
          <w:highlight w:val="none"/>
          <w:u w:val="none"/>
        </w:rPr>
        <w:t>条</w:t>
      </w:r>
      <w:r>
        <w:rPr>
          <w:highlight w:val="none"/>
          <w:u w:val="none"/>
        </w:rPr>
        <w:t>【规范管理】</w:t>
      </w:r>
      <w:r>
        <w:rPr>
          <w:rFonts w:hint="eastAsia"/>
          <w:highlight w:val="none"/>
          <w:u w:val="none"/>
        </w:rPr>
        <w:t>各</w:t>
      </w:r>
      <w:r>
        <w:rPr>
          <w:highlight w:val="none"/>
          <w:u w:val="none"/>
        </w:rPr>
        <w:t>行政机关</w:t>
      </w:r>
      <w:r>
        <w:rPr>
          <w:rFonts w:hint="eastAsia"/>
          <w:highlight w:val="none"/>
          <w:u w:val="none"/>
        </w:rPr>
        <w:t>、</w:t>
      </w:r>
      <w:r>
        <w:rPr>
          <w:highlight w:val="none"/>
          <w:u w:val="none"/>
        </w:rPr>
        <w:t>公共企事业单位在采集、共享、开放公共数据的过程中，</w:t>
      </w:r>
      <w:r>
        <w:rPr>
          <w:rFonts w:hint="eastAsia"/>
          <w:highlight w:val="none"/>
          <w:u w:val="none"/>
        </w:rPr>
        <w:t>应当落实数据安全管理要求，遵守保护商业秘密和个人隐私的相关规定，不得损害国家利益、公共利益和个人、组织的合法权益。</w:t>
      </w:r>
    </w:p>
    <w:p>
      <w:pPr>
        <w:autoSpaceDE/>
        <w:autoSpaceDN/>
        <w:ind w:firstLine="0" w:firstLineChars="0"/>
        <w:jc w:val="center"/>
        <w:outlineLvl w:val="9"/>
        <w:rPr>
          <w:highlight w:val="none"/>
          <w:u w:val="none"/>
        </w:rPr>
      </w:pPr>
    </w:p>
    <w:p>
      <w:pPr>
        <w:pStyle w:val="3"/>
        <w:autoSpaceDE/>
        <w:autoSpaceDN/>
        <w:ind w:firstLine="0" w:firstLineChars="0"/>
        <w:jc w:val="center"/>
        <w:rPr>
          <w:highlight w:val="none"/>
          <w:u w:val="none"/>
        </w:rPr>
      </w:pPr>
      <w:r>
        <w:rPr>
          <w:highlight w:val="none"/>
          <w:u w:val="none"/>
        </w:rPr>
        <w:t>第八章 保障和监督</w:t>
      </w:r>
    </w:p>
    <w:p>
      <w:pPr>
        <w:widowControl w:val="0"/>
        <w:ind w:firstLine="640"/>
        <w:rPr>
          <w:highlight w:val="none"/>
          <w:u w:val="none"/>
        </w:rPr>
      </w:pPr>
      <w:r>
        <w:rPr>
          <w:rFonts w:eastAsia="黑体"/>
          <w:highlight w:val="none"/>
          <w:u w:val="none"/>
        </w:rPr>
        <w:t>第</w:t>
      </w:r>
      <w:r>
        <w:rPr>
          <w:rFonts w:hint="eastAsia" w:eastAsia="黑体"/>
          <w:highlight w:val="none"/>
          <w:u w:val="none"/>
        </w:rPr>
        <w:t>四十二</w:t>
      </w:r>
      <w:r>
        <w:rPr>
          <w:rFonts w:eastAsia="黑体"/>
          <w:highlight w:val="none"/>
          <w:u w:val="none"/>
        </w:rPr>
        <w:t>条</w:t>
      </w:r>
      <w:r>
        <w:rPr>
          <w:rFonts w:eastAsia="仿宋"/>
          <w:spacing w:val="-4"/>
          <w:highlight w:val="none"/>
          <w:u w:val="none"/>
        </w:rPr>
        <w:t>【</w:t>
      </w:r>
      <w:r>
        <w:rPr>
          <w:rFonts w:hint="eastAsia" w:ascii="仿宋_GB2312" w:hAnsi="仿宋_GB2312" w:cs="仿宋_GB2312"/>
          <w:spacing w:val="-4"/>
          <w:highlight w:val="none"/>
          <w:u w:val="none"/>
        </w:rPr>
        <w:t>经费保障</w:t>
      </w:r>
      <w:r>
        <w:rPr>
          <w:highlight w:val="none"/>
          <w:u w:val="none"/>
        </w:rPr>
        <w:t>】各</w:t>
      </w:r>
      <w:r>
        <w:rPr>
          <w:rFonts w:hint="eastAsia"/>
          <w:highlight w:val="none"/>
          <w:u w:val="none"/>
        </w:rPr>
        <w:t>级</w:t>
      </w:r>
      <w:r>
        <w:rPr>
          <w:highlight w:val="none"/>
          <w:u w:val="none"/>
        </w:rPr>
        <w:t>人民政府应当将</w:t>
      </w:r>
      <w:r>
        <w:rPr>
          <w:rFonts w:hint="eastAsia"/>
          <w:highlight w:val="none"/>
          <w:u w:val="none"/>
        </w:rPr>
        <w:t>公共数据</w:t>
      </w:r>
      <w:r>
        <w:rPr>
          <w:highlight w:val="none"/>
          <w:u w:val="none"/>
        </w:rPr>
        <w:t>管理工作经费纳入本级财政预算。</w:t>
      </w:r>
    </w:p>
    <w:p>
      <w:pPr>
        <w:widowControl w:val="0"/>
        <w:ind w:firstLine="640"/>
        <w:jc w:val="left"/>
        <w:rPr>
          <w:rFonts w:ascii="Times New Roman" w:hAnsi="Times New Roman" w:cs="Times New Roman"/>
          <w:highlight w:val="none"/>
          <w:u w:val="none"/>
        </w:rPr>
      </w:pPr>
      <w:r>
        <w:rPr>
          <w:rFonts w:hint="eastAsia"/>
          <w:highlight w:val="none"/>
          <w:u w:val="none"/>
        </w:rPr>
        <w:t>各级大数据部门应当会同财政部门将行政机关、公共企事业单位</w:t>
      </w:r>
      <w:r>
        <w:rPr>
          <w:rFonts w:hint="eastAsia"/>
          <w:highlight w:val="none"/>
          <w:u w:val="none"/>
          <w:lang w:val="en-US" w:eastAsia="zh-CN"/>
        </w:rPr>
        <w:t>推动</w:t>
      </w:r>
      <w:r>
        <w:rPr>
          <w:rFonts w:hint="eastAsia"/>
          <w:highlight w:val="none"/>
          <w:u w:val="none"/>
        </w:rPr>
        <w:t>公共数据编目、采集、归集、共享、开放开发等公共数据资源体系建设</w:t>
      </w:r>
      <w:r>
        <w:rPr>
          <w:rFonts w:hint="eastAsia"/>
          <w:highlight w:val="none"/>
          <w:u w:val="none"/>
          <w:lang w:val="en-US" w:eastAsia="zh-CN"/>
        </w:rPr>
        <w:t>相关工作</w:t>
      </w:r>
      <w:r>
        <w:rPr>
          <w:rFonts w:hint="eastAsia"/>
          <w:highlight w:val="none"/>
          <w:u w:val="none"/>
        </w:rPr>
        <w:t>作为项目预算安排的重要参考。</w:t>
      </w:r>
    </w:p>
    <w:p>
      <w:pPr>
        <w:widowControl w:val="0"/>
        <w:kinsoku w:val="0"/>
        <w:ind w:firstLine="640"/>
        <w:rPr>
          <w:highlight w:val="none"/>
          <w:u w:val="none"/>
        </w:rPr>
      </w:pPr>
      <w:r>
        <w:rPr>
          <w:rFonts w:eastAsia="黑体"/>
          <w:highlight w:val="none"/>
          <w:u w:val="none"/>
        </w:rPr>
        <w:t>第</w:t>
      </w:r>
      <w:r>
        <w:rPr>
          <w:rFonts w:hint="eastAsia" w:eastAsia="黑体"/>
          <w:highlight w:val="none"/>
          <w:u w:val="none"/>
        </w:rPr>
        <w:t>四十三</w:t>
      </w:r>
      <w:r>
        <w:rPr>
          <w:rFonts w:eastAsia="黑体"/>
          <w:highlight w:val="none"/>
          <w:u w:val="none"/>
        </w:rPr>
        <w:t>条</w:t>
      </w:r>
      <w:r>
        <w:rPr>
          <w:rFonts w:eastAsia="仿宋"/>
          <w:spacing w:val="-4"/>
          <w:szCs w:val="32"/>
          <w:highlight w:val="none"/>
          <w:u w:val="none"/>
        </w:rPr>
        <w:t>【</w:t>
      </w:r>
      <w:r>
        <w:rPr>
          <w:rFonts w:hint="eastAsia" w:ascii="仿宋_GB2312" w:hAnsi="仿宋_GB2312" w:cs="仿宋_GB2312"/>
          <w:spacing w:val="-4"/>
          <w:szCs w:val="32"/>
          <w:highlight w:val="none"/>
          <w:u w:val="none"/>
        </w:rPr>
        <w:t>监督检查</w:t>
      </w:r>
      <w:r>
        <w:rPr>
          <w:szCs w:val="32"/>
          <w:highlight w:val="none"/>
          <w:u w:val="none"/>
        </w:rPr>
        <w:t>】</w:t>
      </w:r>
      <w:r>
        <w:rPr>
          <w:rFonts w:hint="eastAsia"/>
          <w:szCs w:val="32"/>
          <w:highlight w:val="none"/>
          <w:u w:val="none"/>
        </w:rPr>
        <w:t>各级</w:t>
      </w:r>
      <w:r>
        <w:rPr>
          <w:rFonts w:hint="eastAsia"/>
          <w:highlight w:val="none"/>
          <w:u w:val="none"/>
        </w:rPr>
        <w:t>大数据部门应当会同同级有关部门建立健全监督检查工作机制，加强对公共数据目录编制、数据归集、数据质量、数据共享、数据开放、数据安全保障等情况的监督检查，并督促整改落实。</w:t>
      </w:r>
    </w:p>
    <w:p>
      <w:pPr>
        <w:widowControl w:val="0"/>
        <w:kinsoku w:val="0"/>
        <w:ind w:firstLine="640"/>
        <w:jc w:val="left"/>
        <w:rPr>
          <w:highlight w:val="none"/>
          <w:u w:val="none"/>
        </w:rPr>
      </w:pPr>
      <w:r>
        <w:rPr>
          <w:rFonts w:eastAsia="黑体"/>
          <w:highlight w:val="none"/>
          <w:u w:val="none"/>
        </w:rPr>
        <w:t>第四</w:t>
      </w:r>
      <w:r>
        <w:rPr>
          <w:rFonts w:eastAsia="黑体"/>
          <w:spacing w:val="8"/>
          <w:highlight w:val="none"/>
          <w:u w:val="none"/>
        </w:rPr>
        <w:t>十</w:t>
      </w:r>
      <w:r>
        <w:rPr>
          <w:rFonts w:hint="eastAsia" w:eastAsia="黑体"/>
          <w:spacing w:val="8"/>
          <w:highlight w:val="none"/>
          <w:u w:val="none"/>
        </w:rPr>
        <w:t>四</w:t>
      </w:r>
      <w:r>
        <w:rPr>
          <w:rFonts w:eastAsia="黑体"/>
          <w:highlight w:val="none"/>
          <w:u w:val="none"/>
        </w:rPr>
        <w:t>条</w:t>
      </w:r>
      <w:r>
        <w:rPr>
          <w:highlight w:val="none"/>
          <w:u w:val="none"/>
          <w:lang w:bidi="ar"/>
        </w:rPr>
        <w:t>【</w:t>
      </w:r>
      <w:r>
        <w:rPr>
          <w:rFonts w:hint="eastAsia"/>
          <w:highlight w:val="none"/>
          <w:u w:val="none"/>
          <w:lang w:bidi="ar"/>
        </w:rPr>
        <w:t>整改要求</w:t>
      </w:r>
      <w:r>
        <w:rPr>
          <w:highlight w:val="none"/>
          <w:u w:val="none"/>
          <w:lang w:bidi="ar"/>
        </w:rPr>
        <w:t>】</w:t>
      </w:r>
      <w:r>
        <w:rPr>
          <w:rFonts w:hint="eastAsia"/>
          <w:highlight w:val="none"/>
          <w:u w:val="none"/>
          <w:lang w:bidi="ar"/>
        </w:rPr>
        <w:t>各行政机关、公共企事业单位有下列情形之一的，由同级大数据部门通知限期整改；逾期未完成整改的，由同级大数据部门提请本级人民政府予以通报批评。</w:t>
      </w:r>
    </w:p>
    <w:p>
      <w:pPr>
        <w:widowControl w:val="0"/>
        <w:kinsoku w:val="0"/>
        <w:ind w:firstLine="640"/>
        <w:jc w:val="left"/>
        <w:rPr>
          <w:highlight w:val="none"/>
          <w:u w:val="none"/>
          <w:lang w:bidi="ar"/>
        </w:rPr>
      </w:pPr>
      <w:r>
        <w:rPr>
          <w:rFonts w:hint="eastAsia"/>
          <w:highlight w:val="none"/>
          <w:u w:val="none"/>
          <w:lang w:bidi="ar"/>
        </w:rPr>
        <w:t>（一）未按规定编制或者更新公共数据目录的；</w:t>
      </w:r>
    </w:p>
    <w:p>
      <w:pPr>
        <w:widowControl w:val="0"/>
        <w:kinsoku w:val="0"/>
        <w:ind w:firstLine="640"/>
        <w:jc w:val="left"/>
        <w:rPr>
          <w:highlight w:val="none"/>
          <w:u w:val="none"/>
          <w:lang w:bidi="ar"/>
        </w:rPr>
      </w:pPr>
      <w:r>
        <w:rPr>
          <w:rFonts w:hint="eastAsia"/>
          <w:highlight w:val="none"/>
          <w:u w:val="none"/>
          <w:lang w:bidi="ar"/>
        </w:rPr>
        <w:t>（二）未及时向</w:t>
      </w:r>
      <w:r>
        <w:rPr>
          <w:rFonts w:hint="eastAsia"/>
          <w:highlight w:val="none"/>
          <w:u w:val="none"/>
          <w:lang w:eastAsia="zh-CN" w:bidi="ar"/>
        </w:rPr>
        <w:t>公共数据平台</w:t>
      </w:r>
      <w:r>
        <w:rPr>
          <w:rFonts w:hint="eastAsia"/>
          <w:highlight w:val="none"/>
          <w:u w:val="none"/>
          <w:lang w:bidi="ar"/>
        </w:rPr>
        <w:t>归集数据或者归集数据不符合标准要求的；</w:t>
      </w:r>
    </w:p>
    <w:p>
      <w:pPr>
        <w:widowControl w:val="0"/>
        <w:kinsoku w:val="0"/>
        <w:ind w:firstLine="640"/>
        <w:jc w:val="left"/>
        <w:rPr>
          <w:highlight w:val="none"/>
          <w:u w:val="none"/>
          <w:lang w:bidi="ar"/>
        </w:rPr>
      </w:pPr>
      <w:r>
        <w:rPr>
          <w:rFonts w:hint="eastAsia"/>
          <w:highlight w:val="none"/>
          <w:u w:val="none"/>
          <w:lang w:bidi="ar"/>
        </w:rPr>
        <w:t>（三）未按规定共享或者开放公共数据的；</w:t>
      </w:r>
    </w:p>
    <w:p>
      <w:pPr>
        <w:widowControl w:val="0"/>
        <w:kinsoku w:val="0"/>
        <w:ind w:firstLine="640"/>
        <w:jc w:val="left"/>
        <w:rPr>
          <w:highlight w:val="none"/>
          <w:u w:val="none"/>
          <w:lang w:bidi="ar"/>
        </w:rPr>
      </w:pPr>
      <w:r>
        <w:rPr>
          <w:rFonts w:hint="eastAsia"/>
          <w:highlight w:val="none"/>
          <w:u w:val="none"/>
          <w:lang w:bidi="ar"/>
        </w:rPr>
        <w:t>（四）重复收集数据的；</w:t>
      </w:r>
    </w:p>
    <w:p>
      <w:pPr>
        <w:widowControl w:val="0"/>
        <w:kinsoku w:val="0"/>
        <w:ind w:firstLine="640"/>
        <w:jc w:val="left"/>
        <w:rPr>
          <w:highlight w:val="none"/>
          <w:u w:val="none"/>
          <w:lang w:bidi="ar"/>
        </w:rPr>
      </w:pPr>
      <w:r>
        <w:rPr>
          <w:rFonts w:hint="eastAsia"/>
          <w:highlight w:val="none"/>
          <w:u w:val="none"/>
          <w:lang w:bidi="ar"/>
        </w:rPr>
        <w:t>（五）未及时核查其他机关、单位提出存在异议的公共数据的；</w:t>
      </w:r>
    </w:p>
    <w:p>
      <w:pPr>
        <w:widowControl w:val="0"/>
        <w:kinsoku w:val="0"/>
        <w:ind w:firstLine="640"/>
        <w:jc w:val="left"/>
        <w:rPr>
          <w:highlight w:val="none"/>
          <w:u w:val="none"/>
          <w:lang w:bidi="ar"/>
        </w:rPr>
      </w:pPr>
      <w:r>
        <w:rPr>
          <w:rFonts w:hint="eastAsia"/>
          <w:highlight w:val="none"/>
          <w:u w:val="none"/>
          <w:lang w:bidi="ar"/>
        </w:rPr>
        <w:t>（六）未按规定校核、封存、撤回公共数据或者关停数据应用的；</w:t>
      </w:r>
    </w:p>
    <w:p>
      <w:pPr>
        <w:widowControl w:val="0"/>
        <w:kinsoku w:val="0"/>
        <w:ind w:firstLine="640"/>
        <w:jc w:val="left"/>
        <w:rPr>
          <w:highlight w:val="none"/>
          <w:u w:val="none"/>
          <w:lang w:bidi="ar"/>
        </w:rPr>
      </w:pPr>
      <w:r>
        <w:rPr>
          <w:rFonts w:hint="eastAsia"/>
          <w:highlight w:val="none"/>
          <w:u w:val="none"/>
          <w:lang w:bidi="ar"/>
        </w:rPr>
        <w:t>（七）将共享获取的公共数据用于其他目的的；</w:t>
      </w:r>
    </w:p>
    <w:p>
      <w:pPr>
        <w:widowControl w:val="0"/>
        <w:kinsoku w:val="0"/>
        <w:ind w:firstLine="640"/>
        <w:jc w:val="left"/>
        <w:rPr>
          <w:highlight w:val="none"/>
          <w:u w:val="none"/>
          <w:lang w:bidi="ar"/>
        </w:rPr>
      </w:pPr>
      <w:r>
        <w:rPr>
          <w:rFonts w:hint="eastAsia"/>
          <w:highlight w:val="none"/>
          <w:u w:val="none"/>
          <w:lang w:bidi="ar"/>
        </w:rPr>
        <w:t>（八）擅自更改或者删除公共数据的；</w:t>
      </w:r>
    </w:p>
    <w:p>
      <w:pPr>
        <w:widowControl w:val="0"/>
        <w:kinsoku w:val="0"/>
        <w:ind w:firstLine="640"/>
        <w:jc w:val="left"/>
        <w:rPr>
          <w:highlight w:val="none"/>
          <w:u w:val="none"/>
          <w:lang w:bidi="ar"/>
        </w:rPr>
      </w:pPr>
      <w:r>
        <w:rPr>
          <w:rFonts w:hint="eastAsia"/>
          <w:highlight w:val="none"/>
          <w:u w:val="none"/>
          <w:lang w:bidi="ar"/>
        </w:rPr>
        <w:t>（九）未依法履行公共数据安全管理职责的；</w:t>
      </w:r>
    </w:p>
    <w:p>
      <w:pPr>
        <w:widowControl w:val="0"/>
        <w:kinsoku w:val="0"/>
        <w:ind w:firstLine="640"/>
        <w:jc w:val="left"/>
        <w:rPr>
          <w:highlight w:val="none"/>
          <w:u w:val="none"/>
          <w:lang w:bidi="ar"/>
        </w:rPr>
      </w:pPr>
      <w:r>
        <w:rPr>
          <w:rFonts w:hint="eastAsia"/>
          <w:highlight w:val="none"/>
          <w:u w:val="none"/>
          <w:lang w:bidi="ar"/>
        </w:rPr>
        <w:t>（十）违反本办法规定的其他情形。</w:t>
      </w:r>
    </w:p>
    <w:p>
      <w:pPr>
        <w:widowControl w:val="0"/>
        <w:kinsoku w:val="0"/>
        <w:ind w:firstLine="648"/>
        <w:jc w:val="left"/>
        <w:rPr>
          <w:highlight w:val="none"/>
          <w:u w:val="none"/>
          <w:lang w:bidi="ar"/>
        </w:rPr>
      </w:pPr>
      <w:r>
        <w:rPr>
          <w:rFonts w:eastAsia="黑体"/>
          <w:spacing w:val="4"/>
          <w:highlight w:val="none"/>
          <w:u w:val="none"/>
        </w:rPr>
        <w:t>第</w:t>
      </w:r>
      <w:r>
        <w:rPr>
          <w:rFonts w:eastAsia="黑体"/>
          <w:highlight w:val="none"/>
          <w:u w:val="none"/>
        </w:rPr>
        <w:t>四十</w:t>
      </w:r>
      <w:r>
        <w:rPr>
          <w:rFonts w:hint="eastAsia" w:eastAsia="黑体"/>
          <w:highlight w:val="none"/>
          <w:u w:val="none"/>
        </w:rPr>
        <w:t>五</w:t>
      </w:r>
      <w:r>
        <w:rPr>
          <w:rFonts w:eastAsia="黑体"/>
          <w:spacing w:val="4"/>
          <w:highlight w:val="none"/>
          <w:u w:val="none"/>
        </w:rPr>
        <w:t>条</w:t>
      </w:r>
      <w:r>
        <w:rPr>
          <w:highlight w:val="none"/>
          <w:u w:val="none"/>
          <w:lang w:bidi="ar"/>
        </w:rPr>
        <w:t>【考核</w:t>
      </w:r>
      <w:r>
        <w:rPr>
          <w:rFonts w:hint="eastAsia"/>
          <w:highlight w:val="none"/>
          <w:u w:val="none"/>
          <w:lang w:bidi="ar"/>
        </w:rPr>
        <w:t>要求</w:t>
      </w:r>
      <w:r>
        <w:rPr>
          <w:highlight w:val="none"/>
          <w:u w:val="none"/>
          <w:lang w:bidi="ar"/>
        </w:rPr>
        <w:t>】</w:t>
      </w:r>
      <w:r>
        <w:rPr>
          <w:rFonts w:hint="eastAsia"/>
          <w:highlight w:val="none"/>
          <w:u w:val="none"/>
          <w:lang w:bidi="ar"/>
        </w:rPr>
        <w:t>各级大数据部门对本级行政机关、公共企事业单位保障公共数据安全，推进公共数据共享开放和应用等相关重点工作情况进行考核，考核结果作为年度综合考核的重要内容。</w:t>
      </w:r>
    </w:p>
    <w:p>
      <w:pPr>
        <w:widowControl w:val="0"/>
        <w:kinsoku w:val="0"/>
        <w:ind w:firstLine="640"/>
        <w:jc w:val="left"/>
        <w:rPr>
          <w:highlight w:val="none"/>
          <w:u w:val="none"/>
        </w:rPr>
      </w:pPr>
    </w:p>
    <w:p>
      <w:pPr>
        <w:pStyle w:val="3"/>
        <w:autoSpaceDE/>
        <w:autoSpaceDN/>
        <w:ind w:firstLine="0" w:firstLineChars="0"/>
        <w:jc w:val="center"/>
        <w:rPr>
          <w:highlight w:val="none"/>
          <w:u w:val="none"/>
        </w:rPr>
      </w:pPr>
      <w:r>
        <w:rPr>
          <w:highlight w:val="none"/>
          <w:u w:val="none"/>
        </w:rPr>
        <w:t>第九章 附则</w:t>
      </w:r>
    </w:p>
    <w:p>
      <w:pPr>
        <w:widowControl w:val="0"/>
        <w:kinsoku w:val="0"/>
        <w:autoSpaceDE w:val="0"/>
        <w:autoSpaceDN w:val="0"/>
        <w:ind w:firstLine="624"/>
        <w:jc w:val="left"/>
        <w:textAlignment w:val="baseline"/>
        <w:rPr>
          <w:rFonts w:hint="eastAsia"/>
          <w:highlight w:val="none"/>
          <w:u w:val="none"/>
          <w:lang w:bidi="ar"/>
        </w:rPr>
      </w:pPr>
      <w:r>
        <w:rPr>
          <w:rFonts w:eastAsia="黑体"/>
          <w:spacing w:val="-8"/>
          <w:highlight w:val="none"/>
          <w:u w:val="none"/>
        </w:rPr>
        <w:t>第四十</w:t>
      </w:r>
      <w:r>
        <w:rPr>
          <w:rFonts w:hint="eastAsia" w:eastAsia="黑体"/>
          <w:spacing w:val="-8"/>
          <w:highlight w:val="none"/>
          <w:u w:val="none"/>
        </w:rPr>
        <w:t>六</w:t>
      </w:r>
      <w:r>
        <w:rPr>
          <w:rFonts w:eastAsia="黑体"/>
          <w:spacing w:val="-4"/>
          <w:highlight w:val="none"/>
          <w:u w:val="none"/>
        </w:rPr>
        <w:t>条</w:t>
      </w:r>
      <w:r>
        <w:rPr>
          <w:rFonts w:eastAsia="仿宋"/>
          <w:spacing w:val="2"/>
          <w:highlight w:val="none"/>
          <w:u w:val="none"/>
        </w:rPr>
        <w:t>【</w:t>
      </w:r>
      <w:r>
        <w:rPr>
          <w:highlight w:val="none"/>
          <w:u w:val="none"/>
          <w:lang w:bidi="ar"/>
        </w:rPr>
        <w:t>生效日期】</w:t>
      </w:r>
      <w:r>
        <w:rPr>
          <w:rFonts w:hint="eastAsia"/>
          <w:highlight w:val="none"/>
          <w:u w:val="none"/>
          <w:lang w:bidi="ar"/>
        </w:rPr>
        <w:t>本办法自印发之日起施行</w:t>
      </w:r>
      <w:r>
        <w:rPr>
          <w:rFonts w:hint="eastAsia"/>
          <w:highlight w:val="none"/>
          <w:u w:val="none"/>
          <w:lang w:eastAsia="zh-CN" w:bidi="ar"/>
        </w:rPr>
        <w:t>，</w:t>
      </w:r>
      <w:r>
        <w:rPr>
          <w:rFonts w:hint="eastAsia"/>
          <w:highlight w:val="none"/>
          <w:u w:val="none"/>
          <w:lang w:val="en-US" w:eastAsia="zh-CN" w:bidi="ar"/>
        </w:rPr>
        <w:t>若有关文件与本办法冲突，以本办法为准</w:t>
      </w:r>
      <w:r>
        <w:rPr>
          <w:rFonts w:hint="eastAsia"/>
          <w:highlight w:val="none"/>
          <w:u w:val="none"/>
          <w:lang w:bidi="ar"/>
        </w:rPr>
        <w:t>。</w:t>
      </w:r>
    </w:p>
    <w:p>
      <w:pPr>
        <w:widowControl w:val="0"/>
        <w:kinsoku w:val="0"/>
        <w:autoSpaceDE w:val="0"/>
        <w:autoSpaceDN w:val="0"/>
        <w:ind w:firstLine="624"/>
        <w:jc w:val="left"/>
        <w:textAlignment w:val="baseline"/>
        <w:rPr>
          <w:highlight w:val="none"/>
          <w:u w:val="none"/>
          <w:lang w:bidi="ar"/>
        </w:rPr>
      </w:pPr>
    </w:p>
    <w:sectPr>
      <w:headerReference r:id="rId7" w:type="first"/>
      <w:footerReference r:id="rId10" w:type="first"/>
      <w:headerReference r:id="rId5" w:type="default"/>
      <w:footerReference r:id="rId8" w:type="default"/>
      <w:headerReference r:id="rId6" w:type="even"/>
      <w:footerReference r:id="rId9" w:type="even"/>
      <w:pgSz w:w="11907" w:h="16839"/>
      <w:pgMar w:top="1431" w:right="1559" w:bottom="1123" w:left="1650" w:header="0" w:footer="845"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560" w:lineRule="exact"/>
      <w:ind w:right="0" w:firstLine="640"/>
      <w:jc w:val="left"/>
      <w:rPr>
        <w:rFonts w:ascii="宋体" w:hAnsi="宋体" w:eastAsia="宋体" w:cs="宋体"/>
        <w:szCs w:val="2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ind w:firstLine="360"/>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ind w:firstLine="360"/>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3MjAzOGI1ZWM1NjI3YTE0MjIzZDIwNTMwM2NhZjEifQ=="/>
  </w:docVars>
  <w:rsids>
    <w:rsidRoot w:val="00172A27"/>
    <w:rsid w:val="000038A8"/>
    <w:rsid w:val="000055AD"/>
    <w:rsid w:val="00052C41"/>
    <w:rsid w:val="0008257D"/>
    <w:rsid w:val="000971EB"/>
    <w:rsid w:val="000A3AA7"/>
    <w:rsid w:val="000B69EA"/>
    <w:rsid w:val="000F111B"/>
    <w:rsid w:val="001243C8"/>
    <w:rsid w:val="0012464B"/>
    <w:rsid w:val="001258E3"/>
    <w:rsid w:val="0013144D"/>
    <w:rsid w:val="00137422"/>
    <w:rsid w:val="001544E8"/>
    <w:rsid w:val="0017100A"/>
    <w:rsid w:val="00172A27"/>
    <w:rsid w:val="001733C8"/>
    <w:rsid w:val="00183058"/>
    <w:rsid w:val="00195FF2"/>
    <w:rsid w:val="00197B10"/>
    <w:rsid w:val="001A47ED"/>
    <w:rsid w:val="001D6916"/>
    <w:rsid w:val="001E3EB2"/>
    <w:rsid w:val="0020728A"/>
    <w:rsid w:val="00266176"/>
    <w:rsid w:val="002A4401"/>
    <w:rsid w:val="002A4892"/>
    <w:rsid w:val="002B256B"/>
    <w:rsid w:val="002F2570"/>
    <w:rsid w:val="003230A0"/>
    <w:rsid w:val="003312A9"/>
    <w:rsid w:val="00332D26"/>
    <w:rsid w:val="0034439F"/>
    <w:rsid w:val="003757F9"/>
    <w:rsid w:val="003B566A"/>
    <w:rsid w:val="003B59FF"/>
    <w:rsid w:val="00410D97"/>
    <w:rsid w:val="00425F2F"/>
    <w:rsid w:val="00440EF6"/>
    <w:rsid w:val="00457DD2"/>
    <w:rsid w:val="004B61A5"/>
    <w:rsid w:val="004F003C"/>
    <w:rsid w:val="00501EE6"/>
    <w:rsid w:val="00525547"/>
    <w:rsid w:val="00533989"/>
    <w:rsid w:val="0059172A"/>
    <w:rsid w:val="005A6176"/>
    <w:rsid w:val="005B1111"/>
    <w:rsid w:val="005D26F6"/>
    <w:rsid w:val="005F571F"/>
    <w:rsid w:val="00655CF9"/>
    <w:rsid w:val="006B6A39"/>
    <w:rsid w:val="006E4DF7"/>
    <w:rsid w:val="00726C4B"/>
    <w:rsid w:val="00757818"/>
    <w:rsid w:val="00766202"/>
    <w:rsid w:val="00772D18"/>
    <w:rsid w:val="00783197"/>
    <w:rsid w:val="00794BF2"/>
    <w:rsid w:val="007C2509"/>
    <w:rsid w:val="007D540A"/>
    <w:rsid w:val="00822A00"/>
    <w:rsid w:val="00836232"/>
    <w:rsid w:val="00840E94"/>
    <w:rsid w:val="00842BFD"/>
    <w:rsid w:val="00855459"/>
    <w:rsid w:val="008A3DC4"/>
    <w:rsid w:val="008A4C2E"/>
    <w:rsid w:val="008A64AF"/>
    <w:rsid w:val="008D64F6"/>
    <w:rsid w:val="008D72FA"/>
    <w:rsid w:val="008E5FA5"/>
    <w:rsid w:val="009170AC"/>
    <w:rsid w:val="00923E9F"/>
    <w:rsid w:val="009478C2"/>
    <w:rsid w:val="00955FA2"/>
    <w:rsid w:val="00967C9C"/>
    <w:rsid w:val="00971E1B"/>
    <w:rsid w:val="009970A0"/>
    <w:rsid w:val="009A4A6E"/>
    <w:rsid w:val="009E3FDD"/>
    <w:rsid w:val="00A40993"/>
    <w:rsid w:val="00A66B13"/>
    <w:rsid w:val="00A674F6"/>
    <w:rsid w:val="00AB0750"/>
    <w:rsid w:val="00AE3F5D"/>
    <w:rsid w:val="00B516EA"/>
    <w:rsid w:val="00BA378D"/>
    <w:rsid w:val="00BA6D4E"/>
    <w:rsid w:val="00C839D9"/>
    <w:rsid w:val="00CA39A3"/>
    <w:rsid w:val="00CF6BB9"/>
    <w:rsid w:val="00CF6F2C"/>
    <w:rsid w:val="00D07A75"/>
    <w:rsid w:val="00D15FD6"/>
    <w:rsid w:val="00D205B7"/>
    <w:rsid w:val="00D6472F"/>
    <w:rsid w:val="00D72865"/>
    <w:rsid w:val="00D807AA"/>
    <w:rsid w:val="00D811BC"/>
    <w:rsid w:val="00D96726"/>
    <w:rsid w:val="00DA1A85"/>
    <w:rsid w:val="00DA57D6"/>
    <w:rsid w:val="00DE184F"/>
    <w:rsid w:val="00DF5254"/>
    <w:rsid w:val="00DF7DB8"/>
    <w:rsid w:val="00E36379"/>
    <w:rsid w:val="00E6232D"/>
    <w:rsid w:val="00E90586"/>
    <w:rsid w:val="00EA7724"/>
    <w:rsid w:val="00EF01B1"/>
    <w:rsid w:val="00F164F0"/>
    <w:rsid w:val="00F504EA"/>
    <w:rsid w:val="00F6458B"/>
    <w:rsid w:val="00F922D5"/>
    <w:rsid w:val="018426BC"/>
    <w:rsid w:val="01A042C5"/>
    <w:rsid w:val="01E0373D"/>
    <w:rsid w:val="01E159E2"/>
    <w:rsid w:val="02251150"/>
    <w:rsid w:val="02432EF2"/>
    <w:rsid w:val="027B45C5"/>
    <w:rsid w:val="02A147E9"/>
    <w:rsid w:val="02A91D81"/>
    <w:rsid w:val="02B03223"/>
    <w:rsid w:val="02BB7F50"/>
    <w:rsid w:val="02D8345D"/>
    <w:rsid w:val="031E10F8"/>
    <w:rsid w:val="03522419"/>
    <w:rsid w:val="03D74B34"/>
    <w:rsid w:val="03EE565D"/>
    <w:rsid w:val="03EF4DB6"/>
    <w:rsid w:val="03F95FA8"/>
    <w:rsid w:val="04184B57"/>
    <w:rsid w:val="0445708A"/>
    <w:rsid w:val="046747EA"/>
    <w:rsid w:val="046D3644"/>
    <w:rsid w:val="047A2C08"/>
    <w:rsid w:val="05150347"/>
    <w:rsid w:val="0539563E"/>
    <w:rsid w:val="05854E9B"/>
    <w:rsid w:val="05A51846"/>
    <w:rsid w:val="05C51484"/>
    <w:rsid w:val="05F76F31"/>
    <w:rsid w:val="05FA6DFD"/>
    <w:rsid w:val="06004ECC"/>
    <w:rsid w:val="060F3E98"/>
    <w:rsid w:val="06175254"/>
    <w:rsid w:val="06621954"/>
    <w:rsid w:val="069A65B0"/>
    <w:rsid w:val="06C02B49"/>
    <w:rsid w:val="07163615"/>
    <w:rsid w:val="071C08E4"/>
    <w:rsid w:val="074225FF"/>
    <w:rsid w:val="075C6ED6"/>
    <w:rsid w:val="07646BBA"/>
    <w:rsid w:val="08505B24"/>
    <w:rsid w:val="08DB59FA"/>
    <w:rsid w:val="09492D7F"/>
    <w:rsid w:val="099B2D17"/>
    <w:rsid w:val="09A80DFE"/>
    <w:rsid w:val="09C61C99"/>
    <w:rsid w:val="09CC52B0"/>
    <w:rsid w:val="09CD45A7"/>
    <w:rsid w:val="09D165B1"/>
    <w:rsid w:val="09EB2C7F"/>
    <w:rsid w:val="0A171CC6"/>
    <w:rsid w:val="0A192CA4"/>
    <w:rsid w:val="0A227EC8"/>
    <w:rsid w:val="0A930B34"/>
    <w:rsid w:val="0AA326E2"/>
    <w:rsid w:val="0AF47B08"/>
    <w:rsid w:val="0B2E0579"/>
    <w:rsid w:val="0B420D68"/>
    <w:rsid w:val="0B5E5150"/>
    <w:rsid w:val="0B941820"/>
    <w:rsid w:val="0BC26D6D"/>
    <w:rsid w:val="0BE46DC7"/>
    <w:rsid w:val="0BED6E9E"/>
    <w:rsid w:val="0C334D2A"/>
    <w:rsid w:val="0C364685"/>
    <w:rsid w:val="0CD914B5"/>
    <w:rsid w:val="0D724325"/>
    <w:rsid w:val="0D881573"/>
    <w:rsid w:val="0DC76AB2"/>
    <w:rsid w:val="0E0C7F2C"/>
    <w:rsid w:val="0E9F0171"/>
    <w:rsid w:val="0EC474DB"/>
    <w:rsid w:val="0ECB7096"/>
    <w:rsid w:val="0F20161D"/>
    <w:rsid w:val="0F7D78C2"/>
    <w:rsid w:val="0FE32D76"/>
    <w:rsid w:val="0FF4783C"/>
    <w:rsid w:val="101313B8"/>
    <w:rsid w:val="101E3DB9"/>
    <w:rsid w:val="106D0892"/>
    <w:rsid w:val="10AE113C"/>
    <w:rsid w:val="10D9298F"/>
    <w:rsid w:val="11056D1C"/>
    <w:rsid w:val="111C4301"/>
    <w:rsid w:val="11390774"/>
    <w:rsid w:val="114D0032"/>
    <w:rsid w:val="118C6B2A"/>
    <w:rsid w:val="11DB3EE2"/>
    <w:rsid w:val="11FC4288"/>
    <w:rsid w:val="12415B32"/>
    <w:rsid w:val="128C18AA"/>
    <w:rsid w:val="12C37D63"/>
    <w:rsid w:val="12F53A88"/>
    <w:rsid w:val="12F93765"/>
    <w:rsid w:val="12FB63CE"/>
    <w:rsid w:val="13491E1D"/>
    <w:rsid w:val="134C0236"/>
    <w:rsid w:val="137D0515"/>
    <w:rsid w:val="138225B4"/>
    <w:rsid w:val="143D057B"/>
    <w:rsid w:val="149D5116"/>
    <w:rsid w:val="14A47E5F"/>
    <w:rsid w:val="14A64372"/>
    <w:rsid w:val="14BD2553"/>
    <w:rsid w:val="14BE3226"/>
    <w:rsid w:val="15680E6B"/>
    <w:rsid w:val="158E59FE"/>
    <w:rsid w:val="160D0508"/>
    <w:rsid w:val="164730E5"/>
    <w:rsid w:val="16605B18"/>
    <w:rsid w:val="167847D0"/>
    <w:rsid w:val="16D543F5"/>
    <w:rsid w:val="171E6442"/>
    <w:rsid w:val="175207E1"/>
    <w:rsid w:val="17680005"/>
    <w:rsid w:val="176B7088"/>
    <w:rsid w:val="17832749"/>
    <w:rsid w:val="17B648CC"/>
    <w:rsid w:val="185C3BF3"/>
    <w:rsid w:val="18A312F5"/>
    <w:rsid w:val="18C33745"/>
    <w:rsid w:val="18C874FD"/>
    <w:rsid w:val="18DB4575"/>
    <w:rsid w:val="19136A29"/>
    <w:rsid w:val="19345AE7"/>
    <w:rsid w:val="19490E66"/>
    <w:rsid w:val="19494E1D"/>
    <w:rsid w:val="198B3B37"/>
    <w:rsid w:val="19DD25E4"/>
    <w:rsid w:val="1A1E49AB"/>
    <w:rsid w:val="1A4C1518"/>
    <w:rsid w:val="1A6702DA"/>
    <w:rsid w:val="1AC10A0F"/>
    <w:rsid w:val="1B5932EB"/>
    <w:rsid w:val="1B72528E"/>
    <w:rsid w:val="1BDD0203"/>
    <w:rsid w:val="1C2638FD"/>
    <w:rsid w:val="1C27133D"/>
    <w:rsid w:val="1D587461"/>
    <w:rsid w:val="1D5E1C8E"/>
    <w:rsid w:val="1DA67CCB"/>
    <w:rsid w:val="1DB046A6"/>
    <w:rsid w:val="1DBA49EB"/>
    <w:rsid w:val="1E3A434A"/>
    <w:rsid w:val="1E403142"/>
    <w:rsid w:val="1E4C4E39"/>
    <w:rsid w:val="1E763FE3"/>
    <w:rsid w:val="1E910720"/>
    <w:rsid w:val="1F5B677E"/>
    <w:rsid w:val="1F645EFF"/>
    <w:rsid w:val="1F9C6A9E"/>
    <w:rsid w:val="1FD42A82"/>
    <w:rsid w:val="1FFF689E"/>
    <w:rsid w:val="200709EF"/>
    <w:rsid w:val="200A61FB"/>
    <w:rsid w:val="200F74C8"/>
    <w:rsid w:val="20237B00"/>
    <w:rsid w:val="20594F95"/>
    <w:rsid w:val="206D21E8"/>
    <w:rsid w:val="2097197E"/>
    <w:rsid w:val="20F86A7B"/>
    <w:rsid w:val="2129610F"/>
    <w:rsid w:val="213733F8"/>
    <w:rsid w:val="214E7872"/>
    <w:rsid w:val="21803584"/>
    <w:rsid w:val="21CC4096"/>
    <w:rsid w:val="21F77EB8"/>
    <w:rsid w:val="220450F6"/>
    <w:rsid w:val="22150AC4"/>
    <w:rsid w:val="22413B46"/>
    <w:rsid w:val="22885A35"/>
    <w:rsid w:val="22A0258B"/>
    <w:rsid w:val="22D622C7"/>
    <w:rsid w:val="23031758"/>
    <w:rsid w:val="233C481F"/>
    <w:rsid w:val="236B13A3"/>
    <w:rsid w:val="23834AD2"/>
    <w:rsid w:val="23DA7B95"/>
    <w:rsid w:val="23FD3734"/>
    <w:rsid w:val="2459703E"/>
    <w:rsid w:val="24AE34FB"/>
    <w:rsid w:val="24B854FB"/>
    <w:rsid w:val="24F84311"/>
    <w:rsid w:val="25167467"/>
    <w:rsid w:val="252C35BF"/>
    <w:rsid w:val="25401C79"/>
    <w:rsid w:val="25461DC0"/>
    <w:rsid w:val="254E4396"/>
    <w:rsid w:val="258E50DA"/>
    <w:rsid w:val="259F2E44"/>
    <w:rsid w:val="25AE66CE"/>
    <w:rsid w:val="26125525"/>
    <w:rsid w:val="26523DB4"/>
    <w:rsid w:val="265D1D37"/>
    <w:rsid w:val="267442D0"/>
    <w:rsid w:val="26EA67C1"/>
    <w:rsid w:val="26FE6031"/>
    <w:rsid w:val="2727279C"/>
    <w:rsid w:val="27283403"/>
    <w:rsid w:val="273B7DB6"/>
    <w:rsid w:val="273E22FB"/>
    <w:rsid w:val="274A3D24"/>
    <w:rsid w:val="274A6102"/>
    <w:rsid w:val="275301DE"/>
    <w:rsid w:val="276E0CBD"/>
    <w:rsid w:val="27765B31"/>
    <w:rsid w:val="2778394C"/>
    <w:rsid w:val="27CC3C98"/>
    <w:rsid w:val="28143EE9"/>
    <w:rsid w:val="281D1F02"/>
    <w:rsid w:val="2848524D"/>
    <w:rsid w:val="2860425E"/>
    <w:rsid w:val="28A075FF"/>
    <w:rsid w:val="28A3165B"/>
    <w:rsid w:val="28B430AA"/>
    <w:rsid w:val="28C20BE1"/>
    <w:rsid w:val="28EC45F2"/>
    <w:rsid w:val="290179D1"/>
    <w:rsid w:val="29062808"/>
    <w:rsid w:val="291707E0"/>
    <w:rsid w:val="29CC1A83"/>
    <w:rsid w:val="29D47D49"/>
    <w:rsid w:val="2A347303"/>
    <w:rsid w:val="2A561F0B"/>
    <w:rsid w:val="2A5D0AD5"/>
    <w:rsid w:val="2A88034A"/>
    <w:rsid w:val="2B2A2B85"/>
    <w:rsid w:val="2B520958"/>
    <w:rsid w:val="2B5475D3"/>
    <w:rsid w:val="2B797C93"/>
    <w:rsid w:val="2B7C616B"/>
    <w:rsid w:val="2BA529BE"/>
    <w:rsid w:val="2C2313D5"/>
    <w:rsid w:val="2C2347F8"/>
    <w:rsid w:val="2C6112AD"/>
    <w:rsid w:val="2C8D6F12"/>
    <w:rsid w:val="2CA46D44"/>
    <w:rsid w:val="2CF31022"/>
    <w:rsid w:val="2CFC6D5C"/>
    <w:rsid w:val="2D5F63DB"/>
    <w:rsid w:val="2D7B45D9"/>
    <w:rsid w:val="2D8F6EA6"/>
    <w:rsid w:val="2DB52BFD"/>
    <w:rsid w:val="2DCD5CC2"/>
    <w:rsid w:val="2DF301D1"/>
    <w:rsid w:val="2DF432C4"/>
    <w:rsid w:val="2DFA155F"/>
    <w:rsid w:val="2E4C079B"/>
    <w:rsid w:val="2E5C0462"/>
    <w:rsid w:val="2EC2184E"/>
    <w:rsid w:val="2F4641FE"/>
    <w:rsid w:val="300A7A53"/>
    <w:rsid w:val="30446AC1"/>
    <w:rsid w:val="304F36B8"/>
    <w:rsid w:val="30506E41"/>
    <w:rsid w:val="306B699B"/>
    <w:rsid w:val="30A0308A"/>
    <w:rsid w:val="30B73737"/>
    <w:rsid w:val="31376B34"/>
    <w:rsid w:val="313802B4"/>
    <w:rsid w:val="319121DA"/>
    <w:rsid w:val="31D85915"/>
    <w:rsid w:val="31E4216D"/>
    <w:rsid w:val="321C644C"/>
    <w:rsid w:val="321F0D51"/>
    <w:rsid w:val="322C788F"/>
    <w:rsid w:val="3314567B"/>
    <w:rsid w:val="33256CB3"/>
    <w:rsid w:val="334C3C33"/>
    <w:rsid w:val="336A7566"/>
    <w:rsid w:val="33AD0E22"/>
    <w:rsid w:val="33AE06F6"/>
    <w:rsid w:val="33C97D40"/>
    <w:rsid w:val="33CB1D42"/>
    <w:rsid w:val="345F0848"/>
    <w:rsid w:val="34957935"/>
    <w:rsid w:val="34A02734"/>
    <w:rsid w:val="34AB2498"/>
    <w:rsid w:val="350D643C"/>
    <w:rsid w:val="352A6E38"/>
    <w:rsid w:val="356261C8"/>
    <w:rsid w:val="35CF3145"/>
    <w:rsid w:val="361B4BC8"/>
    <w:rsid w:val="3685159D"/>
    <w:rsid w:val="36C91717"/>
    <w:rsid w:val="36FA391D"/>
    <w:rsid w:val="374101FF"/>
    <w:rsid w:val="374331E2"/>
    <w:rsid w:val="375E11B3"/>
    <w:rsid w:val="37734817"/>
    <w:rsid w:val="38092FA0"/>
    <w:rsid w:val="38157FF4"/>
    <w:rsid w:val="38265D82"/>
    <w:rsid w:val="385D152B"/>
    <w:rsid w:val="38B53854"/>
    <w:rsid w:val="38B87B6E"/>
    <w:rsid w:val="38FB6E44"/>
    <w:rsid w:val="3933193C"/>
    <w:rsid w:val="39567CAE"/>
    <w:rsid w:val="396248D8"/>
    <w:rsid w:val="399D5E1D"/>
    <w:rsid w:val="39D858C6"/>
    <w:rsid w:val="3A234C4D"/>
    <w:rsid w:val="3A3E799E"/>
    <w:rsid w:val="3A5D0D9C"/>
    <w:rsid w:val="3A72428C"/>
    <w:rsid w:val="3A8363D5"/>
    <w:rsid w:val="3A9B5E78"/>
    <w:rsid w:val="3AD869EA"/>
    <w:rsid w:val="3B125F05"/>
    <w:rsid w:val="3B4A51A8"/>
    <w:rsid w:val="3BDF1D94"/>
    <w:rsid w:val="3C0D3FB0"/>
    <w:rsid w:val="3C1C6B44"/>
    <w:rsid w:val="3C63125A"/>
    <w:rsid w:val="3C636C66"/>
    <w:rsid w:val="3C6A3884"/>
    <w:rsid w:val="3D12139D"/>
    <w:rsid w:val="3D41665F"/>
    <w:rsid w:val="3DF31B27"/>
    <w:rsid w:val="3E106F2A"/>
    <w:rsid w:val="3E216EC1"/>
    <w:rsid w:val="3E3321E5"/>
    <w:rsid w:val="3E556F89"/>
    <w:rsid w:val="3E7A5CEB"/>
    <w:rsid w:val="3E805E3B"/>
    <w:rsid w:val="3E86714B"/>
    <w:rsid w:val="3EAA6689"/>
    <w:rsid w:val="3EB2716D"/>
    <w:rsid w:val="3EEF4CE9"/>
    <w:rsid w:val="3F140F68"/>
    <w:rsid w:val="3F1955BD"/>
    <w:rsid w:val="3F462405"/>
    <w:rsid w:val="3F666884"/>
    <w:rsid w:val="40503CB2"/>
    <w:rsid w:val="405F68F2"/>
    <w:rsid w:val="40757C3F"/>
    <w:rsid w:val="40D30206"/>
    <w:rsid w:val="40EA38FC"/>
    <w:rsid w:val="41594D29"/>
    <w:rsid w:val="416E7E42"/>
    <w:rsid w:val="41962EF5"/>
    <w:rsid w:val="41A53138"/>
    <w:rsid w:val="41CD3F26"/>
    <w:rsid w:val="42244E0B"/>
    <w:rsid w:val="42764AD5"/>
    <w:rsid w:val="42AA11FE"/>
    <w:rsid w:val="42B06238"/>
    <w:rsid w:val="42D42A31"/>
    <w:rsid w:val="42EE0F96"/>
    <w:rsid w:val="43475E24"/>
    <w:rsid w:val="43827ED5"/>
    <w:rsid w:val="439F47F3"/>
    <w:rsid w:val="43D82A2C"/>
    <w:rsid w:val="43F416D2"/>
    <w:rsid w:val="440D1CDD"/>
    <w:rsid w:val="44421808"/>
    <w:rsid w:val="44454667"/>
    <w:rsid w:val="445127E5"/>
    <w:rsid w:val="44523685"/>
    <w:rsid w:val="445D0158"/>
    <w:rsid w:val="44817E8C"/>
    <w:rsid w:val="44917F7C"/>
    <w:rsid w:val="44DD01E1"/>
    <w:rsid w:val="451C1963"/>
    <w:rsid w:val="45383322"/>
    <w:rsid w:val="45383C57"/>
    <w:rsid w:val="45440B97"/>
    <w:rsid w:val="45917994"/>
    <w:rsid w:val="460074D7"/>
    <w:rsid w:val="46101702"/>
    <w:rsid w:val="46290713"/>
    <w:rsid w:val="464D04C4"/>
    <w:rsid w:val="465A1A10"/>
    <w:rsid w:val="46713F31"/>
    <w:rsid w:val="469D52DB"/>
    <w:rsid w:val="47BA490B"/>
    <w:rsid w:val="48147269"/>
    <w:rsid w:val="482F7BFF"/>
    <w:rsid w:val="48580F04"/>
    <w:rsid w:val="486E07F1"/>
    <w:rsid w:val="488D0186"/>
    <w:rsid w:val="48C42B82"/>
    <w:rsid w:val="490E5A67"/>
    <w:rsid w:val="49117FF8"/>
    <w:rsid w:val="49594CEC"/>
    <w:rsid w:val="495D7CF3"/>
    <w:rsid w:val="49940662"/>
    <w:rsid w:val="49EA2030"/>
    <w:rsid w:val="49EF7646"/>
    <w:rsid w:val="49FC0FB7"/>
    <w:rsid w:val="4A49264C"/>
    <w:rsid w:val="4ACE07D5"/>
    <w:rsid w:val="4ADC10AD"/>
    <w:rsid w:val="4AE53878"/>
    <w:rsid w:val="4B2D3281"/>
    <w:rsid w:val="4B3F56B7"/>
    <w:rsid w:val="4B5560C8"/>
    <w:rsid w:val="4B8C4A00"/>
    <w:rsid w:val="4BA3693A"/>
    <w:rsid w:val="4BCB1153"/>
    <w:rsid w:val="4BDD7753"/>
    <w:rsid w:val="4C133023"/>
    <w:rsid w:val="4C854FCC"/>
    <w:rsid w:val="4CA15408"/>
    <w:rsid w:val="4CD34F44"/>
    <w:rsid w:val="4CEC34E4"/>
    <w:rsid w:val="4E073D3E"/>
    <w:rsid w:val="4E45448A"/>
    <w:rsid w:val="4EAE709E"/>
    <w:rsid w:val="4EC85307"/>
    <w:rsid w:val="4F096E0D"/>
    <w:rsid w:val="4F905428"/>
    <w:rsid w:val="4F961E75"/>
    <w:rsid w:val="4FE47521"/>
    <w:rsid w:val="50D172B0"/>
    <w:rsid w:val="51842D6A"/>
    <w:rsid w:val="51BD627C"/>
    <w:rsid w:val="51C873F2"/>
    <w:rsid w:val="521008D9"/>
    <w:rsid w:val="523835F9"/>
    <w:rsid w:val="527706FC"/>
    <w:rsid w:val="52831274"/>
    <w:rsid w:val="52935AF9"/>
    <w:rsid w:val="529E0372"/>
    <w:rsid w:val="529F4C9C"/>
    <w:rsid w:val="52CA50F4"/>
    <w:rsid w:val="530078BF"/>
    <w:rsid w:val="532E5683"/>
    <w:rsid w:val="53327E23"/>
    <w:rsid w:val="53617565"/>
    <w:rsid w:val="53E458C4"/>
    <w:rsid w:val="540930BB"/>
    <w:rsid w:val="54514C81"/>
    <w:rsid w:val="54BB2364"/>
    <w:rsid w:val="550146D2"/>
    <w:rsid w:val="553700F3"/>
    <w:rsid w:val="554B13FB"/>
    <w:rsid w:val="55733821"/>
    <w:rsid w:val="55EA5788"/>
    <w:rsid w:val="56424FA2"/>
    <w:rsid w:val="564E1CCF"/>
    <w:rsid w:val="5664316A"/>
    <w:rsid w:val="566E3FE9"/>
    <w:rsid w:val="568655B3"/>
    <w:rsid w:val="56AB0D99"/>
    <w:rsid w:val="574E27C8"/>
    <w:rsid w:val="579D15A1"/>
    <w:rsid w:val="57B204EC"/>
    <w:rsid w:val="57EE21D1"/>
    <w:rsid w:val="585D69C4"/>
    <w:rsid w:val="586236D9"/>
    <w:rsid w:val="587012DC"/>
    <w:rsid w:val="58704048"/>
    <w:rsid w:val="589B03EF"/>
    <w:rsid w:val="58B45C07"/>
    <w:rsid w:val="59426BB8"/>
    <w:rsid w:val="598E2D32"/>
    <w:rsid w:val="59A435EF"/>
    <w:rsid w:val="59FB0F92"/>
    <w:rsid w:val="5AAD4305"/>
    <w:rsid w:val="5AD441A0"/>
    <w:rsid w:val="5B511CED"/>
    <w:rsid w:val="5B6A2FD1"/>
    <w:rsid w:val="5B89006B"/>
    <w:rsid w:val="5BAC1370"/>
    <w:rsid w:val="5BD668B8"/>
    <w:rsid w:val="5BE23E9E"/>
    <w:rsid w:val="5BEF3AF7"/>
    <w:rsid w:val="5BF972A1"/>
    <w:rsid w:val="5CF74D38"/>
    <w:rsid w:val="5D172CE4"/>
    <w:rsid w:val="5D285B95"/>
    <w:rsid w:val="5D2E1EE5"/>
    <w:rsid w:val="5D3513BC"/>
    <w:rsid w:val="5D4D4958"/>
    <w:rsid w:val="5D972077"/>
    <w:rsid w:val="5DB669A1"/>
    <w:rsid w:val="5E1B1152"/>
    <w:rsid w:val="5E200B22"/>
    <w:rsid w:val="5E7E0D08"/>
    <w:rsid w:val="5E9071F2"/>
    <w:rsid w:val="5EAF11D8"/>
    <w:rsid w:val="5ED44AA3"/>
    <w:rsid w:val="5EF3152F"/>
    <w:rsid w:val="5EFA2E31"/>
    <w:rsid w:val="5EFA5A36"/>
    <w:rsid w:val="5F190358"/>
    <w:rsid w:val="5F1E2491"/>
    <w:rsid w:val="5F3E09CE"/>
    <w:rsid w:val="5F530220"/>
    <w:rsid w:val="5F8328B3"/>
    <w:rsid w:val="5F995267"/>
    <w:rsid w:val="5FA228B3"/>
    <w:rsid w:val="5FD72BFF"/>
    <w:rsid w:val="5FEE66E9"/>
    <w:rsid w:val="602E557D"/>
    <w:rsid w:val="604F0C94"/>
    <w:rsid w:val="606B63AF"/>
    <w:rsid w:val="60982498"/>
    <w:rsid w:val="60A10F1C"/>
    <w:rsid w:val="60C10BE6"/>
    <w:rsid w:val="61150C60"/>
    <w:rsid w:val="613A350F"/>
    <w:rsid w:val="616855E9"/>
    <w:rsid w:val="618162DA"/>
    <w:rsid w:val="61944E7E"/>
    <w:rsid w:val="62255EA3"/>
    <w:rsid w:val="626D7AE3"/>
    <w:rsid w:val="62924230"/>
    <w:rsid w:val="629C7291"/>
    <w:rsid w:val="62AD0CD6"/>
    <w:rsid w:val="62B177F5"/>
    <w:rsid w:val="634E4F86"/>
    <w:rsid w:val="63637D0B"/>
    <w:rsid w:val="63A03744"/>
    <w:rsid w:val="64027367"/>
    <w:rsid w:val="646F33AC"/>
    <w:rsid w:val="64D43C01"/>
    <w:rsid w:val="65155C43"/>
    <w:rsid w:val="65274EE6"/>
    <w:rsid w:val="653F1FB3"/>
    <w:rsid w:val="65420B1A"/>
    <w:rsid w:val="657464A4"/>
    <w:rsid w:val="65AD6933"/>
    <w:rsid w:val="65E41BD1"/>
    <w:rsid w:val="66673FD3"/>
    <w:rsid w:val="666F1DE3"/>
    <w:rsid w:val="670A5668"/>
    <w:rsid w:val="67191CD7"/>
    <w:rsid w:val="674A329F"/>
    <w:rsid w:val="678E203E"/>
    <w:rsid w:val="67C279C8"/>
    <w:rsid w:val="67EE4F89"/>
    <w:rsid w:val="685D5E61"/>
    <w:rsid w:val="68732072"/>
    <w:rsid w:val="68742613"/>
    <w:rsid w:val="68B61E95"/>
    <w:rsid w:val="68C22347"/>
    <w:rsid w:val="68ED57CF"/>
    <w:rsid w:val="68F05CD7"/>
    <w:rsid w:val="694A4563"/>
    <w:rsid w:val="69557DDE"/>
    <w:rsid w:val="69617BAA"/>
    <w:rsid w:val="6962178B"/>
    <w:rsid w:val="698044A5"/>
    <w:rsid w:val="699B2EEF"/>
    <w:rsid w:val="69C04704"/>
    <w:rsid w:val="69FA4FA1"/>
    <w:rsid w:val="6A1D648D"/>
    <w:rsid w:val="6A493A19"/>
    <w:rsid w:val="6AC36259"/>
    <w:rsid w:val="6ACE4BFE"/>
    <w:rsid w:val="6AD25325"/>
    <w:rsid w:val="6ADA2126"/>
    <w:rsid w:val="6ADB027A"/>
    <w:rsid w:val="6AE03D17"/>
    <w:rsid w:val="6B1C51CD"/>
    <w:rsid w:val="6B22580F"/>
    <w:rsid w:val="6BA0728E"/>
    <w:rsid w:val="6BD5547C"/>
    <w:rsid w:val="6BFA2B80"/>
    <w:rsid w:val="6C5507A7"/>
    <w:rsid w:val="6C944351"/>
    <w:rsid w:val="6CE84C8C"/>
    <w:rsid w:val="6D125276"/>
    <w:rsid w:val="6D3752F5"/>
    <w:rsid w:val="6D82064E"/>
    <w:rsid w:val="6D872418"/>
    <w:rsid w:val="6DA2269C"/>
    <w:rsid w:val="6DBE0F5A"/>
    <w:rsid w:val="6E2B2A93"/>
    <w:rsid w:val="6E3A019C"/>
    <w:rsid w:val="6E3F5BFA"/>
    <w:rsid w:val="6E8526FA"/>
    <w:rsid w:val="6E9A6C06"/>
    <w:rsid w:val="6EB020DD"/>
    <w:rsid w:val="6EDC6E70"/>
    <w:rsid w:val="6F7E31CC"/>
    <w:rsid w:val="6F892B5C"/>
    <w:rsid w:val="6F9476CF"/>
    <w:rsid w:val="6FCA1E38"/>
    <w:rsid w:val="70067DB8"/>
    <w:rsid w:val="705636CC"/>
    <w:rsid w:val="7064403B"/>
    <w:rsid w:val="706F1966"/>
    <w:rsid w:val="70776826"/>
    <w:rsid w:val="70862203"/>
    <w:rsid w:val="70A00DEB"/>
    <w:rsid w:val="70B62197"/>
    <w:rsid w:val="70C63E5E"/>
    <w:rsid w:val="70F84783"/>
    <w:rsid w:val="710A5B4A"/>
    <w:rsid w:val="72035AD5"/>
    <w:rsid w:val="725C1ADB"/>
    <w:rsid w:val="72BA0228"/>
    <w:rsid w:val="72D70BAF"/>
    <w:rsid w:val="72DA4A88"/>
    <w:rsid w:val="730F6635"/>
    <w:rsid w:val="734E3248"/>
    <w:rsid w:val="736257F8"/>
    <w:rsid w:val="73812FEB"/>
    <w:rsid w:val="739C429E"/>
    <w:rsid w:val="73A91189"/>
    <w:rsid w:val="73AD166E"/>
    <w:rsid w:val="73CB43D1"/>
    <w:rsid w:val="73F13E37"/>
    <w:rsid w:val="74712310"/>
    <w:rsid w:val="747B3AB0"/>
    <w:rsid w:val="748A428C"/>
    <w:rsid w:val="74D3353D"/>
    <w:rsid w:val="74D750DF"/>
    <w:rsid w:val="74DF0E02"/>
    <w:rsid w:val="74E4574A"/>
    <w:rsid w:val="74EC0F5E"/>
    <w:rsid w:val="75053244"/>
    <w:rsid w:val="752B5127"/>
    <w:rsid w:val="75431631"/>
    <w:rsid w:val="754B60EA"/>
    <w:rsid w:val="75510921"/>
    <w:rsid w:val="756B42E8"/>
    <w:rsid w:val="760E5CD0"/>
    <w:rsid w:val="761722DA"/>
    <w:rsid w:val="76261D92"/>
    <w:rsid w:val="76455D7C"/>
    <w:rsid w:val="764D731F"/>
    <w:rsid w:val="76603788"/>
    <w:rsid w:val="768A399B"/>
    <w:rsid w:val="76BF3293"/>
    <w:rsid w:val="77346D68"/>
    <w:rsid w:val="777B4F84"/>
    <w:rsid w:val="77E910CD"/>
    <w:rsid w:val="77FC331A"/>
    <w:rsid w:val="781D273E"/>
    <w:rsid w:val="781F6726"/>
    <w:rsid w:val="784529A4"/>
    <w:rsid w:val="78497DE7"/>
    <w:rsid w:val="78630991"/>
    <w:rsid w:val="7868289A"/>
    <w:rsid w:val="78914855"/>
    <w:rsid w:val="78EF2DF0"/>
    <w:rsid w:val="79166AA4"/>
    <w:rsid w:val="79646E59"/>
    <w:rsid w:val="79AF172F"/>
    <w:rsid w:val="79BB2F3F"/>
    <w:rsid w:val="79CD67A5"/>
    <w:rsid w:val="7A003677"/>
    <w:rsid w:val="7A2641E0"/>
    <w:rsid w:val="7A456C8B"/>
    <w:rsid w:val="7A712774"/>
    <w:rsid w:val="7A952756"/>
    <w:rsid w:val="7AB378AC"/>
    <w:rsid w:val="7AE8629A"/>
    <w:rsid w:val="7B0B5594"/>
    <w:rsid w:val="7B6770D5"/>
    <w:rsid w:val="7C313789"/>
    <w:rsid w:val="7C3C6D4C"/>
    <w:rsid w:val="7C933743"/>
    <w:rsid w:val="7CA45B9E"/>
    <w:rsid w:val="7D105F93"/>
    <w:rsid w:val="7D225A5C"/>
    <w:rsid w:val="7D247C97"/>
    <w:rsid w:val="7D673E74"/>
    <w:rsid w:val="7D6A3261"/>
    <w:rsid w:val="7DF22881"/>
    <w:rsid w:val="7E0616D9"/>
    <w:rsid w:val="7E1352F2"/>
    <w:rsid w:val="7E1C5485"/>
    <w:rsid w:val="7E4D25B2"/>
    <w:rsid w:val="7E762F48"/>
    <w:rsid w:val="7E9A2B63"/>
    <w:rsid w:val="7EB03338"/>
    <w:rsid w:val="7EC20776"/>
    <w:rsid w:val="7F37602F"/>
    <w:rsid w:val="7F785F30"/>
    <w:rsid w:val="7F8E12BB"/>
    <w:rsid w:val="7F9E31C4"/>
    <w:rsid w:val="7FE64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widowControl w:val="0"/>
      <w:kinsoku w:val="0"/>
      <w:autoSpaceDE w:val="0"/>
      <w:autoSpaceDN w:val="0"/>
      <w:adjustRightInd w:val="0"/>
      <w:snapToGrid w:val="0"/>
      <w:spacing w:line="560" w:lineRule="exact"/>
      <w:ind w:firstLine="640" w:firstLineChars="200"/>
      <w:textAlignment w:val="baseline"/>
      <w:pPrChange w:id="0" w:author="涛 王" w:date="2024-02-01T18:09:00Z">
        <w:pPr>
          <w:kinsoku w:val="0"/>
          <w:autoSpaceDE w:val="0"/>
          <w:autoSpaceDN w:val="0"/>
          <w:adjustRightInd w:val="0"/>
          <w:snapToGrid w:val="0"/>
          <w:spacing w:line="560" w:lineRule="exact"/>
          <w:ind w:firstLine="420" w:firstLineChars="200"/>
          <w:textAlignment w:val="baseline"/>
        </w:pPr>
      </w:pPrChange>
    </w:pPr>
    <w:rPr>
      <w:rFonts w:ascii="Arial" w:hAnsi="Arial" w:eastAsia="仿宋_GB2312" w:cs="Arial"/>
      <w:snapToGrid w:val="0"/>
      <w:color w:val="000000"/>
      <w:sz w:val="32"/>
      <w:szCs w:val="21"/>
      <w:lang w:val="en-US" w:eastAsia="zh-CN" w:bidi="ar-SA"/>
      <w:rPrChange w:id="1" w:author="涛 王" w:date="2024-02-01T18:09:00Z">
        <w:rPr>
          <w:rFonts w:ascii="Arial" w:hAnsi="Arial" w:eastAsia="仿宋_GB2312" w:cs="Arial"/>
          <w:snapToGrid w:val="0"/>
          <w:color w:val="000000"/>
          <w:sz w:val="32"/>
          <w:szCs w:val="21"/>
          <w:lang w:val="en-US" w:eastAsia="zh-CN" w:bidi="ar-SA"/>
        </w:rPr>
      </w:rPrChange>
    </w:rPr>
  </w:style>
  <w:style w:type="paragraph" w:styleId="2">
    <w:name w:val="heading 1"/>
    <w:basedOn w:val="1"/>
    <w:next w:val="1"/>
    <w:autoRedefine/>
    <w:qFormat/>
    <w:uiPriority w:val="9"/>
    <w:pPr>
      <w:keepNext/>
      <w:keepLines/>
      <w:ind w:firstLine="0" w:firstLineChars="0"/>
      <w:jc w:val="center"/>
      <w:outlineLvl w:val="0"/>
    </w:pPr>
    <w:rPr>
      <w:rFonts w:eastAsia="方正小标宋简体"/>
      <w:bCs/>
      <w:kern w:val="44"/>
      <w:sz w:val="44"/>
      <w:szCs w:val="44"/>
    </w:rPr>
  </w:style>
  <w:style w:type="paragraph" w:styleId="3">
    <w:name w:val="heading 2"/>
    <w:basedOn w:val="1"/>
    <w:next w:val="1"/>
    <w:autoRedefine/>
    <w:unhideWhenUsed/>
    <w:qFormat/>
    <w:uiPriority w:val="9"/>
    <w:pPr>
      <w:keepNext/>
      <w:keepLines/>
      <w:spacing w:line="600" w:lineRule="exact"/>
      <w:outlineLvl w:val="1"/>
    </w:pPr>
    <w:rPr>
      <w:rFonts w:ascii="黑体" w:hAnsi="黑体" w:eastAsia="黑体" w:cstheme="majorBidi"/>
      <w:bCs/>
      <w:szCs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unhideWhenUsed/>
    <w:qFormat/>
    <w:uiPriority w:val="99"/>
    <w:pPr>
      <w:ind w:left="420" w:leftChars="200"/>
    </w:pPr>
    <w:rPr>
      <w:rFonts w:eastAsia="宋体" w:cs="Times New Roman"/>
    </w:rPr>
  </w:style>
  <w:style w:type="paragraph" w:styleId="5">
    <w:name w:val="annotation text"/>
    <w:basedOn w:val="1"/>
    <w:link w:val="20"/>
    <w:autoRedefine/>
    <w:qFormat/>
    <w:uiPriority w:val="0"/>
  </w:style>
  <w:style w:type="paragraph" w:styleId="6">
    <w:name w:val="Body Text"/>
    <w:basedOn w:val="1"/>
    <w:autoRedefine/>
    <w:qFormat/>
    <w:uiPriority w:val="0"/>
    <w:pPr>
      <w:spacing w:line="570" w:lineRule="exact"/>
    </w:pPr>
    <w:rPr>
      <w:rFonts w:ascii="仿宋_GB2312" w:hAnsi="Times New Roman" w:cs="Times New Roman"/>
    </w:rPr>
  </w:style>
  <w:style w:type="paragraph" w:styleId="7">
    <w:name w:val="footer"/>
    <w:basedOn w:val="1"/>
    <w:autoRedefine/>
    <w:qFormat/>
    <w:uiPriority w:val="0"/>
    <w:pPr>
      <w:tabs>
        <w:tab w:val="center" w:pos="4153"/>
        <w:tab w:val="right" w:pos="8306"/>
      </w:tabs>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styleId="9">
    <w:name w:val="Normal (Web)"/>
    <w:basedOn w:val="1"/>
    <w:autoRedefine/>
    <w:qFormat/>
    <w:uiPriority w:val="0"/>
    <w:pPr>
      <w:spacing w:beforeAutospacing="1" w:afterAutospacing="1"/>
    </w:pPr>
    <w:rPr>
      <w:rFonts w:cs="Times New Roman"/>
      <w:sz w:val="24"/>
    </w:rPr>
  </w:style>
  <w:style w:type="paragraph" w:styleId="10">
    <w:name w:val="annotation subject"/>
    <w:basedOn w:val="5"/>
    <w:next w:val="5"/>
    <w:link w:val="21"/>
    <w:autoRedefine/>
    <w:qFormat/>
    <w:uiPriority w:val="0"/>
    <w:rPr>
      <w:b/>
      <w:bCs/>
    </w:rPr>
  </w:style>
  <w:style w:type="character" w:styleId="13">
    <w:name w:val="Strong"/>
    <w:basedOn w:val="12"/>
    <w:autoRedefine/>
    <w:qFormat/>
    <w:uiPriority w:val="22"/>
    <w:rPr>
      <w:b/>
      <w:bCs/>
    </w:rPr>
  </w:style>
  <w:style w:type="character" w:styleId="14">
    <w:name w:val="Emphasis"/>
    <w:basedOn w:val="12"/>
    <w:autoRedefine/>
    <w:qFormat/>
    <w:uiPriority w:val="0"/>
    <w:rPr>
      <w:i/>
    </w:rPr>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修订1"/>
    <w:autoRedefine/>
    <w:hidden/>
    <w:unhideWhenUsed/>
    <w:qFormat/>
    <w:uiPriority w:val="99"/>
    <w:rPr>
      <w:rFonts w:ascii="Arial" w:hAnsi="Arial" w:eastAsia="仿宋_GB2312" w:cs="Arial"/>
      <w:snapToGrid w:val="0"/>
      <w:color w:val="000000"/>
      <w:sz w:val="32"/>
      <w:szCs w:val="21"/>
      <w:lang w:val="en-US" w:eastAsia="zh-CN" w:bidi="ar-SA"/>
    </w:rPr>
  </w:style>
  <w:style w:type="paragraph" w:customStyle="1" w:styleId="19">
    <w:name w:val="修订2"/>
    <w:autoRedefine/>
    <w:hidden/>
    <w:unhideWhenUsed/>
    <w:qFormat/>
    <w:uiPriority w:val="99"/>
    <w:rPr>
      <w:rFonts w:ascii="Arial" w:hAnsi="Arial" w:eastAsia="仿宋_GB2312" w:cs="Arial"/>
      <w:snapToGrid w:val="0"/>
      <w:color w:val="000000"/>
      <w:sz w:val="32"/>
      <w:szCs w:val="21"/>
      <w:lang w:val="en-US" w:eastAsia="zh-CN" w:bidi="ar-SA"/>
    </w:rPr>
  </w:style>
  <w:style w:type="character" w:customStyle="1" w:styleId="20">
    <w:name w:val="批注文字 字符"/>
    <w:basedOn w:val="12"/>
    <w:link w:val="5"/>
    <w:autoRedefine/>
    <w:qFormat/>
    <w:uiPriority w:val="0"/>
    <w:rPr>
      <w:rFonts w:ascii="Arial" w:hAnsi="Arial" w:eastAsia="仿宋_GB2312" w:cs="Arial"/>
      <w:snapToGrid w:val="0"/>
      <w:color w:val="000000"/>
      <w:sz w:val="32"/>
      <w:szCs w:val="21"/>
    </w:rPr>
  </w:style>
  <w:style w:type="character" w:customStyle="1" w:styleId="21">
    <w:name w:val="批注主题 字符"/>
    <w:basedOn w:val="20"/>
    <w:link w:val="10"/>
    <w:autoRedefine/>
    <w:qFormat/>
    <w:uiPriority w:val="0"/>
    <w:rPr>
      <w:rFonts w:ascii="Arial" w:hAnsi="Arial" w:eastAsia="仿宋_GB2312" w:cs="Arial"/>
      <w:b/>
      <w:bCs/>
      <w:snapToGrid w:val="0"/>
      <w:color w:val="000000"/>
      <w:sz w:val="32"/>
      <w:szCs w:val="21"/>
    </w:rPr>
  </w:style>
  <w:style w:type="paragraph" w:customStyle="1" w:styleId="22">
    <w:name w:val="修订3"/>
    <w:autoRedefine/>
    <w:hidden/>
    <w:unhideWhenUsed/>
    <w:qFormat/>
    <w:uiPriority w:val="99"/>
    <w:rPr>
      <w:rFonts w:ascii="Arial" w:hAnsi="Arial" w:eastAsia="仿宋_GB2312" w:cs="Arial"/>
      <w:snapToGrid w:val="0"/>
      <w:color w:val="000000"/>
      <w:sz w:val="32"/>
      <w:szCs w:val="21"/>
      <w:lang w:val="en-US" w:eastAsia="zh-CN" w:bidi="ar-SA"/>
    </w:rPr>
  </w:style>
  <w:style w:type="paragraph" w:customStyle="1" w:styleId="23">
    <w:name w:val="修订4"/>
    <w:autoRedefine/>
    <w:hidden/>
    <w:unhideWhenUsed/>
    <w:qFormat/>
    <w:uiPriority w:val="99"/>
    <w:rPr>
      <w:rFonts w:ascii="Arial" w:hAnsi="Arial" w:eastAsia="仿宋_GB2312" w:cs="Arial"/>
      <w:snapToGrid w:val="0"/>
      <w:color w:val="000000"/>
      <w:sz w:val="32"/>
      <w:szCs w:val="21"/>
      <w:lang w:val="en-US" w:eastAsia="zh-CN" w:bidi="ar-SA"/>
    </w:rPr>
  </w:style>
  <w:style w:type="paragraph" w:customStyle="1" w:styleId="24">
    <w:name w:val="Revision"/>
    <w:autoRedefine/>
    <w:hidden/>
    <w:unhideWhenUsed/>
    <w:qFormat/>
    <w:uiPriority w:val="99"/>
    <w:rPr>
      <w:rFonts w:ascii="Arial" w:hAnsi="Arial" w:eastAsia="仿宋_GB2312" w:cs="Arial"/>
      <w:snapToGrid w:val="0"/>
      <w:color w:val="000000"/>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1049</Words>
  <Characters>5984</Characters>
  <Lines>49</Lines>
  <Paragraphs>14</Paragraphs>
  <TotalTime>17</TotalTime>
  <ScaleCrop>false</ScaleCrop>
  <LinksUpToDate>false</LinksUpToDate>
  <CharactersWithSpaces>7019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2023-11-13T02:17:00Z</dcterms:created>
  <dc:creator>张斌</dc:creator>
  <cp:lastModifiedBy>NvAin </cp:lastModifiedBy>
  <dcterms:modified xsi:type="dcterms:W3CDTF">2024-03-07T09:36:30Z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2023-07-31T09:27:07Z</vt:filetime>
  </property>
  <property fmtid="{D5CDD505-2E9C-101B-9397-08002B2CF9AE}" pid="4" name="KSOProductBuildVer">
    <vt:lpwstr>2052-12.1.0.16388</vt:lpwstr>
  </property>
  <property fmtid="{D5CDD505-2E9C-101B-9397-08002B2CF9AE}" pid="5" name="ICV">
    <vt:lpwstr>5B196D1DC6354D4FACC2680055C755E2_13</vt:lpwstr>
  </property>
</Properties>
</file>