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琥珀" w:hAnsi="华文琥珀" w:eastAsia="华文琥珀" w:cs="华文琥珀"/>
          <w:sz w:val="32"/>
          <w:szCs w:val="32"/>
          <w:lang w:val="en-US" w:eastAsia="zh-CN"/>
        </w:rPr>
      </w:pPr>
      <w:r>
        <w:rPr>
          <w:rFonts w:hint="eastAsia" w:ascii="华文琥珀" w:hAnsi="华文琥珀" w:eastAsia="华文琥珀" w:cs="华文琥珀"/>
          <w:sz w:val="32"/>
          <w:szCs w:val="32"/>
          <w:lang w:val="en-US" w:eastAsia="zh-CN"/>
        </w:rPr>
        <w:t>贵阳市“年度用水计划指标下达与调整”网络办理操作流程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登录“贵州政务服务网”https://zwfw.guizhou.gov.cn/index.html，选择“留在旧版”。（修文县、清镇市暂无网络审理站点，请到现场进行计划审核）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520440" cy="2293620"/>
            <wp:effectExtent l="0" t="0" r="0" b="7620"/>
            <wp:docPr id="15" name="图片 15" descr="微信截图_2023111415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截图_20231114150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在最上方点击“快速登录”。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5270500" cy="80200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选择“账号密码登录”。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3710940" cy="333756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个人用户选择“个人用户”登录、单位用户选择“法人用户”登录。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3703320" cy="368046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若无登录账户，点击“注册账户”，注册成功后，重复2-4步骤登录。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4244340" cy="189738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切换站点至贵阳市-所属区域的水务管理局。（云岩、南明、观山湖、经开、高新（金阳园）、双龙、贵安新区用户选择贵阳市站点的“贵阳市水务管理局”；乌当区用户选择贵阳市乌当区站点的“乌当区水务管理局”；白云、高新（沙文园）、综保区用户选择贵阳市白云区站点的“白云区农业农村局”；花溪区用户选择贵阳市花溪区站点的“花溪区水务管理局”；开阳县用户选择贵阳市开阳县站点的“开阳县水务管理局”；息烽县用户选择贵阳市息烽县站点的“息烽县水务管理局”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3268980" cy="486156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在“办事事项列表”处输入“计划”点击“搜索”。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5274310" cy="525145"/>
            <wp:effectExtent l="0" t="0" r="1397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在“年度用水计划指标下达与调整”事项处，选择“在线申请”。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5268595" cy="798830"/>
            <wp:effectExtent l="0" t="0" r="444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输入基本信息及“手工号”、“注册号”等内容，（多手工号及多注册号用户，在输入框中一次性输入全部手工号及注册号，用逗号隔开）、上传“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最近一月水费发票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”、“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计划用水单位基本情况表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”扫描件后，点击“智能核对并提交”。（需上传的附件与网站提示内容有所区别，以此操作流程为准）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5271770" cy="851535"/>
            <wp:effectExtent l="0" t="0" r="127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待系统审核完成后，点击“提交”。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5269230" cy="3338195"/>
            <wp:effectExtent l="0" t="0" r="3810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申报成功后，在登录系统初始界面的“办件”中，查询办理进度。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b/>
          <w:bCs/>
        </w:rPr>
      </w:pPr>
      <w:r>
        <w:rPr>
          <w:b/>
          <w:bCs/>
        </w:rPr>
        <w:drawing>
          <wp:inline distT="0" distB="0" distL="114300" distR="114300">
            <wp:extent cx="3528060" cy="2887980"/>
            <wp:effectExtent l="0" t="0" r="762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b/>
          <w:bCs/>
        </w:rPr>
      </w:pPr>
      <w:r>
        <w:rPr>
          <w:b/>
          <w:bCs/>
        </w:rPr>
        <w:drawing>
          <wp:inline distT="0" distB="0" distL="114300" distR="114300">
            <wp:extent cx="5268595" cy="1575435"/>
            <wp:effectExtent l="0" t="0" r="444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b/>
          <w:bCs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办件状态变更为“办结”后，点击“评价”按钮进行评价，网络年审业务完成。</w:t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1316990"/>
            <wp:effectExtent l="0" t="0" r="635" b="889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2C47"/>
    <w:multiLevelType w:val="singleLevel"/>
    <w:tmpl w:val="1BCA2C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51144"/>
    <w:rsid w:val="055C519D"/>
    <w:rsid w:val="10E97B10"/>
    <w:rsid w:val="17EB3858"/>
    <w:rsid w:val="18254FA3"/>
    <w:rsid w:val="1BE77812"/>
    <w:rsid w:val="27EE2330"/>
    <w:rsid w:val="2B405AF5"/>
    <w:rsid w:val="2F23746B"/>
    <w:rsid w:val="30431E03"/>
    <w:rsid w:val="30BF6BE0"/>
    <w:rsid w:val="368059C3"/>
    <w:rsid w:val="37755E90"/>
    <w:rsid w:val="40A83C88"/>
    <w:rsid w:val="41916D4E"/>
    <w:rsid w:val="47463D02"/>
    <w:rsid w:val="487028E2"/>
    <w:rsid w:val="4F25375B"/>
    <w:rsid w:val="51465390"/>
    <w:rsid w:val="560C63B7"/>
    <w:rsid w:val="56936E28"/>
    <w:rsid w:val="5ADF7E99"/>
    <w:rsid w:val="68862BE4"/>
    <w:rsid w:val="68E26279"/>
    <w:rsid w:val="6E0552C6"/>
    <w:rsid w:val="734F652F"/>
    <w:rsid w:val="75564A49"/>
    <w:rsid w:val="770C31D3"/>
    <w:rsid w:val="7DA139C0"/>
    <w:rsid w:val="7E5D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2022-11-10T02:47:00Z</dcterms:created>
  <dc:creator>41348</dc:creator>
  <cp:lastModifiedBy>qiruoyimei@163.com</cp:lastModifiedBy>
  <dcterms:modified xsi:type="dcterms:W3CDTF">2023-11-14T07:17:29Z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