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0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起草说明</w:t>
      </w:r>
    </w:p>
    <w:p>
      <w:pPr>
        <w:spacing w:line="560" w:lineRule="exact"/>
        <w:ind w:firstLine="640"/>
        <w:jc w:val="both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为鼓励开展多种形式的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用水权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交易，促进水资源的节约、保护和优化配置，规范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用水权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交易行为，维护交易参与人合法权益，结合我市实际，起草制定了《贵阳市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用水权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交易管理实施细则（试行）》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560" w:lineRule="exact"/>
        <w:ind w:firstLine="640"/>
        <w:jc w:val="both"/>
        <w:rPr>
          <w:rFonts w:hint="default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本细则依据是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《中华人民共和国水法》《取水许可和水资源费征收管理条例》《贵州省实施〈中华人民共和国水法〉办法》《贵州省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水权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交易管理办法（试行）》《贵州省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水权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交易规则（试行）》等有关法律法规和规范性文件，</w:t>
      </w:r>
    </w:p>
    <w:p>
      <w:pPr>
        <w:spacing w:line="560" w:lineRule="exact"/>
        <w:ind w:firstLine="640"/>
        <w:jc w:val="both"/>
        <w:rPr>
          <w:rFonts w:hint="default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本《实施细则》共八章，具体为：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第一章总则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第二章区域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水权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交易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第三章取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水权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交易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第四章灌溉用水户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水权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交易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第五章交易方式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第六章交易管理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第七章监督检查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第七章监督检查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对贵阳贵安用水权交易行为进行进一步系统规范。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both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640"/>
        <w:jc w:val="both"/>
        <w:rPr>
          <w:rFonts w:hint="default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8557C1"/>
    <w:rsid w:val="248557C1"/>
    <w:rsid w:val="5FBE4A3E"/>
    <w:rsid w:val="7085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2022-11-20T15:18:00Z</dcterms:created>
  <dc:creator>Administrator</dc:creator>
  <cp:lastModifiedBy>翻不完的夏天</cp:lastModifiedBy>
  <dcterms:modified xsi:type="dcterms:W3CDTF">2022-11-21T04:53:17Z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D0300AEB4D134BA4A0195C7092483D6C</vt:lpwstr>
  </property>
</Properties>
</file>