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5E8C">
      <w:pPr>
        <w:spacing w:line="50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2:</w:t>
      </w:r>
    </w:p>
    <w:p w14:paraId="6AA55C9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564C5A4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贵阳经济技术开发区2025年申办烟花爆竹</w:t>
      </w:r>
    </w:p>
    <w:p w14:paraId="7617B745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零售点资料提交清单</w:t>
      </w:r>
    </w:p>
    <w:p w14:paraId="71F359B4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829CC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一、烟花爆竹零售点申请人（实际经营烟花爆竹的主要负责人）身份证复印件（现场核实身份证原件）。</w:t>
      </w:r>
    </w:p>
    <w:p w14:paraId="7C2CAED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二、烟花爆竹零售点主要负责人培训合格证书。</w:t>
      </w:r>
    </w:p>
    <w:p w14:paraId="0C6AA66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三、《烟花爆竹经营（零售）许可证申请书》（后附模板）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09D56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四、《承诺书》（后附模板）。</w:t>
      </w:r>
    </w:p>
    <w:p w14:paraId="650E3A4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五、《租赁合同》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或《租赁协议》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复印件（现场核实原件，提交复印件）。</w:t>
      </w:r>
    </w:p>
    <w:p w14:paraId="2913050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六、《营业执照》复印件或企业名称预先核准通知书（现场核实原件，提交复印件）。</w:t>
      </w:r>
    </w:p>
    <w:p w14:paraId="1ACE154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图片（后附模板）。</w:t>
      </w:r>
    </w:p>
    <w:p w14:paraId="117C8DE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八、贵阳经开区烟花爆竹零售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及其周围安全条件自查说明（后附模板）。</w:t>
      </w:r>
    </w:p>
    <w:p w14:paraId="664A720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经营户选择自建房作为经营场所的，需提供有资质检测机构出具的房屋安全鉴定报告（如现场不能提供房屋安全鉴定报告，可书面承诺提交时间，在规定时间内不能提供房屋安全鉴定报告，将取消申办资格）。</w:t>
      </w:r>
    </w:p>
    <w:p w14:paraId="0030AAAB">
      <w:pPr>
        <w:pStyle w:val="8"/>
      </w:pPr>
    </w:p>
    <w:p w14:paraId="5815F59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对提交资料的真实性负责，凡发现弄虚作假、多地区经营的，一律取消申办资格，同时开展联合惩戒，三年内不得在经开区申办烟花爆竹经营许可证）</w:t>
      </w:r>
    </w:p>
    <w:p w14:paraId="4F056C5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5F8907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14:paraId="3E12CFDA">
      <w:pPr>
        <w:jc w:val="center"/>
        <w:rPr>
          <w:rFonts w:ascii="方正小标宋_GBK" w:hAnsi="宋体" w:eastAsia="方正小标宋_GBK" w:cs="宋体"/>
          <w:kern w:val="0"/>
          <w:sz w:val="56"/>
          <w:szCs w:val="56"/>
        </w:rPr>
      </w:pPr>
    </w:p>
    <w:p w14:paraId="343A56BC">
      <w:pPr>
        <w:jc w:val="center"/>
        <w:rPr>
          <w:rFonts w:ascii="方正小标宋_GBK" w:hAnsi="宋体" w:eastAsia="方正小标宋_GBK" w:cs="宋体"/>
          <w:kern w:val="0"/>
          <w:sz w:val="56"/>
          <w:szCs w:val="56"/>
        </w:rPr>
      </w:pPr>
    </w:p>
    <w:p w14:paraId="08377034">
      <w:pPr>
        <w:jc w:val="center"/>
        <w:rPr>
          <w:rFonts w:ascii="方正小标宋_GBK" w:hAnsi="宋体" w:eastAsia="方正小标宋_GBK" w:cs="宋体"/>
          <w:kern w:val="0"/>
          <w:sz w:val="56"/>
          <w:szCs w:val="56"/>
        </w:rPr>
      </w:pPr>
    </w:p>
    <w:p w14:paraId="20AFF1B7">
      <w:pPr>
        <w:jc w:val="center"/>
        <w:rPr>
          <w:rFonts w:eastAsia="黑体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6"/>
          <w:szCs w:val="56"/>
        </w:rPr>
        <w:t>烟花爆竹经营</w:t>
      </w:r>
      <w:r>
        <w:rPr>
          <w:rFonts w:hint="eastAsia" w:ascii="方正小标宋_GBK" w:hAnsi="宋体" w:eastAsia="方正小标宋_GBK" w:cs="宋体"/>
          <w:kern w:val="0"/>
          <w:sz w:val="56"/>
          <w:szCs w:val="56"/>
          <w:lang w:eastAsia="zh-CN"/>
        </w:rPr>
        <w:t>（</w:t>
      </w:r>
      <w:r>
        <w:rPr>
          <w:rFonts w:hint="eastAsia" w:ascii="方正小标宋_GBK" w:hAnsi="宋体" w:eastAsia="方正小标宋_GBK" w:cs="宋体"/>
          <w:kern w:val="0"/>
          <w:sz w:val="56"/>
          <w:szCs w:val="56"/>
        </w:rPr>
        <w:t>零售</w:t>
      </w:r>
      <w:r>
        <w:rPr>
          <w:rFonts w:hint="eastAsia" w:ascii="方正小标宋_GBK" w:hAnsi="宋体" w:eastAsia="方正小标宋_GBK" w:cs="宋体"/>
          <w:kern w:val="0"/>
          <w:sz w:val="56"/>
          <w:szCs w:val="56"/>
          <w:lang w:eastAsia="zh-CN"/>
        </w:rPr>
        <w:t>）</w:t>
      </w:r>
      <w:r>
        <w:rPr>
          <w:rFonts w:hint="eastAsia" w:ascii="方正小标宋_GBK" w:hAnsi="宋体" w:eastAsia="方正小标宋_GBK" w:cs="宋体"/>
          <w:kern w:val="0"/>
          <w:sz w:val="56"/>
          <w:szCs w:val="56"/>
        </w:rPr>
        <w:t>许可证</w:t>
      </w:r>
    </w:p>
    <w:p w14:paraId="7554F255">
      <w:pPr>
        <w:jc w:val="center"/>
        <w:rPr>
          <w:rFonts w:eastAsia="黑体"/>
          <w:sz w:val="36"/>
        </w:rPr>
      </w:pPr>
    </w:p>
    <w:p w14:paraId="0830A48F">
      <w:pPr>
        <w:jc w:val="center"/>
        <w:rPr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6"/>
          <w:szCs w:val="56"/>
        </w:rPr>
        <w:t>申 请 书</w:t>
      </w:r>
    </w:p>
    <w:p w14:paraId="6CE1AFA8"/>
    <w:p w14:paraId="70F22839"/>
    <w:p w14:paraId="1D09875F"/>
    <w:p w14:paraId="453FF9D3"/>
    <w:p w14:paraId="023BA3E9">
      <w:pPr>
        <w:ind w:firstLine="1776" w:firstLineChars="592"/>
        <w:rPr>
          <w:sz w:val="30"/>
        </w:rPr>
      </w:pPr>
      <w:r>
        <w:rPr>
          <w:rFonts w:hint="eastAsia" w:ascii="黑体" w:hAnsi="黑体" w:eastAsia="黑体" w:cs="黑体"/>
          <w:sz w:val="30"/>
        </w:rPr>
        <w:t>申 请 人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    </w:t>
      </w:r>
    </w:p>
    <w:p w14:paraId="6C874F68">
      <w:pPr>
        <w:ind w:firstLine="1776" w:firstLineChars="592"/>
        <w:rPr>
          <w:sz w:val="30"/>
        </w:rPr>
      </w:pPr>
      <w:r>
        <w:rPr>
          <w:rFonts w:hint="eastAsia" w:ascii="黑体" w:hAnsi="黑体" w:eastAsia="黑体" w:cs="黑体"/>
          <w:sz w:val="30"/>
        </w:rPr>
        <w:t>联系电话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    </w:t>
      </w:r>
    </w:p>
    <w:p w14:paraId="721D751A">
      <w:pPr>
        <w:ind w:firstLine="1776" w:firstLineChars="592"/>
        <w:rPr>
          <w:sz w:val="30"/>
          <w:u w:val="singl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</w:rPr>
        <w:t>申请日期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    </w:t>
      </w:r>
    </w:p>
    <w:p w14:paraId="3C3DF9C4">
      <w:pPr>
        <w:ind w:firstLine="1500" w:firstLineChars="500"/>
        <w:rPr>
          <w:sz w:val="30"/>
          <w:u w:val="single"/>
        </w:rPr>
      </w:pPr>
    </w:p>
    <w:p w14:paraId="12F1CB92">
      <w:pPr>
        <w:rPr>
          <w:b/>
          <w:bCs/>
          <w:sz w:val="44"/>
          <w:szCs w:val="44"/>
        </w:rPr>
      </w:pPr>
    </w:p>
    <w:p w14:paraId="52AEE903">
      <w:pPr>
        <w:ind w:firstLine="2615" w:firstLineChars="592"/>
        <w:rPr>
          <w:b/>
          <w:bCs/>
          <w:sz w:val="44"/>
          <w:szCs w:val="44"/>
        </w:rPr>
      </w:pPr>
    </w:p>
    <w:p w14:paraId="3EADA22D">
      <w:pPr>
        <w:ind w:firstLine="2615" w:firstLineChars="592"/>
        <w:rPr>
          <w:b/>
          <w:bCs/>
          <w:sz w:val="44"/>
          <w:szCs w:val="44"/>
        </w:rPr>
      </w:pPr>
    </w:p>
    <w:p w14:paraId="607A933C">
      <w:pPr>
        <w:ind w:firstLine="2615" w:firstLineChars="592"/>
        <w:rPr>
          <w:b/>
          <w:bCs/>
          <w:sz w:val="44"/>
          <w:szCs w:val="44"/>
        </w:rPr>
      </w:pPr>
    </w:p>
    <w:p w14:paraId="3D47CCAC">
      <w:pPr>
        <w:ind w:firstLine="1325" w:firstLineChars="300"/>
        <w:jc w:val="both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贵阳经济技术开发区应急管理局</w:t>
      </w:r>
      <w:r>
        <w:rPr>
          <w:rFonts w:hint="eastAsia"/>
          <w:b/>
          <w:bCs/>
          <w:sz w:val="44"/>
          <w:szCs w:val="44"/>
        </w:rPr>
        <w:t>制</w:t>
      </w:r>
    </w:p>
    <w:p w14:paraId="112A4993">
      <w:pPr>
        <w:rPr>
          <w:b/>
          <w:bCs/>
          <w:sz w:val="44"/>
          <w:szCs w:val="44"/>
        </w:rPr>
      </w:pPr>
    </w:p>
    <w:p w14:paraId="664C2C2F">
      <w:pPr>
        <w:rPr>
          <w:b/>
          <w:bCs/>
          <w:sz w:val="44"/>
          <w:szCs w:val="44"/>
        </w:rPr>
      </w:pPr>
    </w:p>
    <w:p w14:paraId="24487D10">
      <w:pPr>
        <w:rPr>
          <w:b/>
          <w:bCs/>
          <w:sz w:val="44"/>
          <w:szCs w:val="44"/>
        </w:rPr>
      </w:pPr>
    </w:p>
    <w:p w14:paraId="4950D96B">
      <w:pPr>
        <w:rPr>
          <w:b/>
          <w:bCs/>
          <w:sz w:val="44"/>
          <w:szCs w:val="44"/>
        </w:rPr>
      </w:pPr>
    </w:p>
    <w:tbl>
      <w:tblPr>
        <w:tblStyle w:val="4"/>
        <w:tblW w:w="94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05"/>
        <w:gridCol w:w="1845"/>
        <w:gridCol w:w="670"/>
        <w:gridCol w:w="990"/>
        <w:gridCol w:w="1520"/>
      </w:tblGrid>
      <w:tr w14:paraId="740B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C6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房屋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2BBA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3A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B2A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申请销售期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C09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C8F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5090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实际经营烟花爆竹的主要负责人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81987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DF02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5790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C6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91B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3ABAB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C58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经营方式</w:t>
            </w:r>
          </w:p>
        </w:tc>
        <w:tc>
          <w:tcPr>
            <w:tcW w:w="31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2FE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DC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9EA2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使用面积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4792B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㎡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21B0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从业人员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E1B5D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</w:tc>
      </w:tr>
      <w:tr w14:paraId="092EB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803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经营方式（是否专店经营）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DF7FE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380FF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专职安全管理人员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E2BB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</w:tc>
      </w:tr>
      <w:tr w14:paraId="611D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2F85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销售方式</w:t>
            </w:r>
          </w:p>
        </w:tc>
        <w:tc>
          <w:tcPr>
            <w:tcW w:w="7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56AC0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长期零售□   临时零售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</w:p>
        </w:tc>
      </w:tr>
      <w:tr w14:paraId="043F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AADB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申请经营范围</w:t>
            </w:r>
          </w:p>
        </w:tc>
        <w:tc>
          <w:tcPr>
            <w:tcW w:w="7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880D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爆竹类C级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；喷花类C级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D级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；旋转类C级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D级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；升空类C级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；吐珠类C级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；玩具类C级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D级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；</w:t>
            </w:r>
          </w:p>
          <w:p w14:paraId="10F5B7FF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组合烟花C级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D级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52"/>
            </w:r>
          </w:p>
        </w:tc>
      </w:tr>
      <w:tr w14:paraId="6854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AF1241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6E182E7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F6AE4DF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040E8F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申请人意见</w:t>
            </w:r>
          </w:p>
          <w:p w14:paraId="7D07367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及承诺</w:t>
            </w:r>
          </w:p>
          <w:p w14:paraId="30FECA1F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  <w:p w14:paraId="6F4D3EE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83B9CD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8C088B">
            <w:pPr>
              <w:widowControl/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本人主动申请从事烟花爆竹零售经营，保证以上申报信息属实，承诺遵守国家烟花爆竹安全管理法律法规，满足安全条件，自觉加强安全管理，服从相关部门安全监管，确保依法依规安全经营。</w:t>
            </w:r>
          </w:p>
          <w:p w14:paraId="292D613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28CA6A4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申请人（签字）：                    年  月  日</w:t>
            </w:r>
          </w:p>
        </w:tc>
      </w:tr>
    </w:tbl>
    <w:p w14:paraId="719F42C1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460146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E0DEBC8">
      <w:pPr>
        <w:widowControl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贵阳经开</w:t>
      </w:r>
      <w:r>
        <w:rPr>
          <w:rFonts w:eastAsia="方正小标宋_GBK"/>
          <w:sz w:val="36"/>
          <w:szCs w:val="36"/>
        </w:rPr>
        <w:t>区烟花爆竹零售</w:t>
      </w:r>
      <w:r>
        <w:rPr>
          <w:rFonts w:hint="eastAsia" w:eastAsia="方正小标宋_GBK"/>
          <w:sz w:val="36"/>
          <w:szCs w:val="36"/>
          <w:lang w:val="en-US" w:eastAsia="zh-CN"/>
        </w:rPr>
        <w:t>点</w:t>
      </w:r>
      <w:r>
        <w:rPr>
          <w:rFonts w:eastAsia="方正小标宋_GBK"/>
          <w:sz w:val="36"/>
          <w:szCs w:val="36"/>
        </w:rPr>
        <w:t>及其周围安全条件</w:t>
      </w:r>
      <w:r>
        <w:rPr>
          <w:rFonts w:hint="eastAsia" w:eastAsia="方正小标宋_GBK"/>
          <w:sz w:val="36"/>
          <w:szCs w:val="36"/>
        </w:rPr>
        <w:t>自查</w:t>
      </w:r>
      <w:r>
        <w:rPr>
          <w:rFonts w:eastAsia="方正小标宋_GBK"/>
          <w:sz w:val="36"/>
          <w:szCs w:val="36"/>
        </w:rPr>
        <w:t>说明</w:t>
      </w:r>
    </w:p>
    <w:tbl>
      <w:tblPr>
        <w:tblStyle w:val="4"/>
        <w:tblW w:w="874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3"/>
        <w:gridCol w:w="5466"/>
        <w:gridCol w:w="2397"/>
      </w:tblGrid>
      <w:tr w14:paraId="2D60AC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3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265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35D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周围安全条件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AEF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条件说明</w:t>
            </w:r>
          </w:p>
        </w:tc>
      </w:tr>
      <w:tr w14:paraId="186095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DD7E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8140C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零售场所的面积不小于10平方米。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9EDCD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F618C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9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CC3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B204F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周边100米范围内无学校、幼儿园、医院、集贸市场等人员密集场所和加油站等易燃易爆物品生产、储存设施等重点建筑物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D2385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5030A4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18B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A0E8C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周边50米范围内无其他烟花爆竹零售点。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63852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B8102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2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B80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207EF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是否与</w:t>
            </w:r>
            <w:r>
              <w:rPr>
                <w:rFonts w:eastAsia="仿宋"/>
                <w:sz w:val="24"/>
              </w:rPr>
              <w:t>居住场所设置在同一建筑物内，</w:t>
            </w:r>
            <w:r>
              <w:rPr>
                <w:rFonts w:hint="eastAsia" w:eastAsia="仿宋"/>
                <w:sz w:val="24"/>
                <w:lang w:val="en-US" w:eastAsia="zh-CN"/>
              </w:rPr>
              <w:t>是否</w:t>
            </w:r>
            <w:r>
              <w:rPr>
                <w:rFonts w:eastAsia="仿宋"/>
                <w:sz w:val="24"/>
              </w:rPr>
              <w:t>设置在城镇居民集中居住小区内；</w:t>
            </w:r>
            <w:r>
              <w:rPr>
                <w:rFonts w:hint="eastAsia" w:eastAsia="仿宋"/>
                <w:sz w:val="24"/>
                <w:lang w:val="en-US" w:eastAsia="zh-CN"/>
              </w:rPr>
              <w:t>是否</w:t>
            </w:r>
            <w:r>
              <w:rPr>
                <w:rFonts w:eastAsia="仿宋"/>
                <w:sz w:val="24"/>
              </w:rPr>
              <w:t>在军事管理区、风景名胜区、文物保护区等禁止燃放烟花爆竹区域内；</w:t>
            </w:r>
            <w:r>
              <w:rPr>
                <w:rFonts w:hint="eastAsia" w:eastAsia="仿宋"/>
                <w:sz w:val="24"/>
                <w:lang w:val="en-US" w:eastAsia="zh-CN"/>
              </w:rPr>
              <w:t>是否</w:t>
            </w:r>
            <w:r>
              <w:rPr>
                <w:rFonts w:eastAsia="仿宋"/>
                <w:sz w:val="24"/>
              </w:rPr>
              <w:t>在地下室、桥下及涵洞内。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46640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34FC67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EE4F7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6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596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7593B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是否存在“下店上宅</w:t>
            </w:r>
            <w:r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  <w:t>”“</w:t>
            </w:r>
            <w:r>
              <w:rPr>
                <w:rFonts w:eastAsia="仿宋"/>
                <w:color w:val="000000"/>
                <w:kern w:val="0"/>
                <w:sz w:val="24"/>
              </w:rPr>
              <w:t>前店后宅”。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24C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14:paraId="55A581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D9A88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8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9B2A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1E81D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上空</w:t>
            </w:r>
            <w:r>
              <w:rPr>
                <w:rFonts w:hint="eastAsia" w:eastAsia="仿宋"/>
                <w:sz w:val="24"/>
                <w:lang w:eastAsia="zh-CN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正上方</w:t>
            </w:r>
            <w:r>
              <w:rPr>
                <w:rFonts w:hint="eastAsia" w:eastAsia="仿宋"/>
                <w:sz w:val="24"/>
                <w:lang w:eastAsia="zh-CN"/>
              </w:rPr>
              <w:t>）</w:t>
            </w:r>
            <w:r>
              <w:rPr>
                <w:rFonts w:eastAsia="仿宋"/>
                <w:sz w:val="24"/>
              </w:rPr>
              <w:t>禁止1千伏及以上的电力线路跨越；</w:t>
            </w:r>
            <w:r>
              <w:rPr>
                <w:rFonts w:hint="eastAsia" w:eastAsia="仿宋"/>
                <w:sz w:val="24"/>
                <w:lang w:val="en-US" w:eastAsia="zh-CN"/>
              </w:rPr>
              <w:t>是否</w:t>
            </w:r>
            <w:r>
              <w:rPr>
                <w:rFonts w:eastAsia="仿宋"/>
                <w:sz w:val="24"/>
              </w:rPr>
              <w:t>使用白炽灯、射灯等容易产生高温的灯具，电气线路应穿钢管敷设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D1BB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14:paraId="567D2C2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264D4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8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2F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A4CE8">
            <w:pPr>
              <w:autoSpaceDE w:val="0"/>
              <w:autoSpaceDN w:val="0"/>
              <w:adjustRightInd w:val="0"/>
              <w:spacing w:line="3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符合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经开</w:t>
            </w:r>
            <w:r>
              <w:rPr>
                <w:rFonts w:eastAsia="仿宋"/>
                <w:color w:val="000000"/>
                <w:kern w:val="0"/>
                <w:sz w:val="24"/>
              </w:rPr>
              <w:t>区烟花爆竹经营（零售）布点规划并且不在禁</w:t>
            </w: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售</w:t>
            </w:r>
            <w:r>
              <w:rPr>
                <w:rFonts w:eastAsia="仿宋"/>
                <w:color w:val="000000"/>
                <w:kern w:val="0"/>
                <w:sz w:val="24"/>
              </w:rPr>
              <w:t>区域。</w:t>
            </w:r>
          </w:p>
        </w:tc>
        <w:tc>
          <w:tcPr>
            <w:tcW w:w="2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BC3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54F369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09" w:hRule="atLeast"/>
          <w:jc w:val="center"/>
        </w:trPr>
        <w:tc>
          <w:tcPr>
            <w:tcW w:w="8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AA013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12ADE992"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本人保证烟花爆竹店周边安全条件说明符合相关烟花爆竹选址条件，</w:t>
            </w:r>
            <w:r>
              <w:rPr>
                <w:rFonts w:eastAsia="仿宋_GB2312"/>
                <w:sz w:val="24"/>
              </w:rPr>
              <w:t>材料真实合法有效，现场状况符合要求，无虚假，且未隐瞒事实，愿意承担提供虚假材料所产生的一切法律后果。</w:t>
            </w:r>
          </w:p>
          <w:p w14:paraId="1DE2D29C">
            <w:pPr>
              <w:pStyle w:val="8"/>
            </w:pPr>
          </w:p>
          <w:p w14:paraId="59278EC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提供人：</w:t>
            </w:r>
          </w:p>
          <w:p w14:paraId="4D1F619F"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提供时间：     年    月    日  </w:t>
            </w:r>
          </w:p>
        </w:tc>
      </w:tr>
    </w:tbl>
    <w:p w14:paraId="4BA3A3B1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D0D2C34">
      <w:pPr>
        <w:pStyle w:val="8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118484">
      <w:pPr>
        <w:pStyle w:val="8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F977586">
      <w:pPr>
        <w:pStyle w:val="8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892353">
      <w:pPr>
        <w:pStyle w:val="8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38429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 w14:paraId="5B52F858">
      <w:pPr>
        <w:spacing w:line="560" w:lineRule="exact"/>
      </w:pPr>
    </w:p>
    <w:p w14:paraId="3AACDF51">
      <w:pPr>
        <w:spacing w:line="3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经开区应急管理局：</w:t>
      </w:r>
    </w:p>
    <w:p w14:paraId="5C11020E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，手机：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，拟使用位于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0"/>
          <w:szCs w:val="30"/>
        </w:rPr>
        <w:t>申办经开区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年春节期间烟花爆竹零售点。本人郑重承诺如下：</w:t>
      </w:r>
    </w:p>
    <w:p w14:paraId="1014C216">
      <w:pPr>
        <w:spacing w:line="3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1.本人向经开区应急管理局提交的烟花爆竹零售点申请资料完全真实、有效，如因提供资料出现的一切问题，由本人自行承担。</w:t>
      </w:r>
    </w:p>
    <w:p w14:paraId="2808460B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2.认真执行国家有关烟花爆竹安全管理的各项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0"/>
          <w:szCs w:val="30"/>
        </w:rPr>
        <w:t>和地方管理要求，自觉接受相关部门、属地街道（镇）的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监督管理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FE29F95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3.本人以及协助本人从事烟花爆竹销售的其他所有从业人员，保证经过安全生产教育培训并经考核合格后，做到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100%</w:t>
      </w:r>
      <w:r>
        <w:rPr>
          <w:rFonts w:hint="eastAsia" w:ascii="仿宋_GB2312" w:hAnsi="仿宋_GB2312" w:eastAsia="仿宋_GB2312" w:cs="仿宋_GB2312"/>
          <w:sz w:val="30"/>
          <w:szCs w:val="30"/>
        </w:rPr>
        <w:t>持证上岗，并依法投保安全生产责任保险。</w:t>
      </w:r>
    </w:p>
    <w:p w14:paraId="4516A213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4.严格按规定销售合法烟花爆竹批发企业的贴签配送产品，并签订销售协议，坚决拒售无产品检验合格证、无生产厂家、无燃放说明、无生产日期的烟花爆竹产品，积极配合相关部门的打假查处工作。 </w:t>
      </w:r>
    </w:p>
    <w:p w14:paraId="070E8575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</w:t>
      </w:r>
      <w:r>
        <w:rPr>
          <w:rFonts w:hint="eastAsia" w:ascii="仿宋_GB2312" w:eastAsia="仿宋_GB2312"/>
          <w:sz w:val="32"/>
          <w:szCs w:val="32"/>
        </w:rPr>
        <w:t>禁止销售摔炮、拉炮、砸炮、擦炮、打火纸、土火箭、地老鼠等经</w:t>
      </w:r>
      <w:r>
        <w:rPr>
          <w:rFonts w:hint="eastAsia" w:ascii="仿宋_GB2312" w:eastAsia="仿宋_GB2312"/>
          <w:sz w:val="32"/>
          <w:szCs w:val="32"/>
          <w:lang w:eastAsia="zh-CN"/>
        </w:rPr>
        <w:t>摩擦</w:t>
      </w:r>
      <w:r>
        <w:rPr>
          <w:rFonts w:hint="eastAsia" w:ascii="仿宋_GB2312" w:eastAsia="仿宋_GB2312"/>
          <w:sz w:val="32"/>
          <w:szCs w:val="32"/>
        </w:rPr>
        <w:t>、撞击、挤压易燃、易爆和本市禁止燃放的其他品种、规格不符合国家标准的烟花爆竹。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严格按照取得的《烟花爆竹经营（零售）许可证》载明的经营范围和经营地点进行经营，不得在规定的经营地点以外销售烟花爆竹，销售点50米范围内禁止燃放、试放。</w:t>
      </w:r>
    </w:p>
    <w:p w14:paraId="511E1867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.专营烟花爆竹，不销售其他产品，做到专店专人销售、专人保管，不得混合经营，占道经营，做好经营点及周边的防火、防爆、防盗工作。</w:t>
      </w:r>
    </w:p>
    <w:p w14:paraId="152C37CC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.严格做好烟花爆竹销售台账登记记录。</w:t>
      </w:r>
    </w:p>
    <w:p w14:paraId="3827F0BA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.规范悬挂《烟花爆竹经营（零售）许可证》、烟花爆竹《营业执照》和烟花爆竹零售点标识，并配备足够完好的消防器材。</w:t>
      </w:r>
    </w:p>
    <w:p w14:paraId="482F1B75">
      <w:pPr>
        <w:spacing w:line="38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.严格管理，确保不发生各类事故。</w:t>
      </w:r>
    </w:p>
    <w:p w14:paraId="447C2115">
      <w:pPr>
        <w:spacing w:line="42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</w:p>
    <w:p w14:paraId="3021DA69">
      <w:pPr>
        <w:spacing w:line="42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</w:t>
      </w:r>
    </w:p>
    <w:p w14:paraId="7929DA15">
      <w:pPr>
        <w:spacing w:line="42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承诺人：</w:t>
      </w:r>
    </w:p>
    <w:p w14:paraId="7EC89163">
      <w:pPr>
        <w:spacing w:line="42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</w:p>
    <w:p w14:paraId="29D6DB22">
      <w:pPr>
        <w:spacing w:line="42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p w14:paraId="4B76DD58">
      <w:pPr>
        <w:spacing w:line="42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003D8D63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图片</w:t>
      </w:r>
    </w:p>
    <w:p w14:paraId="29F9A1C5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987D8D7"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实际经营烟花爆竹的主要负责人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5CC416C6"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703B4CF4"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名称（营业执照登记的店名）：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4D1F8BE7"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地址（营业执照登记的地址）：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21892FE8"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5"/>
        <w:tblpPr w:leftFromText="180" w:rightFromText="180" w:vertAnchor="text" w:horzAnchor="page" w:tblpX="1315" w:tblpY="2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4F19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0" w:hRule="atLeast"/>
        </w:trPr>
        <w:tc>
          <w:tcPr>
            <w:tcW w:w="9514" w:type="dxa"/>
            <w:vAlign w:val="center"/>
          </w:tcPr>
          <w:p w14:paraId="4C8BE25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彩色图片粘贴处</w:t>
            </w:r>
          </w:p>
          <w:p w14:paraId="758D8CF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（站在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门口拍摄，一张图同时显示门头招牌、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外观）</w:t>
            </w:r>
          </w:p>
        </w:tc>
      </w:tr>
    </w:tbl>
    <w:p w14:paraId="02706E57"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3B10EF6">
      <w:pPr>
        <w:spacing w:line="5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C5F8894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MDBiZjRjNTE3ZDQxYTBjMWU4MmJjMzk1OGE5NWYifQ=="/>
  </w:docVars>
  <w:rsids>
    <w:rsidRoot w:val="65813031"/>
    <w:rsid w:val="00027778"/>
    <w:rsid w:val="001374DE"/>
    <w:rsid w:val="00204065"/>
    <w:rsid w:val="0021623A"/>
    <w:rsid w:val="002D1EC7"/>
    <w:rsid w:val="00616D77"/>
    <w:rsid w:val="00784993"/>
    <w:rsid w:val="007B1B38"/>
    <w:rsid w:val="00802593"/>
    <w:rsid w:val="008A0EC9"/>
    <w:rsid w:val="009744D7"/>
    <w:rsid w:val="00A663D8"/>
    <w:rsid w:val="00A9638F"/>
    <w:rsid w:val="00AA76AF"/>
    <w:rsid w:val="00CC6720"/>
    <w:rsid w:val="020E3E06"/>
    <w:rsid w:val="0261487E"/>
    <w:rsid w:val="03B92498"/>
    <w:rsid w:val="040556DD"/>
    <w:rsid w:val="045D72C7"/>
    <w:rsid w:val="04936845"/>
    <w:rsid w:val="05EC445F"/>
    <w:rsid w:val="08872B64"/>
    <w:rsid w:val="09F77876"/>
    <w:rsid w:val="0BFB189F"/>
    <w:rsid w:val="0C0D1D99"/>
    <w:rsid w:val="0C122745"/>
    <w:rsid w:val="0CEC3DF8"/>
    <w:rsid w:val="0DEB14A0"/>
    <w:rsid w:val="0E7F763B"/>
    <w:rsid w:val="0ECF29CC"/>
    <w:rsid w:val="102A367C"/>
    <w:rsid w:val="12AC029D"/>
    <w:rsid w:val="12D746E8"/>
    <w:rsid w:val="13082AF4"/>
    <w:rsid w:val="14B83DC0"/>
    <w:rsid w:val="16DA0303"/>
    <w:rsid w:val="17090D88"/>
    <w:rsid w:val="18B77C98"/>
    <w:rsid w:val="19BC0864"/>
    <w:rsid w:val="1B1E263B"/>
    <w:rsid w:val="1D4110DC"/>
    <w:rsid w:val="1D4B5AB7"/>
    <w:rsid w:val="1D631527"/>
    <w:rsid w:val="1E85324A"/>
    <w:rsid w:val="1FCE5ACF"/>
    <w:rsid w:val="202B1BD0"/>
    <w:rsid w:val="22E36792"/>
    <w:rsid w:val="247673BA"/>
    <w:rsid w:val="24EF1161"/>
    <w:rsid w:val="27062C8F"/>
    <w:rsid w:val="28996270"/>
    <w:rsid w:val="29001E4B"/>
    <w:rsid w:val="295E6BAC"/>
    <w:rsid w:val="2A950253"/>
    <w:rsid w:val="2B595843"/>
    <w:rsid w:val="2C002162"/>
    <w:rsid w:val="2C4B5AD3"/>
    <w:rsid w:val="2CBB3709"/>
    <w:rsid w:val="2D340315"/>
    <w:rsid w:val="2D9C5EBB"/>
    <w:rsid w:val="2DAF3E40"/>
    <w:rsid w:val="2DCA6ECC"/>
    <w:rsid w:val="2F4B1946"/>
    <w:rsid w:val="2F710848"/>
    <w:rsid w:val="317C672F"/>
    <w:rsid w:val="32713DBA"/>
    <w:rsid w:val="34E15227"/>
    <w:rsid w:val="35F10EFB"/>
    <w:rsid w:val="36AE738B"/>
    <w:rsid w:val="37EB3CC7"/>
    <w:rsid w:val="38FB262F"/>
    <w:rsid w:val="3A52002D"/>
    <w:rsid w:val="3A8723CC"/>
    <w:rsid w:val="3B9C1EA7"/>
    <w:rsid w:val="3C9A0079"/>
    <w:rsid w:val="3E160E69"/>
    <w:rsid w:val="3E2919ED"/>
    <w:rsid w:val="3FBF43B6"/>
    <w:rsid w:val="42C83582"/>
    <w:rsid w:val="42CB7F02"/>
    <w:rsid w:val="43924FB6"/>
    <w:rsid w:val="43CA50D8"/>
    <w:rsid w:val="44507CD3"/>
    <w:rsid w:val="44D24B45"/>
    <w:rsid w:val="452A0524"/>
    <w:rsid w:val="461378D0"/>
    <w:rsid w:val="49331971"/>
    <w:rsid w:val="49D62A28"/>
    <w:rsid w:val="4BA32DDE"/>
    <w:rsid w:val="4BB87368"/>
    <w:rsid w:val="4D573E80"/>
    <w:rsid w:val="4D907392"/>
    <w:rsid w:val="4D9F67DB"/>
    <w:rsid w:val="4FF45E4E"/>
    <w:rsid w:val="50067498"/>
    <w:rsid w:val="502D1AFD"/>
    <w:rsid w:val="519E5814"/>
    <w:rsid w:val="529B1655"/>
    <w:rsid w:val="53B65679"/>
    <w:rsid w:val="541E4F0E"/>
    <w:rsid w:val="55862D58"/>
    <w:rsid w:val="55D818D6"/>
    <w:rsid w:val="573A49B9"/>
    <w:rsid w:val="5A9E5DAF"/>
    <w:rsid w:val="5ACE5056"/>
    <w:rsid w:val="5B5419FF"/>
    <w:rsid w:val="5BC528FD"/>
    <w:rsid w:val="5C95407D"/>
    <w:rsid w:val="5D443CF5"/>
    <w:rsid w:val="60E03D35"/>
    <w:rsid w:val="61EB0BE3"/>
    <w:rsid w:val="64D23995"/>
    <w:rsid w:val="650E70C3"/>
    <w:rsid w:val="65813031"/>
    <w:rsid w:val="66CA5B9D"/>
    <w:rsid w:val="6712451C"/>
    <w:rsid w:val="68CC215B"/>
    <w:rsid w:val="6AF91C7B"/>
    <w:rsid w:val="6BE04BE9"/>
    <w:rsid w:val="6F2968A7"/>
    <w:rsid w:val="71CA5027"/>
    <w:rsid w:val="73612AB3"/>
    <w:rsid w:val="73F91D8D"/>
    <w:rsid w:val="752C160D"/>
    <w:rsid w:val="7855183E"/>
    <w:rsid w:val="78AE679B"/>
    <w:rsid w:val="7B152B01"/>
    <w:rsid w:val="7EAD12A3"/>
    <w:rsid w:val="7EF44905"/>
    <w:rsid w:val="7F2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1841</Words>
  <Characters>1862</Characters>
  <Lines>17</Lines>
  <Paragraphs>4</Paragraphs>
  <TotalTime>1</TotalTime>
  <ScaleCrop>false</ScaleCrop>
  <LinksUpToDate>false</LinksUpToDate>
  <CharactersWithSpaces>2309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2023-11-24T06:47:00Z</dcterms:created>
  <dc:creator>北北</dc:creator>
  <cp:lastModifiedBy>Cao</cp:lastModifiedBy>
  <cp:lastPrinted>2024-11-28T06:41:00Z</cp:lastPrinted>
  <dcterms:modified xsi:type="dcterms:W3CDTF">2024-12-12T01:58:32Z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2DFD38C848734ABC844503BD6EA0B7BD_13</vt:lpwstr>
  </property>
</Properties>
</file>