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60" w:lineRule="exact"/>
        <w:jc w:val="left"/>
        <w:rPr>
          <w:rFonts w:hint="default" w:ascii="方正小标宋简体" w:eastAsia="方正小标宋简体"/>
          <w:sz w:val="44"/>
          <w:szCs w:val="44"/>
          <w:lang w:val="en-US" w:eastAsia="zh-CN"/>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贵阳市市场监管局开展20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w:t>
      </w:r>
      <w:r>
        <w:rPr>
          <w:rFonts w:hint="eastAsia" w:ascii="方正小标宋简体" w:eastAsia="方正小标宋简体"/>
          <w:sz w:val="44"/>
          <w:szCs w:val="44"/>
          <w:lang w:eastAsia="zh-CN"/>
        </w:rPr>
        <w:t>度</w:t>
      </w:r>
      <w:r>
        <w:rPr>
          <w:rFonts w:hint="eastAsia" w:ascii="方正小标宋简体" w:eastAsia="方正小标宋简体"/>
          <w:sz w:val="44"/>
          <w:szCs w:val="44"/>
        </w:rPr>
        <w:t>“双随机、一公开”监管实施方案</w:t>
      </w:r>
    </w:p>
    <w:p>
      <w:pPr>
        <w:spacing w:line="560" w:lineRule="exact"/>
        <w:rPr>
          <w:rFonts w:hint="eastAsia"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为贯彻落实《市场监管总局关于全面推进“双随机、一公开”监管工作的通</w:t>
      </w:r>
      <w:bookmarkStart w:id="2" w:name="_GoBack"/>
      <w:bookmarkEnd w:id="2"/>
      <w:r>
        <w:rPr>
          <w:rFonts w:hint="eastAsia" w:ascii="仿宋_GB2312" w:eastAsia="仿宋_GB2312"/>
          <w:sz w:val="32"/>
          <w:szCs w:val="32"/>
        </w:rPr>
        <w:t>知》（国市监信〔2019〕38号）</w:t>
      </w:r>
      <w:r>
        <w:rPr>
          <w:rFonts w:hint="eastAsia" w:ascii="仿宋_GB2312" w:eastAsia="仿宋_GB2312"/>
          <w:sz w:val="32"/>
          <w:szCs w:val="32"/>
          <w:lang w:eastAsia="zh-CN"/>
        </w:rPr>
        <w:t>、《省市场监管局关于规范市场监管部门“双随机、一公开”监管有关问题的通知》（黔市监办函</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180</w:t>
      </w:r>
      <w:r>
        <w:rPr>
          <w:rFonts w:hint="eastAsia" w:ascii="仿宋_GB2312" w:eastAsia="仿宋_GB2312"/>
          <w:sz w:val="32"/>
          <w:szCs w:val="32"/>
        </w:rPr>
        <w:t>号</w:t>
      </w:r>
      <w:r>
        <w:rPr>
          <w:rFonts w:hint="eastAsia" w:ascii="仿宋_GB2312" w:eastAsia="仿宋_GB2312"/>
          <w:sz w:val="32"/>
          <w:szCs w:val="32"/>
          <w:lang w:eastAsia="zh-CN"/>
        </w:rPr>
        <w:t>）及《关于做好</w:t>
      </w:r>
      <w:r>
        <w:rPr>
          <w:rFonts w:hint="eastAsia" w:ascii="仿宋_GB2312" w:eastAsia="仿宋_GB2312"/>
          <w:sz w:val="32"/>
          <w:szCs w:val="32"/>
          <w:lang w:val="en-US" w:eastAsia="zh-CN"/>
        </w:rPr>
        <w:t>2021年度全省市场监管领域部门联合“双随机、一公开”监管工作的通知</w:t>
      </w:r>
      <w:r>
        <w:rPr>
          <w:rFonts w:hint="eastAsia" w:ascii="仿宋_GB2312" w:eastAsia="仿宋_GB2312"/>
          <w:sz w:val="32"/>
          <w:szCs w:val="32"/>
          <w:lang w:eastAsia="zh-CN"/>
        </w:rPr>
        <w:t>》文件精神，</w:t>
      </w:r>
      <w:r>
        <w:rPr>
          <w:rFonts w:hint="eastAsia" w:ascii="仿宋_GB2312" w:eastAsia="仿宋_GB2312"/>
          <w:sz w:val="32"/>
          <w:szCs w:val="32"/>
        </w:rPr>
        <w:t>按照《省市场监管局关于印发&lt;贵州省市场监管系统随机抽查事项清单（第二版）&gt;的通知》(黔市监办函〔2021〕26号)要求，根据我局实际制定本方案。</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一、工作目标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年，全市市场监管部门要以公平公正监管为基本遵循，积极推动市场监管方式改革，</w:t>
      </w:r>
      <w:r>
        <w:rPr>
          <w:rFonts w:hint="eastAsia" w:ascii="仿宋_GB2312" w:eastAsia="仿宋_GB2312"/>
          <w:sz w:val="32"/>
          <w:szCs w:val="32"/>
          <w:lang w:eastAsia="zh-CN"/>
        </w:rPr>
        <w:t>切实</w:t>
      </w:r>
      <w:r>
        <w:rPr>
          <w:rFonts w:hint="eastAsia" w:ascii="仿宋_GB2312" w:eastAsia="仿宋_GB2312"/>
          <w:sz w:val="32"/>
          <w:szCs w:val="32"/>
        </w:rPr>
        <w:t>将“双随机、一公开”监管作为市场监管基本手段和方式，按照“谁登记、谁检查、谁录入、谁公开”的原则，加强对“一单两库”的动态管理，加快</w:t>
      </w:r>
      <w:r>
        <w:rPr>
          <w:rFonts w:hint="eastAsia" w:ascii="仿宋_GB2312" w:eastAsia="仿宋_GB2312"/>
          <w:sz w:val="32"/>
          <w:szCs w:val="32"/>
          <w:lang w:eastAsia="zh-CN"/>
        </w:rPr>
        <w:t>推进</w:t>
      </w:r>
      <w:r>
        <w:rPr>
          <w:rFonts w:hint="eastAsia" w:ascii="仿宋_GB2312" w:eastAsia="仿宋_GB2312"/>
          <w:sz w:val="32"/>
          <w:szCs w:val="32"/>
        </w:rPr>
        <w:t>市场监管领域跨部门“双随机、一公开”监管，形成常态化管理机制，做到监管效能最大化、监管成本最优化、对市场主体干扰最小化，努力营造</w:t>
      </w:r>
      <w:r>
        <w:rPr>
          <w:rFonts w:hint="eastAsia" w:ascii="仿宋_GB2312" w:eastAsia="仿宋_GB2312"/>
          <w:sz w:val="32"/>
          <w:szCs w:val="32"/>
          <w:lang w:eastAsia="zh-CN"/>
        </w:rPr>
        <w:t>良</w:t>
      </w:r>
      <w:r>
        <w:rPr>
          <w:rFonts w:hint="eastAsia" w:ascii="仿宋_GB2312" w:eastAsia="仿宋_GB2312"/>
          <w:sz w:val="32"/>
          <w:szCs w:val="32"/>
        </w:rPr>
        <w:t>好营商环境、有序竞争环境和放心消费环境</w:t>
      </w:r>
      <w:bookmarkStart w:id="0" w:name="OLE_LINK4"/>
      <w:bookmarkStart w:id="1" w:name="OLE_LINK3"/>
      <w:r>
        <w:rPr>
          <w:rFonts w:hint="eastAsia" w:ascii="仿宋_GB2312" w:eastAsia="仿宋_GB2312"/>
          <w:sz w:val="32"/>
          <w:szCs w:val="32"/>
          <w:lang w:eastAsia="zh-CN"/>
        </w:rPr>
        <w:t>。全年市场监管部门</w:t>
      </w:r>
      <w:r>
        <w:rPr>
          <w:rFonts w:hint="eastAsia" w:ascii="仿宋_GB2312" w:eastAsia="仿宋_GB2312"/>
          <w:sz w:val="32"/>
          <w:szCs w:val="32"/>
        </w:rPr>
        <w:t>完成随机抽查事项全覆盖</w:t>
      </w:r>
      <w:bookmarkEnd w:id="0"/>
      <w:bookmarkEnd w:id="1"/>
      <w:r>
        <w:rPr>
          <w:rFonts w:hint="eastAsia" w:ascii="仿宋_GB2312" w:eastAsia="仿宋_GB2312"/>
          <w:sz w:val="32"/>
          <w:szCs w:val="32"/>
        </w:rPr>
        <w:t>，抽查企业比例不低于3%</w:t>
      </w:r>
      <w:r>
        <w:rPr>
          <w:rFonts w:hint="eastAsia" w:ascii="仿宋_GB2312" w:eastAsia="仿宋_GB2312"/>
          <w:sz w:val="32"/>
          <w:szCs w:val="32"/>
          <w:lang w:eastAsia="zh-CN"/>
        </w:rPr>
        <w:t>，原则上</w:t>
      </w:r>
      <w:r>
        <w:rPr>
          <w:rFonts w:hint="eastAsia" w:ascii="仿宋_GB2312" w:eastAsia="仿宋_GB2312"/>
          <w:sz w:val="32"/>
          <w:szCs w:val="32"/>
        </w:rPr>
        <w:t>检查</w:t>
      </w:r>
      <w:r>
        <w:rPr>
          <w:rFonts w:ascii="仿宋_GB2312" w:eastAsia="仿宋_GB2312"/>
          <w:sz w:val="32"/>
          <w:szCs w:val="32"/>
        </w:rPr>
        <w:t>结果录入</w:t>
      </w:r>
      <w:r>
        <w:rPr>
          <w:rFonts w:hint="eastAsia" w:ascii="仿宋_GB2312" w:eastAsia="仿宋_GB2312"/>
          <w:sz w:val="32"/>
          <w:szCs w:val="32"/>
          <w:lang w:eastAsia="zh-CN"/>
        </w:rPr>
        <w:t>并</w:t>
      </w:r>
      <w:r>
        <w:rPr>
          <w:rFonts w:hint="eastAsia" w:ascii="仿宋_GB2312" w:eastAsia="仿宋_GB2312"/>
          <w:sz w:val="32"/>
          <w:szCs w:val="32"/>
        </w:rPr>
        <w:t>公示率</w:t>
      </w:r>
      <w:r>
        <w:rPr>
          <w:rFonts w:hint="eastAsia" w:ascii="仿宋_GB2312" w:eastAsia="仿宋_GB2312"/>
          <w:sz w:val="32"/>
          <w:szCs w:val="32"/>
          <w:lang w:eastAsia="zh-CN"/>
        </w:rPr>
        <w:t>应达到</w:t>
      </w:r>
      <w:r>
        <w:rPr>
          <w:rFonts w:hint="eastAsia" w:ascii="仿宋_GB2312" w:eastAsia="仿宋_GB2312"/>
          <w:sz w:val="32"/>
          <w:szCs w:val="32"/>
        </w:rPr>
        <w:t>1</w:t>
      </w:r>
      <w:r>
        <w:rPr>
          <w:rFonts w:ascii="仿宋_GB2312" w:eastAsia="仿宋_GB2312"/>
          <w:sz w:val="32"/>
          <w:szCs w:val="32"/>
        </w:rPr>
        <w:t>00</w:t>
      </w:r>
      <w:r>
        <w:rPr>
          <w:rFonts w:hint="eastAsia" w:ascii="仿宋_GB2312" w:eastAsia="仿宋_GB2312"/>
          <w:sz w:val="32"/>
          <w:szCs w:val="32"/>
        </w:rPr>
        <w:t>%。</w:t>
      </w:r>
      <w:r>
        <w:rPr>
          <w:rFonts w:ascii="仿宋_GB2312" w:eastAsia="仿宋_GB2312"/>
          <w:sz w:val="32"/>
          <w:szCs w:val="32"/>
        </w:rPr>
        <w:t xml:space="preserve">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二、工作任务</w:t>
      </w:r>
    </w:p>
    <w:p>
      <w:pPr>
        <w:spacing w:line="560" w:lineRule="exact"/>
        <w:ind w:firstLine="640" w:firstLineChars="200"/>
        <w:rPr>
          <w:rFonts w:ascii="楷体_GB2312" w:hAnsi="华文楷体" w:eastAsia="楷体_GB2312" w:cs="Times New Roman"/>
          <w:color w:val="000000" w:themeColor="text1"/>
          <w:sz w:val="32"/>
          <w:szCs w:val="32"/>
          <w14:textFill>
            <w14:solidFill>
              <w14:schemeClr w14:val="tx1"/>
            </w14:solidFill>
          </w14:textFill>
        </w:rPr>
      </w:pPr>
      <w:r>
        <w:rPr>
          <w:rFonts w:hint="eastAsia" w:ascii="楷体_GB2312" w:hAnsi="华文楷体" w:eastAsia="楷体_GB2312" w:cs="Times New Roman"/>
          <w:color w:val="000000" w:themeColor="text1"/>
          <w:sz w:val="32"/>
          <w:szCs w:val="32"/>
          <w14:textFill>
            <w14:solidFill>
              <w14:schemeClr w14:val="tx1"/>
            </w14:solidFill>
          </w14:textFill>
        </w:rPr>
        <w:t>（一）工作平台</w:t>
      </w:r>
    </w:p>
    <w:p>
      <w:pPr>
        <w:spacing w:line="560" w:lineRule="exact"/>
        <w:ind w:firstLine="640" w:firstLineChars="200"/>
        <w:rPr>
          <w:rFonts w:ascii="楷体" w:hAnsi="楷体" w:eastAsia="楷体"/>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年，全市各级市场监管部门继续使用“贵州省</w:t>
      </w:r>
      <w:r>
        <w:rPr>
          <w:rFonts w:hint="eastAsia" w:ascii="仿宋_GB2312" w:eastAsia="仿宋_GB2312"/>
          <w:sz w:val="32"/>
          <w:szCs w:val="32"/>
          <w:lang w:eastAsia="zh-CN"/>
        </w:rPr>
        <w:t>双随机、一公开</w:t>
      </w:r>
      <w:r>
        <w:rPr>
          <w:rFonts w:hint="eastAsia" w:ascii="仿宋_GB2312" w:eastAsia="仿宋_GB2312"/>
          <w:sz w:val="32"/>
          <w:szCs w:val="32"/>
        </w:rPr>
        <w:t>监管平台”（http://</w:t>
      </w:r>
      <w:r>
        <w:rPr>
          <w:rFonts w:hint="eastAsia" w:ascii="仿宋_GB2312" w:eastAsia="仿宋_GB2312"/>
          <w:sz w:val="32"/>
          <w:szCs w:val="32"/>
          <w:lang w:val="en-US" w:eastAsia="zh-CN"/>
        </w:rPr>
        <w:t>61.243.10</w:t>
      </w:r>
      <w:r>
        <w:rPr>
          <w:rFonts w:hint="eastAsia" w:ascii="仿宋_GB2312" w:eastAsia="仿宋_GB2312"/>
          <w:sz w:val="32"/>
          <w:szCs w:val="32"/>
        </w:rPr>
        <w:t>.</w:t>
      </w:r>
      <w:r>
        <w:rPr>
          <w:rFonts w:hint="eastAsia" w:ascii="仿宋_GB2312" w:eastAsia="仿宋_GB2312"/>
          <w:sz w:val="32"/>
          <w:szCs w:val="32"/>
          <w:lang w:val="en-US" w:eastAsia="zh-CN"/>
        </w:rPr>
        <w:t>146:9080</w:t>
      </w:r>
      <w:r>
        <w:rPr>
          <w:rFonts w:hint="eastAsia" w:ascii="仿宋_GB2312" w:eastAsia="仿宋_GB2312"/>
          <w:sz w:val="32"/>
          <w:szCs w:val="32"/>
        </w:rPr>
        <w:t>/）开展双随机抽查相关工作。参与双随机抽查检查的相关执法人员要熟练使用该系统平台，实现“一个平台、两个窗口、一库管理、共同维护”。</w:t>
      </w:r>
      <w:r>
        <w:rPr>
          <w:rFonts w:hint="eastAsia" w:ascii="楷体" w:hAnsi="楷体" w:eastAsia="楷体"/>
          <w:sz w:val="32"/>
          <w:szCs w:val="32"/>
        </w:rPr>
        <w:t>（牵头部门：信用监管处；责任部门：市局各相关业务处室；各区（市、县）市场监管局、开发区分局）</w:t>
      </w:r>
    </w:p>
    <w:p>
      <w:pPr>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w:t>
      </w:r>
      <w:r>
        <w:rPr>
          <w:rFonts w:hint="eastAsia" w:ascii="楷体_GB2312" w:eastAsia="楷体_GB2312"/>
          <w:color w:val="000000" w:themeColor="text1"/>
          <w:sz w:val="32"/>
          <w:szCs w:val="32"/>
          <w:lang w:eastAsia="zh-CN"/>
          <w14:textFill>
            <w14:solidFill>
              <w14:schemeClr w14:val="tx1"/>
            </w14:solidFill>
          </w14:textFill>
        </w:rPr>
        <w:t>二</w:t>
      </w:r>
      <w:r>
        <w:rPr>
          <w:rFonts w:hint="eastAsia" w:ascii="楷体_GB2312" w:eastAsia="楷体_GB2312"/>
          <w:color w:val="000000" w:themeColor="text1"/>
          <w:sz w:val="32"/>
          <w:szCs w:val="32"/>
          <w14:textFill>
            <w14:solidFill>
              <w14:schemeClr w14:val="tx1"/>
            </w14:solidFill>
          </w14:textFill>
        </w:rPr>
        <w:t xml:space="preserve">）随机抽查事项清单  </w:t>
      </w:r>
    </w:p>
    <w:p>
      <w:pPr>
        <w:spacing w:line="560" w:lineRule="exact"/>
        <w:ind w:firstLine="640" w:firstLineChars="200"/>
        <w:rPr>
          <w:rFonts w:ascii="楷体" w:hAnsi="楷体" w:eastAsia="楷体"/>
          <w:sz w:val="32"/>
          <w:szCs w:val="32"/>
        </w:rPr>
      </w:pPr>
      <w:r>
        <w:rPr>
          <w:rFonts w:hint="eastAsia" w:ascii="仿宋_GB2312" w:eastAsia="仿宋_GB2312"/>
          <w:sz w:val="32"/>
          <w:szCs w:val="32"/>
          <w:lang w:eastAsia="zh-CN"/>
        </w:rPr>
        <w:t>市局根据《</w:t>
      </w:r>
      <w:r>
        <w:rPr>
          <w:rFonts w:hint="eastAsia" w:ascii="仿宋_GB2312" w:eastAsia="仿宋_GB2312"/>
          <w:sz w:val="32"/>
          <w:szCs w:val="32"/>
        </w:rPr>
        <w:t>贵州省市场监管系统随机抽查事项清单（第二版）</w:t>
      </w:r>
      <w:r>
        <w:rPr>
          <w:rFonts w:hint="eastAsia" w:ascii="仿宋_GB2312" w:eastAsia="仿宋_GB2312"/>
          <w:sz w:val="32"/>
          <w:szCs w:val="32"/>
          <w:lang w:eastAsia="zh-CN"/>
        </w:rPr>
        <w:t>》，</w:t>
      </w:r>
      <w:r>
        <w:rPr>
          <w:rFonts w:hint="eastAsia" w:ascii="仿宋_GB2312" w:hAnsi="仿宋" w:eastAsia="仿宋_GB2312" w:cs="Times New Roman"/>
          <w:sz w:val="32"/>
          <w:szCs w:val="32"/>
        </w:rPr>
        <w:t>结合相关法律、法规和部门权责清单，</w:t>
      </w:r>
      <w:r>
        <w:rPr>
          <w:rFonts w:hint="eastAsia" w:ascii="仿宋_GB2312" w:hAnsi="仿宋" w:eastAsia="仿宋_GB2312" w:cs="Times New Roman"/>
          <w:sz w:val="32"/>
          <w:szCs w:val="32"/>
          <w:lang w:eastAsia="zh-CN"/>
        </w:rPr>
        <w:t>进一步完善拟</w:t>
      </w:r>
      <w:r>
        <w:rPr>
          <w:rFonts w:hint="eastAsia" w:ascii="仿宋_GB2312" w:eastAsia="仿宋_GB2312"/>
          <w:sz w:val="32"/>
          <w:szCs w:val="32"/>
        </w:rPr>
        <w:t>定</w:t>
      </w:r>
      <w:r>
        <w:rPr>
          <w:rFonts w:hint="eastAsia" w:ascii="仿宋_GB2312" w:eastAsia="仿宋_GB2312"/>
          <w:sz w:val="32"/>
          <w:szCs w:val="32"/>
          <w:lang w:eastAsia="zh-CN"/>
        </w:rPr>
        <w:t>《贵阳市市场监管系统</w:t>
      </w:r>
      <w:r>
        <w:rPr>
          <w:rFonts w:hint="eastAsia" w:ascii="仿宋_GB2312" w:eastAsia="仿宋_GB2312"/>
          <w:sz w:val="32"/>
          <w:szCs w:val="32"/>
        </w:rPr>
        <w:t>随机抽查事项清单</w:t>
      </w:r>
      <w:r>
        <w:rPr>
          <w:rFonts w:hint="eastAsia" w:ascii="仿宋_GB2312" w:eastAsia="仿宋_GB2312"/>
          <w:sz w:val="32"/>
          <w:szCs w:val="32"/>
          <w:lang w:eastAsia="zh-CN"/>
        </w:rPr>
        <w:t>（</w:t>
      </w:r>
      <w:r>
        <w:rPr>
          <w:rFonts w:hint="eastAsia" w:ascii="仿宋_GB2312" w:eastAsia="仿宋_GB2312"/>
          <w:sz w:val="32"/>
          <w:szCs w:val="32"/>
          <w:lang w:val="en-US" w:eastAsia="zh-CN"/>
        </w:rPr>
        <w:t>2021版</w:t>
      </w:r>
      <w:r>
        <w:rPr>
          <w:rFonts w:hint="eastAsia" w:ascii="仿宋_GB2312" w:eastAsia="仿宋_GB2312"/>
          <w:sz w:val="32"/>
          <w:szCs w:val="32"/>
          <w:lang w:eastAsia="zh-CN"/>
        </w:rPr>
        <w:t>）》</w:t>
      </w:r>
      <w:r>
        <w:rPr>
          <w:rFonts w:hint="eastAsia" w:ascii="仿宋_GB2312" w:eastAsia="仿宋_GB2312"/>
          <w:sz w:val="32"/>
          <w:szCs w:val="32"/>
        </w:rPr>
        <w:t>，抽查类别</w:t>
      </w:r>
      <w:r>
        <w:rPr>
          <w:rFonts w:hint="eastAsia" w:ascii="仿宋_GB2312" w:eastAsia="仿宋_GB2312"/>
          <w:sz w:val="32"/>
          <w:szCs w:val="32"/>
          <w:lang w:val="en-US" w:eastAsia="zh-CN"/>
        </w:rPr>
        <w:t>30</w:t>
      </w:r>
      <w:r>
        <w:rPr>
          <w:rFonts w:hint="eastAsia" w:ascii="仿宋_GB2312" w:eastAsia="仿宋_GB2312"/>
          <w:sz w:val="32"/>
          <w:szCs w:val="32"/>
        </w:rPr>
        <w:t>大类，</w:t>
      </w:r>
      <w:r>
        <w:rPr>
          <w:rFonts w:ascii="仿宋_GB2312" w:eastAsia="仿宋_GB2312"/>
          <w:sz w:val="32"/>
          <w:szCs w:val="32"/>
        </w:rPr>
        <w:t>抽查事项</w:t>
      </w:r>
      <w:r>
        <w:rPr>
          <w:rFonts w:hint="eastAsia" w:ascii="仿宋_GB2312" w:eastAsia="仿宋_GB2312"/>
          <w:sz w:val="32"/>
          <w:szCs w:val="32"/>
          <w:lang w:val="en-US" w:eastAsia="zh-CN"/>
        </w:rPr>
        <w:t>91</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rPr>
        <w:t>全市市场监管部门</w:t>
      </w:r>
      <w:r>
        <w:rPr>
          <w:rFonts w:hint="eastAsia" w:ascii="仿宋_GB2312" w:hAnsi="仿宋" w:eastAsia="仿宋_GB2312" w:cs="Times New Roman"/>
          <w:sz w:val="32"/>
          <w:szCs w:val="32"/>
        </w:rPr>
        <w:t>完成随机抽查事项全覆盖。</w:t>
      </w:r>
      <w:r>
        <w:rPr>
          <w:rFonts w:hint="eastAsia" w:ascii="楷体" w:hAnsi="楷体" w:eastAsia="楷体"/>
          <w:sz w:val="32"/>
          <w:szCs w:val="32"/>
        </w:rPr>
        <w:t>（牵头部门：信用监管处；责任部门：市局各相关业务处室；各区（市、县）市场监管局、开发区分局）</w:t>
      </w:r>
    </w:p>
    <w:p>
      <w:pPr>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w:t>
      </w:r>
      <w:r>
        <w:rPr>
          <w:rFonts w:hint="eastAsia" w:ascii="楷体_GB2312" w:eastAsia="楷体_GB2312"/>
          <w:color w:val="000000" w:themeColor="text1"/>
          <w:sz w:val="32"/>
          <w:szCs w:val="32"/>
          <w:lang w:eastAsia="zh-CN"/>
          <w14:textFill>
            <w14:solidFill>
              <w14:schemeClr w14:val="tx1"/>
            </w14:solidFill>
          </w14:textFill>
        </w:rPr>
        <w:t>三</w:t>
      </w:r>
      <w:r>
        <w:rPr>
          <w:rFonts w:hint="eastAsia" w:ascii="楷体_GB2312" w:eastAsia="楷体_GB2312"/>
          <w:color w:val="000000" w:themeColor="text1"/>
          <w:sz w:val="32"/>
          <w:szCs w:val="32"/>
          <w14:textFill>
            <w14:solidFill>
              <w14:schemeClr w14:val="tx1"/>
            </w14:solidFill>
          </w14:textFill>
        </w:rPr>
        <w:t xml:space="preserve">）检查对象名录库  </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省局结合监管需求统一建立全省检查对象名录库，各级市场监管部门分级使用。检查对象名录库包括企业、</w:t>
      </w:r>
      <w:r>
        <w:rPr>
          <w:rFonts w:hint="eastAsia" w:ascii="仿宋_GB2312" w:eastAsia="仿宋_GB2312"/>
          <w:color w:val="000000" w:themeColor="text1"/>
          <w:sz w:val="32"/>
          <w:szCs w:val="32"/>
          <w:lang w:eastAsia="zh-CN"/>
          <w14:textFill>
            <w14:solidFill>
              <w14:schemeClr w14:val="tx1"/>
            </w14:solidFill>
          </w14:textFill>
        </w:rPr>
        <w:t>农专、</w:t>
      </w:r>
      <w:r>
        <w:rPr>
          <w:rFonts w:hint="eastAsia" w:ascii="仿宋_GB2312" w:eastAsia="仿宋_GB2312"/>
          <w:color w:val="000000" w:themeColor="text1"/>
          <w:sz w:val="32"/>
          <w:szCs w:val="32"/>
          <w14:textFill>
            <w14:solidFill>
              <w14:schemeClr w14:val="tx1"/>
            </w14:solidFill>
          </w14:textFill>
        </w:rPr>
        <w:t>个体工商户等市场主体和其他主体。</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eastAsia="zh-CN"/>
        </w:rPr>
        <w:t>四</w:t>
      </w:r>
      <w:r>
        <w:rPr>
          <w:rFonts w:hint="eastAsia" w:ascii="楷体_GB2312" w:eastAsia="楷体_GB2312"/>
          <w:sz w:val="32"/>
          <w:szCs w:val="32"/>
        </w:rPr>
        <w:t xml:space="preserve">）完善执法检查人员名录库 </w:t>
      </w:r>
    </w:p>
    <w:p>
      <w:pPr>
        <w:spacing w:line="560" w:lineRule="exact"/>
        <w:ind w:firstLine="640" w:firstLineChars="200"/>
        <w:rPr>
          <w:rFonts w:ascii="楷体" w:hAnsi="楷体" w:eastAsia="楷体"/>
          <w:sz w:val="32"/>
          <w:szCs w:val="32"/>
        </w:rPr>
      </w:pPr>
      <w:r>
        <w:rPr>
          <w:rFonts w:hint="eastAsia" w:ascii="仿宋_GB2312" w:eastAsia="仿宋_GB2312"/>
          <w:color w:val="000000" w:themeColor="text1"/>
          <w:sz w:val="32"/>
          <w:szCs w:val="32"/>
          <w14:textFill>
            <w14:solidFill>
              <w14:schemeClr w14:val="tx1"/>
            </w14:solidFill>
          </w14:textFill>
        </w:rPr>
        <w:t>执法检查人员名录库按照省级统一搭建，分级维护的方式进行完善。全</w:t>
      </w:r>
      <w:r>
        <w:rPr>
          <w:rFonts w:hint="eastAsia" w:ascii="仿宋_GB2312" w:eastAsia="仿宋_GB2312"/>
          <w:sz w:val="32"/>
          <w:szCs w:val="32"/>
        </w:rPr>
        <w:t>市各级市场监管部门所有行政执法类公务员、具有行政执法资格的工作人员</w:t>
      </w:r>
      <w:r>
        <w:rPr>
          <w:rFonts w:hint="eastAsia" w:ascii="仿宋_GB2312" w:eastAsia="仿宋_GB2312"/>
          <w:sz w:val="32"/>
          <w:szCs w:val="32"/>
          <w:lang w:eastAsia="zh-CN"/>
        </w:rPr>
        <w:t>和从事日常监管工作的人员</w:t>
      </w:r>
      <w:r>
        <w:rPr>
          <w:rFonts w:hint="eastAsia" w:ascii="仿宋_GB2312" w:eastAsia="仿宋_GB2312"/>
          <w:sz w:val="32"/>
          <w:szCs w:val="32"/>
        </w:rPr>
        <w:t>，要应入尽入</w:t>
      </w:r>
      <w:r>
        <w:rPr>
          <w:rFonts w:hint="eastAsia" w:ascii="仿宋_GB2312" w:eastAsia="仿宋_GB2312"/>
          <w:sz w:val="32"/>
          <w:szCs w:val="32"/>
          <w:lang w:eastAsia="zh-CN"/>
        </w:rPr>
        <w:t>。相关处室</w:t>
      </w:r>
      <w:r>
        <w:rPr>
          <w:rFonts w:hint="eastAsia" w:ascii="仿宋_GB2312" w:eastAsia="仿宋_GB2312"/>
          <w:sz w:val="32"/>
          <w:szCs w:val="32"/>
        </w:rPr>
        <w:t>按照执法资质、业务专长</w:t>
      </w:r>
      <w:r>
        <w:rPr>
          <w:rFonts w:hint="eastAsia" w:ascii="仿宋_GB2312" w:eastAsia="仿宋_GB2312"/>
          <w:sz w:val="32"/>
          <w:szCs w:val="32"/>
          <w:lang w:eastAsia="zh-CN"/>
        </w:rPr>
        <w:t>、所在单位等</w:t>
      </w:r>
      <w:r>
        <w:rPr>
          <w:rFonts w:hint="eastAsia" w:ascii="仿宋_GB2312" w:eastAsia="仿宋_GB2312"/>
          <w:sz w:val="32"/>
          <w:szCs w:val="32"/>
        </w:rPr>
        <w:t>进行分类标注。对特定领域抽查，可吸收检测机构、科研院所、行业专家等参与，满足专业性抽查需要。各</w:t>
      </w:r>
      <w:r>
        <w:rPr>
          <w:rFonts w:hint="eastAsia" w:ascii="仿宋_GB2312" w:eastAsia="仿宋_GB2312"/>
          <w:sz w:val="32"/>
          <w:szCs w:val="32"/>
          <w:lang w:eastAsia="zh-CN"/>
        </w:rPr>
        <w:t>级</w:t>
      </w:r>
      <w:r>
        <w:rPr>
          <w:rFonts w:hint="eastAsia" w:ascii="仿宋_GB2312" w:eastAsia="仿宋_GB2312"/>
          <w:sz w:val="32"/>
          <w:szCs w:val="32"/>
        </w:rPr>
        <w:t>市场监管部门负责维护本部门检查人员名录库，根据人员岗位变动等情况进行动态更新管理</w:t>
      </w:r>
      <w:r>
        <w:rPr>
          <w:rFonts w:hint="eastAsia" w:ascii="仿宋_GB2312" w:eastAsia="仿宋_GB2312"/>
          <w:sz w:val="32"/>
          <w:szCs w:val="32"/>
          <w:lang w:eastAsia="zh-CN"/>
        </w:rPr>
        <w:t>，为有效匹配本行业、本专业、本地区检查人员提供支撑。</w:t>
      </w:r>
      <w:r>
        <w:rPr>
          <w:rFonts w:hint="eastAsia" w:ascii="楷体" w:hAnsi="楷体" w:eastAsia="楷体"/>
          <w:sz w:val="32"/>
          <w:szCs w:val="32"/>
        </w:rPr>
        <w:t>（牵头部门：信用监管处</w:t>
      </w:r>
      <w:r>
        <w:rPr>
          <w:rFonts w:hint="eastAsia" w:ascii="楷体" w:hAnsi="楷体" w:eastAsia="楷体"/>
          <w:sz w:val="32"/>
          <w:szCs w:val="32"/>
          <w:lang w:eastAsia="zh-CN"/>
        </w:rPr>
        <w:t>、</w:t>
      </w:r>
      <w:r>
        <w:rPr>
          <w:rFonts w:hint="eastAsia" w:ascii="楷体" w:hAnsi="楷体" w:eastAsia="楷体"/>
          <w:sz w:val="32"/>
          <w:szCs w:val="32"/>
        </w:rPr>
        <w:t>法规处；责任部门：各相关处室；</w:t>
      </w:r>
      <w:r>
        <w:rPr>
          <w:rFonts w:hint="eastAsia" w:ascii="楷体" w:hAnsi="楷体" w:eastAsia="楷体"/>
          <w:sz w:val="32"/>
          <w:szCs w:val="32"/>
          <w:lang w:eastAsia="zh-CN"/>
        </w:rPr>
        <w:t>综合执法支队、</w:t>
      </w:r>
      <w:r>
        <w:rPr>
          <w:rFonts w:hint="eastAsia" w:ascii="楷体" w:hAnsi="楷体" w:eastAsia="楷体"/>
          <w:sz w:val="32"/>
          <w:szCs w:val="32"/>
        </w:rPr>
        <w:t xml:space="preserve">各区（市、县）市场监管局、开发区分局） </w:t>
      </w:r>
    </w:p>
    <w:p>
      <w:pPr>
        <w:spacing w:line="560" w:lineRule="exact"/>
        <w:ind w:firstLine="640" w:firstLineChars="200"/>
        <w:rPr>
          <w:rFonts w:ascii="仿宋_GB2312" w:eastAsia="仿宋_GB2312"/>
          <w:sz w:val="32"/>
          <w:szCs w:val="32"/>
        </w:rPr>
      </w:pPr>
      <w:r>
        <w:rPr>
          <w:rFonts w:hint="eastAsia" w:ascii="楷体_GB2312" w:hAnsi="华文楷体" w:eastAsia="楷体_GB2312" w:cs="Times New Roman"/>
          <w:sz w:val="32"/>
          <w:szCs w:val="32"/>
        </w:rPr>
        <w:t>（</w:t>
      </w:r>
      <w:r>
        <w:rPr>
          <w:rFonts w:hint="eastAsia" w:ascii="楷体_GB2312" w:hAnsi="华文楷体" w:eastAsia="楷体_GB2312" w:cs="Times New Roman"/>
          <w:sz w:val="32"/>
          <w:szCs w:val="32"/>
          <w:lang w:eastAsia="zh-CN"/>
        </w:rPr>
        <w:t>五</w:t>
      </w:r>
      <w:r>
        <w:rPr>
          <w:rFonts w:hint="eastAsia" w:ascii="楷体_GB2312" w:hAnsi="华文楷体" w:eastAsia="楷体_GB2312" w:cs="Times New Roman"/>
          <w:sz w:val="32"/>
          <w:szCs w:val="32"/>
        </w:rPr>
        <w:t>）制定年度抽查计划</w:t>
      </w:r>
    </w:p>
    <w:p>
      <w:pPr>
        <w:spacing w:line="560" w:lineRule="exact"/>
        <w:ind w:firstLine="640" w:firstLineChars="200"/>
        <w:rPr>
          <w:rFonts w:ascii="楷体" w:hAnsi="楷体" w:eastAsia="楷体" w:cs="Times New Roman"/>
          <w:sz w:val="32"/>
          <w:szCs w:val="32"/>
        </w:rPr>
      </w:pPr>
      <w:r>
        <w:rPr>
          <w:rFonts w:hint="eastAsia" w:ascii="仿宋_GB2312" w:hAnsi="仿宋" w:eastAsia="仿宋_GB2312" w:cs="Times New Roman"/>
          <w:sz w:val="32"/>
          <w:szCs w:val="32"/>
          <w:lang w:eastAsia="zh-CN"/>
        </w:rPr>
        <w:t>市</w:t>
      </w:r>
      <w:r>
        <w:rPr>
          <w:rFonts w:hint="eastAsia" w:ascii="仿宋_GB2312" w:hAnsi="仿宋" w:eastAsia="仿宋_GB2312" w:cs="Times New Roman"/>
          <w:sz w:val="32"/>
          <w:szCs w:val="32"/>
        </w:rPr>
        <w:t>局相关</w:t>
      </w:r>
      <w:r>
        <w:rPr>
          <w:rFonts w:hint="eastAsia" w:ascii="仿宋_GB2312" w:eastAsia="仿宋_GB2312"/>
          <w:sz w:val="32"/>
          <w:szCs w:val="32"/>
          <w:lang w:eastAsia="zh-CN"/>
        </w:rPr>
        <w:t>业务</w:t>
      </w:r>
      <w:r>
        <w:rPr>
          <w:rFonts w:hint="eastAsia" w:ascii="仿宋_GB2312" w:hAnsi="仿宋" w:eastAsia="仿宋_GB2312" w:cs="Times New Roman"/>
          <w:sz w:val="32"/>
          <w:szCs w:val="32"/>
        </w:rPr>
        <w:t>处室对应</w:t>
      </w:r>
      <w:r>
        <w:rPr>
          <w:rFonts w:hint="eastAsia" w:ascii="仿宋_GB2312" w:hAnsi="仿宋" w:eastAsia="仿宋_GB2312" w:cs="Times New Roman"/>
          <w:sz w:val="32"/>
          <w:szCs w:val="32"/>
          <w:lang w:eastAsia="zh-CN"/>
        </w:rPr>
        <w:t>《贵阳市市场监管系统</w:t>
      </w:r>
      <w:r>
        <w:rPr>
          <w:rFonts w:hint="eastAsia" w:ascii="仿宋_GB2312" w:hAnsi="仿宋" w:eastAsia="仿宋_GB2312" w:cs="Times New Roman"/>
          <w:sz w:val="32"/>
          <w:szCs w:val="32"/>
        </w:rPr>
        <w:t>随机抽查事项清单</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2021版</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，结合监管工作实际，按照“双随机、一公开”抽查工作计划表格式，制定2021年度“双随机、一公开”抽查工作计划</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市局信用监管处汇总形成市本级年度抽查计划后上报省局备案。各区</w:t>
      </w:r>
      <w:r>
        <w:rPr>
          <w:rFonts w:hint="eastAsia" w:ascii="仿宋_GB2312" w:hAnsi="仿宋" w:eastAsia="仿宋_GB2312" w:cs="Times New Roman"/>
          <w:sz w:val="32"/>
          <w:szCs w:val="32"/>
          <w:lang w:eastAsia="zh-CN"/>
        </w:rPr>
        <w:t>比照</w:t>
      </w:r>
      <w:r>
        <w:rPr>
          <w:rFonts w:hint="eastAsia" w:ascii="仿宋_GB2312" w:hAnsi="仿宋" w:eastAsia="仿宋_GB2312" w:cs="Times New Roman"/>
          <w:sz w:val="32"/>
          <w:szCs w:val="32"/>
        </w:rPr>
        <w:t>市级年度抽查计划</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根据监管需要制定本地区双随机年度抽查计划，</w:t>
      </w:r>
      <w:r>
        <w:rPr>
          <w:rFonts w:hint="eastAsia" w:ascii="仿宋_GB2312" w:hAnsi="仿宋" w:eastAsia="仿宋_GB2312" w:cs="Times New Roman"/>
          <w:sz w:val="32"/>
          <w:szCs w:val="32"/>
          <w:lang w:eastAsia="zh-CN"/>
        </w:rPr>
        <w:t>并报</w:t>
      </w:r>
      <w:r>
        <w:rPr>
          <w:rFonts w:hint="eastAsia" w:ascii="仿宋_GB2312" w:hAnsi="仿宋" w:eastAsia="仿宋_GB2312" w:cs="Times New Roman"/>
          <w:sz w:val="32"/>
          <w:szCs w:val="32"/>
        </w:rPr>
        <w:t>市局备案</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随机抽查企业比例不低于辖区存续企业的3%。清单中明确由上级市场监管部门统筹的抽查事项，下级市场监管部门原则上不再另行制定抽查计划。</w:t>
      </w:r>
      <w:r>
        <w:rPr>
          <w:rFonts w:hint="eastAsia" w:ascii="仿宋_GB2312" w:hAnsi="仿宋" w:eastAsia="仿宋_GB2312" w:cs="Times New Roman"/>
          <w:sz w:val="32"/>
          <w:szCs w:val="32"/>
          <w:lang w:eastAsia="zh-CN"/>
        </w:rPr>
        <w:t>年度抽查</w:t>
      </w:r>
      <w:r>
        <w:rPr>
          <w:rFonts w:hint="eastAsia" w:ascii="仿宋_GB2312" w:hAnsi="仿宋" w:eastAsia="仿宋_GB2312" w:cs="Times New Roman"/>
          <w:sz w:val="32"/>
          <w:szCs w:val="32"/>
        </w:rPr>
        <w:t>计划可根据实际监管需要进行调整，调整后的年度抽查计</w:t>
      </w:r>
      <w:r>
        <w:rPr>
          <w:rFonts w:hint="eastAsia" w:ascii="仿宋_GB2312" w:hAnsi="仿宋" w:eastAsia="仿宋_GB2312" w:cs="Times New Roman"/>
          <w:sz w:val="32"/>
          <w:szCs w:val="32"/>
          <w:lang w:eastAsia="zh-CN"/>
        </w:rPr>
        <w:t>划需报上级备案。</w:t>
      </w:r>
      <w:r>
        <w:rPr>
          <w:rFonts w:hint="eastAsia" w:ascii="楷体" w:hAnsi="楷体" w:eastAsia="楷体" w:cs="Times New Roman"/>
          <w:sz w:val="32"/>
          <w:szCs w:val="32"/>
        </w:rPr>
        <w:t>（牵头部门：信用监管处；责任部门：市局各相关业务处室；各区（市、县）市场监管局、开发区分局）</w:t>
      </w:r>
    </w:p>
    <w:p>
      <w:pPr>
        <w:spacing w:line="560" w:lineRule="exact"/>
        <w:ind w:firstLine="640" w:firstLineChars="200"/>
        <w:rPr>
          <w:rFonts w:ascii="楷体_GB2312" w:hAnsi="华文楷体" w:eastAsia="楷体_GB2312" w:cs="Times New Roman"/>
          <w:sz w:val="32"/>
          <w:szCs w:val="32"/>
        </w:rPr>
      </w:pPr>
      <w:r>
        <w:rPr>
          <w:rFonts w:hint="eastAsia" w:ascii="楷体_GB2312" w:hAnsi="华文楷体" w:eastAsia="楷体_GB2312" w:cs="Times New Roman"/>
          <w:sz w:val="32"/>
          <w:szCs w:val="32"/>
        </w:rPr>
        <w:t>（</w:t>
      </w:r>
      <w:r>
        <w:rPr>
          <w:rFonts w:hint="eastAsia" w:ascii="楷体_GB2312" w:hAnsi="华文楷体" w:eastAsia="楷体_GB2312" w:cs="Times New Roman"/>
          <w:sz w:val="32"/>
          <w:szCs w:val="32"/>
          <w:lang w:eastAsia="zh-CN"/>
        </w:rPr>
        <w:t>六</w:t>
      </w:r>
      <w:r>
        <w:rPr>
          <w:rFonts w:hint="eastAsia" w:ascii="楷体_GB2312" w:hAnsi="华文楷体" w:eastAsia="楷体_GB2312" w:cs="Times New Roman"/>
          <w:sz w:val="32"/>
          <w:szCs w:val="32"/>
        </w:rPr>
        <w:t>）</w:t>
      </w:r>
      <w:r>
        <w:rPr>
          <w:rFonts w:hint="eastAsia" w:ascii="楷体_GB2312" w:hAnsi="华文楷体" w:eastAsia="楷体_GB2312"/>
          <w:sz w:val="32"/>
          <w:szCs w:val="32"/>
        </w:rPr>
        <w:t>组织摇号并实施检查。</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hAnsi="仿宋" w:eastAsia="仿宋_GB2312"/>
          <w:sz w:val="32"/>
          <w:szCs w:val="32"/>
        </w:rPr>
        <w:t>、市本级组织抽查的各相关业务处室负责建立任务并摇号抽取检查对象，</w:t>
      </w:r>
      <w:r>
        <w:rPr>
          <w:rFonts w:hint="eastAsia" w:ascii="仿宋_GB2312" w:eastAsia="仿宋_GB2312"/>
          <w:sz w:val="32"/>
          <w:szCs w:val="32"/>
        </w:rPr>
        <w:t>检查人员须通过随机抽查平台进行随机匹配。执法人员的匹配要综合考虑人员配备、业务专长等客观因素，可以根据每次抽查实际情况，对随机抽查的检查人员组合进行合理调整。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、各区市场监管部门按照“谁登记、谁摇号、谁检查”的原则，按年度抽查计划开展抽查检查。除此以外，根据当地党委、政府要求和针对涉及安全、质量、公共利益等领域检查事项的抽查检查，可通过</w:t>
      </w:r>
      <w:r>
        <w:rPr>
          <w:rFonts w:hint="eastAsia" w:ascii="仿宋_GB2312" w:hAnsi="仿宋" w:eastAsia="仿宋_GB2312"/>
          <w:sz w:val="32"/>
          <w:szCs w:val="32"/>
          <w:lang w:eastAsia="zh-CN"/>
        </w:rPr>
        <w:t>双随机</w:t>
      </w:r>
      <w:r>
        <w:rPr>
          <w:rFonts w:hint="eastAsia" w:ascii="仿宋_GB2312" w:hAnsi="仿宋" w:eastAsia="仿宋_GB2312"/>
          <w:sz w:val="32"/>
          <w:szCs w:val="32"/>
        </w:rPr>
        <w:t>平台自行组织实施。</w:t>
      </w:r>
    </w:p>
    <w:p>
      <w:pPr>
        <w:spacing w:line="560" w:lineRule="exact"/>
        <w:ind w:firstLine="640" w:firstLineChars="200"/>
        <w:rPr>
          <w:rFonts w:hint="eastAsia" w:ascii="楷体" w:hAnsi="楷体" w:eastAsia="楷体"/>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hint="eastAsia" w:ascii="仿宋_GB2312" w:hAnsi="仿宋" w:eastAsia="仿宋_GB2312"/>
          <w:color w:val="000000" w:themeColor="text1"/>
          <w:sz w:val="32"/>
          <w:szCs w:val="32"/>
          <w14:textFill>
            <w14:solidFill>
              <w14:schemeClr w14:val="tx1"/>
            </w14:solidFill>
          </w14:textFill>
        </w:rPr>
        <w:t>各级市场监管部门</w:t>
      </w:r>
      <w:r>
        <w:rPr>
          <w:rFonts w:hint="eastAsia" w:ascii="仿宋_GB2312" w:hAnsi="仿宋" w:eastAsia="仿宋_GB2312"/>
          <w:color w:val="000000" w:themeColor="text1"/>
          <w:sz w:val="32"/>
          <w:szCs w:val="32"/>
          <w:lang w:eastAsia="zh-CN"/>
          <w14:textFill>
            <w14:solidFill>
              <w14:schemeClr w14:val="tx1"/>
            </w14:solidFill>
          </w14:textFill>
        </w:rPr>
        <w:t>在</w:t>
      </w:r>
      <w:r>
        <w:rPr>
          <w:rFonts w:hint="eastAsia" w:ascii="仿宋_GB2312" w:hAnsi="仿宋" w:eastAsia="仿宋_GB2312"/>
          <w:sz w:val="32"/>
          <w:szCs w:val="32"/>
          <w:lang w:eastAsia="zh-CN"/>
        </w:rPr>
        <w:t>抽查工作中</w:t>
      </w:r>
      <w:r>
        <w:rPr>
          <w:rFonts w:hint="eastAsia" w:ascii="仿宋_GB2312" w:hAnsi="仿宋" w:eastAsia="仿宋_GB2312"/>
          <w:color w:val="000000" w:themeColor="text1"/>
          <w:sz w:val="32"/>
          <w:szCs w:val="32"/>
          <w:lang w:eastAsia="zh-CN"/>
          <w14:textFill>
            <w14:solidFill>
              <w14:schemeClr w14:val="tx1"/>
            </w14:solidFill>
          </w14:textFill>
        </w:rPr>
        <w:t>可以根据实际情况</w:t>
      </w:r>
      <w:r>
        <w:rPr>
          <w:rFonts w:hint="eastAsia" w:ascii="仿宋_GB2312" w:hAnsi="仿宋" w:eastAsia="仿宋_GB2312"/>
          <w:color w:val="000000" w:themeColor="text1"/>
          <w:sz w:val="32"/>
          <w:szCs w:val="32"/>
          <w14:textFill>
            <w14:solidFill>
              <w14:schemeClr w14:val="tx1"/>
            </w14:solidFill>
          </w14:textFill>
        </w:rPr>
        <w:t>采取实地核查、书面检查、网络监测等方式；涉及专业领域的，可以委托有资质的机构开展检验检测、财务审计、调查咨询等工作，或依法采用相关机构作出的鉴定结论。</w:t>
      </w:r>
      <w:r>
        <w:rPr>
          <w:rFonts w:hint="eastAsia" w:ascii="楷体" w:hAnsi="楷体" w:eastAsia="楷体"/>
          <w:sz w:val="32"/>
          <w:szCs w:val="32"/>
        </w:rPr>
        <w:t>（牵头部门：市局各相关业务处室；责任部门：市局</w:t>
      </w:r>
      <w:r>
        <w:rPr>
          <w:rFonts w:hint="eastAsia" w:ascii="楷体" w:hAnsi="楷体" w:eastAsia="楷体"/>
          <w:sz w:val="32"/>
          <w:szCs w:val="32"/>
          <w:lang w:eastAsia="zh-CN"/>
        </w:rPr>
        <w:t>综合行政</w:t>
      </w:r>
      <w:r>
        <w:rPr>
          <w:rFonts w:hint="eastAsia" w:ascii="楷体" w:hAnsi="楷体" w:eastAsia="楷体"/>
          <w:sz w:val="32"/>
          <w:szCs w:val="32"/>
        </w:rPr>
        <w:t>执法</w:t>
      </w:r>
      <w:r>
        <w:rPr>
          <w:rFonts w:hint="eastAsia" w:ascii="楷体" w:hAnsi="楷体" w:eastAsia="楷体"/>
          <w:sz w:val="32"/>
          <w:szCs w:val="32"/>
          <w:lang w:eastAsia="zh-CN"/>
        </w:rPr>
        <w:t>支队</w:t>
      </w:r>
      <w:r>
        <w:rPr>
          <w:rFonts w:hint="eastAsia" w:ascii="楷体" w:hAnsi="楷体" w:eastAsia="楷体"/>
          <w:sz w:val="32"/>
          <w:szCs w:val="32"/>
        </w:rPr>
        <w:t>；</w:t>
      </w:r>
      <w:r>
        <w:rPr>
          <w:rFonts w:hint="eastAsia" w:ascii="楷体" w:hAnsi="楷体" w:eastAsia="楷体" w:cs="Times New Roman"/>
          <w:sz w:val="32"/>
          <w:szCs w:val="32"/>
        </w:rPr>
        <w:t>各区（市、县）市场监管局、开发区分局</w:t>
      </w:r>
      <w:r>
        <w:rPr>
          <w:rFonts w:hint="eastAsia" w:ascii="楷体" w:hAnsi="楷体" w:eastAsia="楷体"/>
          <w:sz w:val="32"/>
          <w:szCs w:val="32"/>
        </w:rPr>
        <w:t>；完成时限：</w:t>
      </w:r>
      <w:r>
        <w:rPr>
          <w:rFonts w:hint="eastAsia" w:ascii="楷体" w:hAnsi="楷体" w:eastAsia="楷体"/>
          <w:sz w:val="32"/>
          <w:szCs w:val="32"/>
          <w:lang w:val="en-US" w:eastAsia="zh-CN"/>
        </w:rPr>
        <w:t>11</w:t>
      </w:r>
      <w:r>
        <w:rPr>
          <w:rFonts w:hint="eastAsia" w:ascii="楷体" w:hAnsi="楷体" w:eastAsia="楷体"/>
          <w:sz w:val="32"/>
          <w:szCs w:val="32"/>
        </w:rPr>
        <w:t>月</w:t>
      </w:r>
      <w:r>
        <w:rPr>
          <w:rFonts w:hint="eastAsia" w:ascii="楷体" w:hAnsi="楷体" w:eastAsia="楷体"/>
          <w:sz w:val="32"/>
          <w:szCs w:val="32"/>
          <w:lang w:val="en-US" w:eastAsia="zh-CN"/>
        </w:rPr>
        <w:t>5</w:t>
      </w:r>
      <w:r>
        <w:rPr>
          <w:rFonts w:hint="eastAsia" w:ascii="楷体" w:hAnsi="楷体" w:eastAsia="楷体"/>
          <w:sz w:val="32"/>
          <w:szCs w:val="32"/>
        </w:rPr>
        <w:t>日前）</w:t>
      </w:r>
    </w:p>
    <w:p>
      <w:pPr>
        <w:spacing w:line="560" w:lineRule="exact"/>
        <w:ind w:firstLine="640" w:firstLineChars="200"/>
        <w:rPr>
          <w:rFonts w:ascii="楷体_GB2312" w:hAnsi="华文楷体" w:eastAsia="楷体_GB2312" w:cs="Times New Roman"/>
          <w:sz w:val="32"/>
          <w:szCs w:val="32"/>
        </w:rPr>
      </w:pPr>
      <w:r>
        <w:rPr>
          <w:rFonts w:hint="eastAsia" w:ascii="楷体_GB2312" w:hAnsi="华文楷体" w:eastAsia="楷体_GB2312" w:cs="Times New Roman"/>
          <w:sz w:val="32"/>
          <w:szCs w:val="32"/>
          <w:lang w:eastAsia="zh-CN"/>
        </w:rPr>
        <w:t>（七）</w:t>
      </w:r>
      <w:r>
        <w:rPr>
          <w:rFonts w:hint="eastAsia" w:ascii="楷体_GB2312" w:hAnsi="华文楷体" w:eastAsia="楷体_GB2312" w:cs="Times New Roman"/>
          <w:sz w:val="32"/>
          <w:szCs w:val="32"/>
        </w:rPr>
        <w:t>强化抽查结果公示</w:t>
      </w:r>
    </w:p>
    <w:p>
      <w:pPr>
        <w:spacing w:line="560" w:lineRule="exact"/>
        <w:ind w:firstLine="640" w:firstLineChars="200"/>
        <w:rPr>
          <w:rFonts w:ascii="楷体" w:hAnsi="楷体" w:eastAsia="楷体" w:cs="Times New Roman"/>
          <w:sz w:val="32"/>
          <w:szCs w:val="32"/>
        </w:rPr>
      </w:pPr>
      <w:r>
        <w:rPr>
          <w:rFonts w:hint="eastAsia" w:ascii="仿宋_GB2312" w:eastAsia="仿宋_GB2312"/>
          <w:sz w:val="32"/>
          <w:szCs w:val="32"/>
        </w:rPr>
        <w:t>除依法依规不适合公开的情形外，各级各部门应在抽查检查完成之日起 20 个工作日内，按照“谁检查、谁录入”的原则，履行审批程序后，将各自抽查事项的检查结果录入监管平台向社会公开。原则上检查结果录入并公示率应达到100%。如有涉密、不适合向社会公示检查结果的，及时拟写情况说明报</w:t>
      </w:r>
      <w:r>
        <w:rPr>
          <w:rFonts w:hint="eastAsia" w:ascii="仿宋_GB2312" w:eastAsia="仿宋_GB2312"/>
          <w:sz w:val="32"/>
          <w:szCs w:val="32"/>
          <w:lang w:eastAsia="zh-CN"/>
        </w:rPr>
        <w:t>贵阳市场监管局“双随机、一公开”工作领导小组</w:t>
      </w:r>
      <w:r>
        <w:rPr>
          <w:rFonts w:hint="eastAsia" w:ascii="仿宋_GB2312" w:eastAsia="仿宋_GB2312"/>
          <w:sz w:val="32"/>
          <w:szCs w:val="32"/>
        </w:rPr>
        <w:t>办公室备案。</w:t>
      </w:r>
      <w:r>
        <w:rPr>
          <w:rFonts w:hint="eastAsia" w:ascii="楷体" w:hAnsi="楷体" w:eastAsia="楷体" w:cs="Times New Roman"/>
          <w:sz w:val="32"/>
          <w:szCs w:val="32"/>
        </w:rPr>
        <w:t>（牵头部门：信用监管处；责任部门：市局各相关业务处室，</w:t>
      </w:r>
      <w:r>
        <w:rPr>
          <w:rFonts w:hint="eastAsia" w:ascii="楷体" w:hAnsi="楷体" w:eastAsia="楷体"/>
          <w:sz w:val="32"/>
          <w:szCs w:val="32"/>
        </w:rPr>
        <w:t>市局</w:t>
      </w:r>
      <w:r>
        <w:rPr>
          <w:rFonts w:hint="eastAsia" w:ascii="楷体" w:hAnsi="楷体" w:eastAsia="楷体"/>
          <w:sz w:val="32"/>
          <w:szCs w:val="32"/>
          <w:lang w:eastAsia="zh-CN"/>
        </w:rPr>
        <w:t>综合行政</w:t>
      </w:r>
      <w:r>
        <w:rPr>
          <w:rFonts w:hint="eastAsia" w:ascii="楷体" w:hAnsi="楷体" w:eastAsia="楷体"/>
          <w:sz w:val="32"/>
          <w:szCs w:val="32"/>
        </w:rPr>
        <w:t>执法</w:t>
      </w:r>
      <w:r>
        <w:rPr>
          <w:rFonts w:hint="eastAsia" w:ascii="楷体" w:hAnsi="楷体" w:eastAsia="楷体"/>
          <w:sz w:val="32"/>
          <w:szCs w:val="32"/>
          <w:lang w:eastAsia="zh-CN"/>
        </w:rPr>
        <w:t>支队</w:t>
      </w:r>
      <w:r>
        <w:rPr>
          <w:rFonts w:hint="eastAsia" w:ascii="楷体" w:hAnsi="楷体" w:eastAsia="楷体" w:cs="Times New Roman"/>
          <w:sz w:val="32"/>
          <w:szCs w:val="32"/>
        </w:rPr>
        <w:t>；各区（市、县）市场监管局、开发区分局；</w:t>
      </w:r>
      <w:r>
        <w:rPr>
          <w:rFonts w:hint="eastAsia" w:ascii="楷体" w:hAnsi="楷体" w:eastAsia="楷体"/>
          <w:sz w:val="32"/>
          <w:szCs w:val="32"/>
        </w:rPr>
        <w:t>完成时限：11月25日前</w:t>
      </w:r>
      <w:r>
        <w:rPr>
          <w:rFonts w:hint="eastAsia" w:ascii="楷体" w:hAnsi="楷体" w:eastAsia="楷体" w:cs="Times New Roman"/>
          <w:sz w:val="32"/>
          <w:szCs w:val="32"/>
        </w:rPr>
        <w:t>）</w:t>
      </w:r>
    </w:p>
    <w:p>
      <w:pPr>
        <w:spacing w:line="560" w:lineRule="exact"/>
        <w:ind w:firstLine="640" w:firstLineChars="200"/>
        <w:rPr>
          <w:rFonts w:ascii="仿宋_GB2312" w:eastAsia="仿宋_GB2312"/>
          <w:sz w:val="32"/>
          <w:szCs w:val="32"/>
        </w:rPr>
      </w:pPr>
      <w:r>
        <w:rPr>
          <w:rFonts w:hint="eastAsia" w:ascii="楷体_GB2312" w:hAnsi="华文楷体" w:eastAsia="楷体_GB2312" w:cs="Times New Roman"/>
          <w:sz w:val="32"/>
          <w:szCs w:val="32"/>
        </w:rPr>
        <w:t>（</w:t>
      </w:r>
      <w:r>
        <w:rPr>
          <w:rFonts w:hint="eastAsia" w:ascii="楷体_GB2312" w:hAnsi="华文楷体" w:eastAsia="楷体_GB2312" w:cs="Times New Roman"/>
          <w:sz w:val="32"/>
          <w:szCs w:val="32"/>
          <w:lang w:eastAsia="zh-CN"/>
        </w:rPr>
        <w:t>八</w:t>
      </w:r>
      <w:r>
        <w:rPr>
          <w:rFonts w:hint="eastAsia" w:ascii="楷体_GB2312" w:hAnsi="华文楷体" w:eastAsia="楷体_GB2312" w:cs="Times New Roman"/>
          <w:sz w:val="32"/>
          <w:szCs w:val="32"/>
        </w:rPr>
        <w:t>）抽查结果后续处置</w:t>
      </w:r>
    </w:p>
    <w:p>
      <w:pPr>
        <w:spacing w:line="560" w:lineRule="exact"/>
        <w:ind w:firstLine="640" w:firstLineChars="200"/>
        <w:rPr>
          <w:rFonts w:ascii="楷体_GB2312" w:hAnsi="华文楷体" w:eastAsia="楷体_GB2312" w:cs="Times New Roman"/>
          <w:sz w:val="32"/>
          <w:szCs w:val="32"/>
        </w:rPr>
      </w:pPr>
      <w:r>
        <w:rPr>
          <w:rFonts w:hint="eastAsia" w:ascii="仿宋_GB2312" w:hAnsi="仿宋" w:eastAsia="仿宋_GB2312"/>
          <w:sz w:val="32"/>
          <w:szCs w:val="32"/>
        </w:rPr>
        <w:t>对双随机抽查中发现的各类问题，要按照“谁许可、谁监管，谁主管、谁负责”的原则做好后续监管衔接，应予当场纠正的要依法纠正。检查中发现企业存在被列入经营异常名录情形的，要按照规定列入经营异常名录，涉嫌违法、符合立案条件的要及时将案件线索移交办案部门，属于其他执法部门管辖的要及时移转，涉嫌犯罪的要及时移送司法机关。</w:t>
      </w:r>
      <w:r>
        <w:rPr>
          <w:rFonts w:hint="eastAsia" w:ascii="楷体" w:hAnsi="楷体" w:eastAsia="楷体"/>
          <w:sz w:val="32"/>
          <w:szCs w:val="32"/>
        </w:rPr>
        <w:t>（牵头部门：信用监管处、执法稽查处；责任部门：</w:t>
      </w:r>
      <w:r>
        <w:rPr>
          <w:rFonts w:hint="eastAsia" w:ascii="楷体" w:hAnsi="楷体" w:eastAsia="楷体" w:cs="Times New Roman"/>
          <w:sz w:val="32"/>
          <w:szCs w:val="32"/>
        </w:rPr>
        <w:t>市局各相关业务处室，</w:t>
      </w:r>
      <w:r>
        <w:rPr>
          <w:rFonts w:hint="eastAsia" w:ascii="楷体" w:hAnsi="楷体" w:eastAsia="楷体"/>
          <w:sz w:val="32"/>
          <w:szCs w:val="32"/>
        </w:rPr>
        <w:t>市局</w:t>
      </w:r>
      <w:r>
        <w:rPr>
          <w:rFonts w:hint="eastAsia" w:ascii="楷体" w:hAnsi="楷体" w:eastAsia="楷体"/>
          <w:sz w:val="32"/>
          <w:szCs w:val="32"/>
          <w:lang w:eastAsia="zh-CN"/>
        </w:rPr>
        <w:t>综合行政</w:t>
      </w:r>
      <w:r>
        <w:rPr>
          <w:rFonts w:hint="eastAsia" w:ascii="楷体" w:hAnsi="楷体" w:eastAsia="楷体"/>
          <w:sz w:val="32"/>
          <w:szCs w:val="32"/>
        </w:rPr>
        <w:t>执法</w:t>
      </w:r>
      <w:r>
        <w:rPr>
          <w:rFonts w:hint="eastAsia" w:ascii="楷体" w:hAnsi="楷体" w:eastAsia="楷体"/>
          <w:sz w:val="32"/>
          <w:szCs w:val="32"/>
          <w:lang w:eastAsia="zh-CN"/>
        </w:rPr>
        <w:t>支队</w:t>
      </w:r>
      <w:r>
        <w:rPr>
          <w:rFonts w:hint="eastAsia" w:ascii="楷体" w:hAnsi="楷体" w:eastAsia="楷体" w:cs="Times New Roman"/>
          <w:sz w:val="32"/>
          <w:szCs w:val="32"/>
        </w:rPr>
        <w:t>；各区（市、县）市场监管局、开发区分局</w:t>
      </w:r>
      <w:r>
        <w:rPr>
          <w:rFonts w:hint="eastAsia" w:ascii="楷体" w:hAnsi="楷体" w:eastAsia="楷体"/>
          <w:sz w:val="32"/>
          <w:szCs w:val="32"/>
        </w:rPr>
        <w:t>）</w:t>
      </w:r>
    </w:p>
    <w:p>
      <w:pPr>
        <w:spacing w:line="560" w:lineRule="exact"/>
        <w:ind w:firstLine="640" w:firstLineChars="200"/>
        <w:rPr>
          <w:rFonts w:ascii="楷体_GB2312" w:hAnsi="华文楷体" w:eastAsia="楷体_GB2312" w:cs="Times New Roman"/>
          <w:sz w:val="32"/>
          <w:szCs w:val="32"/>
        </w:rPr>
      </w:pPr>
      <w:r>
        <w:rPr>
          <w:rFonts w:hint="eastAsia" w:ascii="楷体_GB2312" w:hAnsi="华文楷体" w:eastAsia="楷体_GB2312" w:cs="Times New Roman"/>
          <w:sz w:val="32"/>
          <w:szCs w:val="32"/>
        </w:rPr>
        <w:t>（</w:t>
      </w:r>
      <w:r>
        <w:rPr>
          <w:rFonts w:hint="eastAsia" w:ascii="楷体_GB2312" w:hAnsi="华文楷体" w:eastAsia="楷体_GB2312" w:cs="Times New Roman"/>
          <w:sz w:val="32"/>
          <w:szCs w:val="32"/>
          <w:lang w:eastAsia="zh-CN"/>
        </w:rPr>
        <w:t>九</w:t>
      </w:r>
      <w:r>
        <w:rPr>
          <w:rFonts w:hint="eastAsia" w:ascii="楷体_GB2312" w:hAnsi="华文楷体" w:eastAsia="楷体_GB2312" w:cs="Times New Roman"/>
          <w:sz w:val="32"/>
          <w:szCs w:val="32"/>
        </w:rPr>
        <w:t xml:space="preserve">）做好市场监管领域跨部门联合“双随机、一公开”监管工作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市、区市场监管局要充分依靠当地党委、政府，加强协调配合，</w:t>
      </w:r>
      <w:r>
        <w:rPr>
          <w:rFonts w:hint="eastAsia" w:ascii="仿宋_GB2312" w:hAnsi="仿宋" w:eastAsia="仿宋_GB2312"/>
          <w:sz w:val="32"/>
          <w:szCs w:val="32"/>
          <w:lang w:eastAsia="zh-CN"/>
        </w:rPr>
        <w:t>依托市场监管领域部门联合“双随机、一公开”监管工作联席会议制度，</w:t>
      </w:r>
      <w:r>
        <w:rPr>
          <w:rFonts w:hint="eastAsia" w:ascii="仿宋_GB2312" w:hAnsi="仿宋" w:eastAsia="仿宋_GB2312"/>
          <w:sz w:val="32"/>
          <w:szCs w:val="32"/>
        </w:rPr>
        <w:t>主动会同</w:t>
      </w:r>
      <w:r>
        <w:rPr>
          <w:rFonts w:hint="eastAsia" w:ascii="仿宋_GB2312" w:hAnsi="仿宋" w:eastAsia="仿宋_GB2312"/>
          <w:sz w:val="32"/>
          <w:szCs w:val="32"/>
          <w:lang w:eastAsia="zh-CN"/>
        </w:rPr>
        <w:t>联席会议成员单位制定</w:t>
      </w:r>
      <w:r>
        <w:rPr>
          <w:rFonts w:hint="eastAsia" w:ascii="仿宋_GB2312" w:hAnsi="仿宋" w:eastAsia="仿宋_GB2312"/>
          <w:sz w:val="32"/>
          <w:szCs w:val="32"/>
        </w:rPr>
        <w:t>部门联合检查工作机制，共同推进跨部门抽查工作有序开展</w:t>
      </w:r>
      <w:r>
        <w:rPr>
          <w:rFonts w:hint="eastAsia" w:ascii="仿宋_GB2312" w:hAnsi="仿宋" w:eastAsia="仿宋_GB2312"/>
          <w:sz w:val="32"/>
          <w:szCs w:val="32"/>
          <w:lang w:eastAsia="zh-CN"/>
        </w:rPr>
        <w:t>。</w:t>
      </w:r>
      <w:r>
        <w:rPr>
          <w:rFonts w:hint="eastAsia" w:ascii="楷体" w:hAnsi="楷体" w:eastAsia="楷体"/>
          <w:sz w:val="32"/>
          <w:szCs w:val="32"/>
        </w:rPr>
        <w:t>（牵头部门：信用监管处；责任部门：</w:t>
      </w:r>
      <w:r>
        <w:rPr>
          <w:rFonts w:hint="eastAsia" w:ascii="楷体" w:hAnsi="楷体" w:eastAsia="楷体" w:cs="Times New Roman"/>
          <w:sz w:val="32"/>
          <w:szCs w:val="32"/>
        </w:rPr>
        <w:t>市局各相关业务处室</w:t>
      </w:r>
      <w:r>
        <w:rPr>
          <w:rFonts w:hint="eastAsia" w:ascii="楷体" w:hAnsi="楷体" w:eastAsia="楷体" w:cs="Times New Roman"/>
          <w:sz w:val="32"/>
          <w:szCs w:val="32"/>
          <w:lang w:eastAsia="zh-CN"/>
        </w:rPr>
        <w:t>，</w:t>
      </w:r>
      <w:r>
        <w:rPr>
          <w:rFonts w:hint="eastAsia" w:ascii="楷体" w:hAnsi="楷体" w:eastAsia="楷体"/>
          <w:sz w:val="32"/>
          <w:szCs w:val="32"/>
        </w:rPr>
        <w:t>市局</w:t>
      </w:r>
      <w:r>
        <w:rPr>
          <w:rFonts w:hint="eastAsia" w:ascii="楷体" w:hAnsi="楷体" w:eastAsia="楷体"/>
          <w:sz w:val="32"/>
          <w:szCs w:val="32"/>
          <w:lang w:eastAsia="zh-CN"/>
        </w:rPr>
        <w:t>综合行政</w:t>
      </w:r>
      <w:r>
        <w:rPr>
          <w:rFonts w:hint="eastAsia" w:ascii="楷体" w:hAnsi="楷体" w:eastAsia="楷体"/>
          <w:sz w:val="32"/>
          <w:szCs w:val="32"/>
        </w:rPr>
        <w:t>执法</w:t>
      </w:r>
      <w:r>
        <w:rPr>
          <w:rFonts w:hint="eastAsia" w:ascii="楷体" w:hAnsi="楷体" w:eastAsia="楷体"/>
          <w:sz w:val="32"/>
          <w:szCs w:val="32"/>
          <w:lang w:eastAsia="zh-CN"/>
        </w:rPr>
        <w:t>支队</w:t>
      </w:r>
      <w:r>
        <w:rPr>
          <w:rFonts w:hint="eastAsia" w:ascii="楷体" w:hAnsi="楷体" w:eastAsia="楷体" w:cs="Times New Roman"/>
          <w:sz w:val="32"/>
          <w:szCs w:val="32"/>
        </w:rPr>
        <w:t>；各区（市、县）市场监管局、开发区分局</w:t>
      </w:r>
      <w:r>
        <w:rPr>
          <w:rFonts w:hint="eastAsia" w:ascii="楷体" w:hAnsi="楷体" w:eastAsia="楷体"/>
          <w:sz w:val="32"/>
          <w:szCs w:val="32"/>
        </w:rPr>
        <w:t>）</w:t>
      </w:r>
      <w:r>
        <w:rPr>
          <w:rFonts w:hint="eastAsia" w:ascii="仿宋_GB2312" w:hAnsi="仿宋" w:eastAsia="仿宋_GB2312"/>
          <w:sz w:val="32"/>
          <w:szCs w:val="32"/>
        </w:rPr>
        <w:t xml:space="preserve"> </w:t>
      </w:r>
    </w:p>
    <w:p>
      <w:pPr>
        <w:spacing w:line="560" w:lineRule="exact"/>
        <w:ind w:firstLine="803" w:firstLineChars="251"/>
        <w:rPr>
          <w:rFonts w:ascii="仿宋_GB2312" w:eastAsia="仿宋_GB2312"/>
          <w:sz w:val="32"/>
          <w:szCs w:val="32"/>
        </w:rPr>
      </w:pPr>
      <w:r>
        <w:rPr>
          <w:rFonts w:hint="eastAsia" w:ascii="黑体" w:hAnsi="黑体" w:eastAsia="黑体"/>
          <w:sz w:val="32"/>
          <w:szCs w:val="32"/>
        </w:rPr>
        <w:t>三、工作要求</w:t>
      </w:r>
    </w:p>
    <w:p>
      <w:pPr>
        <w:spacing w:line="560" w:lineRule="exact"/>
        <w:ind w:firstLine="640" w:firstLineChars="200"/>
        <w:rPr>
          <w:rFonts w:ascii="楷体_GB2312" w:hAnsi="华文楷体" w:eastAsia="楷体_GB2312" w:cs="Times New Roman"/>
          <w:sz w:val="32"/>
          <w:szCs w:val="32"/>
        </w:rPr>
      </w:pPr>
      <w:r>
        <w:rPr>
          <w:rFonts w:hint="eastAsia" w:ascii="楷体_GB2312" w:hAnsi="华文楷体" w:eastAsia="楷体_GB2312" w:cs="Times New Roman"/>
          <w:sz w:val="32"/>
          <w:szCs w:val="32"/>
        </w:rPr>
        <w:t>（一）加强组织领导，做好统筹协同。</w:t>
      </w:r>
      <w:r>
        <w:rPr>
          <w:rFonts w:hint="eastAsia" w:ascii="仿宋_GB2312" w:eastAsia="仿宋_GB2312"/>
          <w:color w:val="000000" w:themeColor="text1"/>
          <w:sz w:val="32"/>
          <w:szCs w:val="32"/>
          <w14:textFill>
            <w14:solidFill>
              <w14:schemeClr w14:val="tx1"/>
            </w14:solidFill>
          </w14:textFill>
        </w:rPr>
        <w:t>各级市场监管部门</w:t>
      </w:r>
      <w:r>
        <w:rPr>
          <w:rFonts w:hint="eastAsia" w:ascii="仿宋_GB2312" w:eastAsia="仿宋_GB2312"/>
          <w:sz w:val="32"/>
          <w:szCs w:val="32"/>
        </w:rPr>
        <w:t>要切实加强组织领导，明确工作职责，</w:t>
      </w:r>
      <w:r>
        <w:rPr>
          <w:rFonts w:hint="eastAsia" w:ascii="仿宋_GB2312" w:hAnsi="仿宋" w:eastAsia="仿宋_GB2312"/>
          <w:sz w:val="32"/>
          <w:szCs w:val="32"/>
        </w:rPr>
        <w:t>务必按职能划分履行好职责，</w:t>
      </w:r>
      <w:r>
        <w:rPr>
          <w:rFonts w:hint="eastAsia" w:ascii="仿宋_GB2312" w:eastAsia="仿宋_GB2312"/>
          <w:sz w:val="32"/>
          <w:szCs w:val="32"/>
        </w:rPr>
        <w:t>加强对本条线监管工作的梳理整合，科学部署任务、及时开展指导，切实帮助基层和一线执法检查人员解决实际问题，把双随机抽查落到实处。“双随机、一公开”抽查涉及部门多，各部门要严格按照年度抽查计划，加强沟通协调，密切协作，科学安排，务实推进。</w:t>
      </w:r>
      <w:r>
        <w:rPr>
          <w:rFonts w:hint="eastAsia" w:ascii="楷体" w:hAnsi="楷体" w:eastAsia="楷体"/>
          <w:sz w:val="32"/>
          <w:szCs w:val="32"/>
        </w:rPr>
        <w:t>（牵头部门：信用监管处；责任部门：</w:t>
      </w:r>
      <w:r>
        <w:rPr>
          <w:rFonts w:hint="eastAsia" w:ascii="楷体" w:hAnsi="楷体" w:eastAsia="楷体" w:cs="Times New Roman"/>
          <w:sz w:val="32"/>
          <w:szCs w:val="32"/>
        </w:rPr>
        <w:t>市局各相关业务处室；各区（市、县）市场监管局、开发区分局</w:t>
      </w:r>
      <w:r>
        <w:rPr>
          <w:rFonts w:hint="eastAsia" w:ascii="楷体" w:hAnsi="楷体" w:eastAsia="楷体"/>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楷体_GB2312" w:hAnsi="华文楷体" w:eastAsia="楷体_GB2312" w:cs="Times New Roman"/>
          <w:sz w:val="32"/>
          <w:szCs w:val="32"/>
        </w:rPr>
        <w:t>（二）加强培训指导，规范工作流程。</w:t>
      </w:r>
      <w:r>
        <w:rPr>
          <w:rFonts w:hint="eastAsia" w:ascii="仿宋_GB2312" w:eastAsia="仿宋_GB2312"/>
          <w:color w:val="000000" w:themeColor="text1"/>
          <w:sz w:val="32"/>
          <w:szCs w:val="32"/>
          <w14:textFill>
            <w14:solidFill>
              <w14:schemeClr w14:val="tx1"/>
            </w14:solidFill>
          </w14:textFill>
        </w:rPr>
        <w:t>各级市场监管部门</w:t>
      </w:r>
      <w:r>
        <w:rPr>
          <w:rFonts w:hint="eastAsia" w:ascii="仿宋_GB2312" w:eastAsia="仿宋_GB2312"/>
          <w:sz w:val="32"/>
          <w:szCs w:val="32"/>
        </w:rPr>
        <w:t>要结合本单位实际，在省局培训的基础上，对执法人员进行再培训，切实提高执法检查人员对平台操作使用的熟练程度和发现问题、处理问题的能力，防止操作失误和执法结果错误造成工作被动。</w:t>
      </w:r>
      <w:r>
        <w:rPr>
          <w:rFonts w:hint="eastAsia" w:ascii="仿宋_GB2312" w:hAnsi="仿宋_GB2312" w:eastAsia="仿宋_GB2312" w:cs="仿宋_GB2312"/>
          <w:sz w:val="32"/>
          <w:szCs w:val="32"/>
        </w:rPr>
        <w:t>各相关业务处室要加强对检查工作的指导，及时解答</w:t>
      </w:r>
      <w:r>
        <w:rPr>
          <w:rFonts w:hint="eastAsia" w:ascii="仿宋_GB2312" w:hAnsi="仿宋_GB2312" w:eastAsia="仿宋_GB2312" w:cs="仿宋_GB2312"/>
          <w:sz w:val="32"/>
          <w:szCs w:val="32"/>
          <w:lang w:eastAsia="zh-CN"/>
        </w:rPr>
        <w:t>各区（市、县）</w:t>
      </w:r>
      <w:r>
        <w:rPr>
          <w:rFonts w:hint="eastAsia" w:ascii="仿宋_GB2312" w:hAnsi="仿宋_GB2312" w:eastAsia="仿宋_GB2312" w:cs="仿宋_GB2312"/>
          <w:sz w:val="32"/>
          <w:szCs w:val="32"/>
        </w:rPr>
        <w:t>在双随机抽查检查中遇到的问题。</w:t>
      </w:r>
      <w:r>
        <w:rPr>
          <w:rFonts w:hint="eastAsia" w:ascii="楷体" w:hAnsi="楷体" w:eastAsia="楷体"/>
          <w:sz w:val="32"/>
          <w:szCs w:val="32"/>
        </w:rPr>
        <w:t>（牵头部门：信用监管处；责任部门：</w:t>
      </w:r>
      <w:r>
        <w:rPr>
          <w:rFonts w:hint="eastAsia" w:ascii="楷体" w:hAnsi="楷体" w:eastAsia="楷体" w:cs="Times New Roman"/>
          <w:sz w:val="32"/>
          <w:szCs w:val="32"/>
        </w:rPr>
        <w:t>市局各相关业务处室，</w:t>
      </w:r>
      <w:r>
        <w:rPr>
          <w:rFonts w:hint="eastAsia" w:ascii="楷体" w:hAnsi="楷体" w:eastAsia="楷体"/>
          <w:sz w:val="32"/>
          <w:szCs w:val="32"/>
        </w:rPr>
        <w:t>市局</w:t>
      </w:r>
      <w:r>
        <w:rPr>
          <w:rFonts w:hint="eastAsia" w:ascii="楷体" w:hAnsi="楷体" w:eastAsia="楷体"/>
          <w:sz w:val="32"/>
          <w:szCs w:val="32"/>
          <w:lang w:eastAsia="zh-CN"/>
        </w:rPr>
        <w:t>综合行政</w:t>
      </w:r>
      <w:r>
        <w:rPr>
          <w:rFonts w:hint="eastAsia" w:ascii="楷体" w:hAnsi="楷体" w:eastAsia="楷体"/>
          <w:sz w:val="32"/>
          <w:szCs w:val="32"/>
        </w:rPr>
        <w:t>执法</w:t>
      </w:r>
      <w:r>
        <w:rPr>
          <w:rFonts w:hint="eastAsia" w:ascii="楷体" w:hAnsi="楷体" w:eastAsia="楷体"/>
          <w:sz w:val="32"/>
          <w:szCs w:val="32"/>
          <w:lang w:eastAsia="zh-CN"/>
        </w:rPr>
        <w:t>支队</w:t>
      </w:r>
      <w:r>
        <w:rPr>
          <w:rFonts w:hint="eastAsia" w:ascii="楷体" w:hAnsi="楷体" w:eastAsia="楷体" w:cs="Times New Roman"/>
          <w:sz w:val="32"/>
          <w:szCs w:val="32"/>
        </w:rPr>
        <w:t>；各区（市、县）市场监管局、开发区分局</w:t>
      </w:r>
      <w:r>
        <w:rPr>
          <w:rFonts w:hint="eastAsia" w:ascii="楷体" w:hAnsi="楷体" w:eastAsia="楷体"/>
          <w:sz w:val="32"/>
          <w:szCs w:val="32"/>
        </w:rPr>
        <w:t>）</w:t>
      </w:r>
    </w:p>
    <w:p>
      <w:pPr>
        <w:spacing w:line="560" w:lineRule="exact"/>
        <w:ind w:firstLine="640" w:firstLineChars="200"/>
        <w:rPr>
          <w:rFonts w:ascii="仿宋_GB2312" w:eastAsia="仿宋_GB2312"/>
          <w:sz w:val="32"/>
          <w:szCs w:val="32"/>
        </w:rPr>
      </w:pPr>
      <w:r>
        <w:rPr>
          <w:rFonts w:hint="eastAsia" w:ascii="楷体_GB2312" w:hAnsi="华文楷体" w:eastAsia="楷体_GB2312" w:cs="Times New Roman"/>
          <w:sz w:val="32"/>
          <w:szCs w:val="32"/>
        </w:rPr>
        <w:t>（三）严格依法行政，突出监管实效。</w:t>
      </w:r>
      <w:r>
        <w:rPr>
          <w:rFonts w:hint="eastAsia" w:ascii="仿宋_GB2312" w:eastAsia="仿宋_GB2312"/>
          <w:sz w:val="32"/>
          <w:szCs w:val="32"/>
        </w:rPr>
        <w:t>法律法规规章没有规定的，一律不得擅自开展检查。对涉及食品药品、产品质量安全和特种设备安全</w:t>
      </w:r>
      <w:r>
        <w:rPr>
          <w:rFonts w:hint="eastAsia" w:ascii="仿宋_GB2312" w:eastAsia="仿宋_GB2312"/>
          <w:sz w:val="32"/>
          <w:szCs w:val="32"/>
          <w:lang w:eastAsia="zh-CN"/>
        </w:rPr>
        <w:t>等</w:t>
      </w:r>
      <w:r>
        <w:rPr>
          <w:rFonts w:hint="eastAsia" w:ascii="仿宋_GB2312" w:eastAsia="仿宋_GB2312"/>
          <w:sz w:val="32"/>
          <w:szCs w:val="32"/>
        </w:rPr>
        <w:t>重点领域，要坚持问题导向，积极依托</w:t>
      </w:r>
      <w:r>
        <w:rPr>
          <w:rFonts w:hint="eastAsia" w:ascii="仿宋_GB2312" w:eastAsia="仿宋_GB2312"/>
          <w:sz w:val="32"/>
          <w:szCs w:val="32"/>
          <w:lang w:eastAsia="zh-CN"/>
        </w:rPr>
        <w:t>“智慧市监”</w:t>
      </w:r>
      <w:r>
        <w:rPr>
          <w:rFonts w:hint="eastAsia" w:ascii="仿宋_GB2312" w:eastAsia="仿宋_GB2312"/>
          <w:sz w:val="32"/>
          <w:szCs w:val="32"/>
        </w:rPr>
        <w:t>监管平台对重点监管对象开展的监测，提升抽查检查的靶向性、精准性。对投诉举报、转办交办、数据监测等发现的违法问题要及时处置。</w:t>
      </w:r>
      <w:r>
        <w:rPr>
          <w:rFonts w:hint="eastAsia" w:ascii="楷体" w:hAnsi="楷体" w:eastAsia="楷体"/>
          <w:sz w:val="32"/>
          <w:szCs w:val="32"/>
        </w:rPr>
        <w:t>（牵头部门：大数据与科技运用处</w:t>
      </w:r>
      <w:r>
        <w:rPr>
          <w:rFonts w:hint="eastAsia" w:ascii="楷体" w:hAnsi="楷体" w:eastAsia="楷体"/>
          <w:sz w:val="32"/>
          <w:szCs w:val="32"/>
          <w:lang w:eastAsia="zh-CN"/>
        </w:rPr>
        <w:t>、</w:t>
      </w:r>
      <w:r>
        <w:rPr>
          <w:rFonts w:hint="eastAsia" w:ascii="楷体" w:hAnsi="楷体" w:eastAsia="楷体"/>
          <w:sz w:val="32"/>
          <w:szCs w:val="32"/>
        </w:rPr>
        <w:t>执法稽查处；责任部门：市局各相关业务处室，市局</w:t>
      </w:r>
      <w:r>
        <w:rPr>
          <w:rFonts w:hint="eastAsia" w:ascii="楷体" w:hAnsi="楷体" w:eastAsia="楷体"/>
          <w:sz w:val="32"/>
          <w:szCs w:val="32"/>
          <w:lang w:eastAsia="zh-CN"/>
        </w:rPr>
        <w:t>综合行政</w:t>
      </w:r>
      <w:r>
        <w:rPr>
          <w:rFonts w:hint="eastAsia" w:ascii="楷体" w:hAnsi="楷体" w:eastAsia="楷体"/>
          <w:sz w:val="32"/>
          <w:szCs w:val="32"/>
        </w:rPr>
        <w:t>执法</w:t>
      </w:r>
      <w:r>
        <w:rPr>
          <w:rFonts w:hint="eastAsia" w:ascii="楷体" w:hAnsi="楷体" w:eastAsia="楷体"/>
          <w:sz w:val="32"/>
          <w:szCs w:val="32"/>
          <w:lang w:eastAsia="zh-CN"/>
        </w:rPr>
        <w:t>支队</w:t>
      </w:r>
      <w:r>
        <w:rPr>
          <w:rFonts w:hint="eastAsia" w:ascii="楷体" w:hAnsi="楷体" w:eastAsia="楷体" w:cs="Times New Roman"/>
          <w:sz w:val="32"/>
          <w:szCs w:val="32"/>
        </w:rPr>
        <w:t>；各区（市、县）市场监管局、开发区分局</w:t>
      </w:r>
      <w:r>
        <w:rPr>
          <w:rFonts w:hint="eastAsia" w:ascii="楷体" w:hAnsi="楷体" w:eastAsia="楷体"/>
          <w:sz w:val="32"/>
          <w:szCs w:val="32"/>
        </w:rPr>
        <w:t>）</w:t>
      </w: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楷体_GB2312" w:hAnsi="华文楷体" w:eastAsia="楷体_GB2312" w:cs="Times New Roman"/>
          <w:sz w:val="32"/>
          <w:szCs w:val="32"/>
        </w:rPr>
        <w:t>（四）严格责任落实，强化考核督查。</w:t>
      </w:r>
      <w:r>
        <w:rPr>
          <w:rFonts w:hint="eastAsia" w:ascii="仿宋_GB2312" w:eastAsia="仿宋_GB2312"/>
          <w:sz w:val="32"/>
          <w:szCs w:val="32"/>
        </w:rPr>
        <w:t>要进一步增强责任意识，切实履行法定监管职责，按照“尽职照单免</w:t>
      </w:r>
      <w:r>
        <w:rPr>
          <w:rFonts w:hint="eastAsia" w:ascii="仿宋_GB2312" w:eastAsia="仿宋_GB2312"/>
          <w:sz w:val="32"/>
          <w:szCs w:val="32"/>
          <w:lang w:eastAsia="zh-CN"/>
        </w:rPr>
        <w:t>责</w:t>
      </w:r>
      <w:r>
        <w:rPr>
          <w:rFonts w:hint="eastAsia" w:ascii="仿宋_GB2312" w:eastAsia="仿宋_GB2312"/>
          <w:sz w:val="32"/>
          <w:szCs w:val="32"/>
        </w:rPr>
        <w:t>、失职照单问</w:t>
      </w:r>
      <w:r>
        <w:rPr>
          <w:rFonts w:hint="eastAsia" w:ascii="仿宋_GB2312" w:eastAsia="仿宋_GB2312"/>
          <w:sz w:val="32"/>
          <w:szCs w:val="32"/>
          <w:lang w:eastAsia="zh-CN"/>
        </w:rPr>
        <w:t>责</w:t>
      </w:r>
      <w:r>
        <w:rPr>
          <w:rFonts w:hint="eastAsia" w:ascii="仿宋_GB2312" w:eastAsia="仿宋_GB2312"/>
          <w:sz w:val="32"/>
          <w:szCs w:val="32"/>
        </w:rPr>
        <w:t>”原则，全面落实行政执法责任制和问责制，促进监管执法部门和工作人员履职尽</w:t>
      </w:r>
      <w:r>
        <w:rPr>
          <w:rFonts w:hint="eastAsia" w:ascii="仿宋_GB2312" w:eastAsia="仿宋_GB2312"/>
          <w:sz w:val="32"/>
          <w:szCs w:val="32"/>
          <w:lang w:eastAsia="zh-CN"/>
        </w:rPr>
        <w:t>责</w:t>
      </w:r>
      <w:r>
        <w:rPr>
          <w:rFonts w:hint="eastAsia" w:ascii="仿宋_GB2312" w:eastAsia="仿宋_GB2312"/>
          <w:sz w:val="32"/>
          <w:szCs w:val="32"/>
        </w:rPr>
        <w:t>、廉洁自律、公平公正执法。对忠于职守、履职尽</w:t>
      </w:r>
      <w:r>
        <w:rPr>
          <w:rFonts w:hint="eastAsia" w:ascii="仿宋_GB2312" w:eastAsia="仿宋_GB2312"/>
          <w:sz w:val="32"/>
          <w:szCs w:val="32"/>
          <w:lang w:eastAsia="zh-CN"/>
        </w:rPr>
        <w:t>责</w:t>
      </w:r>
      <w:r>
        <w:rPr>
          <w:rFonts w:hint="eastAsia" w:ascii="仿宋_GB2312" w:eastAsia="仿宋_GB2312"/>
          <w:sz w:val="32"/>
          <w:szCs w:val="32"/>
        </w:rPr>
        <w:t>的，给予表扬和鼓励；对未履行、不当履行或违法履行“双随机、一公开”监管职责的，依法依规严肃处理；涉嫌犯罪的，移送司法机关依法处理。对严格依据抽查事项清单和相关工作要求开展“双随机、一公开”监管，市场主体出现问题的，应结合执法检查人员工作态度、工作程序方法、客观条件等进行综合分析，该免责的依法依规免予追究相关责任。要明确政策标准和评判界线，既严格问责追责，又有效保护基层执法检查人员担当作为、干事创业的积极性。</w:t>
      </w:r>
      <w:r>
        <w:rPr>
          <w:rFonts w:hint="eastAsia" w:ascii="楷体" w:hAnsi="楷体" w:eastAsia="楷体"/>
          <w:sz w:val="32"/>
          <w:szCs w:val="32"/>
        </w:rPr>
        <w:t>（牵头部门：综合规划处，</w:t>
      </w:r>
      <w:r>
        <w:rPr>
          <w:rFonts w:hint="eastAsia" w:ascii="楷体" w:hAnsi="楷体" w:eastAsia="楷体"/>
          <w:sz w:val="32"/>
          <w:szCs w:val="32"/>
          <w:lang w:eastAsia="zh-CN"/>
        </w:rPr>
        <w:t>人事处、</w:t>
      </w:r>
      <w:r>
        <w:rPr>
          <w:rFonts w:hint="eastAsia" w:ascii="楷体" w:hAnsi="楷体" w:eastAsia="楷体"/>
          <w:sz w:val="32"/>
          <w:szCs w:val="32"/>
        </w:rPr>
        <w:t>信用监管处；责任部门：</w:t>
      </w:r>
      <w:r>
        <w:rPr>
          <w:rFonts w:hint="eastAsia" w:ascii="楷体" w:hAnsi="楷体" w:eastAsia="楷体" w:cs="Times New Roman"/>
          <w:sz w:val="32"/>
          <w:szCs w:val="32"/>
        </w:rPr>
        <w:t>各区（市、县）市场监管局、开发区分局</w:t>
      </w:r>
      <w:r>
        <w:rPr>
          <w:rFonts w:hint="eastAsia" w:ascii="楷体" w:hAnsi="楷体" w:eastAsia="楷体"/>
          <w:sz w:val="32"/>
          <w:szCs w:val="32"/>
        </w:rPr>
        <w:t>）</w:t>
      </w:r>
    </w:p>
    <w:p>
      <w:pPr>
        <w:spacing w:line="560" w:lineRule="exact"/>
        <w:ind w:firstLine="640" w:firstLineChars="200"/>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w:t>
      </w:r>
      <w:r>
        <w:rPr>
          <w:rFonts w:hint="eastAsia" w:ascii="楷体" w:hAnsi="楷体" w:eastAsia="楷体"/>
          <w:color w:val="000000" w:themeColor="text1"/>
          <w:sz w:val="32"/>
          <w:szCs w:val="32"/>
          <w:lang w:eastAsia="zh-CN"/>
          <w14:textFill>
            <w14:solidFill>
              <w14:schemeClr w14:val="tx1"/>
            </w14:solidFill>
          </w14:textFill>
        </w:rPr>
        <w:t>五</w:t>
      </w:r>
      <w:r>
        <w:rPr>
          <w:rFonts w:hint="eastAsia" w:ascii="楷体" w:hAnsi="楷体" w:eastAsia="楷体"/>
          <w:color w:val="000000" w:themeColor="text1"/>
          <w:sz w:val="32"/>
          <w:szCs w:val="32"/>
          <w14:textFill>
            <w14:solidFill>
              <w14:schemeClr w14:val="tx1"/>
            </w14:solidFill>
          </w14:textFill>
        </w:rPr>
        <w:t>）做好总结汇报。全市</w:t>
      </w:r>
      <w:r>
        <w:rPr>
          <w:rFonts w:hint="eastAsia" w:ascii="仿宋_GB2312" w:eastAsia="仿宋_GB2312"/>
          <w:color w:val="000000" w:themeColor="text1"/>
          <w:sz w:val="32"/>
          <w:szCs w:val="32"/>
          <w14:textFill>
            <w14:solidFill>
              <w14:schemeClr w14:val="tx1"/>
            </w14:solidFill>
          </w14:textFill>
        </w:rPr>
        <w:t>各级市场监管部门要认真梳理和总结工作亮点、经验和做法，查找工作中存在的问题和难点，形成全市“双随机、一公开”监管工作方面总结汇报材料上报省局。</w:t>
      </w:r>
      <w:r>
        <w:rPr>
          <w:rFonts w:hint="eastAsia" w:ascii="楷体" w:hAnsi="楷体" w:eastAsia="楷体"/>
          <w:color w:val="000000" w:themeColor="text1"/>
          <w:sz w:val="32"/>
          <w:szCs w:val="32"/>
          <w14:textFill>
            <w14:solidFill>
              <w14:schemeClr w14:val="tx1"/>
            </w14:solidFill>
          </w14:textFill>
        </w:rPr>
        <w:t>（牵头部门：信用监管处；责任部门：</w:t>
      </w:r>
      <w:r>
        <w:rPr>
          <w:rFonts w:hint="eastAsia" w:ascii="楷体" w:hAnsi="楷体" w:eastAsia="楷体" w:cs="Times New Roman"/>
          <w:color w:val="000000" w:themeColor="text1"/>
          <w:sz w:val="32"/>
          <w:szCs w:val="32"/>
          <w14:textFill>
            <w14:solidFill>
              <w14:schemeClr w14:val="tx1"/>
            </w14:solidFill>
          </w14:textFill>
        </w:rPr>
        <w:t>各区（市、县）市场监管局、开发区分局；完成时限12月2日前</w:t>
      </w:r>
      <w:r>
        <w:rPr>
          <w:rFonts w:hint="eastAsia" w:ascii="楷体" w:hAnsi="楷体" w:eastAsia="楷体"/>
          <w:color w:val="000000" w:themeColor="text1"/>
          <w:sz w:val="32"/>
          <w:szCs w:val="32"/>
          <w14:textFill>
            <w14:solidFill>
              <w14:schemeClr w14:val="tx1"/>
            </w14:solidFill>
          </w14:textFill>
        </w:rPr>
        <w:t>）</w:t>
      </w:r>
    </w:p>
    <w:p>
      <w:pPr>
        <w:spacing w:line="560" w:lineRule="exac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B4CD3D-B101-4BC3-8361-01E25B207E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3B022FC-AD25-45FB-BEC1-671EC1F08F19}"/>
  </w:font>
  <w:font w:name="方正小标宋简体">
    <w:panose1 w:val="02000000000000000000"/>
    <w:charset w:val="86"/>
    <w:family w:val="script"/>
    <w:pitch w:val="default"/>
    <w:sig w:usb0="00000001" w:usb1="08000000" w:usb2="00000000" w:usb3="00000000" w:csb0="00040000" w:csb1="00000000"/>
    <w:embedRegular r:id="rId3" w:fontKey="{3418607B-E318-4E26-8880-EDEC2EDF80FA}"/>
  </w:font>
  <w:font w:name="仿宋_GB2312">
    <w:altName w:val="仿宋"/>
    <w:panose1 w:val="02010609030101010101"/>
    <w:charset w:val="86"/>
    <w:family w:val="modern"/>
    <w:pitch w:val="default"/>
    <w:sig w:usb0="00000000" w:usb1="00000000" w:usb2="00000000" w:usb3="00000000" w:csb0="00040000" w:csb1="00000000"/>
    <w:embedRegular r:id="rId4" w:fontKey="{96BBDB86-A9E4-4AD5-95A5-5E49D9189764}"/>
  </w:font>
  <w:font w:name="楷体_GB2312">
    <w:altName w:val="楷体"/>
    <w:panose1 w:val="02010609030101010101"/>
    <w:charset w:val="86"/>
    <w:family w:val="modern"/>
    <w:pitch w:val="default"/>
    <w:sig w:usb0="00000000" w:usb1="00000000" w:usb2="00000000" w:usb3="00000000" w:csb0="00040000" w:csb1="00000000"/>
    <w:embedRegular r:id="rId5" w:fontKey="{54848BB5-A5A5-4D59-A897-1213303C9F53}"/>
  </w:font>
  <w:font w:name="华文楷体">
    <w:panose1 w:val="02010600040101010101"/>
    <w:charset w:val="86"/>
    <w:family w:val="auto"/>
    <w:pitch w:val="default"/>
    <w:sig w:usb0="00000287" w:usb1="080F0000" w:usb2="00000000" w:usb3="00000000" w:csb0="0004009F" w:csb1="DFD70000"/>
    <w:embedRegular r:id="rId6" w:fontKey="{D502FB34-B9CE-4C8C-93D2-A60DBDC93764}"/>
  </w:font>
  <w:font w:name="楷体">
    <w:panose1 w:val="02010609060101010101"/>
    <w:charset w:val="86"/>
    <w:family w:val="modern"/>
    <w:pitch w:val="default"/>
    <w:sig w:usb0="800002BF" w:usb1="38CF7CFA" w:usb2="00000016" w:usb3="00000000" w:csb0="00040001" w:csb1="00000000"/>
    <w:embedRegular r:id="rId7" w:fontKey="{1D64FC34-4B2B-4F00-B545-03D65838144E}"/>
  </w:font>
  <w:font w:name="仿宋">
    <w:panose1 w:val="02010609060101010101"/>
    <w:charset w:val="86"/>
    <w:family w:val="modern"/>
    <w:pitch w:val="default"/>
    <w:sig w:usb0="800002BF" w:usb1="38CF7CFA" w:usb2="00000016" w:usb3="00000000" w:csb0="00040001" w:csb1="00000000"/>
    <w:embedRegular r:id="rId8" w:fontKey="{BDCFD628-F23A-4525-B24D-900AAFAE808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8958624"/>
    </w:sdtPr>
    <w:sdtContent>
      <w:sdt>
        <w:sdtPr>
          <w:id w:val="-166923832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N2EzMTU1NGVmMjdiYWRkMDk4YzRiOTcxMjNhNjgifQ=="/>
  </w:docVars>
  <w:rsids>
    <w:rsidRoot w:val="00B75C6A"/>
    <w:rsid w:val="0000238C"/>
    <w:rsid w:val="00003B33"/>
    <w:rsid w:val="00004C0C"/>
    <w:rsid w:val="00007C79"/>
    <w:rsid w:val="00010CE4"/>
    <w:rsid w:val="00011A7A"/>
    <w:rsid w:val="0002274D"/>
    <w:rsid w:val="00023F91"/>
    <w:rsid w:val="00025C63"/>
    <w:rsid w:val="0002760F"/>
    <w:rsid w:val="00030A41"/>
    <w:rsid w:val="000359A9"/>
    <w:rsid w:val="0004456F"/>
    <w:rsid w:val="000464C7"/>
    <w:rsid w:val="00046967"/>
    <w:rsid w:val="000470F8"/>
    <w:rsid w:val="00062E39"/>
    <w:rsid w:val="000663B7"/>
    <w:rsid w:val="00066A60"/>
    <w:rsid w:val="00066C48"/>
    <w:rsid w:val="00070FF5"/>
    <w:rsid w:val="000712D5"/>
    <w:rsid w:val="0007234D"/>
    <w:rsid w:val="000776DF"/>
    <w:rsid w:val="000806F5"/>
    <w:rsid w:val="000847F6"/>
    <w:rsid w:val="000869FF"/>
    <w:rsid w:val="00093647"/>
    <w:rsid w:val="00093D99"/>
    <w:rsid w:val="0009679A"/>
    <w:rsid w:val="000979F8"/>
    <w:rsid w:val="00097C51"/>
    <w:rsid w:val="000A1401"/>
    <w:rsid w:val="000A4DE1"/>
    <w:rsid w:val="000B24A9"/>
    <w:rsid w:val="000B3503"/>
    <w:rsid w:val="000C1593"/>
    <w:rsid w:val="000C58CF"/>
    <w:rsid w:val="000C63CC"/>
    <w:rsid w:val="000D1DDF"/>
    <w:rsid w:val="000E4EE0"/>
    <w:rsid w:val="000E59D2"/>
    <w:rsid w:val="000F26A7"/>
    <w:rsid w:val="000F2B1E"/>
    <w:rsid w:val="00117068"/>
    <w:rsid w:val="00123C0B"/>
    <w:rsid w:val="001253BA"/>
    <w:rsid w:val="00125CBD"/>
    <w:rsid w:val="001305F2"/>
    <w:rsid w:val="00141EC5"/>
    <w:rsid w:val="001444F0"/>
    <w:rsid w:val="00155E87"/>
    <w:rsid w:val="001568F3"/>
    <w:rsid w:val="00160C6D"/>
    <w:rsid w:val="0016241D"/>
    <w:rsid w:val="001679BA"/>
    <w:rsid w:val="00176DE2"/>
    <w:rsid w:val="0018508A"/>
    <w:rsid w:val="00191991"/>
    <w:rsid w:val="0019303A"/>
    <w:rsid w:val="001961AB"/>
    <w:rsid w:val="0019793E"/>
    <w:rsid w:val="001A033A"/>
    <w:rsid w:val="001A68F4"/>
    <w:rsid w:val="001B33C9"/>
    <w:rsid w:val="001B346D"/>
    <w:rsid w:val="001B5703"/>
    <w:rsid w:val="001B5C0A"/>
    <w:rsid w:val="001B7B06"/>
    <w:rsid w:val="001C2C22"/>
    <w:rsid w:val="001C35F3"/>
    <w:rsid w:val="001C5654"/>
    <w:rsid w:val="001D73FB"/>
    <w:rsid w:val="001E1AB5"/>
    <w:rsid w:val="001F1C28"/>
    <w:rsid w:val="002026A8"/>
    <w:rsid w:val="002134C7"/>
    <w:rsid w:val="00214E94"/>
    <w:rsid w:val="00216182"/>
    <w:rsid w:val="00220030"/>
    <w:rsid w:val="0022484C"/>
    <w:rsid w:val="00225B28"/>
    <w:rsid w:val="00230806"/>
    <w:rsid w:val="00230815"/>
    <w:rsid w:val="002365D7"/>
    <w:rsid w:val="00244490"/>
    <w:rsid w:val="00244E09"/>
    <w:rsid w:val="0024588F"/>
    <w:rsid w:val="00247867"/>
    <w:rsid w:val="00252720"/>
    <w:rsid w:val="002549B4"/>
    <w:rsid w:val="002552AD"/>
    <w:rsid w:val="00261AD9"/>
    <w:rsid w:val="002756F7"/>
    <w:rsid w:val="00280365"/>
    <w:rsid w:val="00280EB3"/>
    <w:rsid w:val="00290089"/>
    <w:rsid w:val="002915C0"/>
    <w:rsid w:val="00297C59"/>
    <w:rsid w:val="002A1F58"/>
    <w:rsid w:val="002A4431"/>
    <w:rsid w:val="002B7460"/>
    <w:rsid w:val="002B7788"/>
    <w:rsid w:val="002C4440"/>
    <w:rsid w:val="002C509B"/>
    <w:rsid w:val="002C5397"/>
    <w:rsid w:val="002C5464"/>
    <w:rsid w:val="002C5C80"/>
    <w:rsid w:val="002D03D6"/>
    <w:rsid w:val="002D0DF5"/>
    <w:rsid w:val="002D1107"/>
    <w:rsid w:val="002D362A"/>
    <w:rsid w:val="002E011E"/>
    <w:rsid w:val="002E730C"/>
    <w:rsid w:val="002F0A8C"/>
    <w:rsid w:val="002F4603"/>
    <w:rsid w:val="00303A51"/>
    <w:rsid w:val="00304D97"/>
    <w:rsid w:val="003050D9"/>
    <w:rsid w:val="0030616A"/>
    <w:rsid w:val="003063C8"/>
    <w:rsid w:val="00324960"/>
    <w:rsid w:val="00327A2F"/>
    <w:rsid w:val="00332F29"/>
    <w:rsid w:val="00335C2D"/>
    <w:rsid w:val="00340D10"/>
    <w:rsid w:val="00342C85"/>
    <w:rsid w:val="00345C71"/>
    <w:rsid w:val="003465AD"/>
    <w:rsid w:val="003576F2"/>
    <w:rsid w:val="00376B2F"/>
    <w:rsid w:val="0038043F"/>
    <w:rsid w:val="003842AC"/>
    <w:rsid w:val="00387736"/>
    <w:rsid w:val="003950F5"/>
    <w:rsid w:val="00397C44"/>
    <w:rsid w:val="003A2900"/>
    <w:rsid w:val="003B1D80"/>
    <w:rsid w:val="003B3C15"/>
    <w:rsid w:val="003B42DD"/>
    <w:rsid w:val="003B6FD4"/>
    <w:rsid w:val="003B7BA8"/>
    <w:rsid w:val="003B7C1D"/>
    <w:rsid w:val="003C7AF3"/>
    <w:rsid w:val="003D23EE"/>
    <w:rsid w:val="003D4BD0"/>
    <w:rsid w:val="003D4EB9"/>
    <w:rsid w:val="003E0117"/>
    <w:rsid w:val="003E3621"/>
    <w:rsid w:val="003E6347"/>
    <w:rsid w:val="003E722A"/>
    <w:rsid w:val="003E7B14"/>
    <w:rsid w:val="003F2665"/>
    <w:rsid w:val="003F3A49"/>
    <w:rsid w:val="003F3C6D"/>
    <w:rsid w:val="003F55C0"/>
    <w:rsid w:val="003F6D61"/>
    <w:rsid w:val="0040018D"/>
    <w:rsid w:val="00401B09"/>
    <w:rsid w:val="0040309B"/>
    <w:rsid w:val="00412B5F"/>
    <w:rsid w:val="00413885"/>
    <w:rsid w:val="00413E27"/>
    <w:rsid w:val="00417493"/>
    <w:rsid w:val="00417AB2"/>
    <w:rsid w:val="00425B68"/>
    <w:rsid w:val="00425EDE"/>
    <w:rsid w:val="00430FC9"/>
    <w:rsid w:val="0043179D"/>
    <w:rsid w:val="00431E42"/>
    <w:rsid w:val="00440363"/>
    <w:rsid w:val="00441B3C"/>
    <w:rsid w:val="00444054"/>
    <w:rsid w:val="00450F40"/>
    <w:rsid w:val="00454186"/>
    <w:rsid w:val="004612F1"/>
    <w:rsid w:val="004632A7"/>
    <w:rsid w:val="004671C0"/>
    <w:rsid w:val="00475594"/>
    <w:rsid w:val="00490E5A"/>
    <w:rsid w:val="00493548"/>
    <w:rsid w:val="00493D75"/>
    <w:rsid w:val="004A2D26"/>
    <w:rsid w:val="004A73FA"/>
    <w:rsid w:val="004B6870"/>
    <w:rsid w:val="004D079E"/>
    <w:rsid w:val="004E53E3"/>
    <w:rsid w:val="00501B28"/>
    <w:rsid w:val="00501E56"/>
    <w:rsid w:val="005119FE"/>
    <w:rsid w:val="0051540B"/>
    <w:rsid w:val="005174CF"/>
    <w:rsid w:val="00520DCD"/>
    <w:rsid w:val="00526932"/>
    <w:rsid w:val="005272DA"/>
    <w:rsid w:val="00532470"/>
    <w:rsid w:val="00543D7A"/>
    <w:rsid w:val="00547776"/>
    <w:rsid w:val="00552FB2"/>
    <w:rsid w:val="00556AA6"/>
    <w:rsid w:val="00571753"/>
    <w:rsid w:val="00572476"/>
    <w:rsid w:val="00577C50"/>
    <w:rsid w:val="005845F8"/>
    <w:rsid w:val="0059056C"/>
    <w:rsid w:val="00594700"/>
    <w:rsid w:val="00596792"/>
    <w:rsid w:val="005A06F6"/>
    <w:rsid w:val="005A180E"/>
    <w:rsid w:val="005A654F"/>
    <w:rsid w:val="005B4A2D"/>
    <w:rsid w:val="005C09CC"/>
    <w:rsid w:val="005C27D6"/>
    <w:rsid w:val="005C29AC"/>
    <w:rsid w:val="005C382A"/>
    <w:rsid w:val="005D1CB4"/>
    <w:rsid w:val="005D6B2A"/>
    <w:rsid w:val="005F5F77"/>
    <w:rsid w:val="005F7A6A"/>
    <w:rsid w:val="00602D11"/>
    <w:rsid w:val="00604071"/>
    <w:rsid w:val="00604459"/>
    <w:rsid w:val="00610C75"/>
    <w:rsid w:val="006117BA"/>
    <w:rsid w:val="00613CC6"/>
    <w:rsid w:val="006215F7"/>
    <w:rsid w:val="0062588E"/>
    <w:rsid w:val="00627304"/>
    <w:rsid w:val="006326FA"/>
    <w:rsid w:val="00632E90"/>
    <w:rsid w:val="00642F73"/>
    <w:rsid w:val="006500DE"/>
    <w:rsid w:val="006507B8"/>
    <w:rsid w:val="00663587"/>
    <w:rsid w:val="006718AC"/>
    <w:rsid w:val="006773BA"/>
    <w:rsid w:val="00677DC7"/>
    <w:rsid w:val="00691225"/>
    <w:rsid w:val="00693EDD"/>
    <w:rsid w:val="00695056"/>
    <w:rsid w:val="006A3B09"/>
    <w:rsid w:val="006B7757"/>
    <w:rsid w:val="006E1AE4"/>
    <w:rsid w:val="006F1549"/>
    <w:rsid w:val="006F5AF0"/>
    <w:rsid w:val="006F63DC"/>
    <w:rsid w:val="00700AB2"/>
    <w:rsid w:val="007024C2"/>
    <w:rsid w:val="00712DB0"/>
    <w:rsid w:val="007139C9"/>
    <w:rsid w:val="00716CE2"/>
    <w:rsid w:val="00722D79"/>
    <w:rsid w:val="00727890"/>
    <w:rsid w:val="00727916"/>
    <w:rsid w:val="00730E2D"/>
    <w:rsid w:val="007318A2"/>
    <w:rsid w:val="00731A3C"/>
    <w:rsid w:val="00733758"/>
    <w:rsid w:val="00735344"/>
    <w:rsid w:val="007401B6"/>
    <w:rsid w:val="007437FF"/>
    <w:rsid w:val="00755CFB"/>
    <w:rsid w:val="00760068"/>
    <w:rsid w:val="00770F18"/>
    <w:rsid w:val="00773B9D"/>
    <w:rsid w:val="007773DF"/>
    <w:rsid w:val="0078078F"/>
    <w:rsid w:val="00785D8D"/>
    <w:rsid w:val="00786975"/>
    <w:rsid w:val="0079129A"/>
    <w:rsid w:val="00792BFD"/>
    <w:rsid w:val="007956FD"/>
    <w:rsid w:val="007964DA"/>
    <w:rsid w:val="007966CD"/>
    <w:rsid w:val="0079727F"/>
    <w:rsid w:val="007B17D2"/>
    <w:rsid w:val="007B26F0"/>
    <w:rsid w:val="007B3848"/>
    <w:rsid w:val="007B4B0D"/>
    <w:rsid w:val="007B6088"/>
    <w:rsid w:val="007D33F6"/>
    <w:rsid w:val="007D73E7"/>
    <w:rsid w:val="007E20C8"/>
    <w:rsid w:val="007E2709"/>
    <w:rsid w:val="007F0C48"/>
    <w:rsid w:val="007F1394"/>
    <w:rsid w:val="007F4F53"/>
    <w:rsid w:val="007F7CBA"/>
    <w:rsid w:val="00800C16"/>
    <w:rsid w:val="00801B20"/>
    <w:rsid w:val="00801C9A"/>
    <w:rsid w:val="00803612"/>
    <w:rsid w:val="00803EFE"/>
    <w:rsid w:val="00804DF3"/>
    <w:rsid w:val="00805D84"/>
    <w:rsid w:val="008100FD"/>
    <w:rsid w:val="00820993"/>
    <w:rsid w:val="008210D8"/>
    <w:rsid w:val="0082285C"/>
    <w:rsid w:val="00822DA6"/>
    <w:rsid w:val="00824534"/>
    <w:rsid w:val="0083314E"/>
    <w:rsid w:val="00833296"/>
    <w:rsid w:val="0083397E"/>
    <w:rsid w:val="0084073F"/>
    <w:rsid w:val="00844182"/>
    <w:rsid w:val="008441BF"/>
    <w:rsid w:val="00850992"/>
    <w:rsid w:val="00854B76"/>
    <w:rsid w:val="008620D7"/>
    <w:rsid w:val="00864AA6"/>
    <w:rsid w:val="0086541E"/>
    <w:rsid w:val="0087282A"/>
    <w:rsid w:val="0087414A"/>
    <w:rsid w:val="00885D00"/>
    <w:rsid w:val="00891FFA"/>
    <w:rsid w:val="008A209A"/>
    <w:rsid w:val="008A5966"/>
    <w:rsid w:val="008B0AC6"/>
    <w:rsid w:val="008B1B3D"/>
    <w:rsid w:val="008B25A3"/>
    <w:rsid w:val="008B426A"/>
    <w:rsid w:val="008B42C0"/>
    <w:rsid w:val="008C4CAD"/>
    <w:rsid w:val="008D0EE6"/>
    <w:rsid w:val="008D3E03"/>
    <w:rsid w:val="008D471C"/>
    <w:rsid w:val="008D555B"/>
    <w:rsid w:val="008D6CB2"/>
    <w:rsid w:val="008D7B42"/>
    <w:rsid w:val="008E3D0C"/>
    <w:rsid w:val="008E3F21"/>
    <w:rsid w:val="008E7B32"/>
    <w:rsid w:val="008F6213"/>
    <w:rsid w:val="009038D9"/>
    <w:rsid w:val="009040BF"/>
    <w:rsid w:val="00906830"/>
    <w:rsid w:val="00914F65"/>
    <w:rsid w:val="00916040"/>
    <w:rsid w:val="00916A7C"/>
    <w:rsid w:val="00921BD4"/>
    <w:rsid w:val="00927F71"/>
    <w:rsid w:val="009329EB"/>
    <w:rsid w:val="00932ECE"/>
    <w:rsid w:val="00934CFD"/>
    <w:rsid w:val="00934FA8"/>
    <w:rsid w:val="00935C53"/>
    <w:rsid w:val="00936511"/>
    <w:rsid w:val="0094107E"/>
    <w:rsid w:val="00941D7F"/>
    <w:rsid w:val="00942390"/>
    <w:rsid w:val="009435E1"/>
    <w:rsid w:val="009479E2"/>
    <w:rsid w:val="00960E4A"/>
    <w:rsid w:val="00964C4C"/>
    <w:rsid w:val="00966F79"/>
    <w:rsid w:val="00971C35"/>
    <w:rsid w:val="00982ABB"/>
    <w:rsid w:val="009837DC"/>
    <w:rsid w:val="009867A0"/>
    <w:rsid w:val="009868DF"/>
    <w:rsid w:val="00991A2F"/>
    <w:rsid w:val="009A112C"/>
    <w:rsid w:val="009A2732"/>
    <w:rsid w:val="009A6346"/>
    <w:rsid w:val="009B0E37"/>
    <w:rsid w:val="009C037C"/>
    <w:rsid w:val="009C06F2"/>
    <w:rsid w:val="009C10B1"/>
    <w:rsid w:val="009C6216"/>
    <w:rsid w:val="009D5173"/>
    <w:rsid w:val="009E794F"/>
    <w:rsid w:val="009F494A"/>
    <w:rsid w:val="00A02A57"/>
    <w:rsid w:val="00A07C55"/>
    <w:rsid w:val="00A101BE"/>
    <w:rsid w:val="00A11526"/>
    <w:rsid w:val="00A13CEC"/>
    <w:rsid w:val="00A14A90"/>
    <w:rsid w:val="00A25454"/>
    <w:rsid w:val="00A323E6"/>
    <w:rsid w:val="00A35480"/>
    <w:rsid w:val="00A4075E"/>
    <w:rsid w:val="00A43B4E"/>
    <w:rsid w:val="00A448B2"/>
    <w:rsid w:val="00A46E43"/>
    <w:rsid w:val="00A502A5"/>
    <w:rsid w:val="00A51457"/>
    <w:rsid w:val="00A54D40"/>
    <w:rsid w:val="00A554AB"/>
    <w:rsid w:val="00A608FC"/>
    <w:rsid w:val="00A627DD"/>
    <w:rsid w:val="00A763E9"/>
    <w:rsid w:val="00A7668B"/>
    <w:rsid w:val="00A76BF5"/>
    <w:rsid w:val="00A922BC"/>
    <w:rsid w:val="00A9569E"/>
    <w:rsid w:val="00A958BE"/>
    <w:rsid w:val="00A961F2"/>
    <w:rsid w:val="00AA55D1"/>
    <w:rsid w:val="00AA5B6A"/>
    <w:rsid w:val="00AB0741"/>
    <w:rsid w:val="00AB0C3F"/>
    <w:rsid w:val="00AB25B1"/>
    <w:rsid w:val="00AB2730"/>
    <w:rsid w:val="00AB2831"/>
    <w:rsid w:val="00AB2F2C"/>
    <w:rsid w:val="00AB74E5"/>
    <w:rsid w:val="00AB7AA4"/>
    <w:rsid w:val="00AC568F"/>
    <w:rsid w:val="00AD2392"/>
    <w:rsid w:val="00AD62DF"/>
    <w:rsid w:val="00AE030B"/>
    <w:rsid w:val="00AE1654"/>
    <w:rsid w:val="00AE1CA9"/>
    <w:rsid w:val="00AE4386"/>
    <w:rsid w:val="00AF0086"/>
    <w:rsid w:val="00AF44D6"/>
    <w:rsid w:val="00B00B9D"/>
    <w:rsid w:val="00B00F00"/>
    <w:rsid w:val="00B01D0F"/>
    <w:rsid w:val="00B07C8E"/>
    <w:rsid w:val="00B232B6"/>
    <w:rsid w:val="00B24578"/>
    <w:rsid w:val="00B31E6C"/>
    <w:rsid w:val="00B34005"/>
    <w:rsid w:val="00B37958"/>
    <w:rsid w:val="00B43211"/>
    <w:rsid w:val="00B43E2D"/>
    <w:rsid w:val="00B548DA"/>
    <w:rsid w:val="00B54CA9"/>
    <w:rsid w:val="00B56B4A"/>
    <w:rsid w:val="00B57927"/>
    <w:rsid w:val="00B6252A"/>
    <w:rsid w:val="00B62EB0"/>
    <w:rsid w:val="00B63384"/>
    <w:rsid w:val="00B6585D"/>
    <w:rsid w:val="00B71E77"/>
    <w:rsid w:val="00B75C6A"/>
    <w:rsid w:val="00B7707E"/>
    <w:rsid w:val="00B84AD2"/>
    <w:rsid w:val="00B87F65"/>
    <w:rsid w:val="00B97E5D"/>
    <w:rsid w:val="00BA1ABB"/>
    <w:rsid w:val="00BA4B53"/>
    <w:rsid w:val="00BB16AB"/>
    <w:rsid w:val="00BB1C6A"/>
    <w:rsid w:val="00BB1DE9"/>
    <w:rsid w:val="00BC5AE2"/>
    <w:rsid w:val="00BC78E5"/>
    <w:rsid w:val="00BD134B"/>
    <w:rsid w:val="00BE2AF1"/>
    <w:rsid w:val="00BE618C"/>
    <w:rsid w:val="00C05265"/>
    <w:rsid w:val="00C05F5E"/>
    <w:rsid w:val="00C079BD"/>
    <w:rsid w:val="00C15870"/>
    <w:rsid w:val="00C17C19"/>
    <w:rsid w:val="00C20F19"/>
    <w:rsid w:val="00C23CDF"/>
    <w:rsid w:val="00C26972"/>
    <w:rsid w:val="00C34FDF"/>
    <w:rsid w:val="00C41DB8"/>
    <w:rsid w:val="00C43000"/>
    <w:rsid w:val="00C4665C"/>
    <w:rsid w:val="00C5201E"/>
    <w:rsid w:val="00C52F7F"/>
    <w:rsid w:val="00C5435B"/>
    <w:rsid w:val="00C62A08"/>
    <w:rsid w:val="00C63B7D"/>
    <w:rsid w:val="00C70D23"/>
    <w:rsid w:val="00C7312D"/>
    <w:rsid w:val="00C77A8B"/>
    <w:rsid w:val="00C82A04"/>
    <w:rsid w:val="00C844E9"/>
    <w:rsid w:val="00C848CE"/>
    <w:rsid w:val="00C91320"/>
    <w:rsid w:val="00C917C5"/>
    <w:rsid w:val="00C92A12"/>
    <w:rsid w:val="00CA31F6"/>
    <w:rsid w:val="00CA57C6"/>
    <w:rsid w:val="00CB6D4B"/>
    <w:rsid w:val="00CC153F"/>
    <w:rsid w:val="00CC2F77"/>
    <w:rsid w:val="00CC3F81"/>
    <w:rsid w:val="00CC4C25"/>
    <w:rsid w:val="00CC50E3"/>
    <w:rsid w:val="00CC7690"/>
    <w:rsid w:val="00CD4F33"/>
    <w:rsid w:val="00CF0870"/>
    <w:rsid w:val="00CF17AE"/>
    <w:rsid w:val="00CF207C"/>
    <w:rsid w:val="00CF44CF"/>
    <w:rsid w:val="00D05BBF"/>
    <w:rsid w:val="00D071DC"/>
    <w:rsid w:val="00D11060"/>
    <w:rsid w:val="00D14E79"/>
    <w:rsid w:val="00D23BBD"/>
    <w:rsid w:val="00D3115E"/>
    <w:rsid w:val="00D36394"/>
    <w:rsid w:val="00D36FD3"/>
    <w:rsid w:val="00D37140"/>
    <w:rsid w:val="00D42ED7"/>
    <w:rsid w:val="00D45850"/>
    <w:rsid w:val="00D54CA9"/>
    <w:rsid w:val="00D55ADA"/>
    <w:rsid w:val="00D60531"/>
    <w:rsid w:val="00D653C8"/>
    <w:rsid w:val="00D657E6"/>
    <w:rsid w:val="00D67C30"/>
    <w:rsid w:val="00D74470"/>
    <w:rsid w:val="00D74932"/>
    <w:rsid w:val="00D8073B"/>
    <w:rsid w:val="00D81A47"/>
    <w:rsid w:val="00D82BFC"/>
    <w:rsid w:val="00D85BF9"/>
    <w:rsid w:val="00D86425"/>
    <w:rsid w:val="00D87189"/>
    <w:rsid w:val="00D90343"/>
    <w:rsid w:val="00D93B96"/>
    <w:rsid w:val="00D9759C"/>
    <w:rsid w:val="00D97F83"/>
    <w:rsid w:val="00DA0D58"/>
    <w:rsid w:val="00DA4C02"/>
    <w:rsid w:val="00DA62C2"/>
    <w:rsid w:val="00DB08F9"/>
    <w:rsid w:val="00DC7BB7"/>
    <w:rsid w:val="00DE299D"/>
    <w:rsid w:val="00DF0920"/>
    <w:rsid w:val="00DF5952"/>
    <w:rsid w:val="00DF7200"/>
    <w:rsid w:val="00E007C9"/>
    <w:rsid w:val="00E0305A"/>
    <w:rsid w:val="00E0376F"/>
    <w:rsid w:val="00E1618F"/>
    <w:rsid w:val="00E4102E"/>
    <w:rsid w:val="00E41157"/>
    <w:rsid w:val="00E4269C"/>
    <w:rsid w:val="00E429DE"/>
    <w:rsid w:val="00E468C1"/>
    <w:rsid w:val="00E66741"/>
    <w:rsid w:val="00E67023"/>
    <w:rsid w:val="00E718DC"/>
    <w:rsid w:val="00E73FF5"/>
    <w:rsid w:val="00E740A0"/>
    <w:rsid w:val="00E769E7"/>
    <w:rsid w:val="00E76E31"/>
    <w:rsid w:val="00E8608A"/>
    <w:rsid w:val="00E860F5"/>
    <w:rsid w:val="00E9136B"/>
    <w:rsid w:val="00E92F2D"/>
    <w:rsid w:val="00E945D2"/>
    <w:rsid w:val="00EA4966"/>
    <w:rsid w:val="00EA5DEF"/>
    <w:rsid w:val="00EA6D11"/>
    <w:rsid w:val="00EB02CE"/>
    <w:rsid w:val="00EB0CB1"/>
    <w:rsid w:val="00EB24BE"/>
    <w:rsid w:val="00EB66B1"/>
    <w:rsid w:val="00EC4BDC"/>
    <w:rsid w:val="00ED1D53"/>
    <w:rsid w:val="00ED732E"/>
    <w:rsid w:val="00ED7B40"/>
    <w:rsid w:val="00ED7B76"/>
    <w:rsid w:val="00EE7F3B"/>
    <w:rsid w:val="00F01C31"/>
    <w:rsid w:val="00F1084D"/>
    <w:rsid w:val="00F123B0"/>
    <w:rsid w:val="00F153B9"/>
    <w:rsid w:val="00F2641C"/>
    <w:rsid w:val="00F30048"/>
    <w:rsid w:val="00F35979"/>
    <w:rsid w:val="00F365D4"/>
    <w:rsid w:val="00F40D63"/>
    <w:rsid w:val="00F433EA"/>
    <w:rsid w:val="00F4786A"/>
    <w:rsid w:val="00F53668"/>
    <w:rsid w:val="00F53FC0"/>
    <w:rsid w:val="00F60A25"/>
    <w:rsid w:val="00F70747"/>
    <w:rsid w:val="00F70DC9"/>
    <w:rsid w:val="00F71C55"/>
    <w:rsid w:val="00F8155F"/>
    <w:rsid w:val="00F96D7D"/>
    <w:rsid w:val="00F96FBD"/>
    <w:rsid w:val="00F97560"/>
    <w:rsid w:val="00FA09FD"/>
    <w:rsid w:val="00FA1EFE"/>
    <w:rsid w:val="00FA32C3"/>
    <w:rsid w:val="00FA6267"/>
    <w:rsid w:val="00FB6081"/>
    <w:rsid w:val="00FC0A2E"/>
    <w:rsid w:val="00FC205C"/>
    <w:rsid w:val="00FD08B3"/>
    <w:rsid w:val="00FD3716"/>
    <w:rsid w:val="00FD61EB"/>
    <w:rsid w:val="00FD6F2A"/>
    <w:rsid w:val="00FE2EB2"/>
    <w:rsid w:val="00FE4156"/>
    <w:rsid w:val="00FF0B5F"/>
    <w:rsid w:val="00FF2257"/>
    <w:rsid w:val="00FF50F9"/>
    <w:rsid w:val="01710EAC"/>
    <w:rsid w:val="01BA416A"/>
    <w:rsid w:val="0294506F"/>
    <w:rsid w:val="04AF66D2"/>
    <w:rsid w:val="091E1E62"/>
    <w:rsid w:val="0987343C"/>
    <w:rsid w:val="09E00E7B"/>
    <w:rsid w:val="0BC1738C"/>
    <w:rsid w:val="0CBF4ABF"/>
    <w:rsid w:val="0CC44E12"/>
    <w:rsid w:val="0D30729F"/>
    <w:rsid w:val="0DD356EC"/>
    <w:rsid w:val="0E2A3D97"/>
    <w:rsid w:val="0EFC7D2B"/>
    <w:rsid w:val="13804901"/>
    <w:rsid w:val="14C870E5"/>
    <w:rsid w:val="16AA3C20"/>
    <w:rsid w:val="18455597"/>
    <w:rsid w:val="194C12BF"/>
    <w:rsid w:val="1B131090"/>
    <w:rsid w:val="1E1474DF"/>
    <w:rsid w:val="1E454088"/>
    <w:rsid w:val="218C0F1A"/>
    <w:rsid w:val="2301054D"/>
    <w:rsid w:val="23B646B0"/>
    <w:rsid w:val="23EF3DDB"/>
    <w:rsid w:val="241A0983"/>
    <w:rsid w:val="24533EA6"/>
    <w:rsid w:val="24E96168"/>
    <w:rsid w:val="24F70D3C"/>
    <w:rsid w:val="25AF18BA"/>
    <w:rsid w:val="2627295B"/>
    <w:rsid w:val="26615BC8"/>
    <w:rsid w:val="27C05B60"/>
    <w:rsid w:val="27E87D9D"/>
    <w:rsid w:val="280E6472"/>
    <w:rsid w:val="28DD4C77"/>
    <w:rsid w:val="29064AC4"/>
    <w:rsid w:val="2A535937"/>
    <w:rsid w:val="2A80560A"/>
    <w:rsid w:val="2A8068EF"/>
    <w:rsid w:val="2B101771"/>
    <w:rsid w:val="2C311CCB"/>
    <w:rsid w:val="2F7D24CB"/>
    <w:rsid w:val="2FAE2856"/>
    <w:rsid w:val="30D03CD6"/>
    <w:rsid w:val="30E43D3A"/>
    <w:rsid w:val="32326B0F"/>
    <w:rsid w:val="32A442EA"/>
    <w:rsid w:val="33EC0064"/>
    <w:rsid w:val="34AB152A"/>
    <w:rsid w:val="368E0C27"/>
    <w:rsid w:val="36D27DC9"/>
    <w:rsid w:val="36F17E79"/>
    <w:rsid w:val="371E7FDE"/>
    <w:rsid w:val="39D84B1E"/>
    <w:rsid w:val="3A485878"/>
    <w:rsid w:val="3B0320FC"/>
    <w:rsid w:val="3E88536A"/>
    <w:rsid w:val="3EAC3833"/>
    <w:rsid w:val="3EEF401E"/>
    <w:rsid w:val="415D7FFF"/>
    <w:rsid w:val="44F764BC"/>
    <w:rsid w:val="474807C6"/>
    <w:rsid w:val="47837076"/>
    <w:rsid w:val="48AE28FC"/>
    <w:rsid w:val="493E260D"/>
    <w:rsid w:val="49F6285A"/>
    <w:rsid w:val="4B9D556F"/>
    <w:rsid w:val="4C232F02"/>
    <w:rsid w:val="4D89243E"/>
    <w:rsid w:val="4DB00CB0"/>
    <w:rsid w:val="52432D19"/>
    <w:rsid w:val="527E3928"/>
    <w:rsid w:val="52F656AA"/>
    <w:rsid w:val="539113C1"/>
    <w:rsid w:val="5391258E"/>
    <w:rsid w:val="53B96BAA"/>
    <w:rsid w:val="542A1A17"/>
    <w:rsid w:val="543F0F23"/>
    <w:rsid w:val="547304A3"/>
    <w:rsid w:val="55094138"/>
    <w:rsid w:val="560A64F4"/>
    <w:rsid w:val="56957F53"/>
    <w:rsid w:val="575E6B98"/>
    <w:rsid w:val="58F21E5D"/>
    <w:rsid w:val="59E933AB"/>
    <w:rsid w:val="5A5E4B8C"/>
    <w:rsid w:val="5C461A06"/>
    <w:rsid w:val="5DFD43A2"/>
    <w:rsid w:val="5E1D3BAB"/>
    <w:rsid w:val="5EAA3F5C"/>
    <w:rsid w:val="6085464A"/>
    <w:rsid w:val="62C10924"/>
    <w:rsid w:val="634F1377"/>
    <w:rsid w:val="6435746D"/>
    <w:rsid w:val="664159B2"/>
    <w:rsid w:val="6790667C"/>
    <w:rsid w:val="6978614F"/>
    <w:rsid w:val="6E3729C9"/>
    <w:rsid w:val="6E3E44F4"/>
    <w:rsid w:val="70C76D8C"/>
    <w:rsid w:val="719F3C9B"/>
    <w:rsid w:val="72FB3860"/>
    <w:rsid w:val="730D4442"/>
    <w:rsid w:val="74BE159B"/>
    <w:rsid w:val="77862DA8"/>
    <w:rsid w:val="77916A6B"/>
    <w:rsid w:val="79424AE3"/>
    <w:rsid w:val="7A1E3E19"/>
    <w:rsid w:val="7B8A204D"/>
    <w:rsid w:val="7DCD3408"/>
    <w:rsid w:val="7F86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D7C2-F5DB-4AC8-9394-45B2BEC505A9}">
  <ds:schemaRefs/>
</ds:datastoreItem>
</file>

<file path=docProps/app.xml><?xml version="1.0" encoding="utf-8"?>
<Properties xmlns="http://schemas.openxmlformats.org/officeDocument/2006/extended-properties" xmlns:vt="http://schemas.openxmlformats.org/officeDocument/2006/docPropsVTypes">
  <Template>Normal.dotm</Template>
  <Company>gysgsj</Company>
  <Pages>8</Pages>
  <Words>670</Words>
  <Characters>3821</Characters>
  <Lines>31</Lines>
  <Paragraphs>8</Paragraphs>
  <TotalTime>5</TotalTime>
  <ScaleCrop>false</ScaleCrop>
  <LinksUpToDate>false</LinksUpToDate>
  <CharactersWithSpaces>4483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2019-06-21T08:13:00Z</dcterms:created>
  <dc:creator>杨少文（收文人）</dc:creator>
  <cp:lastModifiedBy>贵州二十一数字传媒</cp:lastModifiedBy>
  <cp:lastPrinted>2018-04-25T08:04:00Z</cp:lastPrinted>
  <dcterms:modified xsi:type="dcterms:W3CDTF">2024-01-13T12:44:48Z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739E61FC04614B98B5700B669C1BCCB3_13</vt:lpwstr>
  </property>
</Properties>
</file>