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eastAsia="方正小标宋简体" w:cs="黑体"/>
          <w:bCs/>
          <w:color w:val="000000"/>
          <w:sz w:val="36"/>
          <w:szCs w:val="36"/>
        </w:rPr>
      </w:pPr>
      <w:r>
        <w:rPr>
          <w:rFonts w:hint="eastAsia" w:ascii="方正小标宋简体" w:eastAsia="方正小标宋简体" w:cs="黑体"/>
          <w:bCs/>
          <w:color w:val="000000"/>
          <w:sz w:val="36"/>
          <w:szCs w:val="36"/>
        </w:rPr>
        <w:t>市场监管领域全面推进部门联合“双随机、一公开”监管工作自查评分表</w:t>
      </w:r>
    </w:p>
    <w:p>
      <w:pPr>
        <w:jc w:val="center"/>
        <w:rPr>
          <w:rFonts w:ascii="楷体_GB2312" w:eastAsia="楷体_GB2312" w:cs="黑体"/>
          <w:bCs/>
          <w:color w:val="000000"/>
          <w:sz w:val="32"/>
          <w:szCs w:val="32"/>
        </w:rPr>
      </w:pPr>
      <w:r>
        <w:rPr>
          <w:rFonts w:hint="eastAsia" w:ascii="楷体_GB2312" w:eastAsia="楷体_GB2312" w:cs="黑体"/>
          <w:bCs/>
          <w:color w:val="000000"/>
          <w:sz w:val="32"/>
          <w:szCs w:val="32"/>
        </w:rPr>
        <w:t>（</w:t>
      </w:r>
      <w:r>
        <w:rPr>
          <w:rFonts w:hint="eastAsia" w:ascii="楷体_GB2312" w:eastAsia="楷体_GB2312" w:cs="黑体"/>
          <w:bCs/>
          <w:color w:val="000000"/>
          <w:sz w:val="32"/>
          <w:szCs w:val="32"/>
          <w:lang w:eastAsia="zh-CN"/>
        </w:rPr>
        <w:t>市</w:t>
      </w:r>
      <w:r>
        <w:rPr>
          <w:rFonts w:hint="eastAsia" w:ascii="楷体_GB2312" w:eastAsia="楷体_GB2312" w:cs="黑体"/>
          <w:bCs/>
          <w:color w:val="000000"/>
          <w:sz w:val="32"/>
          <w:szCs w:val="32"/>
        </w:rPr>
        <w:t>级各成员单位）</w:t>
      </w:r>
    </w:p>
    <w:tbl>
      <w:tblPr>
        <w:tblStyle w:val="10"/>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68"/>
        <w:gridCol w:w="708"/>
        <w:gridCol w:w="3119"/>
        <w:gridCol w:w="3827"/>
        <w:gridCol w:w="85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序号</w:t>
            </w:r>
          </w:p>
        </w:tc>
        <w:tc>
          <w:tcPr>
            <w:tcW w:w="226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考核指标</w:t>
            </w:r>
          </w:p>
        </w:tc>
        <w:tc>
          <w:tcPr>
            <w:tcW w:w="70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分值</w:t>
            </w:r>
          </w:p>
        </w:tc>
        <w:tc>
          <w:tcPr>
            <w:tcW w:w="3119"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考核内容</w:t>
            </w:r>
          </w:p>
        </w:tc>
        <w:tc>
          <w:tcPr>
            <w:tcW w:w="3827"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评分标准</w:t>
            </w:r>
          </w:p>
        </w:tc>
        <w:tc>
          <w:tcPr>
            <w:tcW w:w="851"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自评得分</w:t>
            </w:r>
          </w:p>
        </w:tc>
        <w:tc>
          <w:tcPr>
            <w:tcW w:w="2693"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印证材料目录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1</w:t>
            </w:r>
          </w:p>
        </w:tc>
        <w:tc>
          <w:tcPr>
            <w:tcW w:w="2268" w:type="dxa"/>
            <w:tcBorders>
              <w:tl2br w:val="nil"/>
              <w:tr2bl w:val="nil"/>
            </w:tcBorders>
            <w:tcMar>
              <w:left w:w="28" w:type="dxa"/>
              <w:right w:w="28" w:type="dxa"/>
            </w:tcMar>
            <w:vAlign w:val="center"/>
          </w:tcPr>
          <w:p>
            <w:pPr>
              <w:jc w:val="left"/>
              <w:rPr>
                <w:rFonts w:ascii="黑体" w:eastAsia="黑体"/>
                <w:sz w:val="24"/>
                <w:szCs w:val="24"/>
              </w:rPr>
            </w:pPr>
            <w:r>
              <w:rPr>
                <w:rFonts w:hint="eastAsia" w:ascii="仿宋_GB2312" w:eastAsia="仿宋_GB2312"/>
                <w:sz w:val="24"/>
                <w:szCs w:val="24"/>
              </w:rPr>
              <w:t>是否将“双随机、一公开”监管工作纳入本单位年度重点工作</w:t>
            </w:r>
          </w:p>
        </w:tc>
        <w:tc>
          <w:tcPr>
            <w:tcW w:w="708" w:type="dxa"/>
            <w:tcBorders>
              <w:tl2br w:val="nil"/>
              <w:tr2bl w:val="nil"/>
            </w:tcBorders>
            <w:tcMar>
              <w:left w:w="28" w:type="dxa"/>
              <w:right w:w="28" w:type="dxa"/>
            </w:tcMar>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5</w:t>
            </w:r>
          </w:p>
        </w:tc>
        <w:tc>
          <w:tcPr>
            <w:tcW w:w="3119" w:type="dxa"/>
            <w:tcBorders>
              <w:tl2br w:val="nil"/>
              <w:tr2bl w:val="nil"/>
            </w:tcBorders>
            <w:tcMar>
              <w:left w:w="28" w:type="dxa"/>
              <w:right w:w="28" w:type="dxa"/>
            </w:tcMar>
            <w:vAlign w:val="center"/>
          </w:tcPr>
          <w:p>
            <w:pPr>
              <w:jc w:val="left"/>
              <w:rPr>
                <w:rFonts w:hint="eastAsia" w:ascii="仿宋_GB2312" w:eastAsia="仿宋_GB2312"/>
                <w:sz w:val="24"/>
                <w:szCs w:val="24"/>
                <w:lang w:eastAsia="zh-CN"/>
              </w:rPr>
            </w:pPr>
            <w:r>
              <w:rPr>
                <w:rFonts w:hint="eastAsia" w:ascii="仿宋_GB2312" w:eastAsia="仿宋_GB2312"/>
                <w:sz w:val="24"/>
                <w:szCs w:val="24"/>
              </w:rPr>
              <w:t>查看</w:t>
            </w:r>
            <w:r>
              <w:rPr>
                <w:rFonts w:hint="eastAsia" w:ascii="仿宋_GB2312" w:eastAsia="仿宋_GB2312"/>
                <w:sz w:val="24"/>
                <w:szCs w:val="24"/>
                <w:lang w:eastAsia="zh-CN"/>
              </w:rPr>
              <w:t>相关印证材料</w:t>
            </w:r>
            <w:bookmarkStart w:id="0" w:name="_GoBack"/>
            <w:bookmarkEnd w:id="0"/>
          </w:p>
        </w:tc>
        <w:tc>
          <w:tcPr>
            <w:tcW w:w="3827" w:type="dxa"/>
            <w:tcBorders>
              <w:tl2br w:val="nil"/>
              <w:tr2bl w:val="nil"/>
            </w:tcBorders>
            <w:tcMar>
              <w:left w:w="28" w:type="dxa"/>
              <w:right w:w="28" w:type="dxa"/>
            </w:tcMar>
            <w:vAlign w:val="center"/>
          </w:tcPr>
          <w:p>
            <w:pPr>
              <w:jc w:val="left"/>
              <w:rPr>
                <w:rFonts w:ascii="仿宋_GB2312" w:eastAsia="仿宋_GB2312"/>
                <w:sz w:val="24"/>
                <w:szCs w:val="24"/>
                <w:lang w:val="en-US" w:eastAsia="zh-CN"/>
              </w:rPr>
            </w:pPr>
            <w:r>
              <w:rPr>
                <w:rFonts w:hint="eastAsia" w:ascii="仿宋_GB2312" w:eastAsia="仿宋_GB2312"/>
                <w:sz w:val="24"/>
                <w:szCs w:val="24"/>
              </w:rPr>
              <w:t>有</w:t>
            </w:r>
            <w:r>
              <w:rPr>
                <w:rFonts w:hint="eastAsia" w:ascii="仿宋_GB2312" w:eastAsia="仿宋_GB2312"/>
                <w:sz w:val="24"/>
                <w:szCs w:val="24"/>
                <w:lang w:eastAsia="zh-CN"/>
              </w:rPr>
              <w:t>工作安排部署得</w:t>
            </w:r>
            <w:r>
              <w:rPr>
                <w:rFonts w:hint="eastAsia" w:ascii="仿宋_GB2312" w:eastAsia="仿宋_GB2312"/>
                <w:sz w:val="24"/>
                <w:szCs w:val="24"/>
                <w:lang w:val="en-US" w:eastAsia="zh-CN"/>
              </w:rPr>
              <w:t>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2</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是否制定本部门随机抽查事项清单</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10</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在省</w:t>
            </w:r>
            <w:r>
              <w:rPr>
                <w:rFonts w:hint="eastAsia" w:ascii="仿宋_GB2312" w:eastAsia="仿宋_GB2312"/>
                <w:sz w:val="24"/>
                <w:szCs w:val="24"/>
                <w:lang w:eastAsia="zh-CN"/>
              </w:rPr>
              <w:t>双随机、一公开</w:t>
            </w:r>
            <w:r>
              <w:rPr>
                <w:rFonts w:hint="eastAsia" w:ascii="仿宋_GB2312" w:eastAsia="仿宋_GB2312"/>
                <w:sz w:val="24"/>
                <w:szCs w:val="24"/>
              </w:rPr>
              <w:t>监管平台</w:t>
            </w:r>
            <w:r>
              <w:rPr>
                <w:rFonts w:hint="eastAsia" w:ascii="仿宋_GB2312" w:eastAsia="仿宋_GB2312"/>
                <w:sz w:val="24"/>
                <w:szCs w:val="24"/>
                <w:lang w:eastAsia="zh-CN"/>
              </w:rPr>
              <w:t>或相关工作平台</w:t>
            </w:r>
            <w:r>
              <w:rPr>
                <w:rFonts w:hint="eastAsia" w:ascii="仿宋_GB2312" w:eastAsia="仿宋_GB2312"/>
                <w:sz w:val="24"/>
                <w:szCs w:val="24"/>
              </w:rPr>
              <w:t>查看抽查事项清单制定和公示情况</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按要求统筹制定抽查事项清单</w:t>
            </w:r>
            <w:r>
              <w:rPr>
                <w:rFonts w:hint="eastAsia" w:ascii="仿宋_GB2312" w:eastAsia="仿宋_GB2312"/>
                <w:sz w:val="24"/>
                <w:szCs w:val="24"/>
                <w:lang w:eastAsia="zh-CN"/>
              </w:rPr>
              <w:t>得</w:t>
            </w:r>
            <w:r>
              <w:rPr>
                <w:rFonts w:hint="eastAsia" w:ascii="仿宋_GB2312" w:eastAsia="仿宋_GB2312"/>
                <w:sz w:val="24"/>
                <w:szCs w:val="24"/>
                <w:lang w:val="en-US" w:eastAsia="zh-CN"/>
              </w:rPr>
              <w:t>5分；按要求</w:t>
            </w:r>
            <w:r>
              <w:rPr>
                <w:rFonts w:hint="eastAsia" w:ascii="仿宋_GB2312" w:eastAsia="仿宋_GB2312"/>
                <w:sz w:val="24"/>
                <w:szCs w:val="24"/>
              </w:rPr>
              <w:t>向社会公开得</w:t>
            </w:r>
            <w:r>
              <w:rPr>
                <w:rFonts w:hint="eastAsia" w:ascii="仿宋_GB2312" w:eastAsia="仿宋_GB2312"/>
                <w:sz w:val="24"/>
                <w:szCs w:val="24"/>
                <w:lang w:val="en-US" w:eastAsia="zh-CN"/>
              </w:rPr>
              <w:t>5</w:t>
            </w:r>
            <w:r>
              <w:rPr>
                <w:rFonts w:hint="eastAsia" w:ascii="仿宋_GB2312" w:eastAsia="仿宋_GB2312"/>
                <w:sz w:val="24"/>
                <w:szCs w:val="24"/>
              </w:rPr>
              <w:t>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3</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检查对象名录库和执法检查人员名录库建立和管理情况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10</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在省</w:t>
            </w:r>
            <w:r>
              <w:rPr>
                <w:rFonts w:hint="eastAsia" w:ascii="仿宋_GB2312" w:eastAsia="仿宋_GB2312"/>
                <w:sz w:val="24"/>
                <w:szCs w:val="24"/>
                <w:lang w:eastAsia="zh-CN"/>
              </w:rPr>
              <w:t>双随机、一公开</w:t>
            </w:r>
            <w:r>
              <w:rPr>
                <w:rFonts w:hint="eastAsia" w:ascii="仿宋_GB2312" w:eastAsia="仿宋_GB2312"/>
                <w:sz w:val="24"/>
                <w:szCs w:val="24"/>
              </w:rPr>
              <w:t>监管平台</w:t>
            </w:r>
            <w:r>
              <w:rPr>
                <w:rFonts w:hint="eastAsia" w:ascii="仿宋_GB2312" w:eastAsia="仿宋_GB2312"/>
                <w:sz w:val="24"/>
                <w:szCs w:val="24"/>
                <w:lang w:eastAsia="zh-CN"/>
              </w:rPr>
              <w:t>或相关工作平台</w:t>
            </w:r>
            <w:r>
              <w:rPr>
                <w:rFonts w:hint="eastAsia" w:ascii="仿宋_GB2312" w:eastAsia="仿宋_GB2312"/>
                <w:sz w:val="24"/>
                <w:szCs w:val="24"/>
              </w:rPr>
              <w:t>查看检查对象名录库和执法检查人员名录库建立和管理情况</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建立检查对象名录库和执法检查人员名录库得5分；及时进行动态管理得5分。</w:t>
            </w:r>
          </w:p>
          <w:p>
            <w:pPr>
              <w:jc w:val="left"/>
              <w:rPr>
                <w:rFonts w:ascii="仿宋_GB2312" w:eastAsia="仿宋_GB2312"/>
                <w:sz w:val="24"/>
                <w:szCs w:val="24"/>
              </w:rPr>
            </w:pPr>
            <w:r>
              <w:rPr>
                <w:rFonts w:hint="eastAsia" w:ascii="仿宋_GB2312" w:eastAsia="仿宋_GB2312"/>
                <w:sz w:val="24"/>
                <w:szCs w:val="24"/>
              </w:rPr>
              <w:t>检查对象名录库和执法人员名录库主要数据项未录入或录入不完整有错误的，一条扣0.</w:t>
            </w:r>
            <w:r>
              <w:rPr>
                <w:rFonts w:hint="eastAsia" w:ascii="仿宋_GB2312" w:eastAsia="仿宋_GB2312"/>
                <w:sz w:val="24"/>
                <w:szCs w:val="24"/>
                <w:lang w:val="en-US" w:eastAsia="zh-CN"/>
              </w:rPr>
              <w:t>1</w:t>
            </w:r>
            <w:r>
              <w:rPr>
                <w:rFonts w:hint="eastAsia" w:ascii="仿宋_GB2312" w:eastAsia="仿宋_GB2312"/>
                <w:sz w:val="24"/>
                <w:szCs w:val="24"/>
              </w:rPr>
              <w:t>分，最高扣5分。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4</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随机抽查指引或实施细则制定情况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hint="eastAsia" w:ascii="仿宋_GB2312" w:eastAsia="仿宋_GB2312"/>
                <w:sz w:val="24"/>
                <w:szCs w:val="24"/>
                <w:lang w:eastAsia="zh-CN"/>
              </w:rPr>
            </w:pPr>
            <w:r>
              <w:rPr>
                <w:rFonts w:hint="eastAsia" w:ascii="仿宋_GB2312" w:eastAsia="仿宋_GB2312"/>
                <w:sz w:val="24"/>
                <w:szCs w:val="24"/>
                <w:lang w:eastAsia="zh-CN"/>
              </w:rPr>
              <w:t>查看相关印证材料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制定有抽查指引或实施细则得5分。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pPr>
    </w:p>
    <w:p>
      <w:pPr>
        <w:pStyle w:val="2"/>
      </w:pPr>
    </w:p>
    <w:tbl>
      <w:tblPr>
        <w:tblStyle w:val="10"/>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68"/>
        <w:gridCol w:w="708"/>
        <w:gridCol w:w="3119"/>
        <w:gridCol w:w="3827"/>
        <w:gridCol w:w="85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10"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序号</w:t>
            </w:r>
          </w:p>
        </w:tc>
        <w:tc>
          <w:tcPr>
            <w:tcW w:w="226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考核指标</w:t>
            </w:r>
          </w:p>
        </w:tc>
        <w:tc>
          <w:tcPr>
            <w:tcW w:w="70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分值</w:t>
            </w:r>
          </w:p>
        </w:tc>
        <w:tc>
          <w:tcPr>
            <w:tcW w:w="3119"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考核内容</w:t>
            </w:r>
          </w:p>
        </w:tc>
        <w:tc>
          <w:tcPr>
            <w:tcW w:w="3827"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评分标准</w:t>
            </w:r>
          </w:p>
        </w:tc>
        <w:tc>
          <w:tcPr>
            <w:tcW w:w="851"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自评得分</w:t>
            </w:r>
          </w:p>
        </w:tc>
        <w:tc>
          <w:tcPr>
            <w:tcW w:w="2693"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印证材料目录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5</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年度随机抽查工作计划制定情况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10</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在省</w:t>
            </w:r>
            <w:r>
              <w:rPr>
                <w:rFonts w:hint="eastAsia" w:ascii="仿宋_GB2312" w:eastAsia="仿宋_GB2312"/>
                <w:sz w:val="24"/>
                <w:szCs w:val="24"/>
                <w:lang w:eastAsia="zh-CN"/>
              </w:rPr>
              <w:t>双随机、一公开</w:t>
            </w:r>
            <w:r>
              <w:rPr>
                <w:rFonts w:hint="eastAsia" w:ascii="仿宋_GB2312" w:eastAsia="仿宋_GB2312"/>
                <w:sz w:val="24"/>
                <w:szCs w:val="24"/>
              </w:rPr>
              <w:t>监管平台</w:t>
            </w:r>
            <w:r>
              <w:rPr>
                <w:rFonts w:hint="eastAsia" w:ascii="仿宋_GB2312" w:eastAsia="仿宋_GB2312"/>
                <w:sz w:val="24"/>
                <w:szCs w:val="24"/>
                <w:lang w:eastAsia="zh-CN"/>
              </w:rPr>
              <w:t>或相关工作平台</w:t>
            </w:r>
            <w:r>
              <w:rPr>
                <w:rFonts w:hint="eastAsia" w:ascii="仿宋_GB2312" w:eastAsia="仿宋_GB2312"/>
                <w:sz w:val="24"/>
                <w:szCs w:val="24"/>
              </w:rPr>
              <w:t>查看年度随机抽查工作计划制定情况</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color w:val="000000"/>
                <w:sz w:val="24"/>
                <w:szCs w:val="24"/>
              </w:rPr>
              <w:t>制定本部门抽查计划得</w:t>
            </w:r>
            <w:r>
              <w:rPr>
                <w:rFonts w:hint="eastAsia" w:ascii="仿宋_GB2312" w:eastAsia="仿宋_GB2312"/>
                <w:color w:val="000000"/>
                <w:sz w:val="24"/>
                <w:szCs w:val="24"/>
                <w:lang w:val="en-US" w:eastAsia="zh-CN"/>
              </w:rPr>
              <w:t>5</w:t>
            </w:r>
            <w:r>
              <w:rPr>
                <w:rFonts w:hint="eastAsia" w:ascii="仿宋_GB2312" w:eastAsia="仿宋_GB2312"/>
                <w:color w:val="000000"/>
                <w:sz w:val="24"/>
                <w:szCs w:val="24"/>
              </w:rPr>
              <w:t>分；</w:t>
            </w:r>
            <w:r>
              <w:rPr>
                <w:rFonts w:hint="eastAsia" w:ascii="仿宋_GB2312" w:eastAsia="仿宋_GB2312"/>
                <w:color w:val="000000"/>
                <w:sz w:val="24"/>
                <w:szCs w:val="24"/>
                <w:lang w:eastAsia="zh-CN"/>
              </w:rPr>
              <w:t>常规的专项检查纳入双随机年度抽查计划得</w:t>
            </w:r>
            <w:r>
              <w:rPr>
                <w:rFonts w:hint="eastAsia" w:ascii="仿宋_GB2312" w:eastAsia="仿宋_GB2312"/>
                <w:color w:val="000000"/>
                <w:sz w:val="24"/>
                <w:szCs w:val="24"/>
                <w:lang w:val="en-US" w:eastAsia="zh-CN"/>
              </w:rPr>
              <w:t>3分</w:t>
            </w:r>
            <w:r>
              <w:rPr>
                <w:rFonts w:hint="eastAsia" w:ascii="仿宋_GB2312" w:eastAsia="仿宋_GB2312"/>
                <w:color w:val="000000"/>
                <w:sz w:val="24"/>
                <w:szCs w:val="24"/>
                <w:lang w:eastAsia="zh-CN"/>
              </w:rPr>
              <w:t>；</w:t>
            </w:r>
            <w:r>
              <w:rPr>
                <w:rFonts w:hint="eastAsia" w:ascii="仿宋_GB2312" w:eastAsia="仿宋_GB2312"/>
                <w:color w:val="000000"/>
                <w:sz w:val="24"/>
                <w:szCs w:val="24"/>
              </w:rPr>
              <w:t>按要求向社会公开得2分。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6</w:t>
            </w:r>
          </w:p>
        </w:tc>
        <w:tc>
          <w:tcPr>
            <w:tcW w:w="2268" w:type="dxa"/>
            <w:tcBorders>
              <w:tl2br w:val="nil"/>
              <w:tr2bl w:val="nil"/>
            </w:tcBorders>
            <w:tcMar>
              <w:left w:w="28" w:type="dxa"/>
              <w:right w:w="28" w:type="dxa"/>
            </w:tcMar>
            <w:vAlign w:val="center"/>
          </w:tcPr>
          <w:p>
            <w:pPr>
              <w:jc w:val="left"/>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重点检查对象建库管理</w:t>
            </w:r>
          </w:p>
        </w:tc>
        <w:tc>
          <w:tcPr>
            <w:tcW w:w="708" w:type="dxa"/>
            <w:tcBorders>
              <w:tl2br w:val="nil"/>
              <w:tr2bl w:val="nil"/>
            </w:tcBorders>
            <w:tcMar>
              <w:left w:w="28" w:type="dxa"/>
              <w:right w:w="28" w:type="dxa"/>
            </w:tcMar>
            <w:vAlign w:val="center"/>
          </w:tcPr>
          <w:p>
            <w:pPr>
              <w:jc w:val="center"/>
              <w:rPr>
                <w:rFonts w:ascii="仿宋_GB2312" w:eastAsia="仿宋_GB2312"/>
                <w:color w:val="auto"/>
                <w:sz w:val="24"/>
                <w:szCs w:val="24"/>
                <w:lang w:val="en-US" w:eastAsia="zh-CN"/>
              </w:rPr>
            </w:pPr>
            <w:r>
              <w:rPr>
                <w:rFonts w:hint="eastAsia" w:ascii="仿宋_GB2312" w:eastAsia="仿宋_GB2312"/>
                <w:color w:val="auto"/>
                <w:sz w:val="24"/>
                <w:szCs w:val="24"/>
                <w:lang w:val="en-US" w:eastAsia="zh-CN"/>
              </w:rPr>
              <w:t>5</w:t>
            </w:r>
          </w:p>
        </w:tc>
        <w:tc>
          <w:tcPr>
            <w:tcW w:w="3119" w:type="dxa"/>
            <w:tcBorders>
              <w:tl2br w:val="nil"/>
              <w:tr2bl w:val="nil"/>
            </w:tcBorders>
            <w:tcMar>
              <w:left w:w="28" w:type="dxa"/>
              <w:right w:w="28" w:type="dxa"/>
            </w:tcMar>
            <w:vAlign w:val="center"/>
          </w:tcPr>
          <w:p>
            <w:pPr>
              <w:jc w:val="left"/>
              <w:rPr>
                <w:rFonts w:hint="eastAsia" w:ascii="仿宋_GB2312" w:eastAsia="仿宋_GB2312"/>
                <w:color w:val="auto"/>
                <w:sz w:val="24"/>
                <w:szCs w:val="24"/>
                <w:lang w:eastAsia="zh-CN"/>
              </w:rPr>
            </w:pPr>
            <w:r>
              <w:rPr>
                <w:rFonts w:hint="eastAsia" w:ascii="仿宋_GB2312" w:eastAsia="仿宋_GB2312"/>
                <w:color w:val="auto"/>
                <w:sz w:val="24"/>
                <w:szCs w:val="24"/>
              </w:rPr>
              <w:t>在省</w:t>
            </w:r>
            <w:r>
              <w:rPr>
                <w:rFonts w:hint="eastAsia" w:ascii="仿宋_GB2312" w:eastAsia="仿宋_GB2312"/>
                <w:color w:val="auto"/>
                <w:sz w:val="24"/>
                <w:szCs w:val="24"/>
                <w:lang w:eastAsia="zh-CN"/>
              </w:rPr>
              <w:t>双随机、一公开</w:t>
            </w:r>
            <w:r>
              <w:rPr>
                <w:rFonts w:hint="eastAsia" w:ascii="仿宋_GB2312" w:eastAsia="仿宋_GB2312"/>
                <w:color w:val="auto"/>
                <w:sz w:val="24"/>
                <w:szCs w:val="24"/>
              </w:rPr>
              <w:t>监管平台</w:t>
            </w:r>
            <w:r>
              <w:rPr>
                <w:rFonts w:hint="eastAsia" w:ascii="仿宋_GB2312" w:eastAsia="仿宋_GB2312"/>
                <w:color w:val="auto"/>
                <w:sz w:val="24"/>
                <w:szCs w:val="24"/>
                <w:lang w:eastAsia="zh-CN"/>
              </w:rPr>
              <w:t>或相关工作平台</w:t>
            </w:r>
            <w:r>
              <w:rPr>
                <w:rFonts w:hint="eastAsia" w:ascii="仿宋_GB2312" w:eastAsia="仿宋_GB2312"/>
                <w:color w:val="auto"/>
                <w:sz w:val="24"/>
                <w:szCs w:val="24"/>
              </w:rPr>
              <w:t>查看</w:t>
            </w:r>
            <w:r>
              <w:rPr>
                <w:rFonts w:hint="eastAsia" w:ascii="仿宋_GB2312" w:eastAsia="仿宋_GB2312"/>
                <w:color w:val="auto"/>
                <w:sz w:val="24"/>
                <w:szCs w:val="24"/>
                <w:lang w:eastAsia="zh-CN"/>
              </w:rPr>
              <w:t>检查重点检查对象建库情况</w:t>
            </w:r>
          </w:p>
        </w:tc>
        <w:tc>
          <w:tcPr>
            <w:tcW w:w="3827" w:type="dxa"/>
            <w:tcBorders>
              <w:tl2br w:val="nil"/>
              <w:tr2bl w:val="nil"/>
            </w:tcBorders>
            <w:tcMar>
              <w:left w:w="28" w:type="dxa"/>
              <w:right w:w="28" w:type="dxa"/>
            </w:tcMar>
            <w:vAlign w:val="center"/>
          </w:tcPr>
          <w:p>
            <w:pPr>
              <w:jc w:val="left"/>
              <w:rPr>
                <w:rFonts w:hint="eastAsia" w:ascii="仿宋_GB2312" w:eastAsia="仿宋_GB2312"/>
                <w:color w:val="auto"/>
                <w:sz w:val="24"/>
                <w:szCs w:val="24"/>
              </w:rPr>
            </w:pPr>
            <w:r>
              <w:rPr>
                <w:rFonts w:hint="eastAsia" w:ascii="仿宋_GB2312" w:eastAsia="仿宋_GB2312"/>
                <w:color w:val="auto"/>
                <w:sz w:val="24"/>
                <w:szCs w:val="24"/>
                <w:lang w:eastAsia="zh-CN"/>
              </w:rPr>
              <w:t>将符合重点对象规则的检查对象纳入重点对象库管理得</w:t>
            </w:r>
            <w:r>
              <w:rPr>
                <w:rFonts w:hint="eastAsia" w:ascii="仿宋_GB2312" w:eastAsia="仿宋_GB2312"/>
                <w:color w:val="auto"/>
                <w:sz w:val="24"/>
                <w:szCs w:val="24"/>
                <w:lang w:val="en-US" w:eastAsia="zh-CN"/>
              </w:rPr>
              <w:t>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7</w:t>
            </w:r>
          </w:p>
        </w:tc>
        <w:tc>
          <w:tcPr>
            <w:tcW w:w="2268" w:type="dxa"/>
            <w:tcBorders>
              <w:tl2br w:val="nil"/>
              <w:tr2bl w:val="nil"/>
            </w:tcBorders>
            <w:tcMar>
              <w:left w:w="28" w:type="dxa"/>
              <w:right w:w="28" w:type="dxa"/>
            </w:tcMar>
            <w:vAlign w:val="center"/>
          </w:tcPr>
          <w:p>
            <w:pPr>
              <w:jc w:val="left"/>
              <w:rPr>
                <w:rFonts w:ascii="仿宋_GB2312" w:eastAsia="仿宋_GB2312"/>
                <w:color w:val="auto"/>
                <w:sz w:val="24"/>
                <w:szCs w:val="24"/>
              </w:rPr>
            </w:pPr>
            <w:r>
              <w:rPr>
                <w:rFonts w:hint="eastAsia" w:ascii="仿宋_GB2312" w:eastAsia="仿宋_GB2312"/>
                <w:color w:val="auto"/>
                <w:sz w:val="24"/>
                <w:szCs w:val="24"/>
              </w:rPr>
              <w:t>抽查任务建立和开展抽查检查工作情况</w:t>
            </w:r>
          </w:p>
        </w:tc>
        <w:tc>
          <w:tcPr>
            <w:tcW w:w="708" w:type="dxa"/>
            <w:tcBorders>
              <w:tl2br w:val="nil"/>
              <w:tr2bl w:val="nil"/>
            </w:tcBorders>
            <w:tcMar>
              <w:left w:w="28" w:type="dxa"/>
              <w:right w:w="28" w:type="dxa"/>
            </w:tcMar>
            <w:vAlign w:val="center"/>
          </w:tcPr>
          <w:p>
            <w:pPr>
              <w:jc w:val="center"/>
              <w:rPr>
                <w:rFonts w:hint="eastAsia" w:ascii="仿宋_GB2312" w:eastAsia="仿宋_GB2312"/>
                <w:color w:val="auto"/>
                <w:sz w:val="24"/>
                <w:szCs w:val="24"/>
                <w:lang w:val="en-US" w:eastAsia="zh-CN"/>
              </w:rPr>
            </w:pPr>
            <w:r>
              <w:rPr>
                <w:rFonts w:hint="eastAsia" w:ascii="仿宋_GB2312" w:eastAsia="仿宋_GB2312"/>
                <w:color w:val="auto"/>
                <w:sz w:val="24"/>
                <w:szCs w:val="24"/>
              </w:rPr>
              <w:t>1</w:t>
            </w:r>
            <w:r>
              <w:rPr>
                <w:rFonts w:hint="eastAsia" w:ascii="仿宋_GB2312" w:eastAsia="仿宋_GB2312"/>
                <w:color w:val="auto"/>
                <w:sz w:val="24"/>
                <w:szCs w:val="24"/>
                <w:lang w:val="en-US" w:eastAsia="zh-CN"/>
              </w:rPr>
              <w:t>5</w:t>
            </w:r>
          </w:p>
        </w:tc>
        <w:tc>
          <w:tcPr>
            <w:tcW w:w="3119" w:type="dxa"/>
            <w:tcBorders>
              <w:tl2br w:val="nil"/>
              <w:tr2bl w:val="nil"/>
            </w:tcBorders>
            <w:tcMar>
              <w:left w:w="28" w:type="dxa"/>
              <w:right w:w="28" w:type="dxa"/>
            </w:tcMar>
            <w:vAlign w:val="center"/>
          </w:tcPr>
          <w:p>
            <w:pPr>
              <w:jc w:val="left"/>
              <w:rPr>
                <w:rFonts w:ascii="仿宋_GB2312" w:eastAsia="仿宋_GB2312"/>
                <w:color w:val="auto"/>
                <w:sz w:val="24"/>
                <w:szCs w:val="24"/>
              </w:rPr>
            </w:pPr>
            <w:r>
              <w:rPr>
                <w:rFonts w:hint="eastAsia" w:ascii="仿宋_GB2312" w:eastAsia="仿宋_GB2312"/>
                <w:color w:val="auto"/>
                <w:sz w:val="24"/>
                <w:szCs w:val="24"/>
              </w:rPr>
              <w:t>在省</w:t>
            </w:r>
            <w:r>
              <w:rPr>
                <w:rFonts w:hint="eastAsia" w:ascii="仿宋_GB2312" w:eastAsia="仿宋_GB2312"/>
                <w:color w:val="auto"/>
                <w:sz w:val="24"/>
                <w:szCs w:val="24"/>
                <w:lang w:eastAsia="zh-CN"/>
              </w:rPr>
              <w:t>双随机、一公开</w:t>
            </w:r>
            <w:r>
              <w:rPr>
                <w:rFonts w:hint="eastAsia" w:ascii="仿宋_GB2312" w:eastAsia="仿宋_GB2312"/>
                <w:color w:val="auto"/>
                <w:sz w:val="24"/>
                <w:szCs w:val="24"/>
              </w:rPr>
              <w:t>监管平台</w:t>
            </w:r>
            <w:r>
              <w:rPr>
                <w:rFonts w:hint="eastAsia" w:ascii="仿宋_GB2312" w:eastAsia="仿宋_GB2312"/>
                <w:color w:val="auto"/>
                <w:sz w:val="24"/>
                <w:szCs w:val="24"/>
                <w:lang w:eastAsia="zh-CN"/>
              </w:rPr>
              <w:t>或相关工作平台</w:t>
            </w:r>
            <w:r>
              <w:rPr>
                <w:rFonts w:hint="eastAsia" w:ascii="仿宋_GB2312" w:eastAsia="仿宋_GB2312"/>
                <w:color w:val="auto"/>
                <w:sz w:val="24"/>
                <w:szCs w:val="24"/>
              </w:rPr>
              <w:t>查看抽查任务建立和开展抽查检查工作情况</w:t>
            </w:r>
          </w:p>
        </w:tc>
        <w:tc>
          <w:tcPr>
            <w:tcW w:w="3827" w:type="dxa"/>
            <w:tcBorders>
              <w:tl2br w:val="nil"/>
              <w:tr2bl w:val="nil"/>
            </w:tcBorders>
            <w:tcMar>
              <w:left w:w="28" w:type="dxa"/>
              <w:right w:w="28" w:type="dxa"/>
            </w:tcMar>
            <w:vAlign w:val="center"/>
          </w:tcPr>
          <w:p>
            <w:pPr>
              <w:jc w:val="left"/>
              <w:rPr>
                <w:rFonts w:ascii="仿宋_GB2312" w:eastAsia="仿宋_GB2312"/>
                <w:color w:val="auto"/>
                <w:sz w:val="24"/>
                <w:szCs w:val="24"/>
              </w:rPr>
            </w:pPr>
            <w:r>
              <w:rPr>
                <w:rFonts w:hint="eastAsia" w:ascii="仿宋_GB2312" w:eastAsia="仿宋_GB2312"/>
                <w:color w:val="auto"/>
                <w:sz w:val="24"/>
                <w:szCs w:val="24"/>
              </w:rPr>
              <w:t>按计划建立抽查任务得5分；按时开展抽查检查得</w:t>
            </w:r>
            <w:r>
              <w:rPr>
                <w:rFonts w:hint="eastAsia" w:ascii="仿宋_GB2312" w:eastAsia="仿宋_GB2312"/>
                <w:color w:val="auto"/>
                <w:sz w:val="24"/>
                <w:szCs w:val="24"/>
                <w:lang w:val="en-US" w:eastAsia="zh-CN"/>
              </w:rPr>
              <w:t>10</w:t>
            </w:r>
            <w:r>
              <w:rPr>
                <w:rFonts w:hint="eastAsia" w:ascii="仿宋_GB2312" w:eastAsia="仿宋_GB2312"/>
                <w:color w:val="auto"/>
                <w:sz w:val="24"/>
                <w:szCs w:val="24"/>
              </w:rPr>
              <w:t>分。</w:t>
            </w:r>
          </w:p>
          <w:p>
            <w:pPr>
              <w:jc w:val="left"/>
              <w:rPr>
                <w:rFonts w:ascii="仿宋_GB2312" w:eastAsia="仿宋_GB2312"/>
                <w:color w:val="auto"/>
                <w:sz w:val="24"/>
                <w:szCs w:val="24"/>
              </w:rPr>
            </w:pPr>
            <w:r>
              <w:rPr>
                <w:rFonts w:hint="eastAsia" w:ascii="仿宋_GB2312" w:eastAsia="仿宋_GB2312"/>
                <w:color w:val="auto"/>
                <w:sz w:val="24"/>
                <w:szCs w:val="24"/>
              </w:rPr>
              <w:t>随机抽查事项未实现100%全覆盖的，少一项扣1分，最高扣5分；</w:t>
            </w:r>
          </w:p>
          <w:p>
            <w:pPr>
              <w:jc w:val="left"/>
              <w:rPr>
                <w:rFonts w:ascii="仿宋_GB2312" w:eastAsia="仿宋_GB2312"/>
                <w:color w:val="auto"/>
                <w:sz w:val="24"/>
                <w:szCs w:val="24"/>
              </w:rPr>
            </w:pP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8</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抽查检查结果公示情况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在省</w:t>
            </w:r>
            <w:r>
              <w:rPr>
                <w:rFonts w:hint="eastAsia" w:ascii="仿宋_GB2312" w:eastAsia="仿宋_GB2312"/>
                <w:sz w:val="24"/>
                <w:szCs w:val="24"/>
                <w:lang w:eastAsia="zh-CN"/>
              </w:rPr>
              <w:t>双随机、一公开</w:t>
            </w:r>
            <w:r>
              <w:rPr>
                <w:rFonts w:hint="eastAsia" w:ascii="仿宋_GB2312" w:eastAsia="仿宋_GB2312"/>
                <w:sz w:val="24"/>
                <w:szCs w:val="24"/>
              </w:rPr>
              <w:t>监管平台</w:t>
            </w:r>
            <w:r>
              <w:rPr>
                <w:rFonts w:hint="eastAsia" w:ascii="仿宋_GB2312" w:eastAsia="仿宋_GB2312"/>
                <w:sz w:val="24"/>
                <w:szCs w:val="24"/>
                <w:lang w:eastAsia="zh-CN"/>
              </w:rPr>
              <w:t>或相关工作平台</w:t>
            </w:r>
            <w:r>
              <w:rPr>
                <w:rFonts w:hint="eastAsia" w:ascii="仿宋_GB2312" w:eastAsia="仿宋_GB2312"/>
                <w:sz w:val="24"/>
                <w:szCs w:val="24"/>
              </w:rPr>
              <w:t>查看抽查检查结果公示情况</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规定时限内公示检查结果得5分。未按</w:t>
            </w:r>
            <w:r>
              <w:rPr>
                <w:rFonts w:hint="eastAsia" w:ascii="仿宋_GB2312" w:eastAsia="仿宋_GB2312"/>
                <w:sz w:val="24"/>
                <w:szCs w:val="24"/>
                <w:lang w:eastAsia="zh-CN"/>
              </w:rPr>
              <w:t>部门规定完成</w:t>
            </w:r>
            <w:r>
              <w:rPr>
                <w:rFonts w:hint="eastAsia" w:ascii="仿宋_GB2312" w:eastAsia="仿宋_GB2312"/>
                <w:sz w:val="24"/>
                <w:szCs w:val="24"/>
              </w:rPr>
              <w:t>抽查检查</w:t>
            </w:r>
            <w:r>
              <w:rPr>
                <w:rFonts w:hint="eastAsia" w:ascii="仿宋_GB2312" w:eastAsia="仿宋_GB2312"/>
                <w:sz w:val="24"/>
                <w:szCs w:val="24"/>
                <w:lang w:eastAsia="zh-CN"/>
              </w:rPr>
              <w:t>或未按时</w:t>
            </w:r>
            <w:r>
              <w:rPr>
                <w:rFonts w:hint="eastAsia" w:ascii="仿宋_GB2312" w:eastAsia="仿宋_GB2312"/>
                <w:sz w:val="24"/>
                <w:szCs w:val="24"/>
              </w:rPr>
              <w:t>公示的，发现一起扣0.5分，最高扣5分。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9</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抽查检查中发现问题的后续处理情况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在省</w:t>
            </w:r>
            <w:r>
              <w:rPr>
                <w:rFonts w:hint="eastAsia" w:ascii="仿宋_GB2312" w:eastAsia="仿宋_GB2312"/>
                <w:sz w:val="24"/>
                <w:szCs w:val="24"/>
                <w:lang w:eastAsia="zh-CN"/>
              </w:rPr>
              <w:t>双随机、一公开</w:t>
            </w:r>
            <w:r>
              <w:rPr>
                <w:rFonts w:hint="eastAsia" w:ascii="仿宋_GB2312" w:eastAsia="仿宋_GB2312"/>
                <w:sz w:val="24"/>
                <w:szCs w:val="24"/>
              </w:rPr>
              <w:t>监管平台</w:t>
            </w:r>
            <w:r>
              <w:rPr>
                <w:rFonts w:hint="eastAsia" w:ascii="仿宋_GB2312" w:eastAsia="仿宋_GB2312"/>
                <w:sz w:val="24"/>
                <w:szCs w:val="24"/>
                <w:lang w:eastAsia="zh-CN"/>
              </w:rPr>
              <w:t>或相关工作平台</w:t>
            </w:r>
            <w:r>
              <w:rPr>
                <w:rFonts w:hint="eastAsia" w:ascii="仿宋_GB2312" w:eastAsia="仿宋_GB2312"/>
                <w:sz w:val="24"/>
                <w:szCs w:val="24"/>
              </w:rPr>
              <w:t>查看问题后续处理情况及相关印证资料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检查发现问题按规定处理得5分。未对抽查中发现的各类问题做好后续监管衔接的，发现一起扣0.5分，最高扣5分。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bl>
    <w:p>
      <w:pPr>
        <w:ind w:firstLine="640" w:firstLineChars="200"/>
        <w:rPr>
          <w:rFonts w:hint="eastAsia" w:ascii="仿宋_GB2312" w:eastAsia="仿宋_GB2312"/>
          <w:sz w:val="32"/>
          <w:szCs w:val="32"/>
        </w:rPr>
      </w:pPr>
    </w:p>
    <w:p>
      <w:pPr>
        <w:ind w:firstLine="0"/>
        <w:rPr>
          <w:rFonts w:ascii="仿宋_GB2312" w:eastAsia="仿宋_GB2312"/>
          <w:sz w:val="32"/>
          <w:szCs w:val="32"/>
        </w:rPr>
      </w:pPr>
    </w:p>
    <w:p>
      <w:pPr>
        <w:ind w:firstLine="0"/>
        <w:rPr>
          <w:rFonts w:ascii="仿宋_GB2312" w:eastAsia="仿宋_GB2312"/>
          <w:sz w:val="32"/>
          <w:szCs w:val="32"/>
        </w:rPr>
      </w:pPr>
    </w:p>
    <w:tbl>
      <w:tblPr>
        <w:tblStyle w:val="10"/>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68"/>
        <w:gridCol w:w="708"/>
        <w:gridCol w:w="3119"/>
        <w:gridCol w:w="3827"/>
        <w:gridCol w:w="85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序号</w:t>
            </w:r>
          </w:p>
        </w:tc>
        <w:tc>
          <w:tcPr>
            <w:tcW w:w="226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考核指标</w:t>
            </w:r>
          </w:p>
        </w:tc>
        <w:tc>
          <w:tcPr>
            <w:tcW w:w="70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分值</w:t>
            </w:r>
          </w:p>
        </w:tc>
        <w:tc>
          <w:tcPr>
            <w:tcW w:w="3119"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考核内容</w:t>
            </w:r>
          </w:p>
        </w:tc>
        <w:tc>
          <w:tcPr>
            <w:tcW w:w="3827"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评分标准</w:t>
            </w:r>
          </w:p>
        </w:tc>
        <w:tc>
          <w:tcPr>
            <w:tcW w:w="851"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自评得分</w:t>
            </w:r>
          </w:p>
        </w:tc>
        <w:tc>
          <w:tcPr>
            <w:tcW w:w="2693"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印证材料目录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ascii="仿宋_GB2312" w:eastAsia="仿宋_GB2312"/>
                <w:sz w:val="24"/>
                <w:szCs w:val="24"/>
                <w:lang w:val="en-US" w:eastAsia="zh-CN"/>
              </w:rPr>
            </w:pPr>
            <w:r>
              <w:rPr>
                <w:rFonts w:hint="eastAsia" w:ascii="仿宋_GB2312" w:eastAsia="仿宋_GB2312"/>
                <w:sz w:val="24"/>
                <w:szCs w:val="24"/>
                <w:lang w:val="en-US" w:eastAsia="zh-CN"/>
              </w:rPr>
              <w:t>10</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对本系统“双随机、一公开”监管工作督促指导情况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有开展督促指导得5分。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1</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“双随机、一公开”监管</w:t>
            </w:r>
            <w:r>
              <w:rPr>
                <w:rFonts w:hint="eastAsia" w:ascii="仿宋_GB2312" w:eastAsia="仿宋_GB2312"/>
                <w:sz w:val="24"/>
                <w:szCs w:val="24"/>
                <w:lang w:eastAsia="zh-CN"/>
              </w:rPr>
              <w:t>业务</w:t>
            </w:r>
            <w:r>
              <w:rPr>
                <w:rFonts w:hint="eastAsia" w:ascii="仿宋_GB2312" w:eastAsia="仿宋_GB2312"/>
                <w:sz w:val="24"/>
                <w:szCs w:val="24"/>
              </w:rPr>
              <w:t>培训情况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有进行</w:t>
            </w:r>
            <w:r>
              <w:rPr>
                <w:rFonts w:hint="eastAsia" w:ascii="仿宋_GB2312" w:eastAsia="仿宋_GB2312"/>
                <w:sz w:val="24"/>
                <w:szCs w:val="24"/>
                <w:lang w:eastAsia="zh-CN"/>
              </w:rPr>
              <w:t>“双随机、一公开”监管</w:t>
            </w:r>
            <w:r>
              <w:rPr>
                <w:rFonts w:hint="eastAsia" w:ascii="仿宋_GB2312" w:eastAsia="仿宋_GB2312"/>
                <w:sz w:val="24"/>
                <w:szCs w:val="24"/>
              </w:rPr>
              <w:t>培训得5分。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2</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“双随机、一公开”监管工作信息报送情况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查看相关工作信息报送情况及相关印证资料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按信息报送制度要求每</w:t>
            </w:r>
            <w:r>
              <w:rPr>
                <w:rFonts w:hint="eastAsia" w:ascii="仿宋_GB2312" w:eastAsia="仿宋_GB2312"/>
                <w:sz w:val="24"/>
                <w:szCs w:val="24"/>
                <w:lang w:eastAsia="zh-CN"/>
              </w:rPr>
              <w:t>年</w:t>
            </w:r>
            <w:r>
              <w:rPr>
                <w:rFonts w:hint="eastAsia" w:ascii="仿宋_GB2312" w:eastAsia="仿宋_GB2312"/>
                <w:sz w:val="24"/>
                <w:szCs w:val="24"/>
              </w:rPr>
              <w:t>报送不少于</w:t>
            </w:r>
            <w:r>
              <w:rPr>
                <w:rFonts w:hint="eastAsia" w:ascii="仿宋_GB2312" w:eastAsia="仿宋_GB2312"/>
                <w:sz w:val="24"/>
                <w:szCs w:val="24"/>
                <w:lang w:val="en-US" w:eastAsia="zh-CN"/>
              </w:rPr>
              <w:t>2</w:t>
            </w:r>
            <w:r>
              <w:rPr>
                <w:rFonts w:hint="eastAsia" w:ascii="仿宋_GB2312" w:eastAsia="仿宋_GB2312"/>
                <w:sz w:val="24"/>
                <w:szCs w:val="24"/>
              </w:rPr>
              <w:t>条工作信息，每年报送不少于1条工作总结分析报告的要求报送工作信息得5分。少报一条扣1分，最高扣5分。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3</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积极配合联席会议办公室开展工作情况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联席办根据各单位工作情况打分</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按要求配合开展工作得5分。</w:t>
            </w:r>
          </w:p>
          <w:p>
            <w:pPr>
              <w:jc w:val="left"/>
              <w:rPr>
                <w:rFonts w:ascii="仿宋_GB2312" w:eastAsia="仿宋_GB2312"/>
                <w:sz w:val="24"/>
                <w:szCs w:val="24"/>
              </w:rPr>
            </w:pPr>
            <w:r>
              <w:rPr>
                <w:rFonts w:hint="eastAsia" w:ascii="仿宋_GB2312" w:eastAsia="仿宋_GB2312"/>
                <w:sz w:val="24"/>
                <w:szCs w:val="24"/>
              </w:rPr>
              <w:t>未按要求及时报送相关材料或参加相关会议的，一次未反馈材料或未参加会议扣1分，一次超期反馈扣0.5分，最高扣5分。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4</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部门联合“双随机、一公开”监管经费和人员保障情况</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有经费和人员保障得5分。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pPr>
    </w:p>
    <w:tbl>
      <w:tblPr>
        <w:tblStyle w:val="10"/>
        <w:tblW w:w="14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68"/>
        <w:gridCol w:w="708"/>
        <w:gridCol w:w="3119"/>
        <w:gridCol w:w="3827"/>
        <w:gridCol w:w="85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序号</w:t>
            </w:r>
          </w:p>
        </w:tc>
        <w:tc>
          <w:tcPr>
            <w:tcW w:w="226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考核指标</w:t>
            </w:r>
          </w:p>
        </w:tc>
        <w:tc>
          <w:tcPr>
            <w:tcW w:w="708"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分值</w:t>
            </w:r>
          </w:p>
        </w:tc>
        <w:tc>
          <w:tcPr>
            <w:tcW w:w="3119"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考核内容</w:t>
            </w:r>
          </w:p>
        </w:tc>
        <w:tc>
          <w:tcPr>
            <w:tcW w:w="3827"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评分标准</w:t>
            </w:r>
          </w:p>
        </w:tc>
        <w:tc>
          <w:tcPr>
            <w:tcW w:w="851"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自评得分</w:t>
            </w:r>
          </w:p>
        </w:tc>
        <w:tc>
          <w:tcPr>
            <w:tcW w:w="2693" w:type="dxa"/>
            <w:tcBorders>
              <w:tl2br w:val="nil"/>
              <w:tr2bl w:val="nil"/>
            </w:tcBorders>
            <w:vAlign w:val="center"/>
          </w:tcPr>
          <w:p>
            <w:pPr>
              <w:spacing w:line="400" w:lineRule="exact"/>
              <w:jc w:val="center"/>
              <w:rPr>
                <w:rFonts w:ascii="黑体" w:eastAsia="黑体"/>
                <w:sz w:val="30"/>
                <w:szCs w:val="30"/>
              </w:rPr>
            </w:pPr>
            <w:r>
              <w:rPr>
                <w:rFonts w:hint="eastAsia" w:ascii="黑体" w:eastAsia="黑体"/>
                <w:sz w:val="30"/>
                <w:szCs w:val="30"/>
              </w:rPr>
              <w:t>印证材料目录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5</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“双随机、一公开”监管工作是否纳入本单位或本系统目标绩效考核</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5</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纳入单位或系统目标绩效考核得5分。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0" w:type="dxa"/>
            <w:tcBorders>
              <w:tl2br w:val="nil"/>
              <w:tr2bl w:val="nil"/>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6</w:t>
            </w:r>
          </w:p>
        </w:tc>
        <w:tc>
          <w:tcPr>
            <w:tcW w:w="2268"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加分项</w:t>
            </w:r>
          </w:p>
        </w:tc>
        <w:tc>
          <w:tcPr>
            <w:tcW w:w="708" w:type="dxa"/>
            <w:tcBorders>
              <w:tl2br w:val="nil"/>
              <w:tr2bl w:val="nil"/>
            </w:tcBorders>
            <w:tcMar>
              <w:left w:w="28" w:type="dxa"/>
              <w:right w:w="28" w:type="dxa"/>
            </w:tcMar>
            <w:vAlign w:val="center"/>
          </w:tcPr>
          <w:p>
            <w:pPr>
              <w:jc w:val="center"/>
              <w:rPr>
                <w:rFonts w:ascii="仿宋_GB2312" w:eastAsia="仿宋_GB2312"/>
                <w:sz w:val="24"/>
                <w:szCs w:val="24"/>
              </w:rPr>
            </w:pPr>
            <w:r>
              <w:rPr>
                <w:rFonts w:hint="eastAsia" w:ascii="仿宋_GB2312" w:eastAsia="仿宋_GB2312"/>
                <w:sz w:val="24"/>
                <w:szCs w:val="24"/>
              </w:rPr>
              <w:t>10</w:t>
            </w:r>
          </w:p>
        </w:tc>
        <w:tc>
          <w:tcPr>
            <w:tcW w:w="3119"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查看相关印证资料</w:t>
            </w:r>
          </w:p>
        </w:tc>
        <w:tc>
          <w:tcPr>
            <w:tcW w:w="3827" w:type="dxa"/>
            <w:tcBorders>
              <w:tl2br w:val="nil"/>
              <w:tr2bl w:val="nil"/>
            </w:tcBorders>
            <w:tcMar>
              <w:left w:w="28" w:type="dxa"/>
              <w:right w:w="28" w:type="dxa"/>
            </w:tcMar>
            <w:vAlign w:val="center"/>
          </w:tcPr>
          <w:p>
            <w:pPr>
              <w:jc w:val="left"/>
              <w:rPr>
                <w:rFonts w:ascii="仿宋_GB2312" w:eastAsia="仿宋_GB2312"/>
                <w:sz w:val="24"/>
                <w:szCs w:val="24"/>
              </w:rPr>
            </w:pPr>
            <w:r>
              <w:rPr>
                <w:rFonts w:hint="eastAsia" w:ascii="仿宋_GB2312" w:eastAsia="仿宋_GB2312"/>
                <w:sz w:val="24"/>
                <w:szCs w:val="24"/>
              </w:rPr>
              <w:t>推行“双随机、一公开”监管工作经验、做法得到</w:t>
            </w:r>
            <w:r>
              <w:rPr>
                <w:rFonts w:hint="eastAsia" w:ascii="仿宋_GB2312" w:eastAsia="仿宋_GB2312"/>
                <w:sz w:val="24"/>
                <w:szCs w:val="24"/>
                <w:lang w:eastAsia="zh-CN"/>
              </w:rPr>
              <w:t>省委、省政府</w:t>
            </w:r>
            <w:r>
              <w:rPr>
                <w:rFonts w:hint="eastAsia" w:ascii="仿宋_GB2312" w:eastAsia="仿宋_GB2312"/>
                <w:sz w:val="24"/>
                <w:szCs w:val="24"/>
              </w:rPr>
              <w:t>领导批示肯定的，一次加2分；</w:t>
            </w:r>
          </w:p>
          <w:p>
            <w:pPr>
              <w:jc w:val="left"/>
              <w:rPr>
                <w:rFonts w:ascii="仿宋_GB2312" w:eastAsia="仿宋_GB2312"/>
                <w:sz w:val="24"/>
                <w:szCs w:val="24"/>
              </w:rPr>
            </w:pPr>
            <w:r>
              <w:rPr>
                <w:rFonts w:hint="eastAsia" w:ascii="仿宋_GB2312" w:eastAsia="仿宋_GB2312"/>
                <w:sz w:val="24"/>
                <w:szCs w:val="24"/>
              </w:rPr>
              <w:t>得到</w:t>
            </w:r>
            <w:r>
              <w:rPr>
                <w:rFonts w:hint="eastAsia" w:ascii="仿宋_GB2312" w:eastAsia="仿宋_GB2312"/>
                <w:sz w:val="24"/>
                <w:szCs w:val="24"/>
                <w:lang w:eastAsia="zh-CN"/>
              </w:rPr>
              <w:t>市</w:t>
            </w:r>
            <w:r>
              <w:rPr>
                <w:rFonts w:hint="eastAsia" w:ascii="仿宋_GB2312" w:eastAsia="仿宋_GB2312"/>
                <w:sz w:val="24"/>
                <w:szCs w:val="24"/>
              </w:rPr>
              <w:t>委、</w:t>
            </w:r>
            <w:r>
              <w:rPr>
                <w:rFonts w:hint="eastAsia" w:ascii="仿宋_GB2312" w:eastAsia="仿宋_GB2312"/>
                <w:sz w:val="24"/>
                <w:szCs w:val="24"/>
                <w:lang w:eastAsia="zh-CN"/>
              </w:rPr>
              <w:t>市</w:t>
            </w:r>
            <w:r>
              <w:rPr>
                <w:rFonts w:hint="eastAsia" w:ascii="仿宋_GB2312" w:eastAsia="仿宋_GB2312"/>
                <w:sz w:val="24"/>
                <w:szCs w:val="24"/>
              </w:rPr>
              <w:t>政府领导批示肯定的，一次加1分；</w:t>
            </w:r>
          </w:p>
          <w:p>
            <w:pPr>
              <w:jc w:val="left"/>
              <w:rPr>
                <w:rFonts w:ascii="仿宋_GB2312" w:eastAsia="仿宋_GB2312"/>
                <w:sz w:val="24"/>
                <w:szCs w:val="24"/>
              </w:rPr>
            </w:pPr>
            <w:r>
              <w:rPr>
                <w:rFonts w:hint="eastAsia" w:ascii="仿宋_GB2312" w:eastAsia="仿宋_GB2312"/>
                <w:sz w:val="24"/>
                <w:szCs w:val="24"/>
              </w:rPr>
              <w:t>被</w:t>
            </w:r>
            <w:r>
              <w:rPr>
                <w:rFonts w:hint="eastAsia" w:ascii="仿宋_GB2312" w:eastAsia="仿宋_GB2312"/>
                <w:sz w:val="24"/>
                <w:szCs w:val="24"/>
                <w:lang w:eastAsia="zh-CN"/>
              </w:rPr>
              <w:t>省级联席会议</w:t>
            </w:r>
            <w:r>
              <w:rPr>
                <w:rFonts w:hint="eastAsia" w:ascii="仿宋_GB2312" w:eastAsia="仿宋_GB2312"/>
                <w:sz w:val="24"/>
                <w:szCs w:val="24"/>
              </w:rPr>
              <w:t>书面或会议推广的，一次加1分；</w:t>
            </w:r>
          </w:p>
          <w:p>
            <w:pPr>
              <w:jc w:val="left"/>
              <w:rPr>
                <w:rFonts w:ascii="仿宋_GB2312" w:eastAsia="仿宋_GB2312"/>
                <w:sz w:val="24"/>
                <w:szCs w:val="24"/>
              </w:rPr>
            </w:pPr>
            <w:r>
              <w:rPr>
                <w:rFonts w:hint="eastAsia" w:ascii="仿宋_GB2312" w:eastAsia="仿宋_GB2312"/>
                <w:sz w:val="24"/>
                <w:szCs w:val="24"/>
              </w:rPr>
              <w:t>报送的工作信息被</w:t>
            </w:r>
            <w:r>
              <w:rPr>
                <w:rFonts w:hint="eastAsia" w:ascii="仿宋_GB2312" w:eastAsia="仿宋_GB2312"/>
                <w:sz w:val="24"/>
                <w:szCs w:val="24"/>
                <w:lang w:eastAsia="zh-CN"/>
              </w:rPr>
              <w:t>市</w:t>
            </w:r>
            <w:r>
              <w:rPr>
                <w:rFonts w:hint="eastAsia" w:ascii="仿宋_GB2312" w:eastAsia="仿宋_GB2312"/>
                <w:sz w:val="24"/>
                <w:szCs w:val="24"/>
              </w:rPr>
              <w:t>联席会议办公室采用编录到工作动态的，一次加0.5分；</w:t>
            </w:r>
          </w:p>
          <w:p>
            <w:pPr>
              <w:jc w:val="left"/>
              <w:rPr>
                <w:rFonts w:ascii="仿宋_GB2312" w:eastAsia="仿宋_GB2312"/>
                <w:sz w:val="24"/>
                <w:szCs w:val="24"/>
                <w:lang w:val="en-US" w:eastAsia="zh-CN"/>
              </w:rPr>
            </w:pPr>
            <w:r>
              <w:rPr>
                <w:rFonts w:hint="eastAsia" w:ascii="仿宋_GB2312" w:eastAsia="仿宋_GB2312"/>
                <w:sz w:val="24"/>
                <w:szCs w:val="24"/>
                <w:lang w:eastAsia="zh-CN"/>
              </w:rPr>
              <w:t>总计加分最高为</w:t>
            </w:r>
            <w:r>
              <w:rPr>
                <w:rFonts w:hint="eastAsia" w:ascii="仿宋_GB2312" w:eastAsia="仿宋_GB2312"/>
                <w:sz w:val="24"/>
                <w:szCs w:val="24"/>
                <w:lang w:val="en-US" w:eastAsia="zh-CN"/>
              </w:rPr>
              <w:t>10分。同一事项被多次批示、推广、刊发的，按最高加分标准执行，不重复计分。</w:t>
            </w:r>
          </w:p>
        </w:tc>
        <w:tc>
          <w:tcPr>
            <w:tcW w:w="851" w:type="dxa"/>
            <w:tcBorders>
              <w:tl2br w:val="nil"/>
              <w:tr2bl w:val="nil"/>
            </w:tcBorders>
            <w:tcMar>
              <w:left w:w="28" w:type="dxa"/>
              <w:right w:w="28" w:type="dxa"/>
            </w:tcMar>
            <w:vAlign w:val="center"/>
          </w:tcPr>
          <w:p>
            <w:pPr>
              <w:jc w:val="center"/>
              <w:rPr>
                <w:rFonts w:ascii="仿宋_GB2312" w:eastAsia="仿宋_GB2312"/>
                <w:sz w:val="24"/>
                <w:szCs w:val="24"/>
              </w:rPr>
            </w:pPr>
          </w:p>
        </w:tc>
        <w:tc>
          <w:tcPr>
            <w:tcW w:w="2693" w:type="dxa"/>
            <w:tcBorders>
              <w:tl2br w:val="nil"/>
              <w:tr2bl w:val="nil"/>
            </w:tcBorders>
            <w:tcMar>
              <w:left w:w="28" w:type="dxa"/>
              <w:right w:w="28" w:type="dxa"/>
            </w:tcMar>
            <w:vAlign w:val="center"/>
          </w:tcPr>
          <w:p>
            <w:pPr>
              <w:jc w:val="center"/>
              <w:rPr>
                <w:rFonts w:ascii="仿宋_GB2312" w:eastAsia="仿宋_GB2312"/>
                <w:sz w:val="24"/>
                <w:szCs w:val="24"/>
              </w:rPr>
            </w:pPr>
          </w:p>
        </w:tc>
      </w:tr>
    </w:tbl>
    <w:p/>
    <w:p>
      <w:pPr>
        <w:widowControl/>
        <w:spacing w:line="640" w:lineRule="exact"/>
        <w:ind w:firstLine="360" w:firstLineChars="100"/>
        <w:rPr>
          <w:rFonts w:hint="eastAsia" w:ascii="仿宋_GB2312" w:eastAsia="仿宋_GB2312"/>
          <w:bCs/>
          <w:spacing w:val="20"/>
          <w:kern w:val="0"/>
          <w:sz w:val="32"/>
          <w:szCs w:val="32"/>
        </w:rPr>
      </w:pPr>
    </w:p>
    <w:p>
      <w:pPr>
        <w:widowControl/>
        <w:spacing w:line="640" w:lineRule="exact"/>
        <w:ind w:firstLine="360" w:firstLineChars="100"/>
        <w:rPr>
          <w:rFonts w:hint="eastAsia" w:ascii="仿宋_GB2312" w:eastAsia="仿宋_GB2312"/>
          <w:bCs/>
          <w:spacing w:val="20"/>
          <w:kern w:val="0"/>
          <w:sz w:val="32"/>
          <w:szCs w:val="32"/>
        </w:rPr>
      </w:pPr>
    </w:p>
    <w:p>
      <w:pPr>
        <w:widowControl/>
        <w:spacing w:line="640" w:lineRule="exact"/>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sectPr>
          <w:footerReference r:id="rId5" w:type="first"/>
          <w:footerReference r:id="rId3" w:type="default"/>
          <w:footerReference r:id="rId4" w:type="even"/>
          <w:pgSz w:w="16838" w:h="11906" w:orient="landscape"/>
          <w:pgMar w:top="1417" w:right="1418" w:bottom="1417" w:left="1418" w:header="851" w:footer="992" w:gutter="0"/>
          <w:pgNumType w:fmt="numberInDash"/>
          <w:cols w:space="720" w:num="1"/>
          <w:titlePg/>
          <w:docGrid w:type="lines" w:linePitch="312" w:charSpace="0"/>
        </w:sect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pStyle w:val="2"/>
        <w:rPr>
          <w:rFonts w:ascii="仿宋_GB2312" w:eastAsia="仿宋_GB2312"/>
          <w:bCs/>
          <w:spacing w:val="20"/>
          <w:kern w:val="0"/>
          <w:sz w:val="32"/>
          <w:szCs w:val="32"/>
        </w:rPr>
      </w:pPr>
    </w:p>
    <w:p>
      <w:pPr>
        <w:ind w:firstLine="7140" w:firstLineChars="2550"/>
        <w:rPr>
          <w:sz w:val="28"/>
          <w:szCs w:val="28"/>
        </w:rPr>
      </w:pPr>
    </w:p>
    <w:sectPr>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747AD3-A94B-49E9-B50F-DD7CD34695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Courier New"/>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embedRegular r:id="rId2" w:fontKey="{359C8C7B-F1BC-4AD1-983D-CEA328B12713}"/>
  </w:font>
  <w:font w:name="方正小标宋简体">
    <w:panose1 w:val="02000000000000000000"/>
    <w:charset w:val="86"/>
    <w:family w:val="script"/>
    <w:pitch w:val="default"/>
    <w:sig w:usb0="00000001" w:usb1="08000000" w:usb2="00000000" w:usb3="00000000" w:csb0="00040000" w:csb1="00000000"/>
    <w:embedRegular r:id="rId3" w:fontKey="{ACE70044-BF57-4D5B-BB9C-B102A93E071C}"/>
  </w:font>
  <w:font w:name="楷体_GB2312">
    <w:altName w:val="楷体"/>
    <w:panose1 w:val="02010609030101010101"/>
    <w:charset w:val="86"/>
    <w:family w:val="modern"/>
    <w:pitch w:val="default"/>
    <w:sig w:usb0="00000000" w:usb1="00000000" w:usb2="00000000" w:usb3="00000000" w:csb0="00040000" w:csb1="00000000"/>
    <w:embedRegular r:id="rId4" w:fontKey="{0168A658-61CA-4AF2-86B7-6FEE4B95C53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19" name="文本框 4"/>
              <wp:cNvGraphicFramePr/>
              <a:graphic xmlns:a="http://schemas.openxmlformats.org/drawingml/2006/main">
                <a:graphicData uri="http://schemas.microsoft.com/office/word/2010/wordprocessingShape">
                  <wps:wsp>
                    <wps:cNvSpPr/>
                    <wps:spPr>
                      <a:xfrm>
                        <a:off x="0" y="0"/>
                        <a:ext cx="444499" cy="230251"/>
                      </a:xfrm>
                      <a:prstGeom prst="rect">
                        <a:avLst/>
                      </a:prstGeom>
                      <a:noFill/>
                      <a:ln w="15875" cap="flat" cmpd="sng">
                        <a:noFill/>
                        <a:prstDash val="solid"/>
                        <a:miter/>
                      </a:ln>
                    </wps:spPr>
                    <wps:txbx>
                      <w:txbxContent>
                        <w:p>
                          <w:pPr>
                            <w:pStyle w:val="7"/>
                            <w:rPr>
                              <w:rStyle w:val="12"/>
                              <w:rFonts w:hint="eastAsia" w:ascii="宋体" w:eastAsia="宋体" w:cs="宋体"/>
                              <w:sz w:val="28"/>
                              <w:szCs w:val="28"/>
                            </w:rPr>
                          </w:pPr>
                          <w:r>
                            <w:rPr>
                              <w:rStyle w:val="12"/>
                              <w:rFonts w:hint="eastAsia" w:ascii="宋体" w:eastAsia="宋体" w:cs="宋体"/>
                              <w:sz w:val="28"/>
                              <w:szCs w:val="28"/>
                            </w:rPr>
                            <w:fldChar w:fldCharType="begin"/>
                          </w:r>
                          <w:r>
                            <w:rPr>
                              <w:rStyle w:val="12"/>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2"/>
                              <w:rFonts w:hint="eastAsia" w:ascii="宋体" w:eastAsia="宋体" w:cs="宋体"/>
                              <w:sz w:val="28"/>
                              <w:szCs w:val="28"/>
                            </w:rPr>
                            <w:t>- 3 -</w:t>
                          </w:r>
                          <w:r>
                            <w:rPr>
                              <w:rFonts w:hint="eastAsia" w:asci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AeqiaNIAAAAD&#10;AQAADwAAAGRycy9kb3ducmV2LnhtbE2PTU/DMAyG70j8h8hI3FiyVRqjNN1hEhckJBiDs9t4bbfG&#10;qZrsA349hgu7WHr1Wo8fF8uz79WRxtgFtjCdGFDEdXAdNxY27093C1AxITvsA5OFL4qwLK+vCsxd&#10;OPEbHdepUQLhmKOFNqUh1zrWLXmMkzAQS7cNo8ckcWy0G/EkcN/rmTFz7bFjudDiQKuW6v364C1k&#10;WL2221m2yPgBP55fPnd6tfm29vZmah5BJTqn/2X41Rd1KMWpCgd2UfUW5JH0N6W7N5Iq4c4z0GWh&#10;L93LH1BLAwQUAAAACACHTuJAc8xk9gMCAAD3AwAADgAAAGRycy9lMm9Eb2MueG1srVPNbhMxGLwj&#10;8Q6W72ST0EC7yqaqiIqQEFQqPIDj9WYt+U+2k93wAPAGnLhw73PlORh781OVSw/dg3f8N/5mPJ5f&#10;91qRrfBBWlPRyWhMiTDc1tKsK/r92+2bS0pCZKZmyhpR0Z0I9Hrx+tW8c6WY2taqWngCEhPKzlW0&#10;jdGVRRF4KzQLI+uEwWRjvWYRXb8uas86sGtVTMfjd0Vnfe285SIEjC6HSXpg9M8htE0juVhavtHC&#10;xIHVC8UiJIVWukAXudqmETx+bZogIlEVhdKYWxwCvEptsZizcu2ZayU/lMCeU8ITTZpJg0NPVEsW&#10;Gdl4+R+VltzbYJs44lYXg5DsCFRMxk+8uW+ZE1kLrA7uZHp4OVr+ZXvniayRhMkVJYZpXPn+96/9&#10;n4f935/kIhnUuVBi3b2784deAExq+8br9IcO0mdTdydTRR8Jx+AFvitQc0xN346ns0niLM6bnQ/x&#10;o7CaJFBRjzvLVrLt5xCHpccl6Sxjb6VSGGelMqRD4bPL9zPwM4SxQQgAtYOgYNaZ59GGxLNkoSVb&#10;hjwEq2Q9JEDLKJI4lKUMfknyIDKh2K96TCa4svUOhuH9oNTW+h+UdEhPRQ0eCyXqk8HlpKAdgT+C&#10;1REww7Gxoih0gB/iEMiN83LdgneS6w7uZhMhNntwPvtQHfKQyz1kNwXucT+vOr/Xx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6qJo0gAAAAMBAAAPAAAAAAAAAAEAIAAAACIAAABkcnMvZG93bnJl&#10;di54bWxQSwECFAAUAAAACACHTuJAc8xk9gMCAAD3AwAADgAAAAAAAAABACAAAAAhAQAAZHJzL2Uy&#10;b0RvYy54bWxQSwUGAAAAAAYABgBZAQAAlgUAAAAA&#10;">
              <v:fill on="f" focussize="0,0"/>
              <v:stroke on="f" weight="1.25pt" joinstyle="miter"/>
              <v:imagedata o:title=""/>
              <o:lock v:ext="edit" aspectratio="f"/>
              <v:textbox inset="0mm,0mm,0mm,0mm" style="mso-fit-shape-to-text:t;">
                <w:txbxContent>
                  <w:p>
                    <w:pPr>
                      <w:pStyle w:val="7"/>
                      <w:rPr>
                        <w:rStyle w:val="12"/>
                        <w:rFonts w:hint="eastAsia" w:ascii="宋体" w:eastAsia="宋体" w:cs="宋体"/>
                        <w:sz w:val="28"/>
                        <w:szCs w:val="28"/>
                      </w:rPr>
                    </w:pPr>
                    <w:r>
                      <w:rPr>
                        <w:rStyle w:val="12"/>
                        <w:rFonts w:hint="eastAsia" w:ascii="宋体" w:eastAsia="宋体" w:cs="宋体"/>
                        <w:sz w:val="28"/>
                        <w:szCs w:val="28"/>
                      </w:rPr>
                      <w:fldChar w:fldCharType="begin"/>
                    </w:r>
                    <w:r>
                      <w:rPr>
                        <w:rStyle w:val="12"/>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2"/>
                        <w:rFonts w:hint="eastAsia" w:ascii="宋体" w:eastAsia="宋体" w:cs="宋体"/>
                        <w:sz w:val="28"/>
                        <w:szCs w:val="28"/>
                      </w:rPr>
                      <w:t>- 3 -</w:t>
                    </w:r>
                    <w:r>
                      <w:rPr>
                        <w:rFonts w:hint="eastAsia" w:asci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lang w:val="en-US"/>
      </w:rPr>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22" name="文本框 5"/>
              <wp:cNvGraphicFramePr/>
              <a:graphic xmlns:a="http://schemas.openxmlformats.org/drawingml/2006/main">
                <a:graphicData uri="http://schemas.microsoft.com/office/word/2010/wordprocessingShape">
                  <wps:wsp>
                    <wps:cNvSpPr/>
                    <wps:spPr>
                      <a:xfrm>
                        <a:off x="0" y="0"/>
                        <a:ext cx="444499" cy="230251"/>
                      </a:xfrm>
                      <a:prstGeom prst="rect">
                        <a:avLst/>
                      </a:prstGeom>
                      <a:noFill/>
                      <a:ln w="15875" cap="flat" cmpd="sng">
                        <a:noFill/>
                        <a:prstDash val="solid"/>
                        <a:miter/>
                      </a:ln>
                    </wps:spPr>
                    <wps:txbx>
                      <w:txbxContent>
                        <w:p>
                          <w:pPr>
                            <w:pStyle w:val="7"/>
                            <w:rPr>
                              <w:rStyle w:val="12"/>
                              <w:rFonts w:hint="eastAsia" w:ascii="宋体" w:eastAsia="宋体" w:cs="宋体"/>
                              <w:sz w:val="28"/>
                              <w:szCs w:val="28"/>
                            </w:rPr>
                          </w:pPr>
                          <w:r>
                            <w:rPr>
                              <w:rStyle w:val="12"/>
                              <w:rFonts w:hint="eastAsia" w:ascii="宋体" w:eastAsia="宋体" w:cs="宋体"/>
                              <w:sz w:val="28"/>
                              <w:szCs w:val="28"/>
                            </w:rPr>
                            <w:fldChar w:fldCharType="begin"/>
                          </w:r>
                          <w:r>
                            <w:rPr>
                              <w:rStyle w:val="12"/>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2"/>
                              <w:rFonts w:hint="eastAsia" w:ascii="宋体" w:eastAsia="宋体" w:cs="宋体"/>
                              <w:sz w:val="28"/>
                              <w:szCs w:val="28"/>
                            </w:rPr>
                            <w:t>- 2 -</w:t>
                          </w:r>
                          <w:r>
                            <w:rPr>
                              <w:rFonts w:hint="eastAsia" w:asci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文本框 5"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AeqiaNIAAAAD&#10;AQAADwAAAGRycy9kb3ducmV2LnhtbE2PTU/DMAyG70j8h8hI3FiyVRqjNN1hEhckJBiDs9t4bbfG&#10;qZrsA349hgu7WHr1Wo8fF8uz79WRxtgFtjCdGFDEdXAdNxY27093C1AxITvsA5OFL4qwLK+vCsxd&#10;OPEbHdepUQLhmKOFNqUh1zrWLXmMkzAQS7cNo8ckcWy0G/EkcN/rmTFz7bFjudDiQKuW6v364C1k&#10;WL2221m2yPgBP55fPnd6tfm29vZmah5BJTqn/2X41Rd1KMWpCgd2UfUW5JH0N6W7N5Iq4c4z0GWh&#10;L93LH1BLAwQUAAAACACHTuJAWNM/OgMCAAD3AwAADgAAAGRycy9lMm9Eb2MueG1srVPNjtMwGLwj&#10;8Q6W7zRtoLAbNV0hqkVICFZaeADXcRpL/pPtNikPAG/AiQt3nqvPwdjpz2q57IEcnPHf+JvxeHEz&#10;aEV2wgdpTU1nkyklwnDbSLOp6dcvty+uKAmRmYYpa0RN9yLQm+XzZ4veVaK0nVWN8AQkJlS9q2kX&#10;o6uKIvBOaBYm1gmDydZ6zSK6flM0nvVg16oop9PXRW9947zlIgSMrsZJemT0TyG0bSu5WFm+1cLE&#10;kdULxSIkhU66QJe52rYVPH5u2yAiUTWF0phbHAK8Tm2xXLBq45nrJD+WwJ5SwiNNmkmDQ89UKxYZ&#10;2Xr5D5WW3Ntg2zjhVhejkOwIVMymj7y575gTWQusDu5sevh/tPzT7s4T2SAJZUmJYRpXfvj54/Dr&#10;z+H3dzJPBvUuVFh37+78sRcAk9qh9Tr9oYMM2dT92VQxRMIx+Arf9TUlHFPly2k5nyXO4rLZ+RDf&#10;C6tJAjX1uLNsJdt9DHFcelqSzjL2ViqFcVYpQ3oUPr96Mwc/QxhbhABQOwgKZpN5HmxIPCsWOrJj&#10;yEOwSjZjArSMIolDWcrglySPIhOKw3rAZIJr2+xhGN4PSu2s/0ZJj/TU1OCxUKI+GFxOCtoJ+BNY&#10;nwAzHBtrikJH+C6Ogdw6LzcdeGe57uDebiPEZg8uZx+rQx5yucfspsA97OdVl/e6/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6qJo0gAAAAMBAAAPAAAAAAAAAAEAIAAAACIAAABkcnMvZG93bnJl&#10;di54bWxQSwECFAAUAAAACACHTuJAWNM/OgMCAAD3AwAADgAAAAAAAAABACAAAAAhAQAAZHJzL2Uy&#10;b0RvYy54bWxQSwUGAAAAAAYABgBZAQAAlgUAAAAA&#10;">
              <v:fill on="f" focussize="0,0"/>
              <v:stroke on="f" weight="1.25pt" joinstyle="miter"/>
              <v:imagedata o:title=""/>
              <o:lock v:ext="edit" aspectratio="f"/>
              <v:textbox inset="0mm,0mm,0mm,0mm" style="mso-fit-shape-to-text:t;">
                <w:txbxContent>
                  <w:p>
                    <w:pPr>
                      <w:pStyle w:val="7"/>
                      <w:rPr>
                        <w:rStyle w:val="12"/>
                        <w:rFonts w:hint="eastAsia" w:ascii="宋体" w:eastAsia="宋体" w:cs="宋体"/>
                        <w:sz w:val="28"/>
                        <w:szCs w:val="28"/>
                      </w:rPr>
                    </w:pPr>
                    <w:r>
                      <w:rPr>
                        <w:rStyle w:val="12"/>
                        <w:rFonts w:hint="eastAsia" w:ascii="宋体" w:eastAsia="宋体" w:cs="宋体"/>
                        <w:sz w:val="28"/>
                        <w:szCs w:val="28"/>
                      </w:rPr>
                      <w:fldChar w:fldCharType="begin"/>
                    </w:r>
                    <w:r>
                      <w:rPr>
                        <w:rStyle w:val="12"/>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2"/>
                        <w:rFonts w:hint="eastAsia" w:ascii="宋体" w:eastAsia="宋体" w:cs="宋体"/>
                        <w:sz w:val="28"/>
                        <w:szCs w:val="28"/>
                      </w:rPr>
                      <w:t>- 2 -</w:t>
                    </w:r>
                    <w:r>
                      <w:rPr>
                        <w:rFonts w:hint="eastAsia" w:ascii="宋体" w:eastAsia="宋体" w:cs="宋体"/>
                        <w:sz w:val="28"/>
                        <w:szCs w:val="28"/>
                      </w:rPr>
                      <w:fldChar w:fldCharType="end"/>
                    </w:r>
                  </w:p>
                </w:txbxContent>
              </v:textbox>
            </v:rect>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7" name="文本框 3"/>
              <wp:cNvGraphicFramePr/>
              <a:graphic xmlns:a="http://schemas.openxmlformats.org/drawingml/2006/main">
                <a:graphicData uri="http://schemas.microsoft.com/office/word/2010/wordprocessingShape">
                  <wps:wsp>
                    <wps:cNvSpPr/>
                    <wps:spPr>
                      <a:xfrm>
                        <a:off x="0" y="0"/>
                        <a:ext cx="444499" cy="230251"/>
                      </a:xfrm>
                      <a:prstGeom prst="rect">
                        <a:avLst/>
                      </a:prstGeom>
                      <a:noFill/>
                      <a:ln w="15875" cap="flat" cmpd="sng">
                        <a:noFill/>
                        <a:prstDash val="solid"/>
                        <a:miter/>
                      </a:ln>
                    </wps:spPr>
                    <wps:txbx>
                      <w:txbxContent>
                        <w:p>
                          <w:pPr>
                            <w:pStyle w:val="7"/>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- 1 -</w:t>
                          </w:r>
                          <w:r>
                            <w:rPr>
                              <w:rFonts w:hint="eastAsia" w:asci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AeqiaNIAAAAD&#10;AQAADwAAAGRycy9kb3ducmV2LnhtbE2PTU/DMAyG70j8h8hI3FiyVRqjNN1hEhckJBiDs9t4bbfG&#10;qZrsA349hgu7WHr1Wo8fF8uz79WRxtgFtjCdGFDEdXAdNxY27093C1AxITvsA5OFL4qwLK+vCsxd&#10;OPEbHdepUQLhmKOFNqUh1zrWLXmMkzAQS7cNo8ckcWy0G/EkcN/rmTFz7bFjudDiQKuW6v364C1k&#10;WL2221m2yPgBP55fPnd6tfm29vZmah5BJTqn/2X41Rd1KMWpCgd2UfUW5JH0N6W7N5Iq4c4z0GWh&#10;L93LH1BLAwQUAAAACACHTuJAJmeEawQCAAD1AwAADgAAAGRycy9lMm9Eb2MueG1srVNLbtswFNwX&#10;6B0I7mPJTt0kguUgqJGiQNEGSHsAmiItAvyBj7bkHqC9QVfddN9z+Rx9pGQ7SDdZVAtq+Bu+GQ4X&#10;t73RZCcCKGdrOp2UlAjLXaPspqZfv9xfXFMCkdmGaWdFTfcC6O3y9atF5ysxc63TjQgESSxUna9p&#10;G6OvigJ4KwyDifPC4qR0wbCI3bApmsA6ZDe6mJXl26JzofHBcQGAo6thko6M4SWETkrFxcrxrRE2&#10;DqxBaBZRErTKA13maqUUPH6WEkQkuqaoNOYWD0G8Tm2xXLBqE5hvFR9LYC8p4Zkmw5TFQ09UKxYZ&#10;2Qb1D5VRPDhwMk64M8UgJDuCKqblM28eW+ZF1oJWgz+ZDv+Pln/aPQSimppeUWKZwQs//Pxx+PXn&#10;8Ps7uUz2dB4qXPXoH8LYA4RJay+DSX9UQfps6f5kqegj4Tj4Br+bG0o4Ts0uy9l8mjiL82YfIL4X&#10;zpAEahrwxrKRbPcR4rD0uCSdZd290hrHWaUt6TDA8+urOfIzjKLECCA0HuWA3WSeJxsSz4pBS3YM&#10;0wBOq2a4f6OiSOKwLG3xlyQPIhOK/brHyQTXrtmjXfh6sNTWhW+UdJidmlp8KpToDxavJsXsCMIR&#10;rI+AWY4ba4qFDvBdHOK49UFtWuSd5rrB320jis0enM8eq8M05HLH5Ka4Pe3nVefXuv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eqiaNIAAAADAQAADwAAAAAAAAABACAAAAAiAAAAZHJzL2Rvd25y&#10;ZXYueG1sUEsBAhQAFAAAAAgAh07iQCZnhGsEAgAA9QMAAA4AAAAAAAAAAQAgAAAAIQEAAGRycy9l&#10;Mm9Eb2MueG1sUEsFBgAAAAAGAAYAWQEAAJcFAAAAAA==&#10;">
              <v:fill on="f" focussize="0,0"/>
              <v:stroke on="f" weight="1.25pt" joinstyle="miter"/>
              <v:imagedata o:title=""/>
              <o:lock v:ext="edit" aspectratio="f"/>
              <v:textbox inset="0mm,0mm,0mm,0mm" style="mso-fit-shape-to-text:t;">
                <w:txbxContent>
                  <w:p>
                    <w:pPr>
                      <w:pStyle w:val="7"/>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- 1 -</w:t>
                    </w:r>
                    <w:r>
                      <w:rPr>
                        <w:rFonts w:hint="eastAsia" w:asci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evenAndOddHeaders w:val="1"/>
  <w:drawingGridHorizontalSpacing w:val="1"/>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N2EzMTU1NGVmMjdiYWRkMDk4YzRiOTcxMjNhNjgifQ=="/>
    <w:docVar w:name="DocumentID" w:val="{5325F423-D5F5-4518-849D-B08AE9900A2E}"/>
    <w:docVar w:name="DocumentName" w:val="temp_TemplateFile507164562"/>
    <w:docVar w:name="KGWebUrl" w:val="http://59.215.184.28:80/seeyon/officeservlet"/>
  </w:docVars>
  <w:rsids>
    <w:rsidRoot w:val="00000000"/>
    <w:rsid w:val="03FD629C"/>
    <w:rsid w:val="06913AF2"/>
    <w:rsid w:val="0CE0512D"/>
    <w:rsid w:val="114958B8"/>
    <w:rsid w:val="13DE21A7"/>
    <w:rsid w:val="1AE81CB5"/>
    <w:rsid w:val="237665B5"/>
    <w:rsid w:val="2AD85250"/>
    <w:rsid w:val="2AEC7938"/>
    <w:rsid w:val="367B496E"/>
    <w:rsid w:val="36C461BD"/>
    <w:rsid w:val="3C281149"/>
    <w:rsid w:val="3E263682"/>
    <w:rsid w:val="40935F72"/>
    <w:rsid w:val="448239F1"/>
    <w:rsid w:val="4A107978"/>
    <w:rsid w:val="50183CEB"/>
    <w:rsid w:val="502C53CF"/>
    <w:rsid w:val="52372603"/>
    <w:rsid w:val="6BCE4FEF"/>
    <w:rsid w:val="6C394A09"/>
    <w:rsid w:val="6E03170B"/>
    <w:rsid w:val="6F964EEA"/>
    <w:rsid w:val="72081C4E"/>
    <w:rsid w:val="77492F17"/>
    <w:rsid w:val="77AB182F"/>
    <w:rsid w:val="790761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1">
    <w:name w:val="Default Paragraph Font"/>
    <w:autoRedefine/>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autoRedefine/>
    <w:qFormat/>
    <w:uiPriority w:val="0"/>
    <w:pPr>
      <w:ind w:firstLine="200" w:firstLineChars="200"/>
    </w:pPr>
    <w:rPr>
      <w:rFonts w:ascii="Calibri" w:hAnsi="Calibri" w:eastAsia="宋体" w:cs="Times New Roman"/>
      <w:color w:val="000000"/>
    </w:rPr>
  </w:style>
  <w:style w:type="paragraph" w:styleId="6">
    <w:name w:val="Body Text"/>
    <w:basedOn w:val="1"/>
    <w:autoRedefine/>
    <w:qFormat/>
    <w:uiPriority w:val="0"/>
    <w:rPr>
      <w:rFonts w:ascii="Times New Roman" w:hAnsi="Times New Roman" w:eastAsia="仿宋_GB2312"/>
      <w:spacing w:val="-6"/>
      <w:kern w:val="10"/>
      <w:sz w:val="32"/>
      <w:szCs w:val="24"/>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widowControl/>
      <w:spacing w:before="100" w:beforeAutospacing="1" w:after="100" w:afterAutospacing="1"/>
      <w:jc w:val="left"/>
    </w:pPr>
    <w:rPr>
      <w:rFonts w:ascii="宋体" w:eastAsia="宋体" w:cs="宋体"/>
      <w:kern w:val="0"/>
      <w:sz w:val="24"/>
      <w:szCs w:val="24"/>
    </w:r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ln>
        <a:ln w="12700" cap="flat" cmpd="sng" algn="ctr">
          <a:solidFill>
            <a:schemeClr val="phClr"/>
          </a:solidFill>
        </a:ln>
        <a:ln w="19050" cap="flat" cmpd="sng" algn="ctr">
          <a:solidFill>
            <a:schemeClr val="phClr"/>
          </a:solidFill>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15875" cap="flat" cmpd="sng">
          <a:solidFill>
            <a:srgbClr val="739CC3"/>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5875" cap="flat" cmpd="sng">
          <a:solidFill>
            <a:srgbClr val="739CC3"/>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10</Pages>
  <Words>3731</Words>
  <Characters>3803</Characters>
  <Lines>396</Lines>
  <Paragraphs>154</Paragraphs>
  <TotalTime>6</TotalTime>
  <ScaleCrop>false</ScaleCrop>
  <LinksUpToDate>false</LinksUpToDate>
  <CharactersWithSpaces>3881</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2016-06-27T08:09:00Z</dcterms:created>
  <dc:creator>LSK</dc:creator>
  <dc:description>Shankar's Birthday falls on 25th July.  Don't Forget to wish him</dc:description>
  <cp:keywords>Birthday</cp:keywords>
  <cp:lastModifiedBy>贵州二十一数字传媒</cp:lastModifiedBy>
  <dcterms:modified xsi:type="dcterms:W3CDTF">2024-01-13T12:50:28Z</dcterms:modified>
  <dc:subject>Birthday</dc:subject>
  <dc:title>Are You suprised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B1215C8A372C41C0A86E0593C7D199B0_13</vt:lpwstr>
  </property>
</Properties>
</file>