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附件3：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贵阳市“市管国有企业工资内外收入检查”实地检查项目服务采购磋商</w:t>
      </w:r>
      <w:r>
        <w:rPr>
          <w:rFonts w:hint="eastAsia" w:ascii="方正小标宋简体" w:eastAsia="方正小标宋简体"/>
          <w:sz w:val="44"/>
          <w:szCs w:val="44"/>
        </w:rPr>
        <w:t>评分表</w:t>
      </w:r>
    </w:p>
    <w:p>
      <w:pPr>
        <w:pStyle w:val="2"/>
        <w:ind w:firstLine="320" w:firstLineChars="100"/>
        <w:rPr>
          <w:rFonts w:hint="eastAsia"/>
        </w:rPr>
      </w:pPr>
    </w:p>
    <w:p>
      <w:pPr>
        <w:pStyle w:val="2"/>
        <w:ind w:firstLine="320" w:firstLineChars="100"/>
        <w:rPr>
          <w:rFonts w:hint="default" w:eastAsia="仿宋_GB2312"/>
          <w:lang w:val="en-US" w:eastAsia="zh-CN"/>
        </w:rPr>
      </w:pPr>
      <w:r>
        <w:rPr>
          <w:rFonts w:hint="eastAsia"/>
        </w:rPr>
        <w:t>申报单位：</w:t>
      </w:r>
      <w:r>
        <w:rPr>
          <w:rFonts w:hint="eastAsia"/>
          <w:lang w:val="en-US" w:eastAsia="zh-CN"/>
        </w:rPr>
        <w:t xml:space="preserve">               </w:t>
      </w:r>
    </w:p>
    <w:tbl>
      <w:tblPr>
        <w:tblStyle w:val="6"/>
        <w:tblW w:w="8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380"/>
        <w:gridCol w:w="1050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sz w:val="24"/>
              </w:rPr>
            </w:pP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项目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分值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sz w:val="24"/>
                <w:highlight w:val="none"/>
              </w:rPr>
            </w:pPr>
            <w:r>
              <w:rPr>
                <w:rFonts w:hint="eastAsia" w:ascii="宋体" w:cs="宋体"/>
                <w:sz w:val="24"/>
                <w:highlight w:val="none"/>
                <w:lang w:eastAsia="zh-CN"/>
              </w:rPr>
              <w:t>技术分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hint="eastAsia" w:ascii="宋体" w:cs="宋体"/>
                <w:sz w:val="24"/>
                <w:highlight w:val="none"/>
              </w:rPr>
            </w:pPr>
            <w:r>
              <w:rPr>
                <w:rFonts w:hint="eastAsia" w:ascii="宋体" w:cs="宋体"/>
                <w:sz w:val="24"/>
                <w:highlight w:val="none"/>
              </w:rPr>
              <w:t>提供</w:t>
            </w:r>
            <w:r>
              <w:rPr>
                <w:rFonts w:hint="eastAsia" w:ascii="宋体" w:cs="宋体"/>
                <w:sz w:val="24"/>
                <w:highlight w:val="none"/>
                <w:lang w:val="en-US" w:eastAsia="zh-CN"/>
              </w:rPr>
              <w:t>检查</w:t>
            </w:r>
            <w:r>
              <w:rPr>
                <w:rFonts w:hint="eastAsia" w:ascii="宋体" w:cs="宋体"/>
                <w:sz w:val="24"/>
                <w:highlight w:val="none"/>
              </w:rPr>
              <w:t>方案：</w:t>
            </w:r>
          </w:p>
          <w:p>
            <w:pPr>
              <w:widowControl/>
              <w:rPr>
                <w:rFonts w:hint="eastAsia" w:asci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cs="宋体"/>
                <w:sz w:val="24"/>
                <w:highlight w:val="none"/>
              </w:rPr>
              <w:t>方案描述完整清晰、科学合理，程序与方法效率高，较好的满足项目需求</w:t>
            </w:r>
            <w:r>
              <w:rPr>
                <w:rFonts w:hint="eastAsia" w:ascii="宋体" w:cs="宋体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sz w:val="24"/>
                <w:highlight w:val="yellow"/>
              </w:rPr>
            </w:pPr>
            <w:r>
              <w:rPr>
                <w:rFonts w:hint="eastAsia" w:ascii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cs="宋体"/>
                <w:sz w:val="24"/>
                <w:highlight w:val="none"/>
              </w:rPr>
              <w:t>0分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案例分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hint="eastAsia" w:ascii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机构服务能力：</w:t>
            </w:r>
          </w:p>
          <w:p>
            <w:pPr>
              <w:widowControl/>
              <w:rPr>
                <w:rFonts w:hint="eastAsia" w:asci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sz w:val="24"/>
                <w:lang w:eastAsia="zh-CN"/>
              </w:rPr>
              <w:t>承担过人力资源社会保障部门或其他部门</w:t>
            </w:r>
            <w:r>
              <w:rPr>
                <w:rFonts w:hint="eastAsia" w:ascii="宋体" w:cs="宋体"/>
                <w:sz w:val="24"/>
                <w:lang w:val="en-US" w:eastAsia="zh-CN"/>
              </w:rPr>
              <w:t>开展的国有企业工资内外收入检查相关工作经验。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cs="宋体"/>
                <w:sz w:val="24"/>
                <w:highlight w:val="none"/>
                <w:lang w:val="en-US" w:eastAsia="zh-CN"/>
              </w:rPr>
              <w:t>30分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sz w:val="24"/>
                <w:lang w:eastAsia="zh-CN"/>
              </w:rPr>
            </w:pPr>
            <w:r>
              <w:rPr>
                <w:rFonts w:hint="eastAsia" w:ascii="宋体" w:cs="宋体"/>
                <w:sz w:val="24"/>
                <w:lang w:eastAsia="zh-CN"/>
              </w:rPr>
              <w:t>价格分</w:t>
            </w:r>
          </w:p>
          <w:p>
            <w:pPr>
              <w:widowControl/>
              <w:jc w:val="center"/>
              <w:rPr>
                <w:rFonts w:hint="eastAsia" w:ascii="宋体" w:eastAsia="宋体" w:cs="宋体"/>
                <w:sz w:val="24"/>
                <w:lang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(以第二次报价计算）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价格分计算方式：</w:t>
            </w:r>
          </w:p>
          <w:p>
            <w:pPr>
              <w:jc w:val="left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1.将所有投标报价计算出算数平均值作为评标基准价；</w:t>
            </w:r>
          </w:p>
          <w:p>
            <w:pPr>
              <w:jc w:val="left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2.计算各投标人报价偏差率（正数），偏差率=100%*（投标人报价-评标基准价）/评标基准价；偏差率相同时，价低者优先；</w:t>
            </w:r>
          </w:p>
          <w:p>
            <w:pPr>
              <w:jc w:val="left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3.计算各投标人报价扣分值（正数），扣分值=各投标人报价偏差率*30；</w:t>
            </w:r>
          </w:p>
          <w:p>
            <w:pPr>
              <w:jc w:val="left"/>
              <w:rPr>
                <w:rFonts w:hint="eastAsia" w:ascii="宋体" w:eastAsia="宋体" w:cs="宋体"/>
                <w:sz w:val="24"/>
                <w:lang w:eastAsia="zh-CN"/>
              </w:rPr>
            </w:pPr>
            <w:r>
              <w:rPr>
                <w:rFonts w:hint="eastAsia" w:ascii="宋体" w:cs="宋体"/>
                <w:sz w:val="24"/>
              </w:rPr>
              <w:t>4.计算各投标人报价得分，报价得分=30-扣分值。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30分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sz w:val="24"/>
                <w:lang w:eastAsia="zh-CN"/>
              </w:rPr>
              <w:t>商务分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hint="eastAsia" w:ascii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机构经营情况：</w:t>
            </w:r>
          </w:p>
          <w:p>
            <w:pPr>
              <w:widowControl/>
              <w:rPr>
                <w:rFonts w:hint="eastAsia" w:ascii="Calibri" w:hAnsi="Calibri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通过近期业务主管部门或登记部门的年审、年检（需提供通过证明，否则不得分）。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cs="宋体"/>
                <w:sz w:val="24"/>
                <w:highlight w:val="none"/>
                <w:lang w:val="en-US" w:eastAsia="zh-CN"/>
              </w:rPr>
              <w:t>10分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sz w:val="24"/>
                <w:lang w:eastAsia="zh-CN"/>
              </w:rPr>
            </w:pPr>
            <w:r>
              <w:rPr>
                <w:rFonts w:hint="eastAsia" w:ascii="宋体" w:cs="宋体"/>
                <w:sz w:val="24"/>
                <w:lang w:eastAsia="zh-CN"/>
              </w:rPr>
              <w:t>备注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tabs>
                <w:tab w:val="left" w:pos="312"/>
              </w:tabs>
              <w:jc w:val="left"/>
              <w:rPr>
                <w:rFonts w:hint="eastAsia" w:ascii="宋体" w:eastAsia="宋体" w:cs="宋体"/>
                <w:sz w:val="24"/>
                <w:lang w:eastAsia="zh-CN"/>
              </w:rPr>
            </w:pPr>
            <w:r>
              <w:rPr>
                <w:rFonts w:hint="eastAsia" w:ascii="宋体" w:cs="宋体"/>
                <w:sz w:val="24"/>
                <w:lang w:eastAsia="zh-CN"/>
              </w:rPr>
              <w:t>根据响应资料，在磋商</w:t>
            </w:r>
            <w:bookmarkStart w:id="0" w:name="_GoBack"/>
            <w:bookmarkEnd w:id="0"/>
            <w:r>
              <w:rPr>
                <w:rFonts w:hint="eastAsia" w:ascii="宋体" w:cs="宋体"/>
                <w:sz w:val="24"/>
                <w:lang w:eastAsia="zh-CN"/>
              </w:rPr>
              <w:t>现场由专家酌情评分。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sz w:val="24"/>
                <w:lang w:eastAsia="zh-CN"/>
              </w:rPr>
            </w:pPr>
            <w:r>
              <w:rPr>
                <w:rFonts w:hint="eastAsia" w:ascii="宋体" w:cs="宋体"/>
                <w:sz w:val="24"/>
                <w:lang w:eastAsia="zh-CN"/>
              </w:rPr>
              <w:t>合计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sz w:val="24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/>
          <w:lang w:eastAsia="zh-CN"/>
        </w:rPr>
        <w:t>评分人（签字）：</w:t>
      </w:r>
      <w:r>
        <w:rPr>
          <w:rFonts w:hint="eastAsia"/>
          <w:lang w:val="en-US" w:eastAsia="zh-CN"/>
        </w:rPr>
        <w:t xml:space="preserve">              评分日期：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ODRkODQwNTJkNTU5Njg3OTQxZjhhMjVkNjBlZTU5OTIifQ=="/>
  </w:docVars>
  <w:rsids>
    <w:rsidRoot w:val="00000000"/>
    <w:rsid w:val="14967FAD"/>
    <w:rsid w:val="1FF866A1"/>
    <w:rsid w:val="8B9FDC3B"/>
    <w:rsid w:val="9DCE8E4B"/>
    <w:rsid w:val="FEB7D3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265</Words>
  <Characters>274</Characters>
  <Lines>40</Lines>
  <Paragraphs>25</Paragraphs>
  <TotalTime>1</TotalTime>
  <ScaleCrop>false</ScaleCrop>
  <LinksUpToDate>false</LinksUpToDate>
  <CharactersWithSpaces>274</CharactersWithSpaces>
  <Application>WPS Office_11.8.2.10624_F1E327BC-269C-435d-A152-05C5408002CA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jczcc</dc:creator>
  <cp:lastModifiedBy>ysgz</cp:lastModifiedBy>
  <dcterms:modified xsi:type="dcterms:W3CDTF">2025-06-04T14:29:13Z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165E4E9E646641E089BA43C1A6B4A640</vt:lpwstr>
  </property>
</Properties>
</file>