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二十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一、贵阳人才服务绿卡（C类1人）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潘齐凤  中国振华（集团）新云电子元器件有限责任公司（国营第四三二六厂），博士研究生学历，正高级工程师，贵州省人民政府特殊津贴人员，贵州省科学技术进步奖二等奖（第一完成人）。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二、贵阳人才服务绿卡（E类2人）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hanging="1536" w:hangingChars="48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1.王  刚  中国振华（集团）新云电子元器件有限责任公司（国营第四三二六厂），本科学历，高级工程师，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贵州省千层次创新型人才。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2.黄彦森</w:t>
      </w:r>
      <w:r>
        <w:rPr>
          <w:rFonts w:hint="eastAsia" w:ascii="仿宋_GB2312" w:hAnsi="仿宋_GB2312" w:eastAsia="仿宋_GB2312" w:cs="仿宋_GB2312"/>
          <w:spacing w:val="23"/>
          <w:w w:val="16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贵州联建土木工程质量检测监控中心有限公司总经理，硕士研究生学历，正高级工程师，列为贵阳市科技人才项目培养对象的人才。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五、贵阳人才服务绿卡（F类7人）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梁  浩  贵阳银行股份有限公司，博士研究生学历，高级会计师。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姚冬平  贵州正业工程技术投资有限公司，本科学历，正高级工程师，拥有专利1项。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唐艺玲  贵阳市食品药品检验检测中心，博士研究生学历。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陈留红  贵州正业工程技术投资有限公司，本科学历，正高级工程师。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扶  燕  贵阳学院，博士研究生学历，副教授。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鲁奕岗  贵州詹阳动力重工有限公司产品主管，硕士研究生学历，高级工程师，从事工程机械产品研发。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刘长兴  贵州君安农业发展有限公司总经理，硕士研究生学历，正高级经济师，中共宁德市委组织部、宁德市人力资源和社会保障局授予宁德市“天湖人才”（一类）。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12951D88"/>
    <w:rsid w:val="129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2023-08-25T01:37:00Z</dcterms:created>
  <dc:creator>花心小黑桃</dc:creator>
  <cp:lastModifiedBy>花心小黑桃</cp:lastModifiedBy>
  <dcterms:modified xsi:type="dcterms:W3CDTF">2023-08-25T01:38:42Z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240EC285EBC54FCF9BEB9DF09F5F6904_11</vt:lpwstr>
  </property>
</Properties>
</file>