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Autospacing="0" w:line="343" w:lineRule="exact"/>
        <w:ind w:left="0" w:right="0" w:firstLine="0" w:firstLineChars="0"/>
        <w:jc w:val="both"/>
        <w:rPr>
          <w:rFonts w:hint="eastAsia" w:ascii="黑体" w:hAnsi="宋体" w:eastAsia="黑体" w:cs="黑体"/>
          <w:kern w:val="0"/>
          <w:sz w:val="32"/>
          <w:szCs w:val="32"/>
          <w:highlight w:val="none"/>
          <w:lang w:val="en-US" w:eastAsia="zh-CN" w:bidi="ar"/>
        </w:rPr>
      </w:pPr>
      <w:r>
        <w:rPr>
          <w:rFonts w:hint="eastAsia" w:ascii="黑体" w:hAnsi="宋体" w:eastAsia="黑体" w:cs="黑体"/>
          <w:kern w:val="0"/>
          <w:sz w:val="32"/>
          <w:szCs w:val="32"/>
          <w:highlight w:val="none"/>
          <w:lang w:val="en-US" w:eastAsia="zh-CN" w:bidi="ar"/>
        </w:rPr>
        <w:t>附件1</w:t>
      </w:r>
    </w:p>
    <w:p>
      <w:pPr>
        <w:keepNext w:val="0"/>
        <w:keepLines w:val="0"/>
        <w:widowControl/>
        <w:suppressLineNumbers w:val="0"/>
        <w:spacing w:before="167" w:beforeLines="38" w:beforeAutospacing="0" w:after="221" w:afterLines="50" w:afterAutospacing="0" w:line="600" w:lineRule="exact"/>
        <w:ind w:left="0" w:right="0" w:firstLine="880" w:firstLineChars="200"/>
        <w:jc w:val="center"/>
        <w:rPr>
          <w:rFonts w:hint="eastAsia" w:ascii="方正仿宋_GBK" w:hAnsi="方正仿宋_GBK" w:eastAsia="方正仿宋_GBK" w:cs="方正仿宋_GBK"/>
          <w:kern w:val="0"/>
          <w:sz w:val="32"/>
          <w:szCs w:val="32"/>
          <w:highlight w:val="none"/>
        </w:rPr>
      </w:pPr>
      <w:bookmarkStart w:id="0" w:name="_GoBack"/>
      <w:r>
        <w:rPr>
          <w:rFonts w:hint="eastAsia" w:ascii="方正小标宋简体" w:hAnsi="方正小标宋简体" w:eastAsia="方正小标宋简体" w:cs="方正小标宋简体"/>
          <w:kern w:val="0"/>
          <w:sz w:val="44"/>
          <w:szCs w:val="44"/>
          <w:highlight w:val="none"/>
          <w:lang w:val="en-US" w:eastAsia="zh-CN" w:bidi="ar"/>
        </w:rPr>
        <w:t>验收评价标准</w:t>
      </w:r>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1307"/>
        <w:gridCol w:w="1123"/>
        <w:gridCol w:w="761"/>
        <w:gridCol w:w="9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rPr>
                <w:rFonts w:hint="eastAsia" w:ascii="黑体" w:hAnsi="宋体" w:eastAsia="黑体" w:cs="黑体"/>
                <w:i w:val="0"/>
                <w:iCs w:val="0"/>
                <w:color w:val="000000"/>
                <w:kern w:val="0"/>
                <w:sz w:val="24"/>
                <w:szCs w:val="24"/>
                <w:highlight w:val="none"/>
                <w:u w:val="none"/>
                <w:lang w:eastAsia="zh-CN"/>
              </w:rPr>
            </w:pPr>
            <w:r>
              <w:rPr>
                <w:rFonts w:hint="eastAsia" w:ascii="黑体" w:hAnsi="宋体" w:eastAsia="黑体" w:cs="黑体"/>
                <w:i w:val="0"/>
                <w:iCs w:val="0"/>
                <w:color w:val="000000"/>
                <w:kern w:val="0"/>
                <w:sz w:val="24"/>
                <w:szCs w:val="24"/>
                <w:highlight w:val="none"/>
                <w:u w:val="none"/>
                <w:lang w:eastAsia="zh-CN"/>
              </w:rPr>
              <w:t>序号</w:t>
            </w:r>
          </w:p>
        </w:tc>
        <w:tc>
          <w:tcPr>
            <w:tcW w:w="13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rPr>
                <w:rFonts w:hint="eastAsia" w:ascii="黑体" w:hAnsi="宋体" w:eastAsia="黑体" w:cs="黑体"/>
                <w:i w:val="0"/>
                <w:iCs w:val="0"/>
                <w:color w:val="000000"/>
                <w:kern w:val="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验收指标</w:t>
            </w:r>
          </w:p>
        </w:tc>
        <w:tc>
          <w:tcPr>
            <w:tcW w:w="11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rPr>
                <w:rFonts w:hint="eastAsia" w:ascii="黑体" w:hAnsi="宋体" w:eastAsia="黑体" w:cs="黑体"/>
                <w:i w:val="0"/>
                <w:iCs w:val="0"/>
                <w:color w:val="000000"/>
                <w:kern w:val="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分值</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left="0" w:leftChars="0" w:firstLine="0" w:firstLineChars="0"/>
              <w:jc w:val="center"/>
              <w:textAlignment w:val="center"/>
              <w:rPr>
                <w:rFonts w:hint="eastAsia" w:ascii="黑体" w:hAnsi="宋体" w:eastAsia="黑体" w:cs="黑体"/>
                <w:i w:val="0"/>
                <w:iCs w:val="0"/>
                <w:color w:val="000000"/>
                <w:kern w:val="0"/>
                <w:sz w:val="24"/>
                <w:szCs w:val="24"/>
                <w:highlight w:val="none"/>
                <w:u w:val="none"/>
              </w:rPr>
            </w:pPr>
            <w:r>
              <w:rPr>
                <w:rFonts w:hint="eastAsia" w:ascii="黑体" w:hAnsi="宋体" w:eastAsia="黑体" w:cs="黑体"/>
                <w:i w:val="0"/>
                <w:iCs w:val="0"/>
                <w:color w:val="000000"/>
                <w:kern w:val="0"/>
                <w:sz w:val="24"/>
                <w:szCs w:val="24"/>
                <w:highlight w:val="none"/>
                <w:u w:val="none"/>
              </w:rPr>
              <w:t>最高得分</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20" w:lineRule="atLeast"/>
              <w:ind w:firstLine="480" w:firstLineChars="200"/>
              <w:jc w:val="center"/>
              <w:textAlignment w:val="center"/>
              <w:rPr>
                <w:rFonts w:hint="eastAsia" w:ascii="黑体" w:hAnsi="宋体" w:eastAsia="黑体" w:cs="黑体"/>
                <w:i w:val="0"/>
                <w:iCs w:val="0"/>
                <w:color w:val="000000"/>
                <w:kern w:val="0"/>
                <w:sz w:val="24"/>
                <w:szCs w:val="24"/>
                <w:highlight w:val="none"/>
                <w:u w:val="none"/>
              </w:rPr>
            </w:pPr>
            <w:r>
              <w:rPr>
                <w:rFonts w:hint="eastAsia" w:ascii="黑体" w:hAnsi="宋体" w:eastAsia="黑体" w:cs="黑体"/>
                <w:i w:val="0"/>
                <w:iCs w:val="0"/>
                <w:color w:val="000000"/>
                <w:kern w:val="0"/>
                <w:sz w:val="24"/>
                <w:szCs w:val="24"/>
                <w:highlight w:val="none"/>
                <w:u w:val="none"/>
                <w:lang w:val="en-US" w:eastAsia="zh-CN" w:bidi="ar"/>
              </w:rPr>
              <w:t>得分标准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130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组织管理</w:t>
            </w:r>
          </w:p>
        </w:tc>
        <w:tc>
          <w:tcPr>
            <w:tcW w:w="112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成立由地市级领导牵头的养老服务领导小组，推动实施居家和社区基本养老服务提升行动项目（2分）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养老服务领导小组通过召开专题会议等方式进行工作部署或调度，部署或调度一次得0.5分，最高得2分（2分）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13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规范标准</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制定</w:t>
            </w:r>
          </w:p>
        </w:tc>
        <w:tc>
          <w:tcPr>
            <w:tcW w:w="112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default" w:ascii="方正仿宋_GBK" w:hAnsi="方正仿宋_GBK" w:eastAsia="方正仿宋_GBK" w:cs="方正仿宋_GBK"/>
                <w:i w:val="0"/>
                <w:iCs w:val="0"/>
                <w:color w:val="000000"/>
                <w:kern w:val="0"/>
                <w:sz w:val="24"/>
                <w:szCs w:val="24"/>
                <w:highlight w:val="none"/>
                <w:u w:val="none"/>
                <w:lang w:val="en-US" w:eastAsia="zh-CN"/>
              </w:rPr>
            </w:pPr>
            <w:r>
              <w:rPr>
                <w:rFonts w:hint="eastAsia" w:ascii="方正仿宋_GBK" w:hAnsi="方正仿宋_GBK" w:eastAsia="方正仿宋_GBK" w:cs="方正仿宋_GBK"/>
                <w:i w:val="0"/>
                <w:iCs w:val="0"/>
                <w:color w:val="000000"/>
                <w:kern w:val="0"/>
                <w:sz w:val="24"/>
                <w:szCs w:val="24"/>
                <w:highlight w:val="none"/>
                <w:u w:val="none"/>
                <w:lang w:val="en-US" w:eastAsia="zh-CN"/>
              </w:rPr>
              <w:t>6</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SA"/>
              </w:rPr>
            </w:pP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制定家庭养老床位适老化改造、智能化改造、老年用品配置清单或制定质量标准规范（3分）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制定居家养老上门服务内容清单或制定标准规范（3分）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w:t>
            </w:r>
          </w:p>
        </w:tc>
        <w:tc>
          <w:tcPr>
            <w:tcW w:w="1307"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过程管理</w:t>
            </w:r>
          </w:p>
        </w:tc>
        <w:tc>
          <w:tcPr>
            <w:tcW w:w="112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季度通报中被点名表扬的，一次得1分，最多不超过2分；被通报提醒的，一次扣1分，最多扣2分（2分）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w:t>
            </w:r>
          </w:p>
        </w:tc>
        <w:tc>
          <w:tcPr>
            <w:tcW w:w="1307"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资金管理</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资金管理</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1123" w:type="dxa"/>
            <w:vMerge w:val="restart"/>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项目地区制定项目资金使用管理制度（1分）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7</w:t>
            </w:r>
          </w:p>
        </w:tc>
        <w:tc>
          <w:tcPr>
            <w:tcW w:w="130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112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“项目配套资金/中央专项彩票公益金支持金额”的比值，≥1得4分，其余按比例得分（4分）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截至2023年12月底，资金执行进度达到100%的，得4分；90%（含）—100%的得3分；80%（含）—90%的减3分；低于80%的减4分（4分）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9</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服务提供主体符合《政府购买服务管理办法》政策要求（0.5分），服务提供主体的遴选确定程序符合《中华人民共和国政府采购法》、《中华人民共和国政府采购法实施条例》等政策要求（0.5分）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lang w:val="en-US"/>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项目地区所在民政、财政部门公布中央专项彩票公益金使用及项目进展情况（2分）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11</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b w:val="0"/>
                <w:bCs w:val="0"/>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b w:val="0"/>
                <w:bCs w:val="0"/>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项目地区所在地市级财政部门按照直达资金管理有关规定，在收到资金指标文件30日内下达全部资金给区县民政部门（3分）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b/>
                <w:bCs/>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对支持建设的家庭养老床位、提供的居家养老上门服务以适当方式标明“彩票公益金”资助（1分）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13</w:t>
            </w:r>
          </w:p>
        </w:tc>
        <w:tc>
          <w:tcPr>
            <w:tcW w:w="13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rPr>
              <w:t>家庭养老床位建设完成情况</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default" w:ascii="方正仿宋_GBK" w:hAnsi="方正仿宋_GBK" w:eastAsia="方正仿宋_GBK" w:cs="方正仿宋_GBK"/>
                <w:i w:val="0"/>
                <w:iCs w:val="0"/>
                <w:color w:val="000000"/>
                <w:kern w:val="0"/>
                <w:sz w:val="24"/>
                <w:szCs w:val="24"/>
                <w:highlight w:val="none"/>
                <w:u w:val="none"/>
                <w:lang w:val="en-US" w:eastAsia="zh-CN"/>
              </w:rPr>
            </w:pPr>
            <w:r>
              <w:rPr>
                <w:rFonts w:hint="eastAsia" w:ascii="方正仿宋_GBK" w:hAnsi="方正仿宋_GBK" w:eastAsia="方正仿宋_GBK" w:cs="方正仿宋_GBK"/>
                <w:i w:val="0"/>
                <w:iCs w:val="0"/>
                <w:color w:val="000000"/>
                <w:kern w:val="0"/>
                <w:sz w:val="24"/>
                <w:szCs w:val="24"/>
                <w:highlight w:val="none"/>
                <w:u w:val="none"/>
                <w:lang w:val="en-US" w:eastAsia="zh-CN"/>
              </w:rPr>
              <w:t>26</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default" w:ascii="方正仿宋_GBK" w:hAnsi="方正仿宋_GBK" w:eastAsia="方正仿宋_GBK" w:cs="方正仿宋_GBK"/>
                <w:i w:val="0"/>
                <w:iCs w:val="0"/>
                <w:color w:val="000000"/>
                <w:kern w:val="0"/>
                <w:sz w:val="24"/>
                <w:szCs w:val="24"/>
                <w:highlight w:val="none"/>
                <w:u w:val="none"/>
                <w:lang w:val="en-US"/>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任务完成率=为项目对象建成家庭养老床位数/绩效目标任务量；已完工达标率=符合建设基本要求（如项目清单、质量标准等）的已完工床位数/当年已完工床位数，按完成率*达标率*15分计算得出应得分值。超额完成10%以内的，加1分；超额完成10%（含）—20%，加2分；超额完成20%（含）及以上的，加3分（本项最高18分，有关数据截至2023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开展质量抽查回访，回访率达到100%的，得4分；90%（含）—100%的，得2分；80%（含）—90%的减2分；低于80%的减4分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15</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both"/>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在项目资金使用完毕后，对服务对象持续享受家庭养老床位作出政策安排（4分）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w:t>
            </w:r>
          </w:p>
        </w:tc>
        <w:tc>
          <w:tcPr>
            <w:tcW w:w="13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居家养老上门服务完成情况</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居家养老上门服务完成情况</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112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default" w:ascii="方正仿宋_GBK" w:hAnsi="方正仿宋_GBK" w:eastAsia="方正仿宋_GBK" w:cs="方正仿宋_GBK"/>
                <w:i w:val="0"/>
                <w:iCs w:val="0"/>
                <w:color w:val="000000"/>
                <w:kern w:val="0"/>
                <w:sz w:val="24"/>
                <w:szCs w:val="24"/>
                <w:highlight w:val="none"/>
                <w:u w:val="none"/>
                <w:lang w:val="en-US" w:eastAsia="zh-CN"/>
              </w:rPr>
            </w:pPr>
            <w:r>
              <w:rPr>
                <w:rFonts w:hint="eastAsia" w:ascii="方正仿宋_GBK" w:hAnsi="方正仿宋_GBK" w:eastAsia="方正仿宋_GBK" w:cs="方正仿宋_GBK"/>
                <w:i w:val="0"/>
                <w:iCs w:val="0"/>
                <w:color w:val="000000"/>
                <w:kern w:val="0"/>
                <w:sz w:val="24"/>
                <w:szCs w:val="24"/>
                <w:highlight w:val="none"/>
                <w:u w:val="none"/>
                <w:lang w:val="en-US" w:eastAsia="zh-CN"/>
              </w:rPr>
              <w:t>26</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default" w:ascii="方正仿宋_GBK" w:hAnsi="方正仿宋_GBK" w:eastAsia="方正仿宋_GBK" w:cs="方正仿宋_GBK"/>
                <w:i w:val="0"/>
                <w:iCs w:val="0"/>
                <w:color w:val="000000"/>
                <w:kern w:val="0"/>
                <w:sz w:val="24"/>
                <w:szCs w:val="24"/>
                <w:highlight w:val="none"/>
                <w:u w:val="none"/>
                <w:lang w:val="en-US" w:eastAsia="zh-CN"/>
              </w:rPr>
            </w:pPr>
            <w:r>
              <w:rPr>
                <w:rFonts w:hint="eastAsia" w:ascii="方正仿宋_GBK" w:hAnsi="方正仿宋_GBK" w:eastAsia="方正仿宋_GBK" w:cs="方正仿宋_GBK"/>
                <w:i w:val="0"/>
                <w:iCs w:val="0"/>
                <w:color w:val="000000"/>
                <w:kern w:val="0"/>
                <w:sz w:val="24"/>
                <w:szCs w:val="24"/>
                <w:highlight w:val="none"/>
                <w:u w:val="none"/>
                <w:lang w:val="en-US" w:eastAsia="zh-CN"/>
              </w:rPr>
              <w:t>26</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任务完成率=为项目对象提供上门服务人次数/绩效目标任务量；达标率=符合质量标准的居家养老上门服务人次数/当年已完成上门服务人次数，按完成率*达标率*15分计算得出应得分值。超额完成10%以内的，加1分；超额完成10%（含）—20%，加2分；超额完成20%（含）及以上的，加3分（本项最高18分，有关数据截至2023年12月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17</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对上门服务开展质量抽查回访，回访率达到100%的，得4分；90%（含）—100%的，得2分；80%（含）—90%的减2分；低于80%的减4分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在项目资金使用完毕后，对服务对象持续享受居家养老上门服务作出政策安排（4分）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19</w:t>
            </w:r>
          </w:p>
        </w:tc>
        <w:tc>
          <w:tcPr>
            <w:tcW w:w="13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配套支持</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保障情况</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default" w:ascii="方正仿宋_GBK" w:hAnsi="方正仿宋_GBK" w:eastAsia="方正仿宋_GBK" w:cs="方正仿宋_GBK"/>
                <w:i w:val="0"/>
                <w:iCs w:val="0"/>
                <w:color w:val="000000"/>
                <w:kern w:val="0"/>
                <w:sz w:val="24"/>
                <w:szCs w:val="24"/>
                <w:highlight w:val="none"/>
                <w:u w:val="none"/>
                <w:lang w:val="en-US" w:eastAsia="zh-CN"/>
              </w:rPr>
            </w:pPr>
            <w:r>
              <w:rPr>
                <w:rFonts w:hint="eastAsia" w:ascii="方正仿宋_GBK" w:hAnsi="方正仿宋_GBK" w:eastAsia="方正仿宋_GBK" w:cs="方正仿宋_GBK"/>
                <w:i w:val="0"/>
                <w:iCs w:val="0"/>
                <w:color w:val="000000"/>
                <w:kern w:val="0"/>
                <w:sz w:val="24"/>
                <w:szCs w:val="24"/>
                <w:highlight w:val="none"/>
                <w:u w:val="none"/>
                <w:lang w:val="en-US" w:eastAsia="zh-CN"/>
              </w:rPr>
              <w:t>10</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制定本地区基本养老服务清单并将家庭养老床位建设、居家养老上门服务有关内容纳入清单（3分）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default" w:ascii="方正仿宋_GBK" w:hAnsi="方正仿宋_GBK" w:eastAsia="方正仿宋_GBK" w:cs="方正仿宋_GBK"/>
                <w:b w:val="0"/>
                <w:bCs w:val="0"/>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建成</w:t>
            </w:r>
            <w:r>
              <w:rPr>
                <w:rFonts w:hint="eastAsia" w:ascii="方正仿宋_GBK" w:hAnsi="方正仿宋_GBK" w:eastAsia="方正仿宋_GBK" w:cs="方正仿宋_GBK"/>
                <w:color w:val="000000"/>
                <w:kern w:val="0"/>
                <w:sz w:val="24"/>
                <w:szCs w:val="24"/>
                <w:highlight w:val="none"/>
                <w:lang w:eastAsia="zh-CN" w:bidi="ar"/>
              </w:rPr>
              <w:t>覆盖城乡、功能衔接、服务可及的</w:t>
            </w: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县（区）、街道（乡镇）、社区（村）三级养老服务设施网络（2分），培育一批专业化、连锁化、品牌化社区养老服务机构（1分），建成城市地区“一刻钟”居家养老服务圈（1分）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21</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建立养老护理员入职补贴、岗位津贴、培训评价补贴等制度，实施职业技能培训，组织职业技能竞赛，开展评优表彰以及其他提升养老护理职业技能、强化褒扬激励的措施（3分）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22</w:t>
            </w:r>
          </w:p>
        </w:tc>
        <w:tc>
          <w:tcPr>
            <w:tcW w:w="1307"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典型经验</w:t>
            </w:r>
          </w:p>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eastAsia" w:ascii="方正仿宋_GBK" w:hAnsi="方正仿宋_GBK" w:eastAsia="方正仿宋_GBK" w:cs="方正仿宋_GBK"/>
                <w:i w:val="0"/>
                <w:iCs w:val="0"/>
                <w:color w:val="000000"/>
                <w:kern w:val="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总结</w:t>
            </w:r>
          </w:p>
        </w:tc>
        <w:tc>
          <w:tcPr>
            <w:tcW w:w="1123" w:type="dxa"/>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center"/>
              <w:rPr>
                <w:rFonts w:hint="default" w:ascii="方正仿宋_GBK" w:hAnsi="方正仿宋_GBK" w:eastAsia="方正仿宋_GBK" w:cs="方正仿宋_GBK"/>
                <w:i w:val="0"/>
                <w:iCs w:val="0"/>
                <w:color w:val="000000"/>
                <w:kern w:val="0"/>
                <w:sz w:val="24"/>
                <w:szCs w:val="24"/>
                <w:highlight w:val="none"/>
                <w:u w:val="none"/>
                <w:lang w:val="en-US" w:eastAsia="zh-CN"/>
              </w:rPr>
            </w:pPr>
            <w:r>
              <w:rPr>
                <w:rFonts w:hint="eastAsia" w:ascii="方正仿宋_GBK" w:hAnsi="方正仿宋_GBK" w:eastAsia="方正仿宋_GBK" w:cs="方正仿宋_GBK"/>
                <w:i w:val="0"/>
                <w:iCs w:val="0"/>
                <w:color w:val="000000"/>
                <w:kern w:val="0"/>
                <w:sz w:val="24"/>
                <w:szCs w:val="24"/>
                <w:highlight w:val="none"/>
                <w:u w:val="none"/>
                <w:lang w:val="en-US" w:eastAsia="zh-CN"/>
              </w:rPr>
              <w:t>10</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w:t>
            </w:r>
          </w:p>
        </w:tc>
        <w:tc>
          <w:tcPr>
            <w:tcW w:w="9965" w:type="dxa"/>
            <w:noWrap w:val="0"/>
            <w:vAlign w:val="center"/>
          </w:tcPr>
          <w:p>
            <w:pPr>
              <w:keepNext w:val="0"/>
              <w:keepLines w:val="0"/>
              <w:widowControl/>
              <w:suppressLineNumbers w:val="0"/>
              <w:spacing w:line="360" w:lineRule="exact"/>
              <w:ind w:left="0" w:leftChars="0" w:firstLine="0" w:firstLineChars="0"/>
              <w:jc w:val="left"/>
              <w:textAlignment w:val="cente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pP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以项目实施为抓手，形成破解居家和社区养老服务发展瓶颈问题、创新服务模式、提升服务质量的典型经验和有效模式，最高得10分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23</w:t>
            </w:r>
          </w:p>
        </w:tc>
        <w:tc>
          <w:tcPr>
            <w:tcW w:w="1307"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kern w:val="0"/>
                <w:sz w:val="24"/>
                <w:szCs w:val="24"/>
                <w:highlight w:val="none"/>
                <w:u w:val="none"/>
                <w:lang w:val="en-US" w:eastAsia="zh-CN"/>
              </w:rPr>
            </w:pPr>
            <w:r>
              <w:rPr>
                <w:rFonts w:hint="eastAsia" w:ascii="方正仿宋_GBK" w:hAnsi="方正仿宋_GBK" w:eastAsia="方正仿宋_GBK" w:cs="方正仿宋_GBK"/>
                <w:i w:val="0"/>
                <w:iCs w:val="0"/>
                <w:color w:val="000000"/>
                <w:kern w:val="0"/>
                <w:sz w:val="24"/>
                <w:szCs w:val="24"/>
                <w:highlight w:val="none"/>
                <w:u w:val="none"/>
                <w:lang w:val="en-US" w:eastAsia="zh-CN"/>
              </w:rPr>
              <w:t>扣分项</w:t>
            </w:r>
          </w:p>
          <w:p>
            <w:pPr>
              <w:keepNext w:val="0"/>
              <w:keepLines w:val="0"/>
              <w:pageBreakBefore w:val="0"/>
              <w:widowControl/>
              <w:kinsoku/>
              <w:wordWrap/>
              <w:overflowPunct/>
              <w:topLinePunct w:val="0"/>
              <w:autoSpaceDE/>
              <w:autoSpaceDN/>
              <w:bidi w:val="0"/>
              <w:adjustRightInd/>
              <w:snapToGrid/>
              <w:spacing w:line="360" w:lineRule="exact"/>
              <w:jc w:val="both"/>
              <w:rPr>
                <w:rFonts w:hint="eastAsia" w:ascii="方正仿宋_GBK" w:hAnsi="方正仿宋_GBK" w:eastAsia="方正仿宋_GBK" w:cs="方正仿宋_GBK"/>
                <w:i w:val="0"/>
                <w:iCs w:val="0"/>
                <w:color w:val="000000"/>
                <w:kern w:val="0"/>
                <w:sz w:val="24"/>
                <w:szCs w:val="24"/>
                <w:highlight w:val="none"/>
                <w:u w:val="none"/>
                <w:lang w:val="en-US" w:eastAsia="zh-CN"/>
              </w:rPr>
            </w:pPr>
            <w:r>
              <w:rPr>
                <w:rFonts w:hint="eastAsia" w:ascii="方正仿宋_GBK" w:hAnsi="方正仿宋_GBK" w:eastAsia="方正仿宋_GBK" w:cs="方正仿宋_GBK"/>
                <w:i w:val="0"/>
                <w:iCs w:val="0"/>
                <w:color w:val="000000"/>
                <w:kern w:val="0"/>
                <w:sz w:val="24"/>
                <w:szCs w:val="24"/>
                <w:highlight w:val="none"/>
                <w:u w:val="none"/>
                <w:lang w:val="en-US" w:eastAsia="zh-CN"/>
              </w:rPr>
              <w:t>（最高扣10分）</w:t>
            </w:r>
          </w:p>
        </w:tc>
        <w:tc>
          <w:tcPr>
            <w:tcW w:w="1123"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240" w:firstLineChars="100"/>
              <w:jc w:val="both"/>
              <w:rPr>
                <w:rFonts w:hint="default" w:ascii="方正仿宋_GBK" w:hAnsi="方正仿宋_GBK" w:eastAsia="方正仿宋_GBK" w:cs="方正仿宋_GBK"/>
                <w:i w:val="0"/>
                <w:iCs w:val="0"/>
                <w:color w:val="000000"/>
                <w:kern w:val="0"/>
                <w:sz w:val="24"/>
                <w:szCs w:val="24"/>
                <w:highlight w:val="none"/>
                <w:u w:val="none"/>
                <w:lang w:val="en-US" w:eastAsia="zh-CN"/>
              </w:rPr>
            </w:pPr>
            <w:r>
              <w:rPr>
                <w:rFonts w:hint="eastAsia" w:ascii="方正仿宋_GBK" w:hAnsi="方正仿宋_GBK" w:eastAsia="方正仿宋_GBK" w:cs="方正仿宋_GBK"/>
                <w:i w:val="0"/>
                <w:iCs w:val="0"/>
                <w:color w:val="000000"/>
                <w:kern w:val="0"/>
                <w:sz w:val="24"/>
                <w:szCs w:val="24"/>
                <w:highlight w:val="none"/>
                <w:u w:val="none"/>
                <w:lang w:val="en-US" w:eastAsia="zh-CN"/>
              </w:rPr>
              <w:t>-10</w:t>
            </w: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资金使用被民政部委托的第三方机构发现问题的，扣2—5分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24</w:t>
            </w:r>
          </w:p>
        </w:tc>
        <w:tc>
          <w:tcPr>
            <w:tcW w:w="1307"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exact"/>
              <w:ind w:firstLine="480" w:firstLineChars="200"/>
              <w:jc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因工作不到位导致出现重大负面影响的，扣5—10分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jc w:val="center"/>
        </w:trPr>
        <w:tc>
          <w:tcPr>
            <w:tcW w:w="773"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25</w:t>
            </w:r>
          </w:p>
        </w:tc>
        <w:tc>
          <w:tcPr>
            <w:tcW w:w="1307"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rPr>
            </w:pPr>
          </w:p>
        </w:tc>
        <w:tc>
          <w:tcPr>
            <w:tcW w:w="1123" w:type="dxa"/>
            <w:vMerge w:val="continue"/>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rPr>
            </w:pPr>
          </w:p>
        </w:tc>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w:t>
            </w:r>
          </w:p>
        </w:tc>
        <w:tc>
          <w:tcPr>
            <w:tcW w:w="996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Style w:val="5"/>
                <w:rFonts w:ascii="方正仿宋_GBK" w:hAnsi="方正仿宋_GBK" w:eastAsia="方正仿宋_GBK" w:cs="方正仿宋_GBK"/>
                <w:kern w:val="0"/>
                <w:sz w:val="24"/>
                <w:szCs w:val="24"/>
                <w:highlight w:val="none"/>
                <w:lang w:val="en-US" w:eastAsia="zh-CN" w:bidi="ar"/>
              </w:rPr>
              <w:t>存在违反《中央专项彩票公益金支持居家和社区基本养老服务提升行动项目资金管理办法》（财社</w:t>
            </w:r>
            <w:r>
              <w:rPr>
                <w:rStyle w:val="6"/>
                <w:rFonts w:hint="eastAsia" w:ascii="方正仿宋_GBK" w:hAnsi="方正仿宋_GBK" w:eastAsia="方正仿宋_GBK" w:cs="方正仿宋_GBK"/>
                <w:kern w:val="0"/>
                <w:sz w:val="24"/>
                <w:szCs w:val="24"/>
                <w:highlight w:val="none"/>
                <w:lang w:val="en-US" w:eastAsia="zh-CN" w:bidi="ar"/>
              </w:rPr>
              <w:t>〔</w:t>
            </w:r>
            <w:r>
              <w:rPr>
                <w:rStyle w:val="5"/>
                <w:rFonts w:ascii="方正仿宋_GBK" w:hAnsi="方正仿宋_GBK" w:eastAsia="方正仿宋_GBK" w:cs="方正仿宋_GBK"/>
                <w:kern w:val="0"/>
                <w:sz w:val="24"/>
                <w:szCs w:val="24"/>
                <w:highlight w:val="none"/>
                <w:lang w:val="en-US" w:eastAsia="zh-CN" w:bidi="ar"/>
              </w:rPr>
              <w:t>2021</w:t>
            </w:r>
            <w:r>
              <w:rPr>
                <w:rStyle w:val="6"/>
                <w:rFonts w:hint="eastAsia" w:ascii="方正仿宋_GBK" w:hAnsi="方正仿宋_GBK" w:eastAsia="方正仿宋_GBK" w:cs="方正仿宋_GBK"/>
                <w:kern w:val="0"/>
                <w:sz w:val="24"/>
                <w:szCs w:val="24"/>
                <w:highlight w:val="none"/>
                <w:lang w:val="en-US" w:eastAsia="zh-CN" w:bidi="ar"/>
              </w:rPr>
              <w:t>〕</w:t>
            </w:r>
            <w:r>
              <w:rPr>
                <w:rStyle w:val="5"/>
                <w:rFonts w:ascii="方正仿宋_GBK" w:hAnsi="方正仿宋_GBK" w:eastAsia="方正仿宋_GBK" w:cs="方正仿宋_GBK"/>
                <w:kern w:val="0"/>
                <w:sz w:val="24"/>
                <w:szCs w:val="24"/>
                <w:highlight w:val="none"/>
                <w:lang w:val="en-US" w:eastAsia="zh-CN" w:bidi="ar"/>
              </w:rPr>
              <w:t>56号）第十七条、第二十条等中虚报、冒领、挤占、挪用、徇私舞弊等违规行为的，每出现一次扣5分，最高扣10分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3929" w:type="dxa"/>
            <w:gridSpan w:val="5"/>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480" w:firstLineChars="200"/>
              <w:jc w:val="left"/>
              <w:textAlignment w:val="center"/>
              <w:rPr>
                <w:rStyle w:val="5"/>
                <w:rFonts w:ascii="方正仿宋_GBK" w:hAnsi="方正仿宋_GBK" w:eastAsia="方正仿宋_GBK" w:cs="方正仿宋_GBK"/>
                <w:kern w:val="0"/>
                <w:sz w:val="24"/>
                <w:szCs w:val="24"/>
                <w:highlight w:val="none"/>
                <w:lang w:val="en-US" w:eastAsia="zh-CN" w:bidi="ar"/>
              </w:rPr>
            </w:pPr>
            <w:r>
              <w:rPr>
                <w:rStyle w:val="5"/>
                <w:rFonts w:hint="eastAsia" w:ascii="方正仿宋_GBK" w:hAnsi="方正仿宋_GBK" w:eastAsia="方正仿宋_GBK" w:cs="方正仿宋_GBK"/>
                <w:kern w:val="0"/>
                <w:sz w:val="24"/>
                <w:szCs w:val="24"/>
                <w:highlight w:val="none"/>
                <w:lang w:val="en-US" w:eastAsia="zh-CN" w:bidi="ar"/>
              </w:rPr>
              <w:t>注：成果验收总得分=（</w:t>
            </w:r>
            <w:r>
              <w:rPr>
                <w:rFonts w:hint="eastAsia" w:ascii="方正仿宋_GBK" w:hAnsi="方正仿宋_GBK" w:eastAsia="方正仿宋_GBK" w:cs="方正仿宋_GBK"/>
                <w:kern w:val="0"/>
                <w:sz w:val="24"/>
                <w:szCs w:val="24"/>
                <w:highlight w:val="none"/>
                <w:lang w:val="en-US" w:eastAsia="zh-CN"/>
              </w:rPr>
              <w:t>项目地区自评分x15%+互评组互评分x25%+专家复核分x60%）</w:t>
            </w:r>
            <w:r>
              <w:rPr>
                <w:rFonts w:hint="eastAsia" w:ascii="方正仿宋_GBK" w:hAnsi="方正仿宋_GBK" w:eastAsia="方正仿宋_GBK" w:cs="方正仿宋_GBK"/>
                <w:b w:val="0"/>
                <w:bCs w:val="0"/>
                <w:i w:val="0"/>
                <w:iCs w:val="0"/>
                <w:color w:val="000000"/>
                <w:kern w:val="0"/>
                <w:sz w:val="24"/>
                <w:szCs w:val="24"/>
                <w:highlight w:val="none"/>
                <w:u w:val="none"/>
                <w:lang w:val="en-US" w:eastAsia="zh-CN" w:bidi="ar"/>
              </w:rPr>
              <w:t>*调节系数；调节系数=1-缩放系数*（项目地区自评分-专家复核分）/专家复核分，调节系数只适用于项目地区自评分高于专家复核分的情况，缩放系数将根据总体分差情况另行确定。</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隶书_GBK">
    <w:altName w:val="宋体"/>
    <w:panose1 w:val="02000000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xNWJjYTM4M2FkYWIxMjk4YjBkY2JmNWZkNzM2NTYifQ=="/>
  </w:docVars>
  <w:rsids>
    <w:rsidRoot w:val="34E75C3C"/>
    <w:rsid w:val="34E75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character" w:customStyle="1" w:styleId="5">
    <w:name w:val="font21"/>
    <w:qFormat/>
    <w:uiPriority w:val="0"/>
    <w:rPr>
      <w:rFonts w:hint="eastAsia" w:ascii="仿宋_GB2312" w:eastAsia="仿宋_GB2312" w:cs="仿宋_GB2312"/>
      <w:color w:val="000000"/>
      <w:sz w:val="24"/>
      <w:szCs w:val="24"/>
      <w:u w:val="none"/>
    </w:rPr>
  </w:style>
  <w:style w:type="character" w:customStyle="1" w:styleId="6">
    <w:name w:val="font41"/>
    <w:qFormat/>
    <w:uiPriority w:val="0"/>
    <w:rPr>
      <w:rFonts w:ascii="方正隶书_GBK" w:hAnsi="方正隶书_GBK" w:eastAsia="方正隶书_GBK" w:cs="方正隶书_GBK"/>
      <w:color w:val="000000"/>
      <w:sz w:val="24"/>
      <w:szCs w:val="24"/>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2024-03-19T00:51:00Z</dcterms:created>
  <dc:creator>Administrator</dc:creator>
  <cp:lastModifiedBy>Administrator</cp:lastModifiedBy>
  <dcterms:modified xsi:type="dcterms:W3CDTF">2024-03-19T00:52:24Z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2052-12.1.0.16412</vt:lpwstr>
  </property>
  <property fmtid="{D5CDD505-2E9C-101B-9397-08002B2CF9AE}" pid="3" name="ICV">
    <vt:lpwstr>A650ED83779244F6AD1AA7C6D05A3CF3_11</vt:lpwstr>
  </property>
</Properties>
</file>